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 w:hAnsi="times new roman;times"/>
          <w:b/>
          <w:sz w:val="24"/>
        </w:rPr>
      </w:pPr>
      <w:r>
        <w:rPr>
          <w:rFonts w:ascii="times new roman;times" w:hAnsi="times new roman;times"/>
          <w:b/>
          <w:sz w:val="24"/>
        </w:rPr>
        <w:t xml:space="preserve">UNITED STATES </w:t>
      </w:r>
    </w:p>
    <w:p>
      <w:pPr>
        <w:pStyle w:val="TextBody"/>
        <w:bidi w:val="0"/>
        <w:spacing w:before="0" w:after="0"/>
        <w:ind w:left="0" w:right="0" w:hanging="0"/>
        <w:jc w:val="center"/>
        <w:rPr>
          <w:rFonts w:ascii="times new roman;times" w:hAnsi="times new roman;times"/>
          <w:b/>
          <w:sz w:val="24"/>
        </w:rPr>
      </w:pPr>
      <w:r>
        <w:rPr>
          <w:rFonts w:ascii="times new roman;times" w:hAnsi="times new roman;times"/>
          <w:b/>
          <w:sz w:val="24"/>
        </w:rPr>
        <w:t xml:space="preserve">SECURITIES AND EXCHANGE COMMISSION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Washington, D.C. 20549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before="240" w:after="0"/>
        <w:ind w:left="0" w:right="0" w:hanging="0"/>
        <w:jc w:val="center"/>
        <w:rPr>
          <w:rFonts w:ascii="times new roman;times" w:hAnsi="times new roman;times"/>
          <w:b/>
          <w:sz w:val="20"/>
        </w:rPr>
      </w:pPr>
      <w:r>
        <w:rPr>
          <w:rFonts w:ascii="times new roman;times" w:hAnsi="times new roman;times"/>
          <w:b/>
          <w:sz w:val="24"/>
        </w:rPr>
        <w:t>SCHEDULE 14C INFORMATION</w:t>
      </w:r>
      <w:r>
        <w:rPr>
          <w:rFonts w:ascii="times new roman;times" w:hAnsi="times new roman;times"/>
          <w:b/>
          <w:sz w:val="20"/>
        </w:rPr>
        <w:t xml:space="preserve"> </w:t>
      </w:r>
    </w:p>
    <w:p>
      <w:pPr>
        <w:pStyle w:val="TextBody"/>
        <w:bidi w:val="0"/>
        <w:spacing w:before="240" w:after="0"/>
        <w:ind w:left="0" w:right="0" w:hanging="0"/>
        <w:jc w:val="center"/>
        <w:rPr>
          <w:rFonts w:ascii="times new roman;times" w:hAnsi="times new roman;times"/>
          <w:b/>
          <w:sz w:val="20"/>
        </w:rPr>
      </w:pPr>
      <w:r>
        <w:rPr>
          <w:rFonts w:ascii="times new roman;times" w:hAnsi="times new roman;times"/>
          <w:b/>
          <w:sz w:val="20"/>
        </w:rPr>
        <w:t xml:space="preserve">Information Statement Pursuant to Section 14(c) of the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Securities Exchange Act of 1934</w:t>
      </w:r>
      <w:r>
        <w:rPr>
          <w:rFonts w:ascii="times new roman;times" w:hAnsi="times new roman;times"/>
          <w:sz w:val="20"/>
        </w:rPr>
        <w:t>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_________________________</w:t>
      </w:r>
    </w:p>
    <w:p>
      <w:pPr>
        <w:pStyle w:val="TextBody"/>
        <w:bidi w:val="0"/>
        <w:spacing w:before="0" w:after="0"/>
        <w:ind w:left="0" w:right="0" w:hanging="0"/>
        <w:jc w:val="center"/>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39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Preliminary information statement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Confidential, for Use of the Commission Only (as permitted by Rule 14c-5(d)(2))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367" w:type="dxa"/>
            <w:tcBorders/>
            <w:vAlign w:val="center"/>
          </w:tcPr>
          <w:p>
            <w:pPr>
              <w:pStyle w:val="TableContents"/>
              <w:bidi w:val="0"/>
              <w:spacing w:before="0" w:after="0"/>
              <w:ind w:left="315" w:right="0" w:hanging="315"/>
              <w:jc w:val="left"/>
              <w:rPr>
                <w:rFonts w:ascii="times new roman;times" w:hAnsi="times new roman;times"/>
                <w:sz w:val="20"/>
              </w:rPr>
            </w:pPr>
            <w:r>
              <w:rPr>
                <w:rFonts w:ascii="times new roman;times" w:hAnsi="times new roman;times"/>
                <w:sz w:val="20"/>
              </w:rPr>
              <w:t xml:space="preserve">Definitive information statement </w:t>
            </w:r>
          </w:p>
        </w:tc>
      </w:tr>
    </w:tbl>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5"/>
        <w:gridCol w:w="10014"/>
        <w:gridCol w:w="96"/>
      </w:tblGrid>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8"/>
              </w:rPr>
            </w:pPr>
            <w:r>
              <w:rPr>
                <w:rFonts w:ascii="times new roman;times" w:hAnsi="times new roman;times"/>
                <w:b/>
                <w:sz w:val="28"/>
              </w:rPr>
              <w:t>ClearOne, Inc.</w:t>
            </w:r>
          </w:p>
        </w:tc>
        <w:tc>
          <w:tcPr>
            <w:tcW w:w="96" w:type="dxa"/>
            <w:tcBorders/>
            <w:vAlign w:val="center"/>
          </w:tcPr>
          <w:p>
            <w:pPr>
              <w:pStyle w:val="TableContents"/>
              <w:bidi w:val="0"/>
              <w:spacing w:before="0" w:after="283"/>
              <w:jc w:val="left"/>
              <w:rPr/>
            </w:pPr>
            <w:r>
              <w:rPr/>
            </w:r>
          </w:p>
        </w:tc>
      </w:tr>
      <w:tr>
        <w:trPr/>
        <w:tc>
          <w:tcPr>
            <w:tcW w:w="95" w:type="dxa"/>
            <w:tcBorders/>
            <w:vAlign w:val="center"/>
          </w:tcPr>
          <w:p>
            <w:pPr>
              <w:pStyle w:val="TableContents"/>
              <w:bidi w:val="0"/>
              <w:spacing w:before="0" w:after="283"/>
              <w:jc w:val="left"/>
              <w:rPr/>
            </w:pPr>
            <w:r>
              <w:rPr/>
            </w:r>
          </w:p>
        </w:tc>
        <w:tc>
          <w:tcPr>
            <w:tcW w:w="1001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Registrant as Specified in Its Charter)</w:t>
            </w:r>
          </w:p>
        </w:tc>
        <w:tc>
          <w:tcPr>
            <w:tcW w:w="96" w:type="dxa"/>
            <w:tcBorders/>
            <w:vAlign w:val="center"/>
          </w:tcPr>
          <w:p>
            <w:pPr>
              <w:pStyle w:val="TableContents"/>
              <w:bidi w:val="0"/>
              <w:spacing w:before="0" w:after="283"/>
              <w:jc w:val="left"/>
              <w:rPr/>
            </w:pPr>
            <w:r>
              <w:rPr/>
            </w:r>
          </w:p>
        </w:tc>
      </w:tr>
    </w:tbl>
    <w:p>
      <w:pPr>
        <w:pStyle w:val="TextBody"/>
        <w:bidi w:val="0"/>
        <w:spacing w:before="240" w:after="0"/>
        <w:ind w:left="0" w:right="0" w:hanging="0"/>
        <w:jc w:val="left"/>
        <w:rPr>
          <w:rFonts w:ascii="times new roman;times" w:hAnsi="times new roman;times"/>
          <w:sz w:val="20"/>
        </w:rPr>
      </w:pPr>
      <w:r>
        <w:rPr>
          <w:rFonts w:ascii="times new roman;times" w:hAnsi="times new roman;times"/>
          <w:sz w:val="20"/>
        </w:rPr>
        <w:t xml:space="preserve">Payment of Filing Fee (Check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 fee required.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paid previously with preliminary materials.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Fee computed on table in exhibit required by Item 25(b) of Schedule 14A (17 CFR 240.14a-101) per Item 1 of this Schedule and Exchange Act Rules 14c-5(g) and 0-11. </w:t>
            </w:r>
          </w:p>
        </w:tc>
      </w:tr>
    </w:tbl>
    <w:p>
      <w:pPr>
        <w:pStyle w:val="TextBody"/>
        <w:bidi w:val="0"/>
        <w:spacing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t xml:space="preserve"> </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7533 S Center View Ct., #5311</w:t>
      </w:r>
    </w:p>
    <w:p>
      <w:pPr>
        <w:pStyle w:val="TextBody"/>
        <w:widowControl/>
        <w:bidi w:val="0"/>
        <w:spacing w:lineRule="auto" w:line="288" w:before="0" w:after="0"/>
        <w:ind w:left="0" w:right="0" w:hanging="0"/>
        <w:jc w:val="center"/>
        <w:rPr>
          <w:rFonts w:ascii="times new roman;times" w:hAnsi="times new roman;times"/>
          <w:b/>
          <w:sz w:val="20"/>
        </w:rPr>
      </w:pPr>
      <w:r>
        <w:rPr>
          <w:rFonts w:ascii="times new roman;times" w:hAnsi="times new roman;times"/>
          <w:b w:val="false"/>
          <w:i w:val="false"/>
          <w:caps w:val="false"/>
          <w:smallCaps w:val="false"/>
          <w:color w:val="000000"/>
          <w:spacing w:val="0"/>
          <w:sz w:val="20"/>
        </w:rPr>
        <w:t>West Jordan, Utah</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84084</w:t>
      </w:r>
    </w:p>
    <w:p>
      <w:pPr>
        <w:pStyle w:val="TextBody"/>
        <w:bidi w:val="0"/>
        <w:spacing w:lineRule="auto" w:line="288" w:before="0" w:after="0"/>
        <w:ind w:left="0" w:right="0" w:hanging="0"/>
        <w:jc w:val="center"/>
        <w:rPr/>
      </w:pPr>
      <w:r>
        <w:rPr/>
      </w:r>
    </w:p>
    <w:tbl>
      <w:tblPr>
        <w:tblW w:w="5896" w:type="dxa"/>
        <w:jc w:val="left"/>
        <w:tblInd w:w="-7" w:type="dxa"/>
        <w:tblLayout w:type="fixed"/>
        <w:tblCellMar>
          <w:top w:w="28" w:type="dxa"/>
          <w:left w:w="28" w:type="dxa"/>
          <w:bottom w:w="28" w:type="dxa"/>
          <w:right w:w="28" w:type="dxa"/>
        </w:tblCellMar>
      </w:tblPr>
      <w:tblGrid>
        <w:gridCol w:w="5896"/>
      </w:tblGrid>
      <w:tr>
        <w:trPr/>
        <w:tc>
          <w:tcPr>
            <w:tcW w:w="5896" w:type="dxa"/>
            <w:tcBorders>
              <w:top w:val="single" w:sz="6" w:space="0" w:color="000000"/>
              <w:left w:val="single" w:sz="6" w:space="0" w:color="000000"/>
              <w:bottom w:val="single" w:sz="6" w:space="0" w:color="000000"/>
              <w:right w:val="single" w:sz="6" w:space="0" w:color="000000"/>
            </w:tcBorders>
            <w:vAlign w:val="center"/>
          </w:tcPr>
          <w:p>
            <w:pPr>
              <w:pStyle w:val="TableContents"/>
              <w:bidi w:val="0"/>
              <w:jc w:val="center"/>
              <w:rPr>
                <w:rFonts w:ascii="times new roman;times" w:hAnsi="times new roman;times"/>
                <w:b/>
                <w:sz w:val="20"/>
              </w:rPr>
            </w:pPr>
            <w:r>
              <w:rPr>
                <w:rFonts w:ascii="times new roman;times" w:hAnsi="times new roman;times"/>
                <w:b/>
                <w:sz w:val="20"/>
              </w:rPr>
              <w:t>INFORMATION STATEMENT</w:t>
            </w:r>
          </w:p>
          <w:p>
            <w:pPr>
              <w:pStyle w:val="TableContents"/>
              <w:bidi w:val="0"/>
              <w:jc w:val="center"/>
              <w:rPr/>
            </w:pPr>
            <w:r>
              <w:rPr>
                <w:rFonts w:ascii="times new roman;times" w:hAnsi="times new roman;times"/>
                <w:sz w:val="20"/>
              </w:rPr>
              <w:br/>
            </w:r>
            <w:r>
              <w:rPr>
                <w:rFonts w:ascii="times new roman;times" w:hAnsi="times new roman;times"/>
                <w:b/>
                <w:sz w:val="20"/>
              </w:rPr>
              <w:t xml:space="preserve">WE ARE NOT ASKING YOU FOR A PROXY </w:t>
              <w:br/>
              <w:t>AND YOU ARE REQUESTED NOT TO SEND US A PROXY</w:t>
            </w:r>
          </w:p>
          <w:p>
            <w:pPr>
              <w:pStyle w:val="TableContents"/>
              <w:bidi w:val="0"/>
              <w:jc w:val="center"/>
              <w:rPr/>
            </w:pPr>
            <w:r>
              <w:rPr>
                <w:rFonts w:ascii="times new roman;times" w:hAnsi="times new roman;times"/>
                <w:b/>
                <w:sz w:val="20"/>
              </w:rPr>
              <w:br/>
            </w:r>
            <w:r>
              <w:rPr>
                <w:rFonts w:ascii="times new roman;times" w:hAnsi="times new roman;times"/>
                <w:b/>
                <w:color w:val="000000"/>
                <w:sz w:val="20"/>
              </w:rPr>
              <w:t>NOTICE OF STOCKHOLDER ACTION BY WRITTEN CONSENT</w:t>
            </w:r>
          </w:p>
          <w:p>
            <w:pPr>
              <w:pStyle w:val="TableContents"/>
              <w:bidi w:val="0"/>
              <w:spacing w:before="0" w:after="283"/>
              <w:jc w:val="center"/>
              <w:rPr/>
            </w:pPr>
            <w:r>
              <w:rPr>
                <w:rFonts w:ascii="times new roman;times" w:hAnsi="times new roman;times"/>
                <w:b/>
                <w:color w:val="000000"/>
                <w:sz w:val="20"/>
              </w:rPr>
              <w:br/>
            </w:r>
            <w:r>
              <w:rPr>
                <w:rFonts w:ascii="times new roman;times" w:hAnsi="times new roman;times"/>
                <w:color w:val="000000"/>
                <w:sz w:val="20"/>
              </w:rPr>
              <w:t>GENERAL INFORMATION</w:t>
            </w:r>
            <w:r>
              <w:rPr/>
              <w:t xml:space="preserve"> </w:t>
            </w:r>
          </w:p>
        </w:tc>
      </w:tr>
    </w:tbl>
    <w:p>
      <w:pPr>
        <w:pStyle w:val="TextBody"/>
        <w:bidi w:val="0"/>
        <w:spacing w:lineRule="auto" w:line="288" w:before="0" w:after="0"/>
        <w:ind w:left="0" w:right="0" w:hanging="0"/>
        <w:jc w:val="center"/>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Dear Stockholders of ClearOne, Inc.: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This notice of written consent and information statement is being furnished to the stockholders of common stock, par value $0.001 per share (“Common Stock”) of ClearOne, Inc., a Nevada corporation (the “Company,” “ClearOne”, “we” or “our”), in connection with the Agreement and Plan of Merger (the “Merger Agreement”) dated July 1, 2026 by and among ClearOne, CLRO Merger Sub, Inc., a wholly-owned subsidiary of ClearOne (“Merger Sub”), Cortigent, Inc. (“Cortigent”), and Vivani Medical, Inc. (“Vivani” or “Seller”).  A summary of the Merger Agreement is provided in the accompanying information statement and a copy of the Merger Agreement is attached as </w:t>
      </w:r>
      <w:r>
        <w:rPr>
          <w:rFonts w:ascii="times new roman;times" w:hAnsi="times new roman;times"/>
          <w:sz w:val="20"/>
          <w:u w:val="single"/>
        </w:rPr>
        <w:t>Appendix A</w:t>
      </w:r>
      <w:r>
        <w:rPr>
          <w:rFonts w:ascii="times new roman;times" w:hAnsi="times new roman;times"/>
          <w:sz w:val="20"/>
        </w:rPr>
        <w:t xml:space="preserve"> to the accompanying information statement, and each are incorporated by reference into this notice. Pursuant to the Merger Agreement, subject to the satisfaction or waiver of certain conditions, Merger Sub will merge with and into Cortigent, with Cortigent surviving as a wholly-owned subsidiary of ClearOne (the “Merger”). The combined company will be renamed “Cortigent Holdings, Inc.” and is expected to trade under Nasdaq ticker symbol “CRGT”.  </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Subject to the terms and conditions of the Merger Agreement, at the effective time of the Merger (the “Effective Time”), ClearOne will acquire all the equity securities of Cortigent in exchange for the issuance of 12,500,000 shares of Common Stock of ClearOne (the “Consideration Shares”), subject to adjustment only as expressly set forth in the Merger Agreement.</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purpose of this letter is to inform you that on August 3, 2026, holders representing approximately 61.3% of the voting capital stock, voting as a single class, of ClearOne, and the board of directors of the Company by written consent in lieu of a meeting, approved the following corporate actions:</w:t>
      </w:r>
    </w:p>
    <w:tbl>
      <w:tblPr>
        <w:tblW w:w="10205" w:type="dxa"/>
        <w:jc w:val="left"/>
        <w:tblInd w:w="0" w:type="dxa"/>
        <w:tblLayout w:type="fixed"/>
        <w:tblCellMar>
          <w:top w:w="28" w:type="dxa"/>
          <w:left w:w="28" w:type="dxa"/>
          <w:bottom w:w="28" w:type="dxa"/>
          <w:right w:w="28" w:type="dxa"/>
        </w:tblCellMar>
      </w:tblPr>
      <w:tblGrid>
        <w:gridCol w:w="240"/>
        <w:gridCol w:w="9965"/>
      </w:tblGrid>
      <w:tr>
        <w:trPr/>
        <w:tc>
          <w:tcPr>
            <w:tcW w:w="240" w:type="dxa"/>
            <w:tcBorders/>
          </w:tcPr>
          <w:p>
            <w:pPr>
              <w:pStyle w:val="TableContents"/>
              <w:bidi w:val="0"/>
              <w:spacing w:before="0" w:after="283"/>
              <w:jc w:val="left"/>
              <w:rPr>
                <w:sz w:val="20"/>
              </w:rPr>
            </w:pPr>
            <w:r>
              <w:rPr>
                <w:sz w:val="20"/>
              </w:rPr>
              <w:t>1.</w:t>
            </w:r>
          </w:p>
        </w:tc>
        <w:tc>
          <w:tcPr>
            <w:tcW w:w="9965" w:type="dxa"/>
            <w:tcBorders/>
            <w:tcMar>
              <w:top w:w="0" w:type="dxa"/>
              <w:left w:w="0" w:type="dxa"/>
              <w:bottom w:w="0" w:type="dxa"/>
              <w:right w:w="0" w:type="dxa"/>
            </w:tcMar>
          </w:tcPr>
          <w:p>
            <w:pPr>
              <w:pStyle w:val="TableContents"/>
              <w:widowControl/>
              <w:bidi w:val="0"/>
              <w:spacing w:before="0" w:after="283"/>
              <w:ind w:left="0" w:right="0" w:hanging="72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issuance of the Consideration Shares, being 12,500,000 shares of Common Stock, par value $0.001 per share, which will (a) represent more than 20% of the shares of Common Stock outstanding and (b) result in the change of control of ClearOne pursuant to Nasdaq Listing Rules 5635(a) and 5635(b), respectively (the “Issuance Proposal” or “Action No. 1”); and</w:t>
            </w:r>
          </w:p>
        </w:tc>
      </w:tr>
      <w:tr>
        <w:trPr/>
        <w:tc>
          <w:tcPr>
            <w:tcW w:w="240" w:type="dxa"/>
            <w:tcBorders/>
          </w:tcPr>
          <w:p>
            <w:pPr>
              <w:pStyle w:val="TableContents"/>
              <w:bidi w:val="0"/>
              <w:spacing w:before="0" w:after="283"/>
              <w:jc w:val="left"/>
              <w:rPr>
                <w:sz w:val="20"/>
              </w:rPr>
            </w:pPr>
            <w:r>
              <w:rPr>
                <w:sz w:val="20"/>
              </w:rPr>
              <w:t>2.</w:t>
            </w:r>
          </w:p>
        </w:tc>
        <w:tc>
          <w:tcPr>
            <w:tcW w:w="9965" w:type="dxa"/>
            <w:tcBorders/>
          </w:tcPr>
          <w:p>
            <w:pPr>
              <w:pStyle w:val="TableContents"/>
              <w:widowControl/>
              <w:bidi w:val="0"/>
              <w:spacing w:before="0" w:after="283"/>
              <w:ind w:left="0" w:right="0" w:hanging="720"/>
              <w:jc w:val="both"/>
              <w:rPr>
                <w:sz w:val="20"/>
              </w:rPr>
            </w:pPr>
            <w:r>
              <w:rPr>
                <w:rFonts w:ascii="times new roman;times" w:hAnsi="times new roman;times"/>
                <w:b w:val="false"/>
                <w:i w:val="false"/>
                <w:caps w:val="false"/>
                <w:smallCaps w:val="false"/>
                <w:color w:val="000000"/>
                <w:spacing w:val="0"/>
                <w:sz w:val="20"/>
              </w:rPr>
              <w:t>the adoption of </w:t>
            </w:r>
            <w:r>
              <w:rPr>
                <w:sz w:val="20"/>
              </w:rPr>
              <w:t>ClearOne’s</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2026 Omnibus Incentive Plan (the “Plan Proposal” or “Action No. 2”).</w:t>
            </w:r>
          </w:p>
        </w:tc>
      </w:tr>
    </w:tbl>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Shareholders of ClearOne did not approve the Merger but only the issuance of the Consideration Shares and the adoption of the 2026 Omnibus Incentive Plan.</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0" w:hanging="0"/>
        <w:jc w:val="both"/>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b/>
          <w:sz w:val="20"/>
        </w:rPr>
        <w:t>THIS IS NOT A NOTICE OF AN ANNUAL MEETING OR SPECIAL MEETING OF STOCKHOLDERS AND NO STOCKHOLDER MEETING WILL BE HELD TO CONSIDER</w:t>
      </w:r>
      <w:r>
        <w:rPr>
          <w:rFonts w:ascii="times new roman;times" w:hAnsi="times new roman;times"/>
          <w:sz w:val="20"/>
        </w:rPr>
        <w:t xml:space="preserve"> </w:t>
      </w:r>
      <w:r>
        <w:rPr>
          <w:rFonts w:ascii="times new roman;times" w:hAnsi="times new roman;times"/>
          <w:b/>
          <w:sz w:val="20"/>
        </w:rPr>
        <w:t>ANY MATTER WHICH WILL BE DESCRIBED HEREIN.</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 xml:space="preserve">The accompanying information statement, which we urge you to read carefully, describes the Merger, the Issuance of Proposal and the Plan Proposal in more detail, and is being furnished to our stockholders for informational purposes only, pursuant to Section 14(c) of the Securities Exchange Act of 1934, as amended (the “Exchange Act”), and the rules and regulations prescribed thereunder. Pursuant to Rule 14c-2 under the Exchange Act, the Issuance Proposal and the Plan Proposal may not be effected until at least 20 calendar days after the mailing of the accompanying information statement to ClearOne’s stockholders.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Directors, </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times" w:hAnsi="times new roman;times"/>
          <w:sz w:val="20"/>
          <w:u w:val="single"/>
        </w:rPr>
      </w:pPr>
      <w:r>
        <w:rPr>
          <w:rFonts w:ascii="times new roman;times" w:hAnsi="times new roman;times"/>
          <w:b w:val="false"/>
          <w:color w:val="242424"/>
          <w:spacing w:val="0"/>
          <w:sz w:val="20"/>
          <w:u w:val="single"/>
        </w:rPr>
        <w:t>/</w:t>
      </w:r>
      <w:r>
        <w:rPr>
          <w:rFonts w:ascii="times new roman;times" w:hAnsi="times new roman;times"/>
          <w:b w:val="false"/>
          <w:i/>
          <w:color w:val="242424"/>
          <w:spacing w:val="0"/>
          <w:sz w:val="20"/>
          <w:u w:val="single"/>
        </w:rPr>
        <w:t>s</w:t>
      </w:r>
      <w:r>
        <w:rPr>
          <w:rFonts w:ascii="times new roman;times" w:hAnsi="times new roman;times"/>
          <w:b w:val="false"/>
          <w:color w:val="242424"/>
          <w:spacing w:val="0"/>
          <w:sz w:val="20"/>
          <w:u w:val="single"/>
        </w:rPr>
        <w:t>/ Derek Graham</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Derek Graham</w:t>
        <w:br/>
        <w:t>Chief Executive Officer</w:t>
        <w:br/>
        <w:t>August 3, 2026</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b/>
          <w:sz w:val="20"/>
        </w:rPr>
        <w:t>Neither the U.S. Securities and Exchange Commission nor any state securities regulatory agency has approved or disapproved the Merger</w:t>
      </w:r>
      <w:r>
        <w:rPr>
          <w:rFonts w:ascii="times new roman;times" w:hAnsi="times new roman;times"/>
          <w:sz w:val="20"/>
        </w:rPr>
        <w:t xml:space="preserve"> </w:t>
      </w:r>
      <w:r>
        <w:rPr>
          <w:rFonts w:ascii="times new roman;times" w:hAnsi="times new roman;times"/>
          <w:b/>
          <w:sz w:val="20"/>
        </w:rPr>
        <w:t>or the Omnibus Incentive Plan, passed upon the merits or fairness of the Merger</w:t>
      </w:r>
      <w:r>
        <w:rPr>
          <w:rFonts w:ascii="times new roman;times" w:hAnsi="times new roman;times"/>
          <w:sz w:val="20"/>
        </w:rPr>
        <w:t xml:space="preserve"> </w:t>
      </w:r>
      <w:r>
        <w:rPr>
          <w:rFonts w:ascii="times new roman;times" w:hAnsi="times new roman;times"/>
          <w:b/>
          <w:sz w:val="20"/>
        </w:rPr>
        <w:t>or the Omnibus Incentive Plan or passed upon the adequacy or accuracy of the disclosures in this notice or the accompanying information statement. Any representation to the contrary is a criminal offense.</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This Information Statement is dated August 3, 2026 and is first being mailed to stockholders on or about August 11, 2026.</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ClearOne, Inc.</w:t>
      </w:r>
      <w:r>
        <w:rPr>
          <w:rFonts w:ascii="times new roman;times" w:hAnsi="times new roman;times"/>
          <w:sz w:val="20"/>
        </w:rPr>
        <w:br/>
      </w:r>
      <w:r>
        <w:rPr>
          <w:rFonts w:ascii="times new roman;times" w:hAnsi="times new roman;times"/>
          <w:b/>
          <w:sz w:val="20"/>
        </w:rPr>
        <w:t>7533 S Center View Ct., #5311</w:t>
      </w:r>
      <w:r>
        <w:rPr>
          <w:rFonts w:ascii="times new roman;times" w:hAnsi="times new roman;times"/>
          <w:sz w:val="20"/>
        </w:rPr>
        <w:br/>
      </w:r>
      <w:r>
        <w:rPr>
          <w:rFonts w:ascii="times new roman;times" w:hAnsi="times new roman;times"/>
          <w:b/>
          <w:sz w:val="20"/>
        </w:rPr>
        <w:t>West Jordan, Utah 84084</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Phone: 385-426-0565</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STATEMENT</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August 3, 2026</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INFORMATION STATEMENT IS BEING PROVIDED TO YOU BY THE BOARD OF DIRECTORS OF CLEARONE, INC.</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WE ARE NOT ASKING YOU FOR A PROXY AND YOU ARE REQUESTED NOT TO SEND US A PROXY</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sz w:val="20"/>
        </w:rPr>
        <w:t>THIS IS NOT A NOTICE OF A MEETING OF STOCKHOLDERS AND NO STOCKHOLDERS’ MEETING WILL BE HELD TO CONSIDER ANY MATTER DESCRIBED HEREIN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is being furnished to the holders of shares of common stock, par value $0.001 per share (the “Common Stock”), of ClearOne, Inc., in connection with the actions by written consent of the holders of a majority of its issued and outstanding shares of Common Stock, taken without a meeting to approve the actions described in this Information Statement. In this Information Statement, all references to the “Company,” “ClearOne,” “we,” “us” or “our” refer to ClearOne, Inc., a Nevada corporation. We are mailing this Information Statement to our stockholders of record as of July 31, 2026 on or about August 11,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promulgated by the Securities and Exchange Commission (“SEC”) under the Securities Exchange Act of 1934, as amended (the “Exchange Act”), the actions described herein will not become effective until at least 20 calendar days following the date on which this Information Statement is first mailed to our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will bear the entire cost of furnishing this Information Statement.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RECORD DATE; VOTE REQUIRED; MAJORITY STOCKHOLDER CONSENT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Record Date</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 xml:space="preserve">The close of business on July 31, 2026 has been fixed as the Record Date for determining stockholders entitled to receive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Vote Required; Action by Written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Nevada Revised Statues (the “NRS”) 78.320 and ClearOne’s governing documents, action may be taken without a meeting by written consent of holders of at least the minimum number of votes required to authorize such action at a meeting. The majority stockholders of ClearOne (the “Majority Stockholders”) executed the written consent and thereby approved and/or ratified the Actions (as defined below). The record date of such action by written consent was July 31, 2026.</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names of the Majority Stockholders and their respective voting power are set forth under “Consenting Stockholders” below.</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Actions by Board of Directors and Majority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and July 17, 2026, respectively, in accordance with the applicable provisions of the NRS, the Board of Directors (the “ClearOne Board”</w:t>
      </w:r>
      <w:r>
        <w:rPr>
          <w:rFonts w:ascii="times new roman;times" w:hAnsi="times new roman;times"/>
          <w:b/>
          <w:i/>
          <w:sz w:val="20"/>
        </w:rPr>
        <w:t>)</w:t>
      </w:r>
      <w:r>
        <w:rPr>
          <w:rFonts w:ascii="times new roman;times" w:hAnsi="times new roman;times"/>
          <w:sz w:val="20"/>
        </w:rPr>
        <w:t>, as such, adopted resolutions approving the following proposed actions (each, an “Action” and collectively, the “Actions”</w:t>
      </w:r>
      <w:r>
        <w:rPr>
          <w:rFonts w:ascii="times new roman;times" w:hAnsi="times new roman;times"/>
          <w:b/>
          <w:i/>
          <w:sz w:val="20"/>
        </w:rPr>
        <w:t>)</w:t>
      </w:r>
      <w:r>
        <w:rPr>
          <w:rFonts w:ascii="times new roman;times" w:hAnsi="times new roman;times"/>
          <w:sz w:val="20"/>
        </w:rPr>
        <w:t>:</w:t>
      </w:r>
    </w:p>
    <w:tbl>
      <w:tblPr>
        <w:tblW w:w="10205" w:type="dxa"/>
        <w:jc w:val="left"/>
        <w:tblInd w:w="0" w:type="dxa"/>
        <w:tblLayout w:type="fixed"/>
        <w:tblCellMar>
          <w:top w:w="28" w:type="dxa"/>
          <w:left w:w="28" w:type="dxa"/>
          <w:bottom w:w="28" w:type="dxa"/>
          <w:right w:w="28" w:type="dxa"/>
        </w:tblCellMar>
      </w:tblPr>
      <w:tblGrid>
        <w:gridCol w:w="242"/>
        <w:gridCol w:w="9963"/>
      </w:tblGrid>
      <w:tr>
        <w:trPr/>
        <w:tc>
          <w:tcPr>
            <w:tcW w:w="242" w:type="dxa"/>
            <w:tcBorders/>
          </w:tcPr>
          <w:p>
            <w:pPr>
              <w:pStyle w:val="TableContents"/>
              <w:bidi w:val="0"/>
              <w:spacing w:before="0" w:after="283"/>
              <w:jc w:val="left"/>
              <w:rPr>
                <w:sz w:val="20"/>
              </w:rPr>
            </w:pPr>
            <w:r>
              <w:rPr>
                <w:sz w:val="20"/>
              </w:rPr>
              <w:t>1.</w:t>
            </w:r>
          </w:p>
        </w:tc>
        <w:tc>
          <w:tcPr>
            <w:tcW w:w="9963" w:type="dxa"/>
            <w:tcBorders/>
            <w:tcMar>
              <w:top w:w="0" w:type="dxa"/>
              <w:left w:w="0" w:type="dxa"/>
              <w:bottom w:w="0" w:type="dxa"/>
              <w:right w:w="0" w:type="dxa"/>
            </w:tcMar>
          </w:tcPr>
          <w:p>
            <w:pPr>
              <w:pStyle w:val="TableContents"/>
              <w:widowControl/>
              <w:bidi w:val="0"/>
              <w:spacing w:before="0" w:after="283"/>
              <w:ind w:left="0" w:right="0" w:hanging="720"/>
              <w:jc w:val="both"/>
              <w:rPr>
                <w:sz w:val="20"/>
              </w:rPr>
            </w:pPr>
            <w:r>
              <w:rPr>
                <w:rFonts w:ascii="times new roman;times" w:hAnsi="times new roman;times"/>
                <w:b w:val="false"/>
                <w:color w:val="000000"/>
                <w:spacing w:val="0"/>
                <w:sz w:val="20"/>
              </w:rPr>
              <w:t>to approve the issuance of 12,500,000 shares of our Common Stock, par value $0.001 per share, which will (a) represent more than 20% of the shares of Common Stock outstanding and (b) result in the change of control of </w:t>
            </w:r>
            <w:r>
              <w:rPr>
                <w:sz w:val="20"/>
              </w:rPr>
              <w:t>ClearOne</w:t>
            </w:r>
            <w:r>
              <w:rPr>
                <w:color w:val="000000"/>
                <w:spacing w:val="0"/>
                <w:sz w:val="20"/>
              </w:rPr>
              <w:t> </w:t>
            </w:r>
            <w:r>
              <w:rPr>
                <w:rFonts w:ascii="times new roman;times" w:hAnsi="times new roman;times"/>
                <w:b w:val="false"/>
                <w:color w:val="000000"/>
                <w:spacing w:val="0"/>
                <w:sz w:val="20"/>
              </w:rPr>
              <w:t>pursuant to </w:t>
            </w:r>
            <w:r>
              <w:rPr>
                <w:sz w:val="20"/>
              </w:rPr>
              <w:t>Nasdaq</w:t>
            </w:r>
            <w:r>
              <w:rPr>
                <w:color w:val="000000"/>
                <w:spacing w:val="0"/>
                <w:sz w:val="20"/>
              </w:rPr>
              <w:t> </w:t>
            </w:r>
            <w:r>
              <w:rPr>
                <w:rFonts w:ascii="times new roman;times" w:hAnsi="times new roman;times"/>
                <w:b w:val="false"/>
                <w:color w:val="000000"/>
                <w:spacing w:val="0"/>
                <w:sz w:val="20"/>
              </w:rPr>
              <w:t>Listing Rules 5635(a) and 5635(b), </w:t>
            </w:r>
            <w:r>
              <w:rPr>
                <w:sz w:val="20"/>
              </w:rPr>
              <w:t>respectively;</w:t>
            </w:r>
            <w:r>
              <w:rPr>
                <w:color w:val="000000"/>
                <w:spacing w:val="0"/>
                <w:sz w:val="20"/>
              </w:rPr>
              <w:t> </w:t>
            </w:r>
            <w:r>
              <w:rPr>
                <w:rFonts w:ascii="times new roman;times" w:hAnsi="times new roman;times"/>
                <w:b w:val="false"/>
                <w:color w:val="000000"/>
                <w:spacing w:val="0"/>
                <w:sz w:val="20"/>
              </w:rPr>
              <w:t>and</w:t>
            </w:r>
          </w:p>
        </w:tc>
      </w:tr>
      <w:tr>
        <w:trPr/>
        <w:tc>
          <w:tcPr>
            <w:tcW w:w="242" w:type="dxa"/>
            <w:tcBorders/>
          </w:tcPr>
          <w:p>
            <w:pPr>
              <w:pStyle w:val="TableContents"/>
              <w:bidi w:val="0"/>
              <w:spacing w:before="0" w:after="283"/>
              <w:jc w:val="left"/>
              <w:rPr>
                <w:sz w:val="20"/>
              </w:rPr>
            </w:pPr>
            <w:r>
              <w:rPr>
                <w:sz w:val="20"/>
              </w:rPr>
              <w:t>2.</w:t>
            </w:r>
          </w:p>
        </w:tc>
        <w:tc>
          <w:tcPr>
            <w:tcW w:w="9963" w:type="dxa"/>
            <w:tcBorders/>
          </w:tcPr>
          <w:p>
            <w:pPr>
              <w:pStyle w:val="TableContents"/>
              <w:widowControl/>
              <w:bidi w:val="0"/>
              <w:spacing w:before="0" w:after="283"/>
              <w:ind w:left="0" w:right="0" w:hanging="720"/>
              <w:jc w:val="both"/>
              <w:rPr>
                <w:sz w:val="20"/>
              </w:rPr>
            </w:pPr>
            <w:r>
              <w:rPr>
                <w:rFonts w:ascii="times new roman;times" w:hAnsi="times new roman;times"/>
                <w:b w:val="false"/>
                <w:i w:val="false"/>
                <w:caps w:val="false"/>
                <w:smallCaps w:val="false"/>
                <w:color w:val="000000"/>
                <w:spacing w:val="0"/>
                <w:sz w:val="20"/>
              </w:rPr>
              <w:t>to approve the adoption of </w:t>
            </w:r>
            <w:r>
              <w:rPr>
                <w:sz w:val="20"/>
              </w:rPr>
              <w:t>ClearOne’s</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2026 Omnibus Incentive Plan.</w:t>
            </w:r>
          </w:p>
        </w:tc>
      </w:tr>
    </w:tbl>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order to obtain the approval of our stockholders for the Actions, we could have convened a special meeting of the stockholders for the specific purpose of voting on such matters. However, Section 78.320 of 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In order to eliminate the costs and management time involved in holding a meeting and obtaining proxies and in order to effect the above Actions as early as possible in order to accomplish the purposes hereafter described, we elected to utilize the written consent of the holders of a majority of the outstanding shares of our Common Stock.</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MAJORITY STOCKHOLDER CONSENT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the close of business on July 31, 2026 (the “Voting Record Date”</w:t>
      </w:r>
      <w:r>
        <w:rPr>
          <w:rFonts w:ascii="times new roman;times" w:hAnsi="times new roman;times"/>
          <w:b/>
          <w:i/>
          <w:sz w:val="20"/>
        </w:rPr>
        <w:t>)</w:t>
      </w:r>
      <w:r>
        <w:rPr>
          <w:rFonts w:ascii="times new roman;times" w:hAnsi="times new roman;times"/>
          <w:sz w:val="20"/>
        </w:rPr>
        <w:t>, we had 2,675,412 shares of Common Stock outstanding and entitled to vote on the Actions. Each share of Common Stock outstanding as of the close of business on the Voting Record Date was entitled to one vote with respect to any and all matters presented to the shareholders of the Company for their action or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the Voting Record Date, pursuant to Section 78.320 of the NRS, we received a written consent approving the Actions from stockholders holding an aggregate of 1,641,162 shares of our Common Stock, representing approximately 61.3% of our outstanding shares of Common Stock. Thus, your consent is not required and is not being solicited in connection with the approval of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names of the holders of our Common Stock who consented to the Actions (the “Majority Stockholders”), the number of shares of the Common Stock beneficially owned by each Majority Stockholder as of the Voting Record Date, the total number of votes in favor of the Actions and the percentage of the issued and outstanding voting equity of the Company that voted in favor thereof.</w:t>
      </w:r>
    </w:p>
    <w:tbl>
      <w:tblPr>
        <w:tblW w:w="5000" w:type="pct"/>
        <w:jc w:val="left"/>
        <w:tblInd w:w="-7" w:type="dxa"/>
        <w:tblLayout w:type="fixed"/>
        <w:tblCellMar>
          <w:top w:w="28" w:type="dxa"/>
          <w:left w:w="108" w:type="dxa"/>
          <w:bottom w:w="28" w:type="dxa"/>
          <w:right w:w="108" w:type="dxa"/>
        </w:tblCellMar>
      </w:tblPr>
      <w:tblGrid>
        <w:gridCol w:w="2286"/>
        <w:gridCol w:w="3654"/>
        <w:gridCol w:w="4265"/>
      </w:tblGrid>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Name of Majority Stockholder</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2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 xml:space="preserve">First Finance Ltd. </w:t>
            </w:r>
          </w:p>
        </w:tc>
        <w:tc>
          <w:tcPr>
            <w:tcW w:w="365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1,641,162</w:t>
            </w:r>
          </w:p>
        </w:tc>
        <w:tc>
          <w:tcPr>
            <w:tcW w:w="42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61.3%</w:t>
            </w:r>
            <w:r>
              <w:rPr>
                <w:rFonts w:ascii="times new roman;times" w:hAnsi="times new roman;times"/>
                <w:position w:val="5"/>
                <w:sz w:val="13"/>
                <w:sz w:val="16"/>
              </w:rPr>
              <w:t>(1)</w:t>
            </w:r>
          </w:p>
        </w:tc>
      </w:tr>
    </w:tbl>
    <w:p>
      <w:pPr>
        <w:pStyle w:val="TextBody"/>
        <w:bidi w:val="0"/>
        <w:spacing w:lineRule="auto" w:line="288" w:before="200" w:after="200"/>
        <w:ind w:left="720" w:right="0" w:hanging="0"/>
        <w:jc w:val="center"/>
        <w:rPr>
          <w:rFonts w:ascii="times new roman;times" w:hAnsi="times new roman;times"/>
          <w:sz w:val="20"/>
        </w:rPr>
      </w:pPr>
      <w:r>
        <w:rPr>
          <w:rFonts w:ascii="times new roman;times" w:hAnsi="times new roman;times"/>
          <w:sz w:val="20"/>
        </w:rPr>
        <w:t>(1)</w:t>
      </w:r>
      <w:r>
        <w:rPr>
          <w:rFonts w:ascii="times new roman;times" w:hAnsi="times new roman;times"/>
          <w:caps w:val="false"/>
          <w:smallCaps w:val="false"/>
          <w:sz w:val="20"/>
        </w:rPr>
        <w:t xml:space="preserve">    </w:t>
      </w:r>
      <w:r>
        <w:rPr>
          <w:rFonts w:ascii="times new roman;times" w:hAnsi="times new roman;times"/>
          <w:sz w:val="20"/>
        </w:rPr>
        <w:t>Based on 2,675,412 shares of Common Stock outstanding as of the Voting Record Date.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200"/>
        <w:ind w:left="0" w:right="0" w:hanging="0"/>
        <w:jc w:val="center"/>
        <w:rPr/>
      </w:pPr>
      <w:r>
        <w:rPr/>
        <w:t> </w:t>
      </w:r>
      <w:r>
        <w:rPr>
          <w:rFonts w:ascii="times new roman;times" w:hAnsi="times new roman;times"/>
          <w:b/>
          <w:sz w:val="20"/>
        </w:rPr>
        <w:t>CORPORATE ACTION TO BE TAKEN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Rule 14c-2 under the Exchange Act, the Issuance Proposal and the Plan Proposal may not be effected until at least 20 calendar days after the mailing of the accompanying Information Statement to the Company’s stockholders.</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SUMMARY OF THE APPROVED ACTIONS BY WRITTEN CONSENT</w:t>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ACTION NO. 1: APPROVAL OF THE ISSUANCE OF 12,500,000 SHARES OF COMMON STOCK AND CHANGE OF CONTROL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the Merger Agreement, and subject to the terms and conditions set forth therein, Merger Sub will merge with and into Cortigent, with Cortigent continuing as the surviving corporation and becoming a wholly-owned subsidiary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Board approved the Merger Agreement and the performance of the Company’s obligations thereunder, including the issuance of the Consideration Shares to Vivani, and the other matters contemplated by the Merger Agreement. On July 30, 2026, the Board resolved to recommend that ClearOne stockholders approve the issuance of the Consideration Shares and the adoption of the Omnibus Incentive Plan, as described in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At the Effective Time, all issued and outstanding Cortigent equity securities held by Vivani immediately prior to the Effective Time will automatically be converted into the right to receive 12,500,000 Consideration Shares, subject to adjustment only as expressly set forth in the Merger Agreement, including for any stock split, stock dividend, combination, recapitalization or similar event affecting the Common Stock. No fractional shares of ClearOne Common Stock will be issued in connection with the Merger. ClearOne may also issue up to 855,000 shares of Common Stock to financial advisors, consultants and other service providers in connection with the Merger, as set forth in the Merger Agreement (the “Advisor Shares”).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Post-Merger</w:t>
      </w:r>
      <w:r>
        <w:rPr>
          <w:rFonts w:ascii="times new roman;times" w:hAnsi="times new roman;times"/>
          <w:sz w:val="20"/>
        </w:rPr>
        <w:t xml:space="preserve"> </w:t>
      </w:r>
      <w:r>
        <w:rPr>
          <w:rFonts w:ascii="times new roman;times" w:hAnsi="times new roman;times"/>
          <w:b/>
          <w:sz w:val="20"/>
        </w:rPr>
        <w:t>Ownership</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ownership information set forth in the table below is based on 2,675,412 shares of Common Stock outstanding as of the date of this Information Statement and assumes no other issuances aside from the Consideration Shares and Advisor Shares, and excludes any shares of Common Stock that may be issued pursuant to the Financing (as defined herein).</w:t>
      </w:r>
    </w:p>
    <w:tbl>
      <w:tblPr>
        <w:tblW w:w="5000" w:type="pct"/>
        <w:jc w:val="left"/>
        <w:tblInd w:w="-7" w:type="dxa"/>
        <w:tblLayout w:type="fixed"/>
        <w:tblCellMar>
          <w:top w:w="28" w:type="dxa"/>
          <w:left w:w="108" w:type="dxa"/>
          <w:bottom w:w="28" w:type="dxa"/>
          <w:right w:w="108" w:type="dxa"/>
        </w:tblCellMar>
      </w:tblPr>
      <w:tblGrid>
        <w:gridCol w:w="2653"/>
        <w:gridCol w:w="3445"/>
        <w:gridCol w:w="4107"/>
      </w:tblGrid>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pPr>
            <w:r>
              <w:rPr/>
              <w:t> </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Number of Shares of Common Stock and Votes Held</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center"/>
              <w:rPr>
                <w:rFonts w:ascii="times new roman;times" w:hAnsi="times new roman;times"/>
                <w:b/>
                <w:sz w:val="20"/>
              </w:rPr>
            </w:pPr>
            <w:r>
              <w:rPr>
                <w:rFonts w:ascii="times new roman;times" w:hAnsi="times new roman;times"/>
                <w:b/>
                <w:sz w:val="20"/>
              </w:rPr>
              <w:t>Percentage of Voting Equity that Voted in Favor of the Actions</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Existing ClearOne Shareholders</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2,675,412</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16.69%</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Consideration Shares issued to Vivani</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12,500,000</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77.98%</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Advisor Shares</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855,000</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sz w:val="20"/>
              </w:rPr>
            </w:pPr>
            <w:r>
              <w:rPr>
                <w:rFonts w:ascii="times new roman;times" w:hAnsi="times new roman;times"/>
                <w:sz w:val="20"/>
              </w:rPr>
              <w:t>5.33%</w:t>
            </w:r>
          </w:p>
        </w:tc>
      </w:tr>
      <w:tr>
        <w:trPr/>
        <w:tc>
          <w:tcPr>
            <w:tcW w:w="26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Total shares outstanding after closing</w:t>
            </w:r>
          </w:p>
        </w:tc>
        <w:tc>
          <w:tcPr>
            <w:tcW w:w="34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16,030,412</w:t>
            </w:r>
          </w:p>
        </w:tc>
        <w:tc>
          <w:tcPr>
            <w:tcW w:w="410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20" w:after="20"/>
              <w:ind w:left="0" w:right="0" w:hanging="0"/>
              <w:jc w:val="both"/>
              <w:rPr>
                <w:rFonts w:ascii="times new roman;times" w:hAnsi="times new roman;times"/>
                <w:b/>
                <w:sz w:val="20"/>
              </w:rPr>
            </w:pPr>
            <w:r>
              <w:rPr>
                <w:rFonts w:ascii="times new roman;times" w:hAnsi="times new roman;times"/>
                <w:b/>
                <w:sz w:val="20"/>
              </w:rPr>
              <w:t>100%</w:t>
            </w:r>
          </w:p>
        </w:tc>
      </w:tr>
    </w:tbl>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Consideration Share Issuance</w:t>
      </w:r>
      <w:r>
        <w:rPr>
          <w:rFonts w:ascii="times new roman;times" w:hAnsi="times new roman;times"/>
          <w:sz w:val="20"/>
        </w:rPr>
        <w:t xml:space="preserve"> </w:t>
      </w:r>
      <w:r>
        <w:rPr>
          <w:rFonts w:ascii="times new roman;times" w:hAnsi="times new roman;times"/>
          <w:b/>
          <w:sz w:val="20"/>
        </w:rPr>
        <w:t>and Change of Control – Nasdaq Listing Rules 5635(a) and (b)</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Nasdaq Listing Rule 5635(a) requires stockholder approval prior to the issuance of securities in connection with an acquisition if the number of shares to be issued equals or exceeds 20% of the Company’s outstanding Common Stock or voting power prior to such issuance. Furthermore, Nasdaq Listing Rules 5635(b) requires stockholder approval for a change of control. The issuance of the Consideration Shares will exceed 20% of the pre-Merger Common Stock and voting power and the consummation of the Merger will result in a change of control of ClearOne. Accordingly, ClearOne obtained stockholder approval to the extent required by Nasdaq Listing Rule 5635(a) and (b).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Action No. 1 was approved by the ClearOne stockholders on August 3, 2026 by written consent. Since the Majority Stockholders have already approved Action No. 1 by written consent, no further action is required.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ACTION NO. 2: APPROVAL OF OMNIBUS INCENTIVE PLAN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ClearOne’s current share-based incentive plan offering stock options is primarily through its 2007 Equity Incentive Plan (the “2007 Plan”). Under the 2007 Plan, one new share is issued for each stock option exercised. The 2007 Plan was restated and approved by the ClearOne stockholders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December 31, 2025, there were 19,716 options outstanding under the 2007 Plan. As of December 31, 2025, the 2007 Plan had 1,980,284 authorized unissued options.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believes that stock-based incentive awards play an important role in the success of the Company by encouraging and enabling the employees, officers, non-employee directors, and consultants of the Company and its affiliates upon whose judgment, initiative and efforts the Company largely depends for the successful conduct of its business to acquire a proprietary interest in the Company. In addition, the ClearOne Board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On July 17, 2026, the ClearOne Board adopted the 2026 Omnibus Incentive Plan (the “2026 Plan”). A copy of the 2026 Plan is attached as Appendix B to this Information Statement and is incorporated herein by reference.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Action No. 2 was approved by ClearOne stockholders on August 3, 2026 by written consent. Since the Majority Stockholders have already approved Action No. 2 by written consent, no further action is required.</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QUESTIONS AND ANSWERS ABOUT THE ACTIONS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did I receive this Information Statement?</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Applicable laws require us to provide you information regarding the Actions even though your vote is neither required nor requested for the Actions to become effective.</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actions were approved/ratified?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Majority Stockholders</w:t>
      </w:r>
      <w:r>
        <w:rPr>
          <w:rFonts w:ascii="times new roman;times" w:hAnsi="times new roman;times"/>
          <w:sz w:val="20"/>
        </w:rPr>
        <w:t xml:space="preserve"> </w:t>
      </w:r>
      <w:r>
        <w:rPr>
          <w:rFonts w:ascii="times new roman;times" w:hAnsi="times new roman;times"/>
          <w:i/>
          <w:sz w:val="20"/>
        </w:rPr>
        <w:t>approved the issuance of</w:t>
      </w:r>
      <w:r>
        <w:rPr>
          <w:rFonts w:ascii="times new roman;times" w:hAnsi="times new roman;times"/>
          <w:sz w:val="20"/>
        </w:rPr>
        <w:t xml:space="preserve"> </w:t>
      </w:r>
      <w:r>
        <w:rPr>
          <w:rFonts w:ascii="times new roman;times" w:hAnsi="times new roman;times"/>
          <w:i/>
          <w:sz w:val="20"/>
        </w:rPr>
        <w:t>the Consideration Shares, which will (a) represent more than 20% of the shares of Common Stock outstanding and (b) result in the change of control of ClearOne pursuant to Nasdaq Listing Rules 5635(a) and 5635(b), respectively</w:t>
      </w:r>
      <w:r>
        <w:rPr>
          <w:rFonts w:ascii="times new roman;times" w:hAnsi="times new roman;times"/>
          <w:sz w:val="20"/>
        </w:rPr>
        <w:t xml:space="preserve"> </w:t>
      </w:r>
      <w:r>
        <w:rPr>
          <w:rFonts w:ascii="times new roman;times" w:hAnsi="times new roman;times"/>
          <w:i/>
          <w:sz w:val="20"/>
        </w:rPr>
        <w:t>and</w:t>
      </w:r>
      <w:r>
        <w:rPr>
          <w:rFonts w:ascii="times new roman;times" w:hAnsi="times new roman;times"/>
          <w:sz w:val="20"/>
        </w:rPr>
        <w:t xml:space="preserve"> </w:t>
      </w:r>
      <w:r>
        <w:rPr>
          <w:rFonts w:ascii="times new roman;times" w:hAnsi="times new roman;times"/>
          <w:i/>
          <w:sz w:val="20"/>
        </w:rPr>
        <w:t>approved</w:t>
      </w:r>
      <w:r>
        <w:rPr>
          <w:rFonts w:ascii="times new roman;times" w:hAnsi="times new roman;times"/>
          <w:sz w:val="20"/>
        </w:rPr>
        <w:t xml:space="preserve"> </w:t>
      </w:r>
      <w:r>
        <w:rPr>
          <w:rFonts w:ascii="times new roman;times" w:hAnsi="times new roman;times"/>
          <w:i/>
          <w:sz w:val="20"/>
        </w:rPr>
        <w:t>the adoption of the</w:t>
      </w:r>
      <w:r>
        <w:rPr>
          <w:rFonts w:ascii="times new roman;times" w:hAnsi="times new roman;times"/>
          <w:sz w:val="20"/>
        </w:rPr>
        <w:t> </w:t>
      </w:r>
      <w:r>
        <w:rPr>
          <w:rFonts w:ascii="times new roman;times" w:hAnsi="times new roman;times"/>
          <w:i/>
          <w:sz w:val="20"/>
        </w:rPr>
        <w:t>2026 Plan</w:t>
      </w:r>
      <w:r>
        <w:rPr>
          <w:rFonts w:ascii="times new roman;times" w:hAnsi="times new roman;times"/>
          <w:sz w:val="20"/>
        </w:rPr>
        <w:t xml:space="preserve"> </w:t>
      </w:r>
      <w:r>
        <w:rPr>
          <w:rFonts w:ascii="times new roman;times" w:hAnsi="times new roman;times"/>
          <w:i/>
          <w:sz w:val="20"/>
        </w:rPr>
        <w:t xml:space="preserve">pursuant to Nasdaq Listing Rule 5635(c). </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How many shares will be issued under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ClearOne</w:t>
      </w:r>
      <w:r>
        <w:rPr>
          <w:rFonts w:ascii="times new roman;times" w:hAnsi="times new roman;times"/>
          <w:sz w:val="20"/>
        </w:rPr>
        <w:t xml:space="preserve"> </w:t>
      </w:r>
      <w:r>
        <w:rPr>
          <w:rFonts w:ascii="times new roman;times" w:hAnsi="times new roman;times"/>
          <w:i/>
          <w:sz w:val="20"/>
        </w:rPr>
        <w:t>expects to issue only the Consideration Shares, equal to 12,500,000</w:t>
      </w:r>
      <w:r>
        <w:rPr>
          <w:rFonts w:ascii="times new roman;times" w:hAnsi="times new roman;times"/>
          <w:sz w:val="20"/>
        </w:rPr>
        <w:t xml:space="preserve"> </w:t>
      </w:r>
      <w:r>
        <w:rPr>
          <w:rFonts w:ascii="times new roman;times" w:hAnsi="times new roman;times"/>
          <w:i/>
          <w:sz w:val="20"/>
        </w:rPr>
        <w:t xml:space="preserve">shares of Common Stock, and the Advisor Shares, equal to 855,000 shares of Common Stock, under the Merger Agreement. </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percentage/dilution does this represent?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Based on 2,675,412</w:t>
      </w:r>
      <w:r>
        <w:rPr>
          <w:rFonts w:ascii="times new roman;times" w:hAnsi="times new roman;times"/>
          <w:sz w:val="20"/>
        </w:rPr>
        <w:t xml:space="preserve"> </w:t>
      </w:r>
      <w:r>
        <w:rPr>
          <w:rFonts w:ascii="times new roman;times" w:hAnsi="times new roman;times"/>
          <w:i/>
          <w:sz w:val="20"/>
        </w:rPr>
        <w:t>shares</w:t>
      </w:r>
      <w:r>
        <w:rPr>
          <w:rFonts w:ascii="times new roman;times" w:hAnsi="times new roman;times"/>
          <w:sz w:val="20"/>
        </w:rPr>
        <w:t xml:space="preserve"> </w:t>
      </w:r>
      <w:r>
        <w:rPr>
          <w:rFonts w:ascii="times new roman;times" w:hAnsi="times new roman;times"/>
          <w:i/>
          <w:sz w:val="20"/>
        </w:rPr>
        <w:t>of Common Stock</w:t>
      </w:r>
      <w:r>
        <w:rPr>
          <w:rFonts w:ascii="times new roman;times" w:hAnsi="times new roman;times"/>
          <w:sz w:val="20"/>
        </w:rPr>
        <w:t xml:space="preserve"> </w:t>
      </w:r>
      <w:r>
        <w:rPr>
          <w:rFonts w:ascii="times new roman;times" w:hAnsi="times new roman;times"/>
          <w:i/>
          <w:sz w:val="20"/>
        </w:rPr>
        <w:t>outstanding as of the date of the Information Statement, the shares to be issued under the Merger Agreement would represent approximately 82% of the Company’s Common Stock on a pro forma basis, assuming no other issuances</w:t>
      </w:r>
      <w:r>
        <w:rPr>
          <w:rFonts w:ascii="times new roman;times" w:hAnsi="times new roman;times"/>
          <w:sz w:val="20"/>
        </w:rPr>
        <w:t xml:space="preserve"> </w:t>
      </w:r>
      <w:r>
        <w:rPr>
          <w:rFonts w:ascii="times new roman;times" w:hAnsi="times new roman;times"/>
          <w:i/>
          <w:sz w:val="20"/>
        </w:rPr>
        <w:t>and excluding any Common Stock to be issued pursuant to the Financing (as defined herein). As such, the issuances under the Merger Agreement</w:t>
      </w:r>
      <w:r>
        <w:rPr>
          <w:rFonts w:ascii="times new roman;times" w:hAnsi="times new roman;times"/>
          <w:sz w:val="20"/>
        </w:rPr>
        <w:t xml:space="preserve"> </w:t>
      </w:r>
      <w:r>
        <w:rPr>
          <w:rFonts w:ascii="times new roman;times" w:hAnsi="times new roman;times"/>
          <w:i/>
          <w:sz w:val="20"/>
        </w:rPr>
        <w:t>will cause substantial dilution to ClearOne Stockholders, which could reduce the value of your investment in the Common Stock.</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When will the shares be issued under the Merger</w:t>
      </w:r>
      <w:r>
        <w:rPr>
          <w:rFonts w:ascii="times new roman;times" w:hAnsi="times new roman;times"/>
          <w:sz w:val="20"/>
        </w:rPr>
        <w:t xml:space="preserve"> </w:t>
      </w:r>
      <w:r>
        <w:rPr>
          <w:rFonts w:ascii="times new roman;times" w:hAnsi="times new roman;times"/>
          <w:b/>
          <w:i/>
          <w:sz w:val="20"/>
        </w:rPr>
        <w:t>Agreement?</w:t>
      </w:r>
    </w:p>
    <w:p>
      <w:pPr>
        <w:pStyle w:val="TextBody"/>
        <w:bidi w:val="0"/>
        <w:spacing w:lineRule="auto" w:line="288" w:before="0" w:after="200"/>
        <w:ind w:left="0" w:right="0" w:hanging="0"/>
        <w:jc w:val="both"/>
        <w:rPr/>
      </w:pPr>
      <w:r>
        <w:rPr/>
        <w:t> </w:t>
      </w: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Subject to the satisfaction or waiver of the closing conditions, the Consideration Shares</w:t>
      </w:r>
      <w:r>
        <w:rPr>
          <w:rFonts w:ascii="times new roman;times" w:hAnsi="times new roman;times"/>
          <w:sz w:val="20"/>
        </w:rPr>
        <w:t xml:space="preserve"> </w:t>
      </w:r>
      <w:r>
        <w:rPr>
          <w:rFonts w:ascii="times new roman;times" w:hAnsi="times new roman;times"/>
          <w:i/>
          <w:sz w:val="20"/>
        </w:rPr>
        <w:t>will be issued at the closing of the Merger Agreement. The closing and issuance of the Consideration Shares</w:t>
      </w:r>
      <w:r>
        <w:rPr>
          <w:rFonts w:ascii="times new roman;times" w:hAnsi="times new roman;times"/>
          <w:sz w:val="20"/>
        </w:rPr>
        <w:t xml:space="preserve"> </w:t>
      </w:r>
      <w:r>
        <w:rPr>
          <w:rFonts w:ascii="times new roman;times" w:hAnsi="times new roman;times"/>
          <w:i/>
          <w:sz w:val="20"/>
        </w:rPr>
        <w:t>will occur no earlier than 20 calendar days after this Information Statement is first mailed to stockholders, as required by Rule 14c-2 under the Exchange Act.</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am I not being asked to vote on the Actions?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holders of shares comprising a majority of the issued and outstanding shares of voting capital stock have already approved the Actions</w:t>
      </w:r>
      <w:r>
        <w:rPr>
          <w:rFonts w:ascii="times new roman;times" w:hAnsi="times new roman;times"/>
          <w:sz w:val="20"/>
        </w:rPr>
        <w:t xml:space="preserve"> </w:t>
      </w:r>
      <w:r>
        <w:rPr>
          <w:rFonts w:ascii="times new roman;times" w:hAnsi="times new roman;times"/>
          <w:i/>
          <w:sz w:val="20"/>
        </w:rPr>
        <w:t>pursuant to a written</w:t>
      </w:r>
      <w:r>
        <w:rPr>
          <w:rFonts w:ascii="times new roman;times" w:hAnsi="times new roman;times"/>
          <w:sz w:val="20"/>
        </w:rPr>
        <w:t xml:space="preserve"> </w:t>
      </w:r>
      <w:r>
        <w:rPr>
          <w:rFonts w:ascii="times new roman;times" w:hAnsi="times new roman;times"/>
          <w:i/>
          <w:sz w:val="20"/>
        </w:rPr>
        <w:t>consent in lieu of a meeting. Such approval, together with the approval of the ClearOne Board, is sufficient under Nevada law, and no further approval by our stockholders is</w:t>
      </w:r>
      <w:r>
        <w:rPr>
          <w:rFonts w:ascii="times new roman;times" w:hAnsi="times new roman;times"/>
          <w:sz w:val="20"/>
        </w:rPr>
        <w:t xml:space="preserve"> </w:t>
      </w:r>
      <w:r>
        <w:rPr>
          <w:rFonts w:ascii="times new roman;times" w:hAnsi="times new roman;times"/>
          <w:i/>
          <w:sz w:val="20"/>
        </w:rPr>
        <w:t>required.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Will any of the individual stockholders hold more than 20% of</w:t>
      </w:r>
      <w:r>
        <w:rPr>
          <w:rFonts w:ascii="times new roman;times" w:hAnsi="times new roman;times"/>
          <w:sz w:val="20"/>
        </w:rPr>
        <w:t xml:space="preserve"> </w:t>
      </w:r>
      <w:r>
        <w:rPr>
          <w:rFonts w:ascii="times new roman;times" w:hAnsi="times new roman;times"/>
          <w:b/>
          <w:i/>
          <w:sz w:val="20"/>
        </w:rPr>
        <w:t>the</w:t>
      </w:r>
      <w:r>
        <w:rPr>
          <w:rFonts w:ascii="times new roman;times" w:hAnsi="times new roman;times"/>
          <w:sz w:val="20"/>
        </w:rPr>
        <w:t xml:space="preserve"> </w:t>
      </w:r>
      <w:r>
        <w:rPr>
          <w:rFonts w:ascii="times new roman;times" w:hAnsi="times new roman;times"/>
          <w:b/>
          <w:i/>
          <w:sz w:val="20"/>
        </w:rPr>
        <w:t>Common Stock after the issuance of the Consideration Shares</w:t>
      </w:r>
      <w:r>
        <w:rPr>
          <w:rFonts w:ascii="times new roman;times" w:hAnsi="times new roman;times"/>
          <w:sz w:val="20"/>
        </w:rPr>
        <w:t xml:space="preserve"> </w:t>
      </w:r>
      <w:r>
        <w:rPr>
          <w:rFonts w:ascii="times new roman;times" w:hAnsi="times new roman;times"/>
          <w:b/>
          <w:i/>
          <w:sz w:val="20"/>
        </w:rPr>
        <w:t>under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Yes, Vivani will hold more than 20%</w:t>
      </w:r>
      <w:r>
        <w:rPr>
          <w:rFonts w:ascii="times new roman;times" w:hAnsi="times new roman;times"/>
          <w:sz w:val="20"/>
        </w:rPr>
        <w:t xml:space="preserve"> </w:t>
      </w:r>
      <w:r>
        <w:rPr>
          <w:rFonts w:ascii="times new roman;times" w:hAnsi="times new roman;times"/>
          <w:i/>
          <w:sz w:val="20"/>
        </w:rPr>
        <w:t xml:space="preserve">of the Common Stock after the issuance of the Consideration Shares under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Q.</w:t>
      </w:r>
      <w:r>
        <w:rPr>
          <w:rFonts w:ascii="times new roman;times" w:hAnsi="times new roman;times"/>
          <w:sz w:val="20"/>
        </w:rPr>
        <w:t xml:space="preserve"> </w:t>
      </w:r>
      <w:r>
        <w:rPr>
          <w:rFonts w:ascii="times new roman;times" w:hAnsi="times new roman;times"/>
          <w:b/>
          <w:i/>
          <w:sz w:val="20"/>
        </w:rPr>
        <w:t>Why was Nasdaq stockholder approval required?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i/>
          <w:sz w:val="20"/>
        </w:rPr>
        <w:t>A.</w:t>
      </w:r>
      <w:r>
        <w:rPr>
          <w:rFonts w:ascii="times new roman;times" w:hAnsi="times new roman;times"/>
          <w:sz w:val="20"/>
        </w:rPr>
        <w:t xml:space="preserve"> </w:t>
      </w:r>
      <w:r>
        <w:rPr>
          <w:rFonts w:ascii="times new roman;times" w:hAnsi="times new roman;times"/>
          <w:i/>
          <w:sz w:val="20"/>
        </w:rPr>
        <w:t>The Common Stock is listed on The Nasdaq Capital Market</w:t>
      </w:r>
      <w:r>
        <w:rPr>
          <w:rFonts w:ascii="times new roman;times" w:hAnsi="times new roman;times"/>
          <w:sz w:val="20"/>
        </w:rPr>
        <w:t xml:space="preserve"> </w:t>
      </w:r>
      <w:r>
        <w:rPr>
          <w:rFonts w:ascii="times new roman;times" w:hAnsi="times new roman;times"/>
          <w:i/>
          <w:sz w:val="20"/>
        </w:rPr>
        <w:t>(“Nasdaq”). The issuance of the Consideration Shares in the Merger Agreement</w:t>
      </w:r>
      <w:r>
        <w:rPr>
          <w:rFonts w:ascii="times new roman;times" w:hAnsi="times new roman;times"/>
          <w:sz w:val="20"/>
        </w:rPr>
        <w:t xml:space="preserve"> </w:t>
      </w:r>
      <w:r>
        <w:rPr>
          <w:rFonts w:ascii="times new roman;times" w:hAnsi="times new roman;times"/>
          <w:i/>
          <w:sz w:val="20"/>
        </w:rPr>
        <w:t>will exceed 20% of</w:t>
      </w:r>
      <w:r>
        <w:rPr>
          <w:rFonts w:ascii="times new roman;times" w:hAnsi="times new roman;times"/>
          <w:sz w:val="20"/>
        </w:rPr>
        <w:t xml:space="preserve"> </w:t>
      </w:r>
      <w:r>
        <w:rPr>
          <w:rFonts w:ascii="times new roman;times" w:hAnsi="times new roman;times"/>
          <w:i/>
          <w:sz w:val="20"/>
        </w:rPr>
        <w:t>ClearOne’s</w:t>
      </w:r>
      <w:r>
        <w:rPr>
          <w:rFonts w:ascii="times new roman;times" w:hAnsi="times new roman;times"/>
          <w:sz w:val="20"/>
        </w:rPr>
        <w:t xml:space="preserve"> </w:t>
      </w:r>
      <w:r>
        <w:rPr>
          <w:rFonts w:ascii="times new roman;times" w:hAnsi="times new roman;times"/>
          <w:i/>
          <w:sz w:val="20"/>
        </w:rPr>
        <w:t>pre-transaction outstanding Common Stock and voting power. Furthermore, the transactions contemplated by the Merger Agreement will also result in a change of control of ClearOne. Accordingly, ClearOne</w:t>
      </w:r>
      <w:r>
        <w:rPr>
          <w:rFonts w:ascii="times new roman;times" w:hAnsi="times new roman;times"/>
          <w:sz w:val="20"/>
        </w:rPr>
        <w:t xml:space="preserve"> </w:t>
      </w:r>
      <w:r>
        <w:rPr>
          <w:rFonts w:ascii="times new roman;times" w:hAnsi="times new roman;times"/>
          <w:i/>
          <w:sz w:val="20"/>
        </w:rPr>
        <w:t>has</w:t>
      </w:r>
      <w:r>
        <w:rPr>
          <w:rFonts w:ascii="times new roman;times" w:hAnsi="times new roman;times"/>
          <w:sz w:val="20"/>
        </w:rPr>
        <w:t xml:space="preserve"> </w:t>
      </w:r>
      <w:r>
        <w:rPr>
          <w:rFonts w:ascii="times new roman;times" w:hAnsi="times new roman;times"/>
          <w:i/>
          <w:sz w:val="20"/>
        </w:rPr>
        <w:t>obtained stockholder approval of the issuance of the Consideration Shares</w:t>
      </w:r>
      <w:r>
        <w:rPr>
          <w:rFonts w:ascii="times new roman;times" w:hAnsi="times new roman;times"/>
          <w:sz w:val="20"/>
        </w:rPr>
        <w:t xml:space="preserve"> </w:t>
      </w:r>
      <w:r>
        <w:rPr>
          <w:rFonts w:ascii="times new roman;times" w:hAnsi="times new roman;times"/>
          <w:i/>
          <w:sz w:val="20"/>
        </w:rPr>
        <w:t>in connection with the transactions described in this Information Statement to the extent required by Nasdaq Listing Rule 5635(a)</w:t>
      </w:r>
      <w:r>
        <w:rPr>
          <w:rFonts w:ascii="times new roman;times" w:hAnsi="times new roman;times"/>
          <w:sz w:val="20"/>
        </w:rPr>
        <w:t xml:space="preserve"> </w:t>
      </w:r>
      <w:r>
        <w:rPr>
          <w:rFonts w:ascii="times new roman;times" w:hAnsi="times new roman;times"/>
          <w:i/>
          <w:sz w:val="20"/>
        </w:rPr>
        <w:t xml:space="preserve">and 5635(b). </w:t>
      </w:r>
    </w:p>
    <w:p>
      <w:pPr>
        <w:pStyle w:val="TextBody"/>
        <w:keepNext w:val="true"/>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Why am I not being asked to vote on the other Actions?</w:t>
      </w:r>
    </w:p>
    <w:p>
      <w:pPr>
        <w:pStyle w:val="TextBody"/>
        <w:keepNext w:val="true"/>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 The adoption of the Actions has been approved by written consent of holders of a majority of the outstanding shares of voting capital stock of the Company. The ClearOne Board unanimously voted, approved and recommended the adoption of the Actions and determined that the Actions are advisable to and in the best interests of the Company</w:t>
      </w:r>
      <w:r>
        <w:rPr>
          <w:rFonts w:ascii="times new roman;times" w:hAnsi="times new roman;times"/>
          <w:sz w:val="20"/>
        </w:rPr>
        <w:t xml:space="preserve"> </w:t>
      </w:r>
      <w:r>
        <w:rPr>
          <w:rFonts w:ascii="times new roman;times" w:hAnsi="times new roman;times"/>
          <w:i/>
          <w:sz w:val="20"/>
        </w:rPr>
        <w:t>and its stockholders. Such approval is sufficient under Nevada law, and no further approval by our stockholders is required. Therefore, your vote is not required and is not</w:t>
      </w:r>
      <w:r>
        <w:rPr>
          <w:rFonts w:ascii="times new roman;times" w:hAnsi="times new roman;times"/>
          <w:sz w:val="20"/>
        </w:rPr>
        <w:t xml:space="preserve"> </w:t>
      </w:r>
      <w:r>
        <w:rPr>
          <w:rFonts w:ascii="times new roman;times" w:hAnsi="times new roman;times"/>
          <w:i/>
          <w:sz w:val="20"/>
        </w:rPr>
        <w:t>being sought. We are not asking you for a proxy and you are requested not to send us a proxy.</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will I receive if the Actions are completed?</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Nothing.</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Q. What do I need to do now?</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A. Nothing. This Information Statement is purely for your information and does not require or request you to do anything.</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jc w:val="left"/>
        <w:rPr/>
      </w:pPr>
      <w:r>
        <w:rPr/>
        <w:t>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SUMMARY SHEET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summary highlights selected information from this Information Statement and may not contain all of the information that is important to you to understand the issuance of the Consideration Shares pursuant to the Merger Agreement and the approval of the 2026 Plan.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For a more complete description of the legal terms of the Merger, you should carefully read this entire Information Statement, the appendices attached to this Information Statement and the documents referred to or incorporated by reference in this Information Statement. Any document or agreement referred to in this Information Statement is qualified in its entirety by reference to the full text of such document or agreement. All references in this Information Statement to terms defined in the notice to which this Information Statement is attached have the meanings provided in that notice. All references to capitalized terms not defined herein or in the notice to which this Information Statement is attached have the meanings ascribed to them in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the Merger Agreement, and subject to the terms and conditions set forth therein, Merger Sub will merge with and into Cortigent, with Cortigent continuing as the surviving corporation and becoming a wholly-owned subsidiary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Board approved the Merger Agreement and the performance of the Company’s obligations thereunder, including the issuance of the Consideration Shares to Vivani, and the other matters contemplated by the Merger Agreement. On July 30, 2026, the Board resolved to recommend that ClearOne stockholders approve the issuance of the Consideration Shares and the adoption of the Omnibus Incentive Plan, as described in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automatically be converted into the right to receive 12,500,000 Consideration Shares, subject to adjustment only as expressly set forth in the Merger Agreement, including for any stock split, stock dividend, combination, recapitalization or similar event affecting ClearOne Common Stock. No fractional shares of ClearOne Common Stock will be issued in connection with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connection with the Merger and as a condition to closing, ClearOne has agreed to complete a financing to raise aggregate gross proceeds of not less than $10.0 million and not more than $15.0 million through the issuance of units. Each unit is expected to consist of one share of Common Stock and one warrant to purchase one share of Common Stock (the “Financing”). The Financing may be consummated immediately prior to, or substantially concurrently with, the closing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does not provide for any earnout, contingent value right, contingent share issuance or share-price-based milestone consideration payable to Vivani or the holders of Cortigent equity securities in connection with the Merger. The merger consideration consists of the fixed number of Consideration Shares described above, subject only to the adjustments expressly set forth in the Merger Agreement.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Vivani is required to enter into a lock-up agreement pursuant to which 50% of the Consideration Shares will be subject to a contractual lock-up for one year following the closing date of the Merger (the “Closing Date”) and the remaining 50% of the Consideration Shares will be subject to a contractual lock-up for two years following the Closing Date.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Following completion of the Merger, ClearOne is expected to be renamed Cortigent Holdings, Inc. (d/b/a Cortigent) and to trade on the Nasdaq under the ticker symbol “CRGT,” subject to applicable approvals, requirements and the terms of the Merger Agreement. The board of directors of the combined company (the “Combined Company”) is expected to be reconstituted such that it shall consist of five members, four of whom will be designated by Vivani, including one of whom will serve as Chairperson, and one of whom will be designated by the holders of a majority of the shares of Common Stock held by the stockholders of ClearOne prior to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contains covenants of the parties, including, among others, covenants relating to access and investigation, the conduct of ClearOne’s and Cortigent’s respective businesses prior to closing, negative operating covenants, non-solicitation obligations, preparation of required SEC disclosure documents, stockholder approvals, regulatory approvals, Nasdaq listing matters, the Financing, post-closing governance arrangements, lock-up arrangements, voting arrangements, and other agreements necessary or advisable to consummate the Merger.</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closing of the Merger is subject to customary and transaction-specific conditions, including, among others: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absence of any law, order, injunction or other restraint prohibiting consummation of the Merger,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Financing being consummated substantially concurrently with the closing of the Merger,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standards and exceptions set forth in the Merger Agreement,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performance or compliance in all material respects by the parties with their respective covenants and agreements under the Merger Agreement,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absence of a material adverse effect with respect to ClearOne or Cortigent, as applicable,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specified Nasdaq-related conditions and any applicable parent net cash requirement, and              </w:t>
      </w:r>
    </w:p>
    <w:p>
      <w:pPr>
        <w:pStyle w:val="TextBody"/>
        <w:numPr>
          <w:ilvl w:val="0"/>
          <w:numId w:val="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or waiver of the other conditions set forth in the Merger Agreement.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Merger Agreement contains certain termination rights for each of the parties, including, without limitation:</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mutual written consent of ClearOne, Cortigent and Vivani,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on the one hand, or Cortigent or Vivani on the other hand, if the Merger has not been consummated on or before 180 days after the date of the execution of the Merger Agreement, subject to an extension right in favor of ClearOne in certain limited circumstances,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on the one hand, or Cortigent or Vivani on the other hand, if a governmental authority has issued a final, non-appealable order or taken other final action permanently restraining, enjoining or otherwise prohibiting the Merger or the other transactions contemplated by the Merger Agreement, or </w:t>
      </w:r>
    </w:p>
    <w:p>
      <w:pPr>
        <w:pStyle w:val="TextBody"/>
        <w:numPr>
          <w:ilvl w:val="0"/>
          <w:numId w:val="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a party if another party has breached its representations, warranties, covenants or agreements in a manner that would result in the failure of a closing condition, subject to certain notice, cure, materiality and other limitations as set forth in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foregoing summary does not purport to be complete and is qualified in its entirety by reference to the Merger Agreement, a copy of which is attached as </w:t>
      </w:r>
      <w:r>
        <w:rPr>
          <w:rFonts w:ascii="times new roman;times" w:hAnsi="times new roman;times"/>
          <w:sz w:val="20"/>
          <w:u w:val="single"/>
        </w:rPr>
        <w:t>Appendix A</w:t>
      </w:r>
      <w:r>
        <w:rPr>
          <w:rFonts w:ascii="times new roman;times" w:hAnsi="times new roman;times"/>
          <w:sz w:val="20"/>
        </w:rPr>
        <w:t xml:space="preserve"> to this Information Statement and incorporated by reference herein. Stockholders are encouraged to read the Merger Agreement carefully and in its entirety.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CAUTIONARY STATEMENT REGARDING FORWARD-LOOKING STATEMENTS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contains certain statements regarding future events and future results that are based on current expectations, estimates, forecasts and projections about the business, the results of operations, the industries in which ClearOne and/or Cortigent and/or Vivani operate and the beliefs and assumptions of management, all of which are forward-looking statements as defined in the Private Securities Litigation Reform Act of 1995. Words such as “anticipate”, “expect”, “forecast”, “intend”, “estimate”, “potential”, “continue” and other similar terms, and future or conditional tense verbs like “may”, “will”, “would”, “could”, “should”, “intend” and “might”, as well as variations of these words and similar expressions (or the negative versions of such words or expressions), are intended to identify those forward-looking statements. Forward-looking statements are only predictions and are subject to risks, uncertainties, assumptions and other factors that are difficult to predict. Therefore, actual results may differ materially and adversely from those expressed in any forward-looking statements. Potential factors that might cause or contribute to such differences include, but are not limited to:</w:t>
      </w:r>
    </w:p>
    <w:p>
      <w:pPr>
        <w:pStyle w:val="TextBody"/>
        <w:numPr>
          <w:ilvl w:val="0"/>
          <w:numId w:val="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Merger may not be consummated if the conditions to closing are not satisfied or waived; </w:t>
      </w:r>
    </w:p>
    <w:p>
      <w:pPr>
        <w:pStyle w:val="TextBody"/>
        <w:numPr>
          <w:ilvl w:val="0"/>
          <w:numId w:val="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Financing may not be completed or may not be completed on anticipated terms; </w:t>
      </w:r>
    </w:p>
    <w:p>
      <w:pPr>
        <w:pStyle w:val="TextBody"/>
        <w:numPr>
          <w:ilvl w:val="0"/>
          <w:numId w:val="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Vivani is expected to own a substantial majority of the outstanding Common Stock of the Combined Company following the Merger and Financing, which will result in a change in control and reduce the influence of existing ClearOne stockholders; </w:t>
      </w:r>
    </w:p>
    <w:p>
      <w:pPr>
        <w:pStyle w:val="TextBody"/>
        <w:numPr>
          <w:ilvl w:val="0"/>
          <w:numId w:val="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may be unable to satisfy Nasdaq listing requirements before or after the closing of the Merger; </w:t>
      </w:r>
    </w:p>
    <w:p>
      <w:pPr>
        <w:pStyle w:val="TextBody"/>
        <w:numPr>
          <w:ilvl w:val="0"/>
          <w:numId w:val="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development-stage nature of Cortigent’s business and the risk that Cortigent may not successfully develop, obtain regulatory approval for, or commercialize its product candidates; </w:t>
      </w:r>
    </w:p>
    <w:p>
      <w:pPr>
        <w:pStyle w:val="TextBody"/>
        <w:numPr>
          <w:ilvl w:val="0"/>
          <w:numId w:val="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 and the Combined Company will require substantial additional capital and may be unable to obtain such capital on acceptable terms, or at all; </w:t>
      </w:r>
    </w:p>
    <w:p>
      <w:pPr>
        <w:pStyle w:val="TextBody"/>
        <w:numPr>
          <w:ilvl w:val="0"/>
          <w:numId w:val="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Combined Company will incur losses for the foreseeable future and may never achieve profitability; </w:t>
      </w:r>
    </w:p>
    <w:p>
      <w:pPr>
        <w:pStyle w:val="TextBody"/>
        <w:numPr>
          <w:ilvl w:val="0"/>
          <w:numId w:val="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Cortigent’s product candidates, including Orion and the stroke recovery system, are investigational devices and may not receive U.S. Food and Drug Administration ("FDA") or other regulatory approvals; </w:t>
      </w:r>
    </w:p>
    <w:p>
      <w:pPr>
        <w:pStyle w:val="TextBody"/>
        <w:numPr>
          <w:ilvl w:val="0"/>
          <w:numId w:val="1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sales of shares of Common Stock after the Merger and after expiration of applicable lock-up restrictions could adversely affect the market price of the Common Stock; </w:t>
      </w:r>
    </w:p>
    <w:p>
      <w:pPr>
        <w:pStyle w:val="TextBody"/>
        <w:numPr>
          <w:ilvl w:val="0"/>
          <w:numId w:val="1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dilution to existing ClearOne stockholders resulting from the issuance of the Consideration Shares to Vivani and the shares issued or issuable in connection with the Financing and other transaction-related issuances; </w:t>
      </w:r>
    </w:p>
    <w:p>
      <w:pPr>
        <w:pStyle w:val="TextBody"/>
        <w:numPr>
          <w:ilvl w:val="0"/>
          <w:numId w:val="1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integrating a development-stage medical device/neurotechnology business into a public company; </w:t>
      </w:r>
    </w:p>
    <w:p>
      <w:pPr>
        <w:pStyle w:val="TextBody"/>
        <w:numPr>
          <w:ilvl w:val="0"/>
          <w:numId w:val="1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litigation or regulatory review relating to the Merger or the transactions contemplated by the Merger Agreement; and </w:t>
      </w:r>
    </w:p>
    <w:p>
      <w:pPr>
        <w:pStyle w:val="TextBody"/>
        <w:numPr>
          <w:ilvl w:val="0"/>
          <w:numId w:val="1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various other risks associated with the Combined Company and the Merger, including those described in the section titled “Risk Factors.”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forward-looking statements are not guarantees of future performance, events or circumstances, and actual results may differ materially from those contemplated by the forward-looking statements. Forward-looking statements herein or in documents incorporated herein by reference speak only as of the date of this Information Statement or the applicable document incorporated herein by reference (or such earlier date as may be specified therein), as applicable, are based on current assumptions and expectations or assumptions and expectations as of the date of the document incorporated herein by reference, and are subject to the factors above, among other things, and involve risks, events, circumstances, uncertainties and assumptions, many of which are beyond our ability to control or predict. You should not place undue reliance on these forward-looking statements. We do not intend to, and do not undertake an obligation to, update these forward-looking statements in the future to reflect future events or circumstances, except as required by applicable securities laws and regulations. For more information, see the section entitled “Where You Can Find More Information” later in this Information Statement. The results presented for any period may not be reflective of results for any subsequent period.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CHANGES IN CONTROL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are not aware of any person who owns of record, or is known to own beneficially, five percent (5%) or more of our outstanding securities, other than as set forth in the section titled “Security Ownership of Certain Beneficial Owners and Management.”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Other than with respect to the Merger, there are no current definitive arrangements or agreements, which will result in a change in control.</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ACTION NO. 1</w:t>
      </w:r>
      <w:r>
        <w:rPr>
          <w:rFonts w:ascii="times new roman;times" w:hAnsi="times new roman;times"/>
          <w:sz w:val="20"/>
        </w:rPr>
        <w:br/>
      </w:r>
      <w:r>
        <w:rPr>
          <w:rFonts w:ascii="times new roman;times" w:hAnsi="times new roman;times"/>
          <w:b/>
          <w:sz w:val="20"/>
        </w:rPr>
        <w:t xml:space="preserve">APPROVAL OF </w:t>
      </w:r>
      <w:r>
        <w:rPr>
          <w:rFonts w:ascii="times new roman;times" w:hAnsi="times new roman;times"/>
          <w:b/>
          <w:caps/>
          <w:sz w:val="20"/>
        </w:rPr>
        <w:t>the issuance of 12,500,000 shares of our Common Stock</w:t>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July 1, 2026, the Company, Merger Sub, Cortigent and Vivani entered into the Merger Agreement, pursuant to which, subject to the terms and conditions of the Merger Agreement, Merger Sub will merge with and into Cortigent, with Cortigent continuing as the surviving corporation and becoming a wholly owned subsidiary of the Company.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automatically be converted into 12,500,000 Consideration Shares, subject to adjustment only as expressly set forth in the Merger Agreement, including for any stock split, stock dividend, combination, recapitalization or similar event affecting the Common Stock. No fractional shares of Common Stock will be issued in connection with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and the board of Cortigent unanimously approved the Merger Agreement and the transactions contemplated thereby.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Immediately following the closing of the Merger, the composition of the Board shall be comprised of five directors, who shall initially be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Common Stock held by pre-closing ClearOne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contains representations and warranties that ClearOne and Merger Sub, on the one hand, and Cortigent and Vivani, on the other hand, have made to one another as of the execution date of the Merger Agreement and the Closing Date.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Consummation of the Merger is subject to customary closing conditions, including, but not limited to:</w:t>
      </w:r>
    </w:p>
    <w:p>
      <w:pPr>
        <w:pStyle w:val="TextBody"/>
        <w:numPr>
          <w:ilvl w:val="0"/>
          <w:numId w:val="1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1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ClearOne’s continued listing on Nasdaq through the Closing Date and approval for listing, subject to official notice of issuance of the Consideration Shares to be issued in the Merger; </w:t>
      </w:r>
    </w:p>
    <w:p>
      <w:pPr>
        <w:pStyle w:val="TextBody"/>
        <w:numPr>
          <w:ilvl w:val="0"/>
          <w:numId w:val="1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1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1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2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2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termination, waiver or inapplicability of specified investor agreements with Cortigent and any debt owed to Vivani, in each case as provided in the Merger Agreement; </w:t>
      </w:r>
    </w:p>
    <w:p>
      <w:pPr>
        <w:pStyle w:val="TextBody"/>
        <w:numPr>
          <w:ilvl w:val="0"/>
          <w:numId w:val="2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delivery of lock-up agreements and voting agreements contemplated by the Merger Agreement; </w:t>
      </w:r>
    </w:p>
    <w:p>
      <w:pPr>
        <w:pStyle w:val="TextBody"/>
        <w:numPr>
          <w:ilvl w:val="0"/>
          <w:numId w:val="2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and </w:t>
      </w:r>
    </w:p>
    <w:p>
      <w:pPr>
        <w:pStyle w:val="TextBody"/>
        <w:numPr>
          <w:ilvl w:val="0"/>
          <w:numId w:val="2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receipt of Nasdaq approvals required under the Merger Agreement.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Reasons for Stockholder Approval</w:t>
      </w:r>
      <w:r>
        <w:rPr>
          <w:rFonts w:ascii="times new roman;times" w:hAnsi="times new roman;times"/>
          <w:sz w:val="20"/>
        </w:rPr>
        <w:t xml:space="preserve"> </w:t>
      </w:r>
      <w:r>
        <w:rPr>
          <w:rFonts w:ascii="times new roman;times" w:hAnsi="times new roman;times"/>
          <w:b/>
          <w:sz w:val="20"/>
        </w:rPr>
        <w:t xml:space="preserve">for Action No.1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Common Stock is listed on the Nasdaq, and, as such, we are subject to the applicable rules of the Nasdaq Stock Market LLC, including Nasdaq Listing Rule 5635(a), which requires stockholder approval in connection with the acquisition of another company if the Nasdaq-listed company will issue more than 20% of its Common Stock as consideration for such acquisition. For purposes of Nasdaq Listing Rule 5635(a), the issuance of any Common Stock in the Merger would be aggregated together. The issuance of the Consideration Shares to Vivani represents well over 20% of ClearOne’s stock and therefore, in order to permit the issuance of the Consideration Shares, we sought and obtained stockholder approval of this issuance pursuant to Rule 5635(a).</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addition, pursuant to Nasdaq Listing Rule 5635(b), stockholder approval is required prior to the issuance of securities that will result in a “change of control” of a listed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and the value of the listed company and the company being acquired. Following the consummation of the Merger, and prior to the Financing, Vivani is expected to own an aggregate of approximately 77.98% of the then-issued and outstanding shares of Common Stock and current stockholders of the ClearOne are expected to own an aggregate of approximately 16.69% of the then-issued and outstanding Common Stock, with the remaining Common Stock to be held by certain advisors of ClearOne. In addition, we intend to change a majority of the ClearOne Board and our executive officers upon closing of the Merger. On a balance of factors, there was deemed to be a “change of control” by Nasdaq and therefore, in order to close the Merger, we sought and obtained stockholder approval of the change of control pursuant to Rule 5635(b). </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Action No. 1 was approved by the ClearOne stockholders on August 3</w:t>
      </w:r>
      <w:r>
        <w:rPr>
          <w:rFonts w:ascii="times new roman;times" w:hAnsi="times new roman;times"/>
          <w:b w:val="false"/>
          <w:i w:val="false"/>
          <w:caps w:val="false"/>
          <w:smallCaps w:val="false"/>
          <w:color w:val="000000"/>
          <w:spacing w:val="0"/>
          <w:sz w:val="20"/>
        </w:rPr>
        <w:t>,</w:t>
      </w:r>
      <w:r>
        <w:rPr>
          <w:rFonts w:ascii="times new roman;times" w:hAnsi="times new roman;times"/>
          <w:sz w:val="20"/>
        </w:rPr>
        <w:t xml:space="preserve"> 2026 by written consent. Since the Majority Stockholders have already approved Action No. 1 by written consent, no further action is required.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Details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section and the section titled “The Merger Agreement” in this Information Statement describe the material aspects of the Merger Agreement pursuant to which the Consideration Shares will be issued and which will result in a change of control. While we believe that this description covers the material terms of the Merger and the Merger Agreement, it may not contain all of the information that is important to stockholders. Stockholders should carefully read this entire Information Statement for a more complete understanding of the Merger and the Merger Agreement, including the Merger Agreement attached as </w:t>
      </w:r>
      <w:r>
        <w:rPr>
          <w:rFonts w:ascii="times new roman;times" w:hAnsi="times new roman;times"/>
          <w:sz w:val="20"/>
          <w:u w:val="single"/>
        </w:rPr>
        <w:t>Appendix A</w:t>
      </w:r>
      <w:r>
        <w:rPr>
          <w:rFonts w:ascii="times new roman;times" w:hAnsi="times new roman;times"/>
          <w:sz w:val="20"/>
        </w:rPr>
        <w:t xml:space="preserve"> this Information Statement and the other documents to which stockholders are referred herein. See the section titled “Where You Can Find More Information” in this Information Statement.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Background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During 2025 and 2026, the Board and management evaluated strategic alternatives intended to enhance stockholder value. Following the sale of certain intellectual property, product inventory and non-exclusive rights to customer data in October 2025, ClearOne’s remaining activities consisted primarily of satisfying warranty and technical support obligations on legacy products, managing residual assets and liabilities, maintaining public company compliance and evaluating strategic alternatives. ClearOne’s continuing activities were not positioned for growth.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As part of this process, we evaluated opportunities to acquire or combine with a business possessing a defined technology platform, ongoing development programs and potential long-term growth opportunities. In evaluating potential strategic alternatives, we considered the importance of identifying a target business with a defined operating strategy, a public-company pathway, and a transaction structure that could be implemented in compliance with Nasdaq and SEC requirements.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through its predecessor Second Sight Medical Products, Inc. (“</w:t>
      </w:r>
      <w:r>
        <w:rPr>
          <w:rFonts w:ascii="times new roman;times" w:hAnsi="times new roman;times"/>
          <w:b/>
          <w:sz w:val="20"/>
        </w:rPr>
        <w:t>Second Sight</w:t>
      </w:r>
      <w:r>
        <w:rPr>
          <w:rFonts w:ascii="times new roman;times" w:hAnsi="times new roman;times"/>
          <w:sz w:val="20"/>
        </w:rPr>
        <w:t>”), is a pioneer in developing precision targeted neurostimulation systems to help patients recover critical body functions. Cortigent’s technology combines advanced neuroscience with proprietary microelectronics, software, and data processing capabilities to provide artificial vision and potentially restore muscle movement.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Following our discussions with Cortigent and Vivani, we, along with Cortigent and Vivani, considered a transaction in which ClearOne would acquire Cortigent, we would issue shares of Common Stock to Vivani as consideration for all of the issued and outstanding shares of Cortigent, and we would undertake a concurrent financing to provide funding for the Combined Company following the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On July 1, 2026, we entered into the Merger Agreement with Merger Sub, Cortigent and Vivani. Pursuant to the Merger Agreement, and subject to the satisfaction or waiver of certain conditions, Merger Sub will merge with and into Cortigent, with Cortigent surviving the Merger as a wholly-owned subsidiary of ClearOne. Prior to the completion of the Merger, Cortigent is a wholly owned subsidiary of Vivani. Cortigent has historically relied, and may continue to rely, on Vivani and its affiliates for certain administrative, finance, accounting, legal and other support services. Following completion of the Merger, Cortigent expects to operate as a subsidiary of ClearOne pending implementation of the post-closing corporate structure contemplated by the transaction documents.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Board Approval and Reasons for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evaluating the Merger Agreement and the transactions contemplated thereby, including the Merger, the issuance of the Consideration Shares, and the Financing (collectively, the "Contemplated Transactions"), the ClearOne board of directors (the "ClearOne Board") had dialogue, consulted with ClearOne's management and outside legal counsel, and considered a number of factors, including the material factors described below.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view of the wide variety of factors considered, the complexity of those matters and the terms of the Merger Agreement, the ClearOne Board did not find it practicable to, and did not, quantify, rank or otherwise assign relative weights to the specific factors it considered in reaching its determination. Individual members of the ClearOne Board may have given different weight to different factors. The ClearOne Board considered the factors described below as a whole, and on balance concluded that the potentially positive factors outweighed the potentially negative factors, risks and uncertainties, and that the Merger Agreement and the Contemplated Transactions are advisable and in the best interests of ClearOne and its stockholders. This discussion of the information and factors considered by the ClearOne Board is not intended to be exhaustive, but is intended to summarize the material factors considered.</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Potentially Positive Factors</w:t>
      </w:r>
    </w:p>
    <w:p>
      <w:pPr>
        <w:pStyle w:val="TextBody"/>
        <w:bidi w:val="0"/>
        <w:spacing w:lineRule="auto" w:line="288" w:before="100" w:after="100"/>
        <w:ind w:left="0" w:right="0" w:hanging="0"/>
        <w:jc w:val="both"/>
        <w:rPr>
          <w:rFonts w:ascii="times new roman;times" w:hAnsi="times new roman;times"/>
          <w:sz w:val="20"/>
        </w:rPr>
      </w:pPr>
      <w:r>
        <w:rPr>
          <w:rFonts w:ascii="times new roman;times" w:hAnsi="times new roman;times"/>
          <w:sz w:val="20"/>
        </w:rPr>
        <w:t>The ClearOne Board considered the following factors, among others, as generally supporting its determination to approve the Merger Agreement and the Contemplated Transactions:</w:t>
      </w:r>
    </w:p>
    <w:p>
      <w:pPr>
        <w:pStyle w:val="TextBody"/>
        <w:numPr>
          <w:ilvl w:val="0"/>
          <w:numId w:val="2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Strategic alternatives and the results of the Board's review.</w:t>
      </w:r>
      <w:r>
        <w:rPr>
          <w:rFonts w:ascii="times new roman;times" w:hAnsi="times new roman;times"/>
          <w:sz w:val="20"/>
        </w:rPr>
        <w:t xml:space="preserve"> The ClearOne Board considered that, following the sale of certain of ClearOne's assets, ClearOne's continuing operations were limited and were not positioned for growth, and that ClearOne's strategic alternatives included: (i) continuing to operate its remaining business on a standalone basis; (ii) seeking a sale of the Company or its remaining assets; (iii) a dissolution and liquidation with a distribution of remaining cash to stockholders; and (iv) the acquisition of another business or assets, including other businesses and assets other than Cortigent during its review of strategic alternatives. The ClearOne Board considered the relative risks, costs, timing and potential stockholder value of each alternative and concluded that the Merger presented the most attractive reasonably available opportunity for ClearOne's stockholders, including because it offers stockholders continued participation, through their retained equity ownership, in a clinical-stage medical device business with the potential for growth. </w:t>
      </w:r>
    </w:p>
    <w:p>
      <w:pPr>
        <w:pStyle w:val="TextBody"/>
        <w:numPr>
          <w:ilvl w:val="0"/>
          <w:numId w:val="2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Expansion into neurotechnology and medical device development.</w:t>
      </w:r>
      <w:r>
        <w:rPr>
          <w:rFonts w:ascii="times new roman;times" w:hAnsi="times new roman;times"/>
          <w:sz w:val="20"/>
        </w:rPr>
        <w:t xml:space="preserve"> The ClearOne Board considered Cortigent's focus on precision neurostimulation technologies intended to help patients recover critical body functions, including artificial vision and potential stroke recovery applications, and the significant unmet medical needs that Cortigent's technology seeks to address.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Cortigent's</w:t>
      </w:r>
      <w:r>
        <w:rPr>
          <w:rFonts w:ascii="times new roman;times" w:hAnsi="times new roman;times"/>
          <w:sz w:val="20"/>
        </w:rPr>
        <w:t xml:space="preserve"> </w:t>
      </w:r>
      <w:r>
        <w:rPr>
          <w:rFonts w:ascii="times new roman;times" w:hAnsi="times new roman;times"/>
          <w:b/>
          <w:sz w:val="20"/>
        </w:rPr>
        <w:t>technology portfolio and development programs.</w:t>
      </w:r>
      <w:r>
        <w:rPr>
          <w:rFonts w:ascii="times new roman;times" w:hAnsi="times new roman;times"/>
          <w:sz w:val="20"/>
        </w:rPr>
        <w:t xml:space="preserve"> The ClearOne Board considered Cortigent's technology portfolio and regulatory history, including the Argus II retinal prosthesis system developed by its predecessor, Second Sight, which received FDA approval under a Humanitarian Device Exemption, and Cortigent's current Orion cortical visual prosthesis and stroke recovery development programs, as well as the early, pre-revenue stage of those programs and the substantial additional capital, clinical development, regulatory approvals and time that would be required before any product could be commercialized.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Access to management and technical expertise.</w:t>
      </w:r>
      <w:r>
        <w:rPr>
          <w:rFonts w:ascii="times new roman;times" w:hAnsi="times new roman;times"/>
          <w:sz w:val="20"/>
        </w:rPr>
        <w:t xml:space="preserve"> The ClearOne Board considered the expected post-closing management team, including the appointment of a chief executive officer designated by Vivani, and the potential benefits of Cortigent's management expertise, technical know-how and strategic development initiatives.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Fixed merger consideration.</w:t>
      </w:r>
      <w:r>
        <w:rPr>
          <w:rFonts w:ascii="times new roman;times" w:hAnsi="times new roman;times"/>
          <w:sz w:val="20"/>
        </w:rPr>
        <w:t xml:space="preserve"> The ClearOne Board considered that the Merger consideration consists of a fixed number of shares, 12,500,000 shares of ClearOne Common Stock, subject to equitable adjustment for stock splits, stock dividends, combinations, recapitalizations and similar events, and that the transaction does not include any earnout, collar, true-up or other contingent share consideration payable to Vivani. As a result, the number of shares issuable to Vivani will not increase if ClearOne's stock price changes prior to closing of the Merger, and existing ClearOne stockholders bear little risk of additional consideration-based dilution from the fixed share issuance to Vivani.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Elimination of Seller Debt and related-party arrangements.</w:t>
      </w:r>
      <w:r>
        <w:rPr>
          <w:rFonts w:ascii="times new roman;times" w:hAnsi="times new roman;times"/>
          <w:sz w:val="20"/>
        </w:rPr>
        <w:t xml:space="preserve"> The ClearOne Board considered that, as a condition to closing, all indebtedness and intercompany obligations of Cortigent owed to Vivani and its affiliates must be forgiven, cancelled or contributed to capital prior to the closing of the Merger, that Cortigent must certify at closing that it has no indebtedness for borrowed money and only ordinary-course liabilities, and that specified investor agreements must be terminated.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Post-closing governance protections for existing ClearOne stockholders.</w:t>
      </w:r>
      <w:r>
        <w:rPr>
          <w:rFonts w:ascii="times new roman;times" w:hAnsi="times new roman;times"/>
          <w:sz w:val="20"/>
        </w:rPr>
        <w:t xml:space="preserve"> The ClearOne Board considered the governance protections negotiated for the benefit of ClearOne's pre-closing stockholders, including: (i) a designated board seat (the "Pre-Closing Parent Stockholder Board Seat") to be filled by a director designated by the holders of a majority of the shares held by ClearOne's pre-closing stockholders for a period of twelve months following the closing of the Merger, with contractual limitations on the removal of such director and rights of such director to call board meetings, receive board materials and retain independent counsel at ClearOne's expense; (ii) an equity moratorium, exclusive of the Financing, generally restricting the Combined Company from issuing new equity securities during the equity moratorium period, subject to specified permitted issuances and override approvals; (iii) a voting agreement pursuant to which Vivani will agree to support the election of the pre-closing stockholders' board designee and the moratorium protections; and (iv) direct third-party-beneficiary enforcement rights, including specific performance, for pre-closing stockholders meeting specified ownership thresholds. The ClearOne Board also considered the significant limitations of these protections, which are described below under "Potentially Negative Factors."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Lock-up of the Consideration Shares.</w:t>
      </w:r>
      <w:r>
        <w:rPr>
          <w:rFonts w:ascii="times new roman;times" w:hAnsi="times new roman;times"/>
          <w:sz w:val="20"/>
        </w:rPr>
        <w:t xml:space="preserve"> The ClearOne Board considered that 50% of the Consideration Shares will be subject to a contractual lock-up for one year following the closing and the remaining 50% for two years following the closing, which aligns Vivani's interests with those of other stockholders and mitigates near-term resale pressure on the trading market.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Capped advisory costs.</w:t>
      </w:r>
      <w:r>
        <w:rPr>
          <w:rFonts w:ascii="times new roman;times" w:hAnsi="times new roman;times"/>
          <w:sz w:val="20"/>
        </w:rPr>
        <w:t xml:space="preserve"> The ClearOne Board considered that the cash fee payable to ThinkEquity LLC, the financial advisor to Cortigent and Vivani, is capped at $1,875,000.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Intended tax treatment.</w:t>
      </w:r>
      <w:r>
        <w:rPr>
          <w:rFonts w:ascii="times new roman;times" w:hAnsi="times new roman;times"/>
          <w:sz w:val="20"/>
        </w:rPr>
        <w:t xml:space="preserve"> The ClearOne Board considered that the Merger is intended to qualify as a "reorganization" within the meaning of Section 368(a) of the Internal Revenue Code, and that no cash consideration is payable by ClearOne in the Merger. </w:t>
      </w:r>
    </w:p>
    <w:p>
      <w:pPr>
        <w:pStyle w:val="TextBody"/>
        <w:numPr>
          <w:ilvl w:val="0"/>
          <w:numId w:val="2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Terms of the Merger Agreement generally.</w:t>
      </w:r>
      <w:r>
        <w:rPr>
          <w:rFonts w:ascii="times new roman;times" w:hAnsi="times new roman;times"/>
          <w:sz w:val="20"/>
        </w:rPr>
        <w:t xml:space="preserve"> The ClearOne Board considered the terms and conditions of the Merger Agreement taken as a whole, including the parties' representations, warranties and covenants, the conditions to the parties' respective obligations, the ability of the parties to terminate the agreement in specified circumstances, and its belief that the Merger Agreement was the product of arm's-length negotiations between the parties and their respective advisors.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Potentially Negative Factors</w:t>
      </w:r>
    </w:p>
    <w:p>
      <w:pPr>
        <w:pStyle w:val="TextBody"/>
        <w:bidi w:val="0"/>
        <w:spacing w:lineRule="auto" w:line="288" w:before="100" w:after="100"/>
        <w:ind w:left="0" w:right="0" w:hanging="0"/>
        <w:jc w:val="left"/>
        <w:rPr>
          <w:rFonts w:ascii="times new roman;times" w:hAnsi="times new roman;times"/>
          <w:sz w:val="20"/>
        </w:rPr>
      </w:pPr>
      <w:r>
        <w:rPr>
          <w:rFonts w:ascii="times new roman;times" w:hAnsi="times new roman;times"/>
          <w:sz w:val="20"/>
        </w:rPr>
        <w:t>The ClearOne Board also considered a number of potentially negative factors, uncertainties and risks in its deliberations concerning the Merger and the other Contemplated Transactions, including the following:</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Substantial dilution and change of control.</w:t>
      </w:r>
      <w:r>
        <w:rPr>
          <w:rFonts w:ascii="times new roman;times" w:hAnsi="times new roman;times"/>
          <w:sz w:val="20"/>
        </w:rPr>
        <w:t xml:space="preserve"> Immediately following the Effective Time, and excluding any shares of Common Stock issued pursuant to the Financing, Vivani is expected to own approximately 77.98% of the outstanding Common Stock of the Combined Company (which may vary depending on other issuances), existing ClearOne stockholders are expected to own approximately 16.69%, and Vivani will have the right to designate four of the five members of the ClearOne Board (including the Chairperson) and the chief executive officer. As a result, Vivani will control the outcome of substantially all matters submitted to stockholders, and the Combined Company is expected to qualify as a "controlled company" under Nasdaq rules, permitting it to rely on exemptions from certain corporate governance requirements. Existing stockholders will have limited ability to influence the Combined Company's affairs.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No opinion of a financial advisor.</w:t>
      </w:r>
      <w:r>
        <w:rPr>
          <w:rFonts w:ascii="times new roman;times" w:hAnsi="times new roman;times"/>
          <w:sz w:val="20"/>
        </w:rPr>
        <w:t xml:space="preserve"> ClearOne did not engage a financial advisor in connection with the Merger, and the ClearOne Board did not obtain an opinion from any financial advisor as to the fairness, from a financial point of view, of the merger consideration or the Contemplated Transactions to ClearOne or its stockholders. The ClearOne Board instead relied on its own review of Cortigent's business, technology, financial condition and prospects, the due diligence review conducted by management and ClearOne's advisors, and its collective experience. There can be no assurance that the consideration payable in the Merger reflects the fair value of Cortigent or that stockholders would not have received greater value from an alternative transaction or strategy.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No post-closing recourse for breaches.</w:t>
      </w:r>
      <w:r>
        <w:rPr>
          <w:rFonts w:ascii="times new roman;times" w:hAnsi="times new roman;times"/>
          <w:sz w:val="20"/>
        </w:rPr>
        <w:t xml:space="preserve"> The representations and warranties of Cortigent and Vivani in the Merger Agreement do not survive the closing, and the Merger Agreement provides no indemnification, escrow or holdback for the benefit of ClearOne or its stockholders (other than a limited indemnity from Vivani relating to certain prohibited equity issuances during the Equity Moratorium Period). Accordingly, if any representation or warranty of Cortigent or Vivani proves to have been inaccurate, ClearOne and its stockholders will, following the closing, have no contractual remedy absent fraud as narrowly defined in the Merger Agreement. The ClearOne Board considered this risk in light of Cortigent's recent separation from Vivani and the liquidation of Second Sight, including the risk that creditors or other parties could assert claims against Cortigent relating to legacy businesses or the separation, and considered that the Merger Agreement does not include any non-competition or non-solicitation covenant from Vivani.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Cortigent's</w:t>
      </w:r>
      <w:r>
        <w:rPr>
          <w:rFonts w:ascii="times new roman;times" w:hAnsi="times new roman;times"/>
          <w:sz w:val="20"/>
        </w:rPr>
        <w:t xml:space="preserve"> </w:t>
      </w:r>
      <w:r>
        <w:rPr>
          <w:rFonts w:ascii="times new roman;times" w:hAnsi="times new roman;times"/>
          <w:b/>
          <w:sz w:val="20"/>
        </w:rPr>
        <w:t>stage of development, going concern and capital needs.</w:t>
      </w:r>
      <w:r>
        <w:rPr>
          <w:rFonts w:ascii="times new roman;times" w:hAnsi="times new roman;times"/>
          <w:sz w:val="20"/>
        </w:rPr>
        <w:t xml:space="preserve"> Cortigent is a clinical-stage company with no current product revenue and has a history of operating losses. Its development programs will require regulatory approvals, substantial additional capital and there is no assurance that these development programs, including clinical trials, will demonstrate safety and efficacy or will lead to commercial products. Future capital raises, if available at all, may be highly dilutive to stockholders, and failure to obtain additional capital could materially and adversely affect, or cause the failure of, the Combined Company's development programs. </w:t>
      </w:r>
    </w:p>
    <w:p>
      <w:pPr>
        <w:pStyle w:val="TextBody"/>
        <w:numPr>
          <w:ilvl w:val="0"/>
          <w:numId w:val="2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Closing conditionality; transaction costs.</w:t>
      </w:r>
      <w:r>
        <w:rPr>
          <w:rFonts w:ascii="times new roman;times" w:hAnsi="times new roman;times"/>
          <w:sz w:val="20"/>
        </w:rPr>
        <w:t xml:space="preserve"> The Merger is subject to other conditions outside ClearOne's control, including the Nasdaq approvals, delivery of Cortigent's PCAOB-audited financial statements, delivery of the First Finance Ltd. waiver, and the absence of a material adverse effect. If the Merger is not completed, ClearOne will have incurred substantial transaction expenses, including legal, accounting, filing and insurance costs, which could materially deplete ClearOne's remaining cash resources.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Nasdaq initial listing requirements.</w:t>
      </w:r>
      <w:r>
        <w:rPr>
          <w:rFonts w:ascii="times new roman;times" w:hAnsi="times new roman;times"/>
          <w:sz w:val="20"/>
        </w:rPr>
        <w:t xml:space="preserve"> Because the Merger will constitute a change of control of ClearOne under Nasdaq rules, the Combined Company must satisfy Nasdaq's initial listing standards, and Nasdaq's approval of the initial listing application is a condition to closing. There can be no assurance that the Combined Company will satisfy those standards (including the minimum bid price requirement, which may necessitate a reverse stock split) or that Nasdaq will approve the listing, and failure to obtain such approval would prevent the Merger from closing or, thereafter, could result in delisting.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Deal-protection provisions; stockholder approval by written consent.</w:t>
      </w:r>
      <w:r>
        <w:rPr>
          <w:rFonts w:ascii="times new roman;times" w:hAnsi="times new roman;times"/>
          <w:sz w:val="20"/>
        </w:rPr>
        <w:t xml:space="preserve"> Concurrently with the execution of the Merger Agreement, holders of at least 50.1% of ClearOne's outstanding common stock executed voting agreements and agreed to a written consent approving the contemplated Transactions. As a result, no further stockholder approval is required or will be sought, no vote of, and no proxies from, ClearOne's other stockholders will be solicited, and stockholders who did not execute the written consent will not have an opportunity to vote on the issuance of the Consideration Shares. In addition, the Merger Agreement prohibits ClearOne from soliciting alternative acquisition proposals. ClearOne stockholders are not entitled to appraisal or dissenters' rights in connection with the Merger.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Limitations of the post-closing governance protections.</w:t>
      </w:r>
      <w:r>
        <w:rPr>
          <w:rFonts w:ascii="times new roman;times" w:hAnsi="times new roman;times"/>
          <w:sz w:val="20"/>
        </w:rPr>
        <w:t xml:space="preserve"> The ClearOne Board considered that the governance protections described above are subject to significant limitations, including that: (i) the Pre-Closing Parent Stockholder Board Seat and equity moratorium terminate no later than twelve months after closing and terminate earlier if pre-closing stockholders' aggregate ownership falls below 5% (a threshold that, once lost, cannot be regained); (ii) the equity moratorium is subject to significant permitted-issuance exceptions, including option grants covering up to 2,500,000 shares under a new equity incentive plan during the twelve months following closing and issuances approved by specified override votes; and (iv) certain of these protections are contractual in nature, and their implementation and enforceability will depend on charter and bylaw provisions to be adopted and may be subject to legal uncertainty.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Interim operating restrictions.</w:t>
      </w:r>
      <w:r>
        <w:rPr>
          <w:rFonts w:ascii="times new roman;times" w:hAnsi="times new roman;times"/>
          <w:sz w:val="20"/>
        </w:rPr>
        <w:t xml:space="preserve"> The Merger Agreement imposes restrictions on the conduct of ClearOne's business prior to closing, which could delay or prevent ClearOne from pursuing business opportunities that may arise or taking other actions with respect to its business pending completion of the Merger, and requires ClearOne to bear its own transaction expenses while maintaining specified minimum net cash at closing.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Interests of directors and officers.</w:t>
      </w:r>
      <w:r>
        <w:rPr>
          <w:rFonts w:ascii="times new roman;times" w:hAnsi="times new roman;times"/>
          <w:sz w:val="20"/>
        </w:rPr>
        <w:t xml:space="preserve"> The ClearOne Board considered that ClearOne's directors and executive officers may have interests in the Merger that are different from, or in addition to, the interests of ClearOne stockholders generally, including rights to continuing indemnification and directors' and officers' liability insurance (including a six-year tail policy). </w:t>
      </w:r>
    </w:p>
    <w:p>
      <w:pPr>
        <w:pStyle w:val="TextBody"/>
        <w:numPr>
          <w:ilvl w:val="0"/>
          <w:numId w:val="2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b/>
          <w:sz w:val="20"/>
        </w:rPr>
        <w:t>Litigation risk; other risks.</w:t>
      </w:r>
      <w:r>
        <w:rPr>
          <w:rFonts w:ascii="times new roman;times" w:hAnsi="times new roman;times"/>
          <w:sz w:val="20"/>
        </w:rPr>
        <w:t xml:space="preserve"> The ClearOne Board considered the risk of litigation challenging the Merger or the adequacy of the disclosure relating thereto, and the various other risks described under "Risk Factors" in this Information Statement.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Conclusion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After careful consideration of these and other factors, and taking into account the advice of its advisors and the totality of the information available to it, the ClearOne Board unanimously determined that the Merger Agreement and the Contemplated Transactions are advisable and in the best interests of ClearOne and its stockholders, approved the Merger Agreement and the Contemplated Transactions, and resolved to recommend that ClearOne's stockholders approve the Contemplated Transactions, which approval will be obtained by written consent of the holders of a majority of ClearOne's outstanding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foregoing discussion of the factors considered by the ClearOne Board is not intended to be exhaustive, but rather summarizes the material factors considered by the ClearOne Board in its consideration of the Merger. In view of the number and variety of factors and the amount of information considered, the ClearOne Board did not find it practicable to, and did not, make specific assessments of, quantify, rank or otherwise assign relative weights to the specific factors considered in reaching its determination. The factors, potential risks and uncertainties described above are not intended to be relied upon by any stockholder as being a guarantee of, or an assurance as to, the future performance or results of ClearOne, Cortigent or the Combined Company, and should be read together with the other information included in this Information Statement, including the sections entitled "Risk Factors" and "Cautionary Statement Regarding Forward-Looking Statements."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Risk Factors Considered by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the course of its deliberations, the ClearOne Board also considered a variety of risk factors related to entering into the Merger Agreement and consummating the Merger, including the following:</w:t>
      </w:r>
    </w:p>
    <w:p>
      <w:pPr>
        <w:pStyle w:val="TextBody"/>
        <w:numPr>
          <w:ilvl w:val="0"/>
          <w:numId w:val="2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Merger may not be consummated if the conditions to closing are not satisfied or waived; </w:t>
      </w:r>
    </w:p>
    <w:p>
      <w:pPr>
        <w:pStyle w:val="TextBody"/>
        <w:numPr>
          <w:ilvl w:val="0"/>
          <w:numId w:val="2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stockholders may not approve the proposals required to consummate the Merger and related transactions, including the issuance of shares in connection with the Merger and the financing; </w:t>
      </w:r>
    </w:p>
    <w:p>
      <w:pPr>
        <w:pStyle w:val="TextBody"/>
        <w:numPr>
          <w:ilvl w:val="0"/>
          <w:numId w:val="3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Financing contemplated by the Merger Agreement may not be completed or may not be completed on anticipated terms; </w:t>
      </w:r>
    </w:p>
    <w:p>
      <w:pPr>
        <w:pStyle w:val="TextBody"/>
        <w:numPr>
          <w:ilvl w:val="0"/>
          <w:numId w:val="3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Vivani is expected to own a substantial majority of the outstanding Common Stock of the Combined Company following the Merger and Financing, which will result in a change in control and reduce the influence of existing ClearOne stockholders; </w:t>
      </w:r>
    </w:p>
    <w:p>
      <w:pPr>
        <w:pStyle w:val="TextBody"/>
        <w:numPr>
          <w:ilvl w:val="0"/>
          <w:numId w:val="3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ClearOne may be unable to satisfy Nasdaq listing requirements before or after the closing of the Merger; </w:t>
      </w:r>
    </w:p>
    <w:p>
      <w:pPr>
        <w:pStyle w:val="TextBody"/>
        <w:numPr>
          <w:ilvl w:val="0"/>
          <w:numId w:val="3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development-stage nature of Cortigent’s business and the risk that Cortigent may not successfully develop, obtain regulatory approval for, or commercialize its product candidates; </w:t>
      </w:r>
    </w:p>
    <w:p>
      <w:pPr>
        <w:pStyle w:val="TextBody"/>
        <w:numPr>
          <w:ilvl w:val="0"/>
          <w:numId w:val="3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 and the Combined Company will require substantial additional capital and may be unable to obtain such capital on acceptable terms, or at all; </w:t>
      </w:r>
    </w:p>
    <w:p>
      <w:pPr>
        <w:pStyle w:val="TextBody"/>
        <w:numPr>
          <w:ilvl w:val="0"/>
          <w:numId w:val="3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the Combined Company will incur losses for the foreseeable future and may never achieve profitability; </w:t>
      </w:r>
    </w:p>
    <w:p>
      <w:pPr>
        <w:pStyle w:val="TextBody"/>
        <w:numPr>
          <w:ilvl w:val="0"/>
          <w:numId w:val="3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Cortigent’s product candidates, including Orion and the stroke recovery system, are investigational devices and may not receive FDA or other regulatory approvals; </w:t>
      </w:r>
    </w:p>
    <w:p>
      <w:pPr>
        <w:pStyle w:val="TextBody"/>
        <w:numPr>
          <w:ilvl w:val="0"/>
          <w:numId w:val="3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 that sales of shares of Common Stock after the Merger and after expiration of applicable lock-up restrictions could adversely affect the market price of Common Stock; </w:t>
      </w:r>
    </w:p>
    <w:p>
      <w:pPr>
        <w:pStyle w:val="TextBody"/>
        <w:numPr>
          <w:ilvl w:val="0"/>
          <w:numId w:val="3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dilution to existing ClearOne stockholders resulting from the issuance of the Consideration Shares to Vivani and the Common Stock issued or issuable in connection with the Financing and other transaction-related issuances; </w:t>
      </w:r>
    </w:p>
    <w:p>
      <w:pPr>
        <w:pStyle w:val="TextBody"/>
        <w:numPr>
          <w:ilvl w:val="0"/>
          <w:numId w:val="3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regulatory, developmental, financing and other operational risks associated with integrating a development-stage medical device/neurotechnology business into ClearOne; </w:t>
      </w:r>
    </w:p>
    <w:p>
      <w:pPr>
        <w:pStyle w:val="TextBody"/>
        <w:numPr>
          <w:ilvl w:val="0"/>
          <w:numId w:val="3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risks associated with litigation or regulatory review relating to the Merger or the transactions contemplated by the Merger Agreement; and </w:t>
      </w:r>
    </w:p>
    <w:p>
      <w:pPr>
        <w:pStyle w:val="TextBody"/>
        <w:numPr>
          <w:ilvl w:val="0"/>
          <w:numId w:val="4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various other risks associated with the Combined Company and the Merger, including those described in the section titled “</w:t>
      </w:r>
      <w:r>
        <w:rPr>
          <w:rFonts w:ascii="times new roman;times" w:hAnsi="times new roman;times"/>
          <w:i/>
          <w:sz w:val="20"/>
        </w:rPr>
        <w:t>Risk Factors</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The Merger</w:t>
      </w:r>
      <w:r>
        <w:rPr>
          <w:rFonts w:ascii="times new roman;times" w:hAnsi="times new roman;times"/>
          <w:sz w:val="20"/>
        </w:rPr>
        <w:t xml:space="preserve"> </w:t>
      </w:r>
      <w:r>
        <w:rPr>
          <w:rFonts w:ascii="times new roman;times" w:hAnsi="times new roman;times"/>
          <w:b/>
          <w:sz w:val="20"/>
        </w:rPr>
        <w:t xml:space="preserve">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section describes the material terms of the Merger Agreement. The descriptions of the Merger Agreement in this section and elsewhere in this Information Statement are not complete and are qualified in their entirety by reference to the complete text of the Merger Agreement, a copy of which is attached as </w:t>
      </w:r>
      <w:r>
        <w:rPr>
          <w:rFonts w:ascii="times new roman;times" w:hAnsi="times new roman;times"/>
          <w:sz w:val="20"/>
          <w:u w:val="single"/>
        </w:rPr>
        <w:t>Appendix A</w:t>
      </w:r>
      <w:r>
        <w:rPr>
          <w:rFonts w:ascii="times new roman;times" w:hAnsi="times new roman;times"/>
          <w:sz w:val="20"/>
        </w:rPr>
        <w:t xml:space="preserve"> and is incorporated by reference into this Information Statement. You are encouraged to read the Merger Agreement carefully and in its entirety, as it is the legal document governing the Merger. This section is not intended to provide you with any factual information about Parent, Merger Sub, Cortigent or Vivani. Such information can be found elsewhere in this Information Statement and in the public filings Parent, Cortigent and Vivani makes with the SEC, as described under the heading “Where You Can Find More Information” beginning on page 45.</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Parties to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Agreement, dated as of July 1, 2026, is entered into by and among the Parent, Merger Sub, Cortigent and Vivani. ClearOne is listed on Nasdaq under the symbol “CLRO.” Merger Sub is a wholly-owned subsidiary of ClearOne for purposes of effecting the Merger. Cortigent is a wholly-owned subsidiary of Vivani. Vivani is listed on Nasdaq under the symbol “VANI” and is the sole holder of the issued and outstanding capital stock of Cortigent.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Form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Pursuant to the Merger Agreement, subject to the terms and conditions set forth therein, upon the consummation of the transactions contemplated by the Merger Agreement, Merger Sub will merge with and into Cortigent, with Cortigent surviving the Merger as a wholly-owned subsidiary of ClearOne. At the Effective Time, the separate existence of Merger Sub will cease, and Cortigent will continue as the surviving corporation in accordance with the Merger Agreement and the applicable provisions of the Delaware General Corporation Law.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any shares of Cortigent capital stock held as treasury stock or held or owned by Cortigent, Merger Sub or any subsidiary of Cortigent immediately prior to the Effective Time will be cancelled and retired and will cease to exist, and no consideration will be delivered in exchange therefor. Subject to the terms of the Merger Agreement, all issued and outstanding Cortigent equity securities held by Vivani immediately prior to the Effective Time will be automatically exchanged for the Consideration Shares subject to adjustment only as expressly set forth in the Merger Agreement. No fractional shares of ClearOne Common Stock will be issued in connection with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Merger Consideration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be converted into the right to receive the Consideration Shares. The Consideration Shares will be subject to lock-up restrictions and registration rights as set forth in the Merger Agreement and related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It is anticipated that, after giving effect to the Merger but excluding the Financing, Vivani will own approximately 77.98% of the outstanding equity of the Combined Company, former ClearOne stockholders will own approximately 16.69% of the outstanding equity of the Combined Company, and certain advisors of ClearOne will own approximately 5.33% of the outstanding equity of the Combined Company. ClearOne is expected to be renamed “Cortigent Holdings, Inc.” (d/b/a Cortigent) and is expected to trade on Nasdaq under the ticker symbol “CRGT” following the closing of the Merger, subject to Nasdaq approval and the satisfaction or waiver of the conditions set forth in the Merger Agreement.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Financing</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connection with the Merger and as a condition to closing, ClearOne has agreed to complete the Financing. Each unit offered in the Financing is expected to consist of one share of Common Stock and one warrant to purchase one share of Common Stock. The Financing may be consummated immediately prior to, or substantially concurrently with, the closing of the Merger.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Exchange Procedures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the stock transfer books of Cortigent will be closed and there will be no further registration of transfers on the records of Cortigent of shares of Cortigent capital stock that were issued and outstanding immediately prior to the Effective Time. The Merger Agreement provides customary procedures for the surrender of certificates, if any, representing Cortigent capital stock and the issuance of the Consideration Shares in accordance with the terms of the Merger Agreement.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Completion and Effectiveness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will be completed as promptly as practicable after all of the conditions to closing are satisfied or waived, unless the Merger Agreement is earlier terminated in accordance with its terms. The Merger will become effective at the time specified in the certificate of merger to be filed with the Secretary of State of the State of Nevada or at such later time as may be specified in the certificate of merger with the consent of ClearOne, Cortigent and Vivani. ClearOne, Cortigent and Vivani cannot predict the exact timing of the closing because the Merger is subject to various conditions, including those described below.</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Conditions to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completion of the Merger is subject to customary closing conditions, including, but not limited to:</w:t>
      </w:r>
    </w:p>
    <w:p>
      <w:pPr>
        <w:pStyle w:val="TextBody"/>
        <w:numPr>
          <w:ilvl w:val="0"/>
          <w:numId w:val="4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completion of the Financing, or the Financing being consummated substantially concurrently with the closing of the Merger; </w:t>
      </w:r>
    </w:p>
    <w:p>
      <w:pPr>
        <w:pStyle w:val="TextBody"/>
        <w:numPr>
          <w:ilvl w:val="0"/>
          <w:numId w:val="4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ClearOne’s continued listing on Nasdaq through the Closing Date and approval for listing, subject to official notice of issuance, of the shares of Common Stock to be issued in the Merger; </w:t>
      </w:r>
    </w:p>
    <w:p>
      <w:pPr>
        <w:pStyle w:val="TextBody"/>
        <w:numPr>
          <w:ilvl w:val="0"/>
          <w:numId w:val="4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no applicable law, order or other restraint preventing the Merger or the other transactions contemplated by the Merger Agreement; </w:t>
      </w:r>
    </w:p>
    <w:p>
      <w:pPr>
        <w:pStyle w:val="TextBody"/>
        <w:numPr>
          <w:ilvl w:val="0"/>
          <w:numId w:val="44"/>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accuracy of the representations and warranties of the parties, subject to the materiality standards set forth in the Merger Agreement; </w:t>
      </w:r>
    </w:p>
    <w:p>
      <w:pPr>
        <w:pStyle w:val="TextBody"/>
        <w:numPr>
          <w:ilvl w:val="0"/>
          <w:numId w:val="45"/>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compliance by the parties with their respective covenants under the Merger Agreement; </w:t>
      </w:r>
    </w:p>
    <w:p>
      <w:pPr>
        <w:pStyle w:val="TextBody"/>
        <w:numPr>
          <w:ilvl w:val="0"/>
          <w:numId w:val="46"/>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there being no material adverse effect on ClearOne, Cortigent or their respective businesses; </w:t>
      </w:r>
    </w:p>
    <w:p>
      <w:pPr>
        <w:pStyle w:val="TextBody"/>
        <w:numPr>
          <w:ilvl w:val="0"/>
          <w:numId w:val="47"/>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termination, waiver or inapplicability of specified investor agreements with Cortigent and any debt owed to Vivani, in each case as provided in the Merger Agreement; </w:t>
      </w:r>
    </w:p>
    <w:p>
      <w:pPr>
        <w:pStyle w:val="TextBody"/>
        <w:numPr>
          <w:ilvl w:val="0"/>
          <w:numId w:val="48"/>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delivery of lock-up agreements and voting agreements contemplated by the Merger Agreement; </w:t>
      </w:r>
    </w:p>
    <w:p>
      <w:pPr>
        <w:pStyle w:val="TextBody"/>
        <w:numPr>
          <w:ilvl w:val="0"/>
          <w:numId w:val="49"/>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satisfaction of ClearOne’s minimum net cash requirement, as applicable;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receipt of Nasdaq approval for ClearOne’s initial listing application for the Combined Company;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reconstitution of the Combined Company’s board of directors and management;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ClearOne having net cash of at least $50,000, excluding the net proceeds of the Financing; and </w:t>
      </w:r>
    </w:p>
    <w:p>
      <w:pPr>
        <w:pStyle w:val="TextBody"/>
        <w:numPr>
          <w:ilvl w:val="0"/>
          <w:numId w:val="50"/>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the execution of a voting agreement by Vivani whereby Vivani agrees to vote its shares of Common Stock in support of ClearOne’s director designee and the equity moratorium protections during the Equity Moratorium Period (as defined herein).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Approvals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ClearOne Board unanimously approved the Merger Agreement and the transactions contemplated thereby, including the issuance of the Consideration Shares. The Board of Cortigent approved the Merger Agreement and determined to recommend that Cortigent’s stockholders approve the Merger Agreement and the transactions contemplated thereby. Vivani, as the sole stockholder of Cortigent, is required to approve the Merger Agreement and the Merger by written consent in accordance with the Merger Agreement. ClearOne stockholder approval is required for the Parent Stockholder Proposals (as defined in the Merger Agreement), including Issuance Proposal and the Plan Proposal, as described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Certain ClearOne stockholders collectively holding at least 50.1% of ClearOne Common Stock have agreed to enter into voting support agreements pursuant to which they will vote in favor of certain matters supported by the Vivani-designated directors and certain other specified actions. Vivani has likewise agreed to enter into a voting support agreement pursuant to which it will vote its shares of ClearOne Common Stock in support of the director designated by the ClearOne stockholders and certain related matters.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Termination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provides for termination under certain circumstances, including: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mutual written consent of ClearOne, Cortigent and Vivani;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or Cortigent/Vivani if the Merger has not been consummated by the applicable outside date specified in the Merger Agreement, subject to the limitations and exceptions set forth therein;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either ClearOne or Cortigent/Vivani if a governmental authority has issued a final, non-appealable order or taken other final action permanently restraining, enjoining or otherwise prohibiting the Merger or the other transactions contemplated by the Merger Agreement; or </w:t>
      </w:r>
    </w:p>
    <w:p>
      <w:pPr>
        <w:pStyle w:val="TextBody"/>
        <w:numPr>
          <w:ilvl w:val="0"/>
          <w:numId w:val="51"/>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by a party if another party has breached its representations, warranties, covenants or agreements in a manner that would result in the failure of a closing condition, subject to the notice, cure, materiality and other limitations set forth in the Merger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If the Merger Agreement is terminated as a result of: (i) one party accepting or entering into a definitive agreement for a superior proposal from a third party, or (ii) a material breach by either party of its representations, warranties, covenants, or obligations under the Merger Agreement that results in the failure to consummate the Merger, the breaching or withdrawing party shall pay to the other party a breakup fee in the amount of 125% of the total direct verifiable third-party expenses incurred by the non-breaching or non-withdrawing party in connection with the Merger, up to a maximum of $250,000.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Treatment of</w:t>
      </w:r>
      <w:r>
        <w:rPr>
          <w:rFonts w:ascii="times new roman;times" w:hAnsi="times new roman;times"/>
          <w:sz w:val="20"/>
        </w:rPr>
        <w:t xml:space="preserve"> </w:t>
      </w:r>
      <w:r>
        <w:rPr>
          <w:rFonts w:ascii="times new roman;times" w:hAnsi="times new roman;times"/>
          <w:b/>
          <w:sz w:val="20"/>
        </w:rPr>
        <w:t>Cortigent</w:t>
      </w:r>
      <w:r>
        <w:rPr>
          <w:rFonts w:ascii="times new roman;times" w:hAnsi="times new roman;times"/>
          <w:sz w:val="20"/>
        </w:rPr>
        <w:t xml:space="preserve"> </w:t>
      </w:r>
      <w:r>
        <w:rPr>
          <w:rFonts w:ascii="times new roman;times" w:hAnsi="times new roman;times"/>
          <w:b/>
          <w:sz w:val="20"/>
        </w:rPr>
        <w:t>Equity Awards and Other Equity Securities</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Vivani and Cortigent are required to take all actions reasonably necessary to ensure that, as of the closing of the Merger, no stock options, restricted share units, deferred share units, warrants or other equity securities of Cortigent remain outstanding, other than Cortigent Common Stock. In connection with the Merger, ClearOne has agreed to grant at closing up to 1,400,000 stock options to certain individuals affiliated with Cortigent. ClearOne may also issue up to 855,000 Advisor Shares. In addition, ClearOne agreed to adopt a new equity incentive plan, which shall be the Omnibus Incentive Plan.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Representations and Warranties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Merger Agreement contains representations and warranties that ClearOne and Merger Sub, on the one hand, and Cortigent and Vivani, on the other hand, have made to one another as of specific 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Cortigent and Vivani relate, but are not limited to: subsidiaries and due organization; Certificate of Incorporation, Bylaws, Charters and Codes of Conduct; capitalization; financial statements; absence of changes; title to assets; real property and leasehold interests; intellectual property; agreements, contracts and commitments; liabilities; compliance with applicable legal requirements, permits, and restrictions; compliance with anti-corruption laws, trade control laws and sanctions; tax matters; employee benefit plans; labor and employment; environmental matters; insurance; legal proceedings and orders; authority and the binding nature of the Merger Agreement; vote required to adopt to the Merger Agreement and the Merger; non-contravention and consents; financial advisor(s); privacy; and disclosure.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Vivani relate, but are not limited to: due organization and authority; authorization and binding nature of the Merger Agreement; ownership of Cortigent’s securities; no conflicts and consents; litigation; brokers, financial advisors, and fees; and solvency and no distribution of Cortigent’s securities.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representations and warranties of ClearOne relate, but are not limited to: subsidiaries and due organization; Articles of Incorporation, Bylaws, Charters and Codes of Conduct; capitalization; SEC filings and financial statements; absence of changes; intellectual property; agreements, contracts and commitments; liabilities; compliance with applicable legal requirements, permits and restrictions; compliance with anti-corruption laws, trade control laws and sanctions; tax matters; employee benefit plans; labor and employment; environmental matters; insurance; legal proceedings and orders; authority, binding nature of the Merger Agreement; vote required to adopt to the Merger Agreement and the Merger; non-contravention and consents; bank accounts; financial advisor(s); title to assets; real property and leasehold interests; valid insurance; privacy financing; disclosure; and shell company status.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While ClearOne does not believe that these disclosure schedules contain information required to be publicly disclosed under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ClearOne, Merger Sub, Cortigent or Vivani, because they were made as of specific dates, may be intended merely as a risk allocation mechanism among the parties, and are modified by the disclosure schedules.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Directors Following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the Board of the Combined Company is expected to consist of five directors: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shares of ClearOne Common Stock held by pre-closing ClearOne stockholders.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Management Following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Immediately following the Merger, the executive officers of the Combined Company are expected to include the following persons:</w:t>
      </w:r>
    </w:p>
    <w:tbl>
      <w:tblPr>
        <w:tblW w:w="5000" w:type="pct"/>
        <w:jc w:val="left"/>
        <w:tblInd w:w="0" w:type="dxa"/>
        <w:tblLayout w:type="fixed"/>
        <w:tblCellMar>
          <w:top w:w="0" w:type="dxa"/>
          <w:left w:w="0" w:type="dxa"/>
          <w:bottom w:w="28" w:type="dxa"/>
          <w:right w:w="0" w:type="dxa"/>
        </w:tblCellMar>
      </w:tblPr>
      <w:tblGrid>
        <w:gridCol w:w="2308"/>
        <w:gridCol w:w="101"/>
        <w:gridCol w:w="7796"/>
      </w:tblGrid>
      <w:tr>
        <w:trPr/>
        <w:tc>
          <w:tcPr>
            <w:tcW w:w="2308" w:type="dxa"/>
            <w:tcBorders>
              <w:bottom w:val="single" w:sz="8"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Name</w:t>
            </w:r>
          </w:p>
        </w:tc>
        <w:tc>
          <w:tcPr>
            <w:tcW w:w="101" w:type="dxa"/>
            <w:tcBorders/>
            <w:tcMar>
              <w:bottom w:w="0" w:type="dxa"/>
            </w:tcMar>
            <w:vAlign w:val="center"/>
          </w:tcPr>
          <w:p>
            <w:pPr>
              <w:pStyle w:val="TableContents"/>
              <w:bidi w:val="0"/>
              <w:spacing w:before="0" w:after="0"/>
              <w:ind w:left="0" w:right="0" w:hanging="0"/>
              <w:jc w:val="both"/>
              <w:rPr/>
            </w:pPr>
            <w:r>
              <w:rPr/>
              <w:t> </w:t>
            </w:r>
          </w:p>
        </w:tc>
        <w:tc>
          <w:tcPr>
            <w:tcW w:w="7796" w:type="dxa"/>
            <w:tcBorders>
              <w:bottom w:val="single" w:sz="8"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Position with the Combined Company</w:t>
            </w:r>
          </w:p>
        </w:tc>
      </w:tr>
      <w:tr>
        <w:trPr/>
        <w:tc>
          <w:tcPr>
            <w:tcW w:w="2308" w:type="dxa"/>
            <w:tcBorders/>
            <w:shd w:fill="CCEE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Jonathan Adams</w:t>
            </w:r>
          </w:p>
        </w:tc>
        <w:tc>
          <w:tcPr>
            <w:tcW w:w="101" w:type="dxa"/>
            <w:tcBorders/>
            <w:shd w:fill="CCEEFF" w:val="clear"/>
            <w:tcMar>
              <w:bottom w:w="0" w:type="dxa"/>
            </w:tcMar>
            <w:vAlign w:val="center"/>
          </w:tcPr>
          <w:p>
            <w:pPr>
              <w:pStyle w:val="TableContents"/>
              <w:bidi w:val="0"/>
              <w:spacing w:before="0" w:after="0"/>
              <w:ind w:left="0" w:right="0" w:hanging="0"/>
              <w:jc w:val="both"/>
              <w:rPr/>
            </w:pPr>
            <w:r>
              <w:rPr/>
              <w:t> </w:t>
            </w:r>
          </w:p>
        </w:tc>
        <w:tc>
          <w:tcPr>
            <w:tcW w:w="7796" w:type="dxa"/>
            <w:tcBorders/>
            <w:shd w:fill="CCEE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President and Chief Executive Officer</w:t>
            </w:r>
          </w:p>
        </w:tc>
      </w:tr>
      <w:tr>
        <w:trPr/>
        <w:tc>
          <w:tcPr>
            <w:tcW w:w="2308" w:type="dxa"/>
            <w:tcBorders/>
            <w:shd w:fill="FFFF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Simon Brewer</w:t>
            </w:r>
          </w:p>
        </w:tc>
        <w:tc>
          <w:tcPr>
            <w:tcW w:w="101" w:type="dxa"/>
            <w:tcBorders/>
            <w:shd w:fill="FFFFFF" w:val="clear"/>
            <w:tcMar>
              <w:bottom w:w="0" w:type="dxa"/>
            </w:tcMar>
            <w:vAlign w:val="center"/>
          </w:tcPr>
          <w:p>
            <w:pPr>
              <w:pStyle w:val="TableContents"/>
              <w:bidi w:val="0"/>
              <w:spacing w:before="0" w:after="0"/>
              <w:ind w:left="0" w:right="0" w:hanging="0"/>
              <w:jc w:val="both"/>
              <w:rPr/>
            </w:pPr>
            <w:r>
              <w:rPr/>
              <w:t> </w:t>
            </w:r>
          </w:p>
        </w:tc>
        <w:tc>
          <w:tcPr>
            <w:tcW w:w="7796" w:type="dxa"/>
            <w:tcBorders/>
            <w:shd w:fill="FFFFFF" w:val="clear"/>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Chief Financial Officer and Principal Accounting Officer</w:t>
            </w:r>
          </w:p>
        </w:tc>
      </w:tr>
    </w:tbl>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Regulatory Approvals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Merger is subject to compliance with applicable federal and state securities laws, the filing of a certificate of merger with the Secretary of State of the State of Delaware, Nasdaq approval and continued listing requirements, the approval for listing of the shares of Common Stock to be issued in the Merger, and the other approvals and conditions described in the Merger Agreement and this Information Statement.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Additional Information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For a detailed description of the Merger Agreement, including representations, warranties, covenants, closing conditions, termination rights and other terms, stockholders should refer to the full text of the Merger Agreement attached as </w:t>
      </w:r>
      <w:r>
        <w:rPr>
          <w:rFonts w:ascii="times new roman;times" w:hAnsi="times new roman;times"/>
          <w:sz w:val="20"/>
          <w:u w:val="single"/>
        </w:rPr>
        <w:t>Appendix A</w:t>
      </w:r>
      <w:r>
        <w:rPr>
          <w:rFonts w:ascii="times new roman;times" w:hAnsi="times new roman;times"/>
          <w:sz w:val="20"/>
        </w:rPr>
        <w:t xml:space="preserve"> to this Information Statement.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Lock-Up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Vivani has agreed to customary lock-up restrictions on the Consideration Shares received in the Merger. Pursuant to Vivani’s lock-up agreement, 50% of the Consideration Shares will be subject to a contractual lock-up for one year following the Closing Date, and the remaining 50% of the Consideration Shares will be subject to a contractual lock-up for two years following the Closing Date, in each case subject to the terms and conditions of the lock-up agreement.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Voting Agreements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Certain ClearOne stockholders collectively holding at least 50.1% of Common Stock have agreed to enter into voting support agreements in favor of Cortigent and Vivani in connection with the Merger. The Merger Agreement also contemplates a voting agreement pursuant to which Vivani will vote its shares of Common Stock in support of a director designated by the pre-closing ClearOne stockholders and certain related matters, and the pre-closing ClearOne stockholders will vote their shares in support of the Vivani-designated directors during the equity moratorium period.</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 xml:space="preserve">Equity Issuance Moratorium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During the period commencing on the Closing Date and ending on the date that is the earlier of (i) the date that is 12 months after the Closing Date or (ii) the date on which the number of shares of Common Stock held by the pre-closing ClearOne stockholders is less than 5% of the then total number of outstanding shares of Common Stock, we will be subject to an equity issuance moratorium (the “Equity Moratorium”), subject to specified permitted exceptions set forth in the Merger Agreement. The equity moratorium is intended to restrict certain equity issuances by the Combined Company during the applicable period, except as expressly permitted by the Merger Agreement. Notwithstanding the above, if the gross proceeds of the Financing, including the exercise of any warrants therein, does not exceed $25,000,000 on or prior to the six months following the closing of the Financing, then the Equity Moratorium will end.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Interests of Certain Persons in Action</w:t>
      </w:r>
      <w:r>
        <w:rPr>
          <w:rFonts w:ascii="times new roman;times" w:hAnsi="times new roman;times"/>
          <w:sz w:val="20"/>
        </w:rPr>
        <w:t xml:space="preserve"> </w:t>
      </w:r>
      <w:r>
        <w:rPr>
          <w:rFonts w:ascii="times new roman;times" w:hAnsi="times new roman;times"/>
          <w:b/>
          <w:sz w:val="20"/>
        </w:rPr>
        <w:t xml:space="preserve">No. 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considering and approving Action No. 1, the ClearOne Board considered the interests of ClearOne’s directors and executive officers. Other than their interests as stockholders of the Company, neither the Company nor any of its directors or executive officers have any material interest in the Action No.1.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To the extent any director or executive officer’s beneficial ownership of Common Stock will be diluted as a result of the issuance of the Consideration Shares, such dilution will occur on the same basis as for the Company’s other existing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connection with the Merger, we may issue up to 855,000 Advisor Shares and, at closing, we intend to grant up to 1,400,000 stock options to certain individuals affiliated with Cortigent, in each case as contemplated by the Merger Agreement. ThinkEquity LLC acted as financial advisor in connection with the Merger, and the Merger Agreement contains provisions for the payment of a cash fee to ThinkEquity.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t>ACTION NO. 2</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APPROVAL OF OMNIBUS INCENTIVE PLAN</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Current Employee Stock Option Plans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Company’s current share-based incentive plan offering stock options is primarily through its 2007 Equity Incentive Plan. Under the 2007 Plan, one new share is issued for each stock option exercised. The 2007 Plan was restated and approved by the ClearOne stockholders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Generally, vesting schedules for options granted are based on three or four-year vesting schedules, with either one-third or one-fourth vesting on the first anniversary and the remaining options vesting ratably over the remainder of the vesting term. Generally, directors and officers have three-year vesting schedules and all other employees have four-year vesting schedules. Additionally, in the event of a change in control or the occurrence of a corporate transaction, the ClearOne Board has the authority to elect that all unvested options shall vest and become exercisable immediately prior to the event or closing of a transaction. As of December 31, 2025, the Company had 2,769 options with contractual lives of ten years and 16,947 options with contractual lives of six years.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As of December 31, 2025, there were 19,716 options outstanding under the 2007 Plan. As of December 31, 2025, the 2007 Plan had 1,980,284 authorized unissued options.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2026 Omnibus Incentive Plan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ClearOne Board believes that stock-based incentive awards play an important role in the success of the Company by encouraging and enabling the employees, officers, non-employee directors, and consultants of the Company and its affiliates upon whose judgment, initiative and efforts the Company largely depends for the successful conduct of its business to acquire a proprietary interest in the Company. In addition, the ClearOne Board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On July 17, 2026, the ClearOne Board adopted the 2026 Omnibus Incentive Plan and on August 3, 2026, the Majority Stockholders approved the adoption of the 2026 Plan by written consent.  A copy of the 2026 Plan is attached as Appendix B to this Information Statement and is incorporated herein by reference. </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 xml:space="preserve">Rationale for Approving the 2026 Plan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Equity incentive awards are a key component of our compensation strategy and represent a significant element of the compensation granted to all of our employees. The compensation committee and the ClearOne Board believe that we must continue to offer a competitive equity compensation program in order to attract, retain and motivate the talented and qualified employees necessary for our continued growth and success, especially given our industry and geographic location, and that the 2026 Plan is critical to our ongoing effort to build stockholder value. Without the 2026 Plan, we would not be able to offer a competitive equity compensation program to attract, retain, and motivate the talented and qualified employees necessary for our continued growth and success, especially in an industry that relies on equity compensation as a key component of overall employee compensation. In that event, we may need to increase cash compensation, which could increase our operating expenses and reduce alignment between employees and stockholders.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Pursuant to our compensation philosophy, we link the interests of employees with those of our stockholders and motivate our employees to act as owners of the business.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u w:val="single"/>
        </w:rPr>
      </w:pPr>
      <w:r>
        <w:rPr>
          <w:rFonts w:ascii="times new roman;times" w:hAnsi="times new roman;times"/>
          <w:i/>
          <w:sz w:val="20"/>
          <w:u w:val="single"/>
        </w:rPr>
        <w:t xml:space="preserve">Burn rate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information regarding historical awards granted and earned for the fiscal year 2023 through 2025 period, and the corresponding burn rate, which is defined as the number of shares subject to equity-based awards granted in a year divided by the weighted average number of shares of Common Stock outstanding for that year, for each of the last three fiscal years:</w:t>
      </w:r>
    </w:p>
    <w:tbl>
      <w:tblPr>
        <w:tblW w:w="5000" w:type="pct"/>
        <w:jc w:val="left"/>
        <w:tblInd w:w="0" w:type="dxa"/>
        <w:tblLayout w:type="fixed"/>
        <w:tblCellMar>
          <w:top w:w="0" w:type="dxa"/>
          <w:left w:w="0" w:type="dxa"/>
          <w:bottom w:w="0" w:type="dxa"/>
          <w:right w:w="0" w:type="dxa"/>
        </w:tblCellMar>
      </w:tblPr>
      <w:tblGrid>
        <w:gridCol w:w="6848"/>
        <w:gridCol w:w="74"/>
        <w:gridCol w:w="1039"/>
        <w:gridCol w:w="74"/>
        <w:gridCol w:w="1038"/>
        <w:gridCol w:w="74"/>
        <w:gridCol w:w="1058"/>
      </w:tblGrid>
      <w:tr>
        <w:trPr/>
        <w:tc>
          <w:tcPr>
            <w:tcW w:w="6848"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Share Element</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2025</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8"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2024</w:t>
            </w:r>
          </w:p>
        </w:tc>
        <w:tc>
          <w:tcPr>
            <w:tcW w:w="74" w:type="dxa"/>
            <w:tcBorders/>
            <w:shd w:fill="FFFFFF" w:val="clear"/>
            <w:vAlign w:val="center"/>
          </w:tcPr>
          <w:p>
            <w:pPr>
              <w:pStyle w:val="TableContents"/>
              <w:pBdr/>
              <w:bidi w:val="0"/>
              <w:spacing w:before="0" w:after="0"/>
              <w:ind w:left="0" w:right="0" w:hanging="0"/>
              <w:jc w:val="left"/>
              <w:rPr/>
            </w:pPr>
            <w:r>
              <w:rPr/>
              <w:t> </w:t>
            </w:r>
          </w:p>
        </w:tc>
        <w:tc>
          <w:tcPr>
            <w:tcW w:w="1058" w:type="dxa"/>
            <w:tcBorders/>
            <w:shd w:fill="FFFFFF" w:val="clear"/>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2023</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Stock Options Granted</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10,667</w:t>
            </w:r>
          </w:p>
        </w:tc>
        <w:tc>
          <w:tcPr>
            <w:tcW w:w="74" w:type="dxa"/>
            <w:tcBorders/>
            <w:shd w:fill="CCEEFF" w:val="clear"/>
            <w:vAlign w:val="center"/>
          </w:tcPr>
          <w:p>
            <w:pPr>
              <w:pStyle w:val="TableContents"/>
              <w:pBdr/>
              <w:bidi w:val="0"/>
              <w:spacing w:before="0" w:after="0"/>
              <w:ind w:left="0" w:right="0" w:hanging="0"/>
              <w:jc w:val="left"/>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8,002</w:t>
            </w:r>
          </w:p>
        </w:tc>
      </w:tr>
      <w:tr>
        <w:trPr/>
        <w:tc>
          <w:tcPr>
            <w:tcW w:w="6848" w:type="dxa"/>
            <w:tcBorders/>
            <w:shd w:fill="FFFF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Performance-Based Full-Value Awards Granted</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FFFFFF" w:val="clear"/>
            <w:vAlign w:val="center"/>
          </w:tcPr>
          <w:p>
            <w:pPr>
              <w:pStyle w:val="TableContents"/>
              <w:pBdr/>
              <w:bidi w:val="0"/>
              <w:spacing w:before="0" w:after="0"/>
              <w:ind w:left="0" w:right="0" w:hanging="0"/>
              <w:jc w:val="left"/>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b/>
                <w:sz w:val="20"/>
              </w:rPr>
            </w:pPr>
            <w:r>
              <w:rPr>
                <w:rFonts w:ascii="times new roman;times" w:hAnsi="times new roman;times"/>
                <w:b/>
                <w:sz w:val="20"/>
              </w:rPr>
              <w:t>Total Awards Granted</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10,667</w:t>
            </w:r>
          </w:p>
        </w:tc>
        <w:tc>
          <w:tcPr>
            <w:tcW w:w="74" w:type="dxa"/>
            <w:tcBorders/>
            <w:shd w:fill="CCEEFF" w:val="clear"/>
            <w:vAlign w:val="center"/>
          </w:tcPr>
          <w:p>
            <w:pPr>
              <w:pStyle w:val="TableContents"/>
              <w:pBdr/>
              <w:bidi w:val="0"/>
              <w:spacing w:before="0" w:after="0"/>
              <w:ind w:left="0" w:right="0" w:hanging="0"/>
              <w:jc w:val="left"/>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8,002</w:t>
            </w:r>
          </w:p>
        </w:tc>
      </w:tr>
      <w:tr>
        <w:trPr/>
        <w:tc>
          <w:tcPr>
            <w:tcW w:w="6848" w:type="dxa"/>
            <w:tcBorders/>
            <w:shd w:fill="FFFFFF" w:val="clear"/>
            <w:vAlign w:val="center"/>
          </w:tcPr>
          <w:p>
            <w:pPr>
              <w:pStyle w:val="TableContents"/>
              <w:keepNext w:val="true"/>
              <w:keepLines/>
              <w:bidi w:val="0"/>
              <w:spacing w:before="0" w:after="0"/>
              <w:ind w:left="0" w:right="0" w:hanging="0"/>
              <w:jc w:val="left"/>
              <w:rPr>
                <w:rFonts w:ascii="times new roman;times" w:hAnsi="times new roman;times"/>
                <w:sz w:val="20"/>
              </w:rPr>
            </w:pPr>
            <w:r>
              <w:rPr>
                <w:rFonts w:ascii="times new roman;times" w:hAnsi="times new roman;times"/>
                <w:sz w:val="20"/>
              </w:rPr>
              <w:t>Weighted average common shares outstanding during the fiscal year</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1,765,654</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1,598,756</w:t>
            </w:r>
          </w:p>
        </w:tc>
        <w:tc>
          <w:tcPr>
            <w:tcW w:w="74" w:type="dxa"/>
            <w:tcBorders/>
            <w:shd w:fill="FFFFFF" w:val="clear"/>
            <w:vAlign w:val="center"/>
          </w:tcPr>
          <w:p>
            <w:pPr>
              <w:pStyle w:val="TableContents"/>
              <w:pBdr/>
              <w:bidi w:val="0"/>
              <w:spacing w:before="0" w:after="0"/>
              <w:ind w:left="0" w:right="0" w:hanging="0"/>
              <w:jc w:val="left"/>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1,597,212</w:t>
            </w:r>
          </w:p>
        </w:tc>
      </w:tr>
      <w:tr>
        <w:trPr/>
        <w:tc>
          <w:tcPr>
            <w:tcW w:w="6848" w:type="dxa"/>
            <w:tcBorders/>
            <w:shd w:fill="CCEEFF" w:val="clear"/>
            <w:vAlign w:val="center"/>
          </w:tcPr>
          <w:p>
            <w:pPr>
              <w:pStyle w:val="TableContents"/>
              <w:keepNext w:val="true"/>
              <w:keepLines/>
              <w:bidi w:val="0"/>
              <w:spacing w:before="0" w:after="0"/>
              <w:ind w:left="0" w:right="0" w:hanging="0"/>
              <w:jc w:val="left"/>
              <w:rPr>
                <w:rFonts w:ascii="times new roman;times" w:hAnsi="times new roman;times"/>
                <w:b/>
                <w:sz w:val="20"/>
              </w:rPr>
            </w:pPr>
            <w:r>
              <w:rPr>
                <w:rFonts w:ascii="times new roman;times" w:hAnsi="times new roman;times"/>
                <w:b/>
                <w:sz w:val="20"/>
              </w:rPr>
              <w:t>Annual Burn Rate</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9"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0.00%</w:t>
            </w:r>
          </w:p>
        </w:tc>
        <w:tc>
          <w:tcPr>
            <w:tcW w:w="74" w:type="dxa"/>
            <w:tcBorders/>
            <w:shd w:fill="CCEEFF" w:val="clear"/>
            <w:vAlign w:val="center"/>
          </w:tcPr>
          <w:p>
            <w:pPr>
              <w:pStyle w:val="TableContents"/>
              <w:pBdr/>
              <w:bidi w:val="0"/>
              <w:spacing w:before="0" w:after="0"/>
              <w:ind w:left="0" w:right="0" w:hanging="0"/>
              <w:jc w:val="left"/>
              <w:rPr/>
            </w:pPr>
            <w:r>
              <w:rPr/>
              <w:t> </w:t>
            </w:r>
          </w:p>
        </w:tc>
        <w:tc>
          <w:tcPr>
            <w:tcW w:w="103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0.67%</w:t>
            </w:r>
          </w:p>
        </w:tc>
        <w:tc>
          <w:tcPr>
            <w:tcW w:w="74" w:type="dxa"/>
            <w:tcBorders/>
            <w:shd w:fill="CCEEFF" w:val="clear"/>
            <w:vAlign w:val="center"/>
          </w:tcPr>
          <w:p>
            <w:pPr>
              <w:pStyle w:val="TableContents"/>
              <w:pBdr/>
              <w:bidi w:val="0"/>
              <w:spacing w:before="0" w:after="0"/>
              <w:ind w:left="0" w:right="0" w:hanging="0"/>
              <w:jc w:val="left"/>
              <w:rPr/>
            </w:pPr>
            <w:r>
              <w:rPr/>
              <w:t> </w:t>
            </w:r>
          </w:p>
        </w:tc>
        <w:tc>
          <w:tcPr>
            <w:tcW w:w="1058" w:type="dxa"/>
            <w:tcBorders/>
            <w:shd w:fill="CCEE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0.50%</w:t>
            </w:r>
          </w:p>
        </w:tc>
      </w:tr>
      <w:tr>
        <w:trPr/>
        <w:tc>
          <w:tcPr>
            <w:tcW w:w="6848" w:type="dxa"/>
            <w:tcBorders/>
            <w:shd w:fill="FFFFFF" w:val="clear"/>
            <w:vAlign w:val="center"/>
          </w:tcPr>
          <w:p>
            <w:pPr>
              <w:pStyle w:val="TableContents"/>
              <w:keepNext w:val="true"/>
              <w:keepLines/>
              <w:bidi w:val="0"/>
              <w:spacing w:before="0" w:after="0"/>
              <w:ind w:left="0" w:right="0" w:hanging="0"/>
              <w:jc w:val="left"/>
              <w:rPr/>
            </w:pPr>
            <w:r>
              <w:rPr>
                <w:rFonts w:ascii="times new roman;times" w:hAnsi="times new roman;times"/>
                <w:b/>
                <w:sz w:val="20"/>
              </w:rPr>
              <w:t>Three-Year Average Burn Rate</w:t>
            </w:r>
            <w:r>
              <w:rPr/>
              <w:t xml:space="preserve"> </w:t>
            </w:r>
            <w:r>
              <w:rPr>
                <w:position w:val="5"/>
                <w:sz w:val="13"/>
                <w:sz w:val="16"/>
              </w:rPr>
              <w:t>(1)</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9"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 xml:space="preserve">0.39% </w:t>
            </w:r>
          </w:p>
        </w:tc>
        <w:tc>
          <w:tcPr>
            <w:tcW w:w="74" w:type="dxa"/>
            <w:tcBorders/>
            <w:shd w:fill="FFFFFF" w:val="clear"/>
            <w:vAlign w:val="center"/>
          </w:tcPr>
          <w:p>
            <w:pPr>
              <w:pStyle w:val="TableContents"/>
              <w:pBdr/>
              <w:bidi w:val="0"/>
              <w:spacing w:before="0" w:after="0"/>
              <w:ind w:left="0" w:right="0" w:hanging="0"/>
              <w:jc w:val="left"/>
              <w:rPr/>
            </w:pPr>
            <w:r>
              <w:rPr/>
              <w:t> </w:t>
            </w:r>
          </w:p>
        </w:tc>
        <w:tc>
          <w:tcPr>
            <w:tcW w:w="1038"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w:t>
            </w:r>
          </w:p>
        </w:tc>
        <w:tc>
          <w:tcPr>
            <w:tcW w:w="74" w:type="dxa"/>
            <w:tcBorders/>
            <w:shd w:fill="FFFFFF" w:val="clear"/>
            <w:vAlign w:val="center"/>
          </w:tcPr>
          <w:p>
            <w:pPr>
              <w:pStyle w:val="TableContents"/>
              <w:pBdr/>
              <w:bidi w:val="0"/>
              <w:spacing w:before="0" w:after="0"/>
              <w:ind w:left="0" w:right="0" w:hanging="0"/>
              <w:jc w:val="left"/>
              <w:rPr/>
            </w:pPr>
            <w:r>
              <w:rPr/>
              <w:t> </w:t>
            </w:r>
          </w:p>
        </w:tc>
        <w:tc>
          <w:tcPr>
            <w:tcW w:w="1058" w:type="dxa"/>
            <w:tcBorders/>
            <w:shd w:fill="FFFFFF" w:val="clear"/>
            <w:vAlign w:val="center"/>
          </w:tcPr>
          <w:p>
            <w:pPr>
              <w:pStyle w:val="TableContents"/>
              <w:pBdr/>
              <w:bidi w:val="0"/>
              <w:spacing w:before="0" w:after="0"/>
              <w:ind w:left="0" w:right="0" w:hanging="0"/>
              <w:jc w:val="right"/>
              <w:rPr>
                <w:rFonts w:ascii="times new roman;times" w:hAnsi="times new roman;times"/>
                <w:b/>
                <w:sz w:val="20"/>
              </w:rPr>
            </w:pPr>
            <w:r>
              <w:rPr>
                <w:rFonts w:ascii="times new roman;times" w:hAnsi="times new roman;times"/>
                <w:b/>
                <w:sz w:val="20"/>
              </w:rPr>
              <w:t xml:space="preserve">-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rFonts w:ascii="times new roman;times" w:hAnsi="times new roman;times"/>
                <w:sz w:val="13"/>
              </w:rPr>
            </w:pPr>
            <w:r>
              <w:rPr>
                <w:rFonts w:ascii="times new roman;times" w:hAnsi="times new roman;times"/>
                <w:sz w:val="13"/>
              </w:rPr>
              <w:t>(1)</w:t>
            </w:r>
          </w:p>
        </w:tc>
        <w:tc>
          <w:tcPr>
            <w:tcW w:w="1002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As illustrated in the table above, our three-year average burn rate for the 2023-2025 period was 0.39%, which is below the ISS industry category burn rate threshold of 8.41%.</w:t>
            </w:r>
          </w:p>
        </w:tc>
      </w:tr>
    </w:tbl>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Our compensation committee determined the size of the reserved pool under the 2026 Plan based on projected equity awards to anticipated new hires, projected annual equity awards to existing employees and an assessment of the magnitude of increase that our institutional investors and the firms that advise them would likely find acceptable. We may reassess the size of the reserved pool from time to time.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Reasons for Stockholder Approval</w:t>
      </w:r>
      <w:r>
        <w:rPr>
          <w:rFonts w:ascii="times new roman;times" w:hAnsi="times new roman;times"/>
          <w:sz w:val="20"/>
        </w:rPr>
        <w:t xml:space="preserve"> </w:t>
      </w:r>
      <w:r>
        <w:rPr>
          <w:rFonts w:ascii="times new roman;times" w:hAnsi="times new roman;times"/>
          <w:b/>
          <w:sz w:val="20"/>
        </w:rPr>
        <w:t>for Action No. 2</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Common Stock is listed on the Nasdaq, and, as such, we are subject to the applicable rules of the Nasdaq Stock Market LLC, including Nasdaq Listing Rule 5635(c), which requires stockholder approval prior the issuance of securities when a stock option or purchase plan is to be established or materially amended or other equity compensation arrangement made or materially amended, pursuant to which stock may be acquired by officers, directors, employees, or consultants, with certain limited exceptions as defined in the Nasdaq Listing Rules.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Action No.2 was approved by the ClearOne stockholders on August 3, 2026 by written consent. Since the Majority Stockholders have already approved Action No.2 by written consent, no further action is required.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Summary of the 2026 Plan</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description of certain features of the 2026 Plan is intended to be a summary only. The summary is qualified in its entirety by the full text of the 2026 Plan, which is attached hereto as Appendix B.</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Share Reserve</w:t>
      </w:r>
      <w:r>
        <w:rPr>
          <w:rFonts w:ascii="times new roman;times" w:hAnsi="times new roman;times"/>
          <w:sz w:val="20"/>
        </w:rPr>
        <w:t>. The maximum number of shares of Common Stock to be issued under the 2026 Plan is 2,500,000. Shares from the 2026 Plan that are forfeited, canceled, held back upon exercise of an option or settlement of an award to cover the exercise price or tax withholding, reacquired by the Company prior to vesting, satisfied without the issuance of shares or otherwise terminated (other than by exercise) will be added back to the reserved pool under the 2026 Plan.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Administration.</w:t>
      </w:r>
      <w:r>
        <w:rPr>
          <w:rFonts w:ascii="times new roman;times" w:hAnsi="times new roman;times"/>
          <w:sz w:val="20"/>
        </w:rPr>
        <w:t xml:space="preserve"> The 2026 Plan will be administered by either the ClearOne Board or the compensation committee (the “Administrator”). The Administrator has full power to select, from among the individuals eligible for awards, the individuals to whom awards will be granted, to make any combination of awards to participants, to modify or accelerate any award, and to determine the specific terms and conditions of each award, subject to the provisions of the 2026 Plan.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Eligibility; 2026 Plan</w:t>
      </w:r>
      <w:r>
        <w:rPr>
          <w:rFonts w:ascii="times new roman;times" w:hAnsi="times new roman;times"/>
          <w:sz w:val="20"/>
        </w:rPr>
        <w:t xml:space="preserve"> </w:t>
      </w:r>
      <w:r>
        <w:rPr>
          <w:rFonts w:ascii="times new roman;times" w:hAnsi="times new roman;times"/>
          <w:i/>
          <w:sz w:val="20"/>
        </w:rPr>
        <w:t>Limits.</w:t>
      </w:r>
      <w:r>
        <w:rPr>
          <w:rFonts w:ascii="times new roman;times" w:hAnsi="times new roman;times"/>
          <w:sz w:val="20"/>
        </w:rPr>
        <w:t> All full-time and part-time officers, employees, non-employee directors and consultants of the Company and its affiliates are eligible to participate in the 2026 Plan, subject to the discretion of the Administrator. As of August 3, 2026, approximately 12 individuals would have been eligible to participate in the 2026 Plan had it been effective on such date, which includes 2 executive officers, 4 employees who are not executive officers, 5 non-employee directors and 1 consultant. There are certain limits on the number of awards that may be granted under the 2026 Plan. For example, no more than 2,500,000 shares of Common Stock may be granted in the form of incentive stock options.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Director Compensation Limit.</w:t>
      </w:r>
      <w:r>
        <w:rPr>
          <w:rFonts w:ascii="times new roman;times" w:hAnsi="times new roman;times"/>
          <w:sz w:val="20"/>
        </w:rPr>
        <w:t xml:space="preserve"> The 2026 Plan provides that the value of all awards awarded under the 2026 Plan and all other cash compensation paid by the Company to any non-employee director in any calendar year for service as a non-employee director shall not exceed $500,000 ($750,000 for the non-employee director Board Chair); provided, however, that such amount shall be $750,000 for the calendar year in which the applicable non-employee director is initially elected or appointed to the Board.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Options.</w:t>
      </w:r>
      <w:r>
        <w:rPr>
          <w:rFonts w:ascii="times new roman;times" w:hAnsi="times new roman;times"/>
          <w:sz w:val="20"/>
        </w:rPr>
        <w:t xml:space="preserve"> The 2026 Plan permits the granting of (1) options to purchase Common Stock intended to qualify as incentive stock options under Section 422 of the Code and (2) options that do not so qualify. Options granted under the 2026 Plan will be non-qualified options if they fail to qualify as incentive stock options or exceed the annual limit on incentive stock options. Incentive stock options may only be granted to employees of the Company or a subsidiary corporation. Non-qualified options may be granted to any persons eligible to receive incentive stock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exempt from or compliant with Section 409A of the Code, the exercise price of an option may not be less than 100% of the fair market value of the Common Stock on the date of grant. In the case of an incentive stock option that is granted to a ten percent owner, the exercise price of such incentive stock option shall be not less than 110% of the fair market value on the grant date. Fair market value for this purpose will be determined by reference to the last reported sale price of the shares of Common Stock on the Nasdaq (or such other market on which our Common Stock is then principally listed). The exercise price of an option may not be reduced after the date of the grant without stockholder approval, other than to appropriately reflect changes in our capital structure.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term of each option will be fixed by the Administrator and may not exceed ten years from the date of grant. In the case of an incentive stock option that is granted to a ten percent owner, the term of such incentive stock option shall be no more than five years from the date of grant. The Administrator will determine at what time or times each option may be exercised. Options may be made exercisable in installments and the exercisability of options may be accelerated by the Administrator only in connection with the death of a grantee, disability of a grantee, or actual or constructive discharge of a grantee following a sale event of the Company. In general, unless otherwise permitted by the Administrator, no option granted under the 2026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To qualify as incentive stock options, options must meet additional federal tax requirements, including a $100,000 limit on the value of shares subject to incentive stock options that first become exercisable by a participant in any one calendar year.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Appreciation Rights.</w:t>
      </w:r>
      <w:r>
        <w:rPr>
          <w:rFonts w:ascii="times new roman;times" w:hAnsi="times new roman;times"/>
          <w:sz w:val="20"/>
        </w:rPr>
        <w:t xml:space="preserve"> The Administrator may award stock appreciation rights subject to such conditions and restrictions as the Administrator may determine. Stock appreciation rights entitle the recipient to receive shares of Common Stock or cash equal to the value of the appreciation in the stock price over the exercise price. The term of a stock appreciation right may not exceed ten years. The exercise price of stock appreciation rights may not be reduced after the date of the grant without stockholder approval, other than to appropriately reflect changes in our capital structure.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w:t>
      </w:r>
      <w:r>
        <w:rPr>
          <w:rFonts w:ascii="times new roman;times" w:hAnsi="times new roman;times"/>
          <w:sz w:val="20"/>
        </w:rPr>
        <w:t xml:space="preserve"> The Administrator may award shares of Common Stock to participants subject to such conditions and restrictions as the Administrator may determine. These conditions and restrictions may include the achievement of certain performance goals and/or continued employment with us through a specified restricted period. Upon the grant of a restricted stock award, a grantee shall have the rights of a stockholder with respect to the voting of the restricted shares but not with respect to the receipt of dividends with respect to the restricted shares (unless otherwise provided in an award agreement).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Units.</w:t>
      </w:r>
      <w:r>
        <w:rPr>
          <w:rFonts w:ascii="times new roman;times" w:hAnsi="times new roman;times"/>
          <w:sz w:val="20"/>
        </w:rPr>
        <w:t xml:space="preserve"> The Administrator may award restricted stock units to participants. Restricted stock 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Unrestricted Stock Awards.</w:t>
      </w:r>
      <w:r>
        <w:rPr>
          <w:rFonts w:ascii="times new roman;times" w:hAnsi="times new roman;times"/>
          <w:sz w:val="20"/>
        </w:rPr>
        <w:t xml:space="preserve"> The Administrator may also grant shares of Common Stock that are free from any restrictions under the 2026 Plan. Unrestricted stock may be granted to any participant in recognition of past services or other valid consideration and may be issued in lieu of cash compensation due to such participant.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Cash-Based Awards.</w:t>
      </w:r>
      <w:r>
        <w:rPr>
          <w:rFonts w:ascii="times new roman;times" w:hAnsi="times new roman;times"/>
          <w:sz w:val="20"/>
        </w:rPr>
        <w:t xml:space="preserve"> The Administrator may grant cash bonuses under the 2026 Plan to participants. The cash bonuses may be subject to the achievement of certain performance goals.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Dividend Equivalent Rights.</w:t>
      </w:r>
      <w:r>
        <w:rPr>
          <w:rFonts w:ascii="times new roman;times" w:hAnsi="times new roman;times"/>
          <w:sz w:val="20"/>
        </w:rPr>
        <w:t xml:space="preserve"> The Administrator may grant dividend equivalent rights to participants,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Change of Control Provisions.</w:t>
      </w:r>
      <w:r>
        <w:rPr>
          <w:rFonts w:ascii="times new roman;times" w:hAnsi="times new roman;times"/>
          <w:sz w:val="20"/>
        </w:rPr>
        <w:t xml:space="preserve"> In the event of a “sale event,” as defined in the 2026 Plan, awards under the 2026 Plan may be assumed, continued or substituted. In the event that awards are not assumed, continued or substituted, the 2026 Plan and all outstanding awards thereunder will terminate. In such case of termination, except as otherwise provided in the applicable award agreement, upon the effective time of the sale event, all awards with time-based conditions or restrictions will become vested and exercisable or non-forfeitable, and all awards with conditions and restrictions relating to the attainment of performance goals may become vested and exercisable or nonforfeitable in connection with a sale event in the Administrator’s discretion or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any payment or benefit that a plan participant would otherwise receive from the Company pursuant to an award under the 2026 Plan or otherwise would (a) constitute a “parachute payment” within the meaning of Section 280G of the Code and (b) be subject to the excise tax imposed by Section 4999 of the Code, then such payment or benefit will be cut back to either (i) the largest portion of the payment/benefit that would result in no portion of the payment/benefit (after reduction) being subject to the excise tax or (ii) the entire payment/benefit, whichever amount after taking into account all applicable federal, state and local employment taxes, income taxes, and the excise tax, results in the plan participant’s receipt, on an after</w:t>
        <w:noBreakHyphen/>
        <w:t>tax basis, of the greatest amount of the payment/benefit.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28</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Adjustments for Changes in Stock.</w:t>
      </w:r>
      <w:r>
        <w:rPr>
          <w:rFonts w:ascii="times new roman;times" w:hAnsi="times new roman;times"/>
          <w:sz w:val="20"/>
        </w:rPr>
        <w:t xml:space="preserve"> The 2026 Plan requires the Administrator to make appropriate and proportionate adjustments to the number of shares of Common Stock that are subject to the 2026 Plan, to certain limits in the 2026 Plan, and to any outstanding awards to reflect stock dividends, stock splits, extraordinary cash dividends and similar events.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Tax Withholding.</w:t>
      </w:r>
      <w:r>
        <w:rPr>
          <w:rFonts w:ascii="times new roman;times" w:hAnsi="times new roman;times"/>
          <w:sz w:val="20"/>
        </w:rPr>
        <w:t xml:space="preserve"> Participants in the 2026 Plan are responsible for the payment of any federal, state or local taxes that the Company is required by law to withhold upon the exercise of options or stock appreciation rights or vesting of other awards. The Administrator may require that tax withholding obligations be satisfied by withholding shares of Common Stock to be issued pursuant to exercise or vesting. The Administrator may also require our tax withholding obligation to be satisfied, in whole or in part, by an arrangement whereby a certain number of shares issued pursuant to any award are immediately sold and proceeds from such sale are remitted to us in an amount that would satisfy the withholding amount due. The Company has no duty or obligation to advise any participant as to the time or manner of exercising an award or to minimize the potential tax consequences of an award.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Amendments and Termination.</w:t>
      </w:r>
      <w:r>
        <w:rPr>
          <w:rFonts w:ascii="times new roman;times" w:hAnsi="times new roman;times"/>
          <w:sz w:val="20"/>
        </w:rPr>
        <w:t xml:space="preserve"> The ClearOne Board may at any time amend or discontinue the 2026 Plan and the ClearOne Board and the compensation committee may at any time amend or cancel any outstanding award for the purpose of satisfying changes in the law or for any other lawful purpose. However, no such action may adversely affect any rights under any outstanding award without the holder’s consent.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Nasdaq, any amendments that materially change the terms of the 2026 Plan will be subject to approval by our stockholders. Amendments shall also be subject to approval by our stockholders if and to the extent determined by the Administrator to be required by the Code to preserve the qualified status of incentive stock options.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Effective Date of Plan.</w:t>
      </w:r>
      <w:r>
        <w:rPr>
          <w:rFonts w:ascii="times new roman;times" w:hAnsi="times new roman;times"/>
          <w:sz w:val="20"/>
        </w:rPr>
        <w:t xml:space="preserve"> The 2026 Plan was approved by the ClearOne Board on July 17, 2026. </w:t>
      </w:r>
    </w:p>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 xml:space="preserve">Tax Aspects Under the Code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following is a summary of the principal federal income tax consequences of certain transactions under the 2026 Plan. It does not describe all federal tax consequences under the 2026 Plan, nor does it describe state or local tax consequences.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Incentive Stock Options.</w:t>
      </w:r>
      <w:r>
        <w:rPr>
          <w:rFonts w:ascii="times new roman;times" w:hAnsi="times new roman;times"/>
          <w:sz w:val="20"/>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Non-Qualified Stock Options.</w:t>
      </w:r>
      <w:r>
        <w:rPr>
          <w:rFonts w:ascii="times new roman;times" w:hAnsi="times new roman;times"/>
          <w:sz w:val="20"/>
        </w:rPr>
        <w:t xml:space="preserve"> No income is realized by the optionee at the time the non-qualified stock 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stock option is paid by tendering shares of Common Stock. Upon exercise, the optionee will also be subject to Social Security taxes on the excess of the fair market value over the exercise price of the stock option.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Stock Appreciation Rights.</w:t>
      </w:r>
      <w:r>
        <w:rPr>
          <w:rFonts w:ascii="times new roman;times" w:hAnsi="times new roman;times"/>
          <w:sz w:val="20"/>
        </w:rPr>
        <w:t xml:space="preserve"> No income will be recognized by a recipient upon the grant of either tandem or freestanding stock appreciation rights. For the year in which the stock appreciation right is exercised, the recipient will generally be taxed at ordinary income rates on the amount equal to the cash received plus the fair market value of any unrestricted shares received on the exercise.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Awards.</w:t>
      </w:r>
      <w:r>
        <w:rPr>
          <w:rFonts w:ascii="times new roman;times" w:hAnsi="times new roman;times"/>
          <w:sz w:val="20"/>
        </w:rPr>
        <w:t xml:space="preserve"> The recipient of a restricted stock award will generally be taxed at ordinary income rates on the fair market value of the restricted shares (reduced by any amount paid by the recipient for such restricted shares) at such time as the shares are no longer subject to restrictions. However, a recipient may elect under Section 83(b) of the Code (the election must be filed with the IRS within 30 days of the grant date) to be taxed at ordinary income rates on the difference between: (i) the fair market value of such shares of the Common 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Restricted Stock Units.</w:t>
      </w:r>
      <w:r>
        <w:rPr>
          <w:rFonts w:ascii="times new roman;times" w:hAnsi="times new roman;times"/>
          <w:sz w:val="20"/>
        </w:rPr>
        <w:t xml:space="preserve"> The recipient of a restricted stock unit will generally be taxed at ordinary income rates on the fair market value of the shares of the Common Stock awarded on the transfer date. The capital gains/loss holding period for such shares will also commence on such date.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Unrestricted Stock Awards.</w:t>
      </w:r>
      <w:r>
        <w:rPr>
          <w:rFonts w:ascii="times new roman;times" w:hAnsi="times new roman;times"/>
          <w:sz w:val="20"/>
        </w:rPr>
        <w:t xml:space="preserve"> The recipient of an unrestricted stock award will generally be taxed at ordinary income rates on the difference between: (i) the fair market value of the shares of the Common Stock on the grant date, and (ii) the purchase price, if any, of the shares.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Cash-Based Awards.</w:t>
      </w:r>
      <w:r>
        <w:rPr>
          <w:rFonts w:ascii="times new roman;times" w:hAnsi="times new roman;times"/>
          <w:sz w:val="20"/>
        </w:rPr>
        <w:t xml:space="preserve"> The recipient will generally be taxed at ordinary income rates on the amount equal to the cash received.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Dividend Equivalent Rights.</w:t>
      </w:r>
      <w:r>
        <w:rPr>
          <w:rFonts w:ascii="times new roman;times" w:hAnsi="times new roman;times"/>
          <w:sz w:val="20"/>
        </w:rPr>
        <w:t xml:space="preserve"> There are generally no Federal income tax consequences to the recipient or the Company on the grant of a dividend equivalent right. 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Parachute Payments.</w:t>
      </w:r>
      <w:r>
        <w:rPr>
          <w:rFonts w:ascii="times new roman;times" w:hAnsi="times new roman;times"/>
          <w:sz w:val="20"/>
        </w:rPr>
        <w:t xml:space="preserve"> The vesting of any portion of an option or other award that is accelerated due to the occurrence of a change in control (such as a sale event) may cause a portion of the payments with respect to such accelerated awards to be treated as “parachute payments” as defined in the Internal Revenue Code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i/>
          <w:sz w:val="20"/>
        </w:rPr>
        <w:t>Limitation on Deductions.</w:t>
      </w:r>
      <w:r>
        <w:rPr>
          <w:rFonts w:ascii="times new roman;times" w:hAnsi="times new roman;times"/>
          <w:sz w:val="20"/>
        </w:rPr>
        <w:t xml:space="preserve"> Under Section 162(m) of the Code, the Company’s deduction for awards under the 2026 Plan may be limited to the extent that any “covered employee” (as defined in Section 162(m) of the Code) receives compensation in excess of $1.0 million a year.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Equity Compensation Plan Information</w:t>
      </w:r>
    </w:p>
    <w:p>
      <w:pPr>
        <w:pStyle w:val="TextBody"/>
        <w:bidi w:val="0"/>
        <w:spacing w:lineRule="auto" w:line="288" w:before="0" w:after="200"/>
        <w:ind w:left="0" w:right="0" w:firstLine="720"/>
        <w:jc w:val="both"/>
        <w:rPr>
          <w:rFonts w:ascii="times new roman;times" w:hAnsi="times new roman;times"/>
          <w:sz w:val="20"/>
        </w:rPr>
      </w:pPr>
      <w:r>
        <w:rPr>
          <w:rFonts w:ascii="times new roman;times" w:hAnsi="times new roman;times"/>
          <w:sz w:val="20"/>
        </w:rPr>
        <w:t>The following table summarizes information, as of December 31, 2025, relating to equity compensation plans of ClearOne (including individual compensation arrangements) pursuant to which equity securities of ClearOne are authorized for issuance.</w:t>
      </w:r>
    </w:p>
    <w:tbl>
      <w:tblPr>
        <w:tblW w:w="5000" w:type="pct"/>
        <w:jc w:val="left"/>
        <w:tblInd w:w="0" w:type="dxa"/>
        <w:tblLayout w:type="fixed"/>
        <w:tblCellMar>
          <w:top w:w="0" w:type="dxa"/>
          <w:left w:w="0" w:type="dxa"/>
          <w:bottom w:w="0" w:type="dxa"/>
          <w:right w:w="0" w:type="dxa"/>
        </w:tblCellMar>
      </w:tblPr>
      <w:tblGrid>
        <w:gridCol w:w="2097"/>
        <w:gridCol w:w="60"/>
        <w:gridCol w:w="2229"/>
        <w:gridCol w:w="60"/>
        <w:gridCol w:w="2300"/>
        <w:gridCol w:w="60"/>
        <w:gridCol w:w="3399"/>
      </w:tblGrid>
      <w:tr>
        <w:trPr/>
        <w:tc>
          <w:tcPr>
            <w:tcW w:w="2097" w:type="dxa"/>
            <w:tcBorders/>
            <w:vAlign w:val="bottom"/>
          </w:tcPr>
          <w:p>
            <w:pPr>
              <w:pStyle w:val="TableContents"/>
              <w:keepNext w:val="true"/>
              <w:bidi w:val="0"/>
              <w:spacing w:before="0" w:after="0"/>
              <w:ind w:left="0" w:right="0" w:hanging="0"/>
              <w:jc w:val="left"/>
              <w:rPr>
                <w:rFonts w:ascii="times new roman;times" w:hAnsi="times new roman;times"/>
                <w:b/>
                <w:sz w:val="18"/>
              </w:rPr>
            </w:pPr>
            <w:r>
              <w:rPr>
                <w:rFonts w:ascii="times new roman;times" w:hAnsi="times new roman;times"/>
                <w:b/>
                <w:sz w:val="18"/>
              </w:rPr>
              <w:t>Plan Category</w:t>
            </w:r>
          </w:p>
        </w:tc>
        <w:tc>
          <w:tcPr>
            <w:tcW w:w="60" w:type="dxa"/>
            <w:tcBorders/>
            <w:vAlign w:val="bottom"/>
          </w:tcPr>
          <w:p>
            <w:pPr>
              <w:pStyle w:val="TableContents"/>
              <w:bidi w:val="0"/>
              <w:spacing w:before="0" w:after="0"/>
              <w:ind w:left="0" w:right="0" w:hanging="0"/>
              <w:jc w:val="left"/>
              <w:rPr/>
            </w:pPr>
            <w:r>
              <w:rPr/>
              <w:t> </w:t>
            </w:r>
          </w:p>
        </w:tc>
        <w:tc>
          <w:tcPr>
            <w:tcW w:w="2229" w:type="dxa"/>
            <w:tcBorders/>
            <w:vAlign w:val="bottom"/>
          </w:tcPr>
          <w:p>
            <w:pPr>
              <w:pStyle w:val="TableContents"/>
              <w:bidi w:val="0"/>
              <w:spacing w:before="0" w:after="0"/>
              <w:ind w:left="0" w:right="0" w:hanging="0"/>
              <w:jc w:val="center"/>
              <w:rPr/>
            </w:pPr>
            <w:r>
              <w:rPr>
                <w:rFonts w:ascii="times new roman;times" w:hAnsi="times new roman;times"/>
                <w:b/>
                <w:sz w:val="18"/>
              </w:rPr>
              <w:t>(a)</w:t>
            </w:r>
            <w:r>
              <w:rPr/>
              <w:br/>
            </w:r>
            <w:r>
              <w:rPr>
                <w:rFonts w:ascii="times new roman;times" w:hAnsi="times new roman;times"/>
                <w:b/>
                <w:sz w:val="18"/>
              </w:rPr>
              <w:t>Number of securities to be issued upon exercise of outstanding options and rights</w:t>
            </w:r>
          </w:p>
        </w:tc>
        <w:tc>
          <w:tcPr>
            <w:tcW w:w="60" w:type="dxa"/>
            <w:tcBorders/>
            <w:vAlign w:val="bottom"/>
          </w:tcPr>
          <w:p>
            <w:pPr>
              <w:pStyle w:val="TableContents"/>
              <w:bidi w:val="0"/>
              <w:spacing w:before="0" w:after="0"/>
              <w:ind w:left="0" w:right="0" w:hanging="0"/>
              <w:jc w:val="center"/>
              <w:rPr/>
            </w:pPr>
            <w:r>
              <w:rPr/>
              <w:t> </w:t>
            </w:r>
          </w:p>
        </w:tc>
        <w:tc>
          <w:tcPr>
            <w:tcW w:w="2300" w:type="dxa"/>
            <w:tcBorders/>
            <w:vAlign w:val="bottom"/>
          </w:tcPr>
          <w:p>
            <w:pPr>
              <w:pStyle w:val="TableContents"/>
              <w:bidi w:val="0"/>
              <w:spacing w:before="0" w:after="0"/>
              <w:ind w:left="0" w:right="0" w:hanging="0"/>
              <w:jc w:val="center"/>
              <w:rPr/>
            </w:pPr>
            <w:r>
              <w:rPr>
                <w:rFonts w:ascii="times new roman;times" w:hAnsi="times new roman;times"/>
                <w:b/>
                <w:sz w:val="18"/>
              </w:rPr>
              <w:t>(b)</w:t>
            </w:r>
            <w:r>
              <w:rPr/>
              <w:br/>
            </w:r>
            <w:r>
              <w:rPr>
                <w:rFonts w:ascii="times new roman;times" w:hAnsi="times new roman;times"/>
                <w:b/>
                <w:sz w:val="18"/>
              </w:rPr>
              <w:t>Weighted</w:t>
            </w:r>
            <w:r>
              <w:rPr>
                <w:rFonts w:ascii="times new roman;times" w:hAnsi="times new roman;times"/>
              </w:rPr>
              <w:noBreakHyphen/>
            </w:r>
            <w:r>
              <w:rPr>
                <w:rFonts w:ascii="times new roman;times" w:hAnsi="times new roman;times"/>
                <w:b/>
                <w:sz w:val="18"/>
              </w:rPr>
              <w:t>average exercise price of outstanding options and rights</w:t>
            </w:r>
          </w:p>
        </w:tc>
        <w:tc>
          <w:tcPr>
            <w:tcW w:w="60" w:type="dxa"/>
            <w:tcBorders/>
            <w:vAlign w:val="bottom"/>
          </w:tcPr>
          <w:p>
            <w:pPr>
              <w:pStyle w:val="TableContents"/>
              <w:bidi w:val="0"/>
              <w:spacing w:before="0" w:after="0"/>
              <w:ind w:left="0" w:right="0" w:hanging="0"/>
              <w:jc w:val="center"/>
              <w:rPr/>
            </w:pPr>
            <w:r>
              <w:rPr/>
              <w:t> </w:t>
            </w:r>
          </w:p>
        </w:tc>
        <w:tc>
          <w:tcPr>
            <w:tcW w:w="3399" w:type="dxa"/>
            <w:tcBorders/>
            <w:vAlign w:val="bottom"/>
          </w:tcPr>
          <w:p>
            <w:pPr>
              <w:pStyle w:val="TableContents"/>
              <w:bidi w:val="0"/>
              <w:spacing w:lineRule="atLeast" w:line="200" w:before="0" w:after="0"/>
              <w:ind w:left="0" w:right="0" w:hanging="0"/>
              <w:jc w:val="center"/>
              <w:rPr/>
            </w:pPr>
            <w:r>
              <w:rPr>
                <w:rFonts w:ascii="times new roman;times" w:hAnsi="times new roman;times"/>
                <w:b/>
                <w:sz w:val="18"/>
              </w:rPr>
              <w:t>(c)</w:t>
            </w:r>
            <w:r>
              <w:rPr/>
              <w:br/>
            </w:r>
            <w:r>
              <w:rPr>
                <w:rFonts w:ascii="times new roman;times" w:hAnsi="times new roman;times"/>
                <w:b/>
                <w:sz w:val="18"/>
              </w:rPr>
              <w:t>Number of securities remaining available for future issuance under equity compensation plans (excluding securities reflected in column(a))</w:t>
            </w:r>
          </w:p>
        </w:tc>
      </w:tr>
      <w:tr>
        <w:trPr/>
        <w:tc>
          <w:tcPr>
            <w:tcW w:w="2097" w:type="dxa"/>
            <w:tcBorders/>
            <w:shd w:fill="CCEEFF" w:val="clear"/>
            <w:vAlign w:val="bottom"/>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Approved by Stockholders</w:t>
            </w:r>
          </w:p>
        </w:tc>
        <w:tc>
          <w:tcPr>
            <w:tcW w:w="60" w:type="dxa"/>
            <w:tcBorders/>
            <w:shd w:fill="CCEEFF" w:val="clear"/>
            <w:vAlign w:val="bottom"/>
          </w:tcPr>
          <w:p>
            <w:pPr>
              <w:pStyle w:val="TableContents"/>
              <w:keepNext w:val="true"/>
              <w:bidi w:val="0"/>
              <w:spacing w:before="0" w:after="0"/>
              <w:ind w:left="0" w:right="0" w:hanging="0"/>
              <w:jc w:val="left"/>
              <w:rPr/>
            </w:pPr>
            <w:r>
              <w:rPr/>
              <w:t> </w:t>
            </w:r>
          </w:p>
        </w:tc>
        <w:tc>
          <w:tcPr>
            <w:tcW w:w="222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bottom"/>
          </w:tcPr>
          <w:p>
            <w:pPr>
              <w:pStyle w:val="TableContents"/>
              <w:keepNext w:val="true"/>
              <w:bidi w:val="0"/>
              <w:spacing w:before="0" w:after="0"/>
              <w:ind w:left="0" w:right="0" w:hanging="0"/>
              <w:jc w:val="center"/>
              <w:rPr/>
            </w:pPr>
            <w:r>
              <w:rPr/>
              <w:t> </w:t>
            </w:r>
          </w:p>
        </w:tc>
        <w:tc>
          <w:tcPr>
            <w:tcW w:w="2300"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bottom"/>
          </w:tcPr>
          <w:p>
            <w:pPr>
              <w:pStyle w:val="TableContents"/>
              <w:keepNext w:val="true"/>
              <w:bidi w:val="0"/>
              <w:spacing w:before="0" w:after="0"/>
              <w:ind w:left="0" w:right="0" w:hanging="0"/>
              <w:jc w:val="center"/>
              <w:rPr/>
            </w:pPr>
            <w:r>
              <w:rPr/>
              <w:t> </w:t>
            </w:r>
          </w:p>
        </w:tc>
        <w:tc>
          <w:tcPr>
            <w:tcW w:w="339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r>
        <w:trPr/>
        <w:tc>
          <w:tcPr>
            <w:tcW w:w="2097" w:type="dxa"/>
            <w:tcBorders/>
            <w:vAlign w:val="bottom"/>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Equity Compensation Plans Not Approved by Stockholders</w:t>
            </w:r>
          </w:p>
        </w:tc>
        <w:tc>
          <w:tcPr>
            <w:tcW w:w="60" w:type="dxa"/>
            <w:tcBorders/>
            <w:vAlign w:val="bottom"/>
          </w:tcPr>
          <w:p>
            <w:pPr>
              <w:pStyle w:val="TableContents"/>
              <w:keepNext w:val="true"/>
              <w:bidi w:val="0"/>
              <w:spacing w:before="0" w:after="0"/>
              <w:ind w:left="0" w:right="0" w:hanging="0"/>
              <w:jc w:val="left"/>
              <w:rPr/>
            </w:pPr>
            <w:r>
              <w:rPr/>
              <w:t> </w:t>
            </w:r>
          </w:p>
        </w:tc>
        <w:tc>
          <w:tcPr>
            <w:tcW w:w="2229" w:type="dxa"/>
            <w:tcBorders/>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bottom"/>
          </w:tcPr>
          <w:p>
            <w:pPr>
              <w:pStyle w:val="TableContents"/>
              <w:keepNext w:val="true"/>
              <w:bidi w:val="0"/>
              <w:spacing w:before="0" w:after="0"/>
              <w:ind w:left="0" w:right="0" w:hanging="0"/>
              <w:jc w:val="center"/>
              <w:rPr/>
            </w:pPr>
            <w:r>
              <w:rPr/>
              <w:t> </w:t>
            </w:r>
          </w:p>
        </w:tc>
        <w:tc>
          <w:tcPr>
            <w:tcW w:w="2300" w:type="dxa"/>
            <w:tcBorders/>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w:t>
            </w:r>
          </w:p>
        </w:tc>
        <w:tc>
          <w:tcPr>
            <w:tcW w:w="60" w:type="dxa"/>
            <w:tcBorders/>
            <w:vAlign w:val="bottom"/>
          </w:tcPr>
          <w:p>
            <w:pPr>
              <w:pStyle w:val="TableContents"/>
              <w:keepNext w:val="true"/>
              <w:bidi w:val="0"/>
              <w:spacing w:before="0" w:after="0"/>
              <w:ind w:left="0" w:right="0" w:hanging="0"/>
              <w:jc w:val="center"/>
              <w:rPr/>
            </w:pPr>
            <w:r>
              <w:rPr/>
              <w:t> </w:t>
            </w:r>
          </w:p>
        </w:tc>
        <w:tc>
          <w:tcPr>
            <w:tcW w:w="3399" w:type="dxa"/>
            <w:tcBorders/>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w:t>
            </w:r>
          </w:p>
        </w:tc>
      </w:tr>
      <w:tr>
        <w:trPr/>
        <w:tc>
          <w:tcPr>
            <w:tcW w:w="2097"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w:t>
            </w:r>
          </w:p>
        </w:tc>
        <w:tc>
          <w:tcPr>
            <w:tcW w:w="60" w:type="dxa"/>
            <w:tcBorders/>
            <w:shd w:fill="CCEEFF" w:val="clear"/>
            <w:vAlign w:val="bottom"/>
          </w:tcPr>
          <w:p>
            <w:pPr>
              <w:pStyle w:val="TableContents"/>
              <w:bidi w:val="0"/>
              <w:spacing w:before="0" w:after="0"/>
              <w:ind w:left="0" w:right="0" w:hanging="0"/>
              <w:jc w:val="left"/>
              <w:rPr/>
            </w:pPr>
            <w:r>
              <w:rPr/>
              <w:t> </w:t>
            </w:r>
          </w:p>
        </w:tc>
        <w:tc>
          <w:tcPr>
            <w:tcW w:w="222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19,716</w:t>
            </w:r>
          </w:p>
        </w:tc>
        <w:tc>
          <w:tcPr>
            <w:tcW w:w="60" w:type="dxa"/>
            <w:tcBorders/>
            <w:shd w:fill="CCEEFF" w:val="clear"/>
            <w:vAlign w:val="bottom"/>
          </w:tcPr>
          <w:p>
            <w:pPr>
              <w:pStyle w:val="TableContents"/>
              <w:bidi w:val="0"/>
              <w:spacing w:before="0" w:after="0"/>
              <w:ind w:left="0" w:right="0" w:hanging="0"/>
              <w:jc w:val="center"/>
              <w:rPr/>
            </w:pPr>
            <w:r>
              <w:rPr/>
              <w:t> </w:t>
            </w:r>
          </w:p>
        </w:tc>
        <w:tc>
          <w:tcPr>
            <w:tcW w:w="2300"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$35.33</w:t>
            </w:r>
          </w:p>
        </w:tc>
        <w:tc>
          <w:tcPr>
            <w:tcW w:w="60" w:type="dxa"/>
            <w:tcBorders/>
            <w:shd w:fill="CCEEFF" w:val="clear"/>
            <w:vAlign w:val="bottom"/>
          </w:tcPr>
          <w:p>
            <w:pPr>
              <w:pStyle w:val="TableContents"/>
              <w:bidi w:val="0"/>
              <w:spacing w:before="0" w:after="0"/>
              <w:ind w:left="0" w:right="0" w:hanging="0"/>
              <w:jc w:val="center"/>
              <w:rPr/>
            </w:pPr>
            <w:r>
              <w:rPr/>
              <w:t> </w:t>
            </w:r>
          </w:p>
        </w:tc>
        <w:tc>
          <w:tcPr>
            <w:tcW w:w="3399" w:type="dxa"/>
            <w:tcBorders/>
            <w:shd w:fill="CCEEFF" w:val="clear"/>
            <w:vAlign w:val="bottom"/>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1,980,284</w:t>
            </w:r>
          </w:p>
        </w:tc>
      </w:tr>
    </w:tbl>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Interests of Certain Persons in Action No. 2</w:t>
      </w:r>
    </w:p>
    <w:p>
      <w:pPr>
        <w:pStyle w:val="TextBody"/>
        <w:widowControl/>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widowControl/>
        <w:bidi w:val="0"/>
        <w:spacing w:lineRule="auto" w:line="288" w:before="0" w:after="24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considering and approving Action</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No. 2, the ClearOne Board</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considered the interests of the Company’s directors and executive officers. The interests of directors and officers are</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limited to their participation in the 2026 Plan through the issuance of equity incentive awards at ClearOne’s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discretion.</w:t>
      </w:r>
    </w:p>
    <w:p>
      <w:pPr>
        <w:pStyle w:val="TextBody"/>
        <w:bidi w:val="0"/>
        <w:spacing w:lineRule="auto" w:line="288" w:before="200" w:after="200"/>
        <w:ind w:left="0" w:right="0" w:hanging="0"/>
        <w:jc w:val="center"/>
        <w:rPr>
          <w:rFonts w:ascii="times new roman;times" w:hAnsi="times new roman;times"/>
          <w:b/>
          <w:sz w:val="20"/>
        </w:rPr>
      </w:pPr>
      <w:r>
        <w:rPr>
          <w:rFonts w:ascii="times new roman;times" w:hAnsi="times new roman;times"/>
          <w:b/>
          <w:sz w:val="20"/>
        </w:rPr>
        <w:t>UNAUDITED PRO FORMA COMBINED FINANCIAL INFORMATION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Pro Forma Information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See “Appendix D” for the unaudited pro forma condensed combined financial information prepared in accordance with Article 11 of Regulation S-X under the Securities Act and Release No. 33-10786, “Amendments to Financial Disclosures about Acquired and Disposed Businesses.”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MARKET PRICE AND DIVIDEND INFORMATION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Per Share Market Price and Dividend Information</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Market Prices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ClearOne Common Stock is currently quoted on Nasdaq under the symbol “CLRO”. As of July 31, 2026, the latest practicable trading day before the date of this Information Statement, there were 2,675,412 shares of ClearOne Common Stock outstanding. Additionally, as of July 31, 2026, there were approximately 288 registered holders of record of ClearOne Common Stock.</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presents trading information for ClearOne Common Stock on July 1, 2026, the last trading day before the public announcement of the Merger Agreement, and July 31, 2026, the latest practicable trading day before the date of this Information Statement.</w:t>
      </w:r>
    </w:p>
    <w:tbl>
      <w:tblPr>
        <w:tblW w:w="5000" w:type="pct"/>
        <w:jc w:val="left"/>
        <w:tblInd w:w="-7" w:type="dxa"/>
        <w:tblLayout w:type="fixed"/>
        <w:tblCellMar>
          <w:top w:w="28" w:type="dxa"/>
          <w:left w:w="108" w:type="dxa"/>
          <w:bottom w:w="28" w:type="dxa"/>
          <w:right w:w="108" w:type="dxa"/>
        </w:tblCellMar>
      </w:tblPr>
      <w:tblGrid>
        <w:gridCol w:w="3559"/>
        <w:gridCol w:w="2714"/>
        <w:gridCol w:w="1935"/>
        <w:gridCol w:w="1997"/>
      </w:tblGrid>
      <w:tr>
        <w:trPr/>
        <w:tc>
          <w:tcPr>
            <w:tcW w:w="355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pPr>
            <w:r>
              <w:rPr/>
              <w:t> </w:t>
            </w:r>
          </w:p>
        </w:tc>
        <w:tc>
          <w:tcPr>
            <w:tcW w:w="6646" w:type="dxa"/>
            <w:gridSpan w:val="3"/>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ClearOne Common Stock</w:t>
            </w:r>
          </w:p>
        </w:tc>
      </w:tr>
      <w:tr>
        <w:trPr/>
        <w:tc>
          <w:tcPr>
            <w:tcW w:w="355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Date</w:t>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High</w:t>
            </w:r>
          </w:p>
        </w:tc>
        <w:tc>
          <w:tcPr>
            <w:tcW w:w="19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Low</w:t>
            </w:r>
          </w:p>
        </w:tc>
        <w:tc>
          <w:tcPr>
            <w:tcW w:w="199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Close</w:t>
            </w:r>
          </w:p>
        </w:tc>
      </w:tr>
      <w:tr>
        <w:trPr/>
        <w:tc>
          <w:tcPr>
            <w:tcW w:w="355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July 1, 2026</w:t>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$3.22</w:t>
            </w:r>
          </w:p>
        </w:tc>
        <w:tc>
          <w:tcPr>
            <w:tcW w:w="19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$2.99</w:t>
            </w:r>
          </w:p>
        </w:tc>
        <w:tc>
          <w:tcPr>
            <w:tcW w:w="199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$3.22</w:t>
            </w:r>
          </w:p>
        </w:tc>
      </w:tr>
      <w:tr>
        <w:trPr/>
        <w:tc>
          <w:tcPr>
            <w:tcW w:w="355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July 31, 2026</w:t>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b/>
              </w:rPr>
            </w:pPr>
            <w:r>
              <w:rPr>
                <w:b/>
              </w:rPr>
              <w:t>$4.375</w:t>
            </w:r>
          </w:p>
        </w:tc>
        <w:tc>
          <w:tcPr>
            <w:tcW w:w="1935"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$3.85</w:t>
            </w:r>
          </w:p>
        </w:tc>
        <w:tc>
          <w:tcPr>
            <w:tcW w:w="1997"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$4.08</w:t>
            </w:r>
          </w:p>
        </w:tc>
      </w:tr>
    </w:tbl>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rPr>
        <w:t>ClearOne’s expected dividend yield is zero, as it has not and does not currently intend to declare dividends in the foreseeable future. Cortigent’s expected dividend yield is zero, as it has not and does not currently intend to declare dividends in the foreseeable future.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bidi w:val="0"/>
        <w:spacing w:lineRule="auto" w:line="288"/>
        <w:jc w:val="both"/>
        <w:rPr/>
      </w:pPr>
      <w:r>
        <w:rPr/>
      </w:r>
    </w:p>
    <w:p>
      <w:pPr>
        <w:pStyle w:val="TextBody"/>
        <w:bidi w:val="0"/>
        <w:spacing w:lineRule="auto" w:line="288" w:before="0" w:after="0"/>
        <w:jc w:val="both"/>
        <w:rPr/>
      </w:pPr>
      <w:r>
        <w:rPr/>
      </w:r>
    </w:p>
    <w:p>
      <w:pPr>
        <w:pStyle w:val="TextBody"/>
        <w:bidi w:val="0"/>
        <w:spacing w:lineRule="auto" w:line="288"/>
        <w:jc w:val="both"/>
        <w:rPr/>
      </w:pPr>
      <w:r>
        <w:rPr/>
        <w:t xml:space="preserve">  </w:t>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ABOUT CORTIGENT</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through its predecessor Second Sight, is a pioneer in developing precision targeted neurostimulation systems to help patients recover critical body functions. Cortigent’s technology combines advanced neuroscience with proprietary microelectronics, software, and data processing capabilities to provide artificial vision and potentially restore muscle movement. Cortigent’s first commercial system, Argus II®, a retinal implant, was approved by the FDA under a Humanitarian Device Exemption (“HDE”) and has provided artificial vision to hundreds of profoundly blind people who were implanted with this device. Building on this neurostimulation platform, Cortigent has completed an early feasibility clinical trial to evaluate a more advanced system for artificial vision named “Orion”. Cortigent is further exploring the application of its core neurostimulation technology for accelerating the recovery of arm and hand function in patients who are partially paralyzed due to stroke. In February 2023, Cortigent held a meeting with FDA staff to commence discussions of an early feasibility clinical study in stroke victims. Cortigent believes that additional future applications of Cortigent’s platform technology may have the potential to generate substantial business growth over time. To date neither Cortigent, nor the prior operations of Second Sight Medical Products, Inc., have generated net income from sales of the now discontinued Argus II product. Cortigent will not generate revenues unless and until it completes the development of and attains the regulatory marketing approval for Orion or other neurostimulation systems under development.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Both the Argus II and Orion devices create artificial vision by using electrical stimulation. Artificial vision does not restore normal stereoscopic vision or vision with color but rather perceptions of light and shapes requiring implantees to interpret their environment through specialized training. Artificial vision can aid in supporting basic tasks such as finding a doorway, detecting another person’s presence, following a sidewalk or locating an object. For the Argus II device, the stimulation is delivered to the surviving cells of the retina which convey the activity to the brain via the optic nerve. For the Orion device, electrical stimulation is delivered directly to the visual cortex, the region of the brain responsible for vision. The pattern of electrical stimulation corresponds to the images captured by a small video camera mounted in the center of the glasses that the patient wears and is connected to the video processing unit (“VPU”). The VPU is a battery-powered device worn by the user, typically on a belt or a strap, that sends power and stimulation commands to the implant and receives diagnostic information from the implant via the external antenna of the glasses.</w:t>
      </w:r>
    </w:p>
    <w:p>
      <w:pPr>
        <w:pStyle w:val="TextBody"/>
        <w:bidi w:val="0"/>
        <w:spacing w:lineRule="auto" w:line="288"/>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2017, Cortigent commenced an Early Feasibility Study of Orion (the “Orion EFS”) in six subjects who enrolled at two medical sites, the Ronald Reagan UCLA Medical Center in Los Angeles (“UCLA”) and the Baylor College of Medicine in Houston (“Baylor”). Regularly scheduled visits at both sites were paused in mid-March 2020 due to the COVID-19 outbreak; visits at UCLA resumed in September 2020 and at Baylor in December 2020. Three of the six subjects were explanted after the third year of the study. The remaining three subjects completed visits through six years. The Orion EFS ended in March 2025, and one subject had the device explanted at the end of the study. Cortigent has three-year safety data for all six subjects, and six-year safety data for three subjects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a pre-revenue company with a history extending from 1998, including the history of its predecessor Second Sight, of recurring operating losses that are likely to continue for the foreseeable future. Cortigent will require substantial additional capital to continue development of its products and fund clinical trials. To decrease its operating expenses, Cortigent reduced its staff and currently employs five full-time persons as of August 3, 2026. As a pre-revenue company, Cortigent’s ability to generate sufficient revenues to fund operations is uncertain. For the three months ended March 31, 2026 and the fiscal years ended December 31, 2025 and 2024, Cortigent generated no revenue from operations and incurred a net loss of $0.8 million, $3.1 million and $2.2 million, respectively.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Cortigent is a development-stage medical device company. Substantially all of Cortigent’s current value proposition is dependent upon the successful development, regulatory approval and commercialization of product candidates that remain investigational and are not currently approved for commercial sale. Cortigent has incurred operating losses, expects to continue to incur losses for the foreseeable future and may never achieve profitability.</w:t>
      </w:r>
    </w:p>
    <w:p>
      <w:pPr>
        <w:pStyle w:val="TextBody"/>
        <w:bidi w:val="0"/>
        <w:spacing w:lineRule="auto" w:line="288" w:before="0" w:after="0"/>
        <w:ind w:left="0" w:right="0" w:hanging="0"/>
        <w:jc w:val="both"/>
        <w:rPr>
          <w:sz w:val="20"/>
        </w:rPr>
      </w:pPr>
      <w:r>
        <w:rPr>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64" w:before="0" w:after="0"/>
        <w:ind w:left="0" w:right="0" w:hanging="0"/>
        <w:jc w:val="both"/>
        <w:rPr/>
      </w:pPr>
      <w:r>
        <w:rPr/>
      </w:r>
    </w:p>
    <w:p>
      <w:pPr>
        <w:pStyle w:val="TextBody"/>
        <w:bidi w:val="0"/>
        <w:spacing w:lineRule="auto" w:line="264" w:before="0" w:after="0"/>
        <w:ind w:left="0" w:right="0" w:hanging="0"/>
        <w:jc w:val="both"/>
        <w:rPr>
          <w:rFonts w:ascii="times new roman;times" w:hAnsi="times new roman;times"/>
          <w:b/>
          <w:sz w:val="20"/>
        </w:rPr>
      </w:pPr>
      <w:r>
        <w:rPr>
          <w:rFonts w:ascii="times new roman;times" w:hAnsi="times new roman;times"/>
          <w:b/>
          <w:sz w:val="20"/>
        </w:rPr>
        <w:t>Clinical Trials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Clinical trials are almost always required to support a PMA application and are sometimes required for 510(k) clearance. In the U.S., for significant risk devices, these trials require submission of an application for an IDE to the FDA. The IDE application must be supported by appropriate data, such as animal and laboratory testing results, showing it is safe to test the device in humans and that the testing protocol is scientifically sound. The IDE must be reviewed in advance by the FDA for a specific number of patients at specified study sites and the study may not proceed if FDA raises any objections or concerns that constitute a clinical hold, unless and until such concerns are resolved to FDA’s satisfaction. During the trial, the sponsor must comply with the FDA’s IDE requirements for investigator selection, trial monitoring, reporting and recordkeeping. The investigators must obtain patient informed consent, rigorously follow the investigational plan and study protocol, control the disposition of investigational devices and comply with all reporting and recordkeeping requirements. Clinical trials for significant risk devices may not begin until the IDE application becomes effective pursuant to FDA’s review and the appropriate IRB at the clinical trial sites are in agreement.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trials sites. The FDA or the IRB at each site at which a clinical trial is being performed may order a clinical trial to be suspended or terminated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Sponsors of clinical trials of devices are required to register with clinicaltrials.gov, a public database of clinical trial information. Information related to the device, patient population, phase of investigation, study sites and investigators and other aspects of the clinical trial is made public as part of the registration.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b/>
          <w:sz w:val="20"/>
        </w:rPr>
        <w:t>Cortigent’s Market Opportunity and Competition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The medical device industry is characterized by a rapid evolution of technologies, significant competition and defensive positioning regarding intellectual property. While Cortigent believes that its platforms, technology, knowledge, experience, and scientific resources provides it with unique competitive advantages and a leadership position, Cortigent expects to face competition from major medical device companies, academic institutions, governmental agencies, and public and private research institutions, among others.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Regulation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Government authorities in the United States, at the federal, state, and local levels,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that Cortigent is developing. Any medical device that Cortigent develops must be approved by the FDA before it may be legally marketed in the U.S. and marketing in other countries will require approvals by appropriate foreign regulatory agencies in such countries.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bidi w:val="0"/>
        <w:spacing w:lineRule="auto" w:line="288"/>
        <w:jc w:val="both"/>
        <w:rPr/>
      </w:pPr>
      <w:r>
        <w:rPr/>
      </w:r>
    </w:p>
    <w:p>
      <w:pPr>
        <w:pStyle w:val="TextBody"/>
        <w:bidi w:val="0"/>
        <w:spacing w:lineRule="auto" w:line="288"/>
        <w:jc w:val="both"/>
        <w:rPr/>
      </w:pPr>
      <w:r>
        <w:rPr/>
      </w:r>
    </w:p>
    <w:p>
      <w:pPr>
        <w:pStyle w:val="TextBody"/>
        <w:bidi w:val="0"/>
        <w:spacing w:lineRule="auto" w:line="288" w:before="0" w:after="0"/>
        <w:ind w:left="0" w:right="0" w:hanging="0"/>
        <w:jc w:val="both"/>
        <w:rPr>
          <w:b/>
        </w:rPr>
      </w:pPr>
      <w:r>
        <w:rPr>
          <w:b/>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Intellectual Property</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Cortigent has amassed an extensive intellectual property estate consisting of rights (as of June 30, 2026) to 146 issued U.S. patents, 11 issued European patents (nationalized in France and Germany, or a unitary patent plus Great Britain), two pending U.S. patent applications, including a March 2023 filing covering the stroke recovery device under development, one pending European patent applications, three issued U.S. design patents and two issued European design registrations (with two corresponding issued British design registrations). Cortigent’s patent estate covers the foundational technologies invented during the development of the Argus and Orion devices with approximately 100 of Cortigent’s issued U.S. patents reaching the end of their term by the end of 2029. The remaining patent estate in the U.S. extends into 2038 and covers the core technologies of neurostimulation techniques for implantable devices and achieving implant longevity, which are integral to Cortigent’s current and future product lines, including the planned Stroke Recovery System.</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b/>
          <w:sz w:val="20"/>
        </w:rPr>
        <w:t>Properties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Cortigent’s headquarters are in Valencia, California. Cortigent currently leases approximately 5,000 square feet of office space and storage at 27200 Tourney Road, Valencia, California 91355.</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b/>
          <w:sz w:val="20"/>
        </w:rPr>
        <w:t>Employees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As of August 3, 2026, Cortigent had approximately five full-time employees and no part-time employees. None of Cortigent’s employees are represented by a labor union or covered by a collective bargaining agreement, and Cortigent believes that its employee relations are good. Cortigent also relies on consultants, advisors, clinical investigators, service providers and relationships with Vivani to conduct its business and advance its product development programs.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b/>
          <w:sz w:val="20"/>
        </w:rPr>
        <w:t>Legal Proceedings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From time to time, Cortigent may become involved in legal proceedings, claims, investigations or other disputes arising in the ordinary course of business, including matters relating to product development, clinical trials, regulatory compliance, intellectual property, commercial relationships or employment matters. As of August 3, 2026 Cortigent is not a party to any material legal proceedings that, in the opinion of its management, would reasonably be expected to have a material adverse effect on its business, financial condition or results of operations.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HorizontalLine"/>
        <w:bidi w:val="0"/>
        <w:spacing w:lineRule="auto" w:line="288"/>
        <w:jc w:val="both"/>
        <w:rPr/>
      </w:pPr>
      <w:r>
        <w:rPr/>
      </w:r>
    </w:p>
    <w:p>
      <w:pPr>
        <w:pStyle w:val="TextBody"/>
        <w:bidi w:val="0"/>
        <w:spacing w:lineRule="auto" w:line="288"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t>MANAGEMENT’S DISCUSSION AND ANALYSIS OF FINANCIAL CONDITION AND RESULTS OF OPERATIONS OF CORTIGENT</w:t>
      </w:r>
    </w:p>
    <w:p>
      <w:pPr>
        <w:pStyle w:val="TextBody"/>
        <w:bidi w:val="0"/>
        <w:spacing w:lineRule="auto" w:line="288" w:before="0" w:after="4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Unless the context otherwise requires, all references in this section to the “Company,” “Cortigent,” “we,” “us” or “our” refer to Cortigent, Inc., a Delaware corporation, together with its subsidiary. This Management’s Discussion and Analysis of Financial Condition and Results of Operations (“MD&amp;A”) should be read in conjunction with Cortigent’s audited consolidated financial statements and the related notes thereto as of and for the years ended December 31, 2025 and 2024, and Cortigent’s unaudited interim condensed consolidated financial statements and the related notes thereto as of and for the three months ended March 31, 2026 and 2025, included elsewhere in this Information Statement.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MD&amp;A contains forward-looking statements within the meaning of Section 27A of the Securities Act of 1933, as amended, and Section 21E of the Securities Exchange Act of 1934, as amended. These forward-looking statements involve known and unknown risks, uncertainties and other factors that may cause Cortigent’s actual results, performance or achievements to be materially different from any future results, performance or achievements expressed or implied by such statements. Words such as “anticipate,” “believe,” “estimate,” “expect,” “intend,” “may,” “plan,” “project,” “target,” “will,” “would” and similar expressions are intended to identify forward-looking statements. Cortigent undertakes no obligation to update or revise any forward-looking statements, except as required by applicable law.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was incorporated in the state of Delaware on November 10, 2022. Cortigent is a neurotechnology and medical device company focused on developing precision targeted neurostimulation systems designed to help patients recover critical body functions. Through its predecessor, Second Sight, Cortigent has a history of developing implantable neurostimulation technologies for artificial vision. Cortigent’s technology combines advanced neuroscience with proprietary microelectronics, software and data processing capabilities to provide artificial vision and potentially restore muscle movement.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first commercial system, Argus II®, was a retinal implant approved by the FDA under a Humanitarian Device Exemption and provided artificial vision to hundreds of profoundly blind individuals who were implanted with the device. Cortigent discontinued sales of Argus II in 2019 and has focused its development efforts on Orion®, a more advanced system intended to provide artificial vision through cortical stimulation. Orion is designed to deliver electrical stimulation directly to the visual cortex, the region of the brain responsible for vision.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completed an early feasibility clinical trial to evaluate the Orion system for artificial vision and is further exploring the application of its neurostimulation technology to accelerate the recovery of arm and hand function in patients who are partially paralyzed due to stroke. In February 2023, Cortigent held a meeting with FDA staff to commence discussions regarding an early feasibility clinical study in stroke victims.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does not currently generate product revenue and does not expect to generate revenue unless and until it successfully develops, obtains regulatory approval for and commercializes one or more product candidates. The Orion and stroke recovery systems are investigational devices that require FDA approval before they may be marketed in the United States. Cortigent’s ability to generate revenue and achieve profitability will depend on, among other things, successful product development, clinical trial results, FDA and other regulatory approvals, manufacturing scale-up, reimbursement, physician and patient adoption, and its ability to obtain sufficient financing.</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Merger and Recent Developments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On July 1, 2026, Cortigent entered into the Merger Agreement with ClearOne, Merger Sub, and Vivani. Under the Merger Agreement, Merger Sub will merge with and into Cortigent, with Cortigent surviving the merger as a wholly-owned subsidiary of ClearOne.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At the Effective Time, all issued and outstanding Cortigent equity securities held by Vivani immediately prior to the Effective Time will be converted into the right to receive the Consideration Shares, subject to adjustment only as expressly set forth in the Merger Agreement. No earnout, contingent value rights or other contingent merger consideration is payable under the Merger Agreement.</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connection with the Merger and as a condition to closing, ClearOne has agreed to complete the Financing. The Financing may be consummated immediately prior to, or substantially concurrently with, the closing of the Merger.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The closing of the Merger is subject to customary closing conditions, including the required stockholder approvals, completion of the financing or completion of the financing substantially concurrently with closing, the continued listing of ClearOne’s Common Stock on Nasdaq through the Closing Date, approval for listing of the shares of ClearOne Common Stock to be issued in the Merger, and the other conditions set forth in the Merger Agreement.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Results of Operations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summarizes Cortigent’s results of operations (in thousands) for the periods indicated. This information should be read together with Cortigent’s consolidated financial statements and related notes included elsewhere in this Information Statement:</w:t>
      </w:r>
    </w:p>
    <w:tbl>
      <w:tblPr>
        <w:tblW w:w="5000" w:type="pct"/>
        <w:jc w:val="left"/>
        <w:tblInd w:w="0" w:type="dxa"/>
        <w:tblLayout w:type="fixed"/>
        <w:tblCellMar>
          <w:top w:w="0" w:type="dxa"/>
          <w:left w:w="0" w:type="dxa"/>
          <w:bottom w:w="0" w:type="dxa"/>
          <w:right w:w="0" w:type="dxa"/>
        </w:tblCellMar>
      </w:tblPr>
      <w:tblGrid>
        <w:gridCol w:w="2989"/>
        <w:gridCol w:w="60"/>
        <w:gridCol w:w="400"/>
        <w:gridCol w:w="1827"/>
        <w:gridCol w:w="60"/>
        <w:gridCol w:w="400"/>
        <w:gridCol w:w="1827"/>
        <w:gridCol w:w="60"/>
        <w:gridCol w:w="1979"/>
        <w:gridCol w:w="522"/>
        <w:gridCol w:w="81"/>
      </w:tblGrid>
      <w:tr>
        <w:trPr/>
        <w:tc>
          <w:tcPr>
            <w:tcW w:w="29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7" w:type="dxa"/>
            <w:gridSpan w:val="2"/>
            <w:tcBorders/>
            <w:vAlign w:val="center"/>
          </w:tcPr>
          <w:p>
            <w:pPr>
              <w:pStyle w:val="TableContents"/>
              <w:bidi w:val="0"/>
              <w:spacing w:before="0" w:after="283"/>
              <w:jc w:val="center"/>
              <w:rPr/>
            </w:pPr>
            <w:r>
              <w:rPr/>
              <w:t>For the Year Ended December 31, 2025</w:t>
            </w:r>
          </w:p>
        </w:tc>
        <w:tc>
          <w:tcPr>
            <w:tcW w:w="60" w:type="dxa"/>
            <w:tcBorders/>
            <w:vAlign w:val="center"/>
          </w:tcPr>
          <w:p>
            <w:pPr>
              <w:pStyle w:val="TableContents"/>
              <w:bidi w:val="0"/>
              <w:spacing w:before="0" w:after="283"/>
              <w:jc w:val="left"/>
              <w:rPr/>
            </w:pPr>
            <w:r>
              <w:rPr/>
              <w:t> </w:t>
            </w:r>
          </w:p>
        </w:tc>
        <w:tc>
          <w:tcPr>
            <w:tcW w:w="2227" w:type="dxa"/>
            <w:gridSpan w:val="2"/>
            <w:tcBorders/>
            <w:vAlign w:val="center"/>
          </w:tcPr>
          <w:p>
            <w:pPr>
              <w:pStyle w:val="TableContents"/>
              <w:bidi w:val="0"/>
              <w:spacing w:before="0" w:after="283"/>
              <w:jc w:val="center"/>
              <w:rPr/>
            </w:pPr>
            <w:r>
              <w:rPr/>
              <w:t>For the Year Ended December 31, 2024</w:t>
            </w:r>
          </w:p>
        </w:tc>
        <w:tc>
          <w:tcPr>
            <w:tcW w:w="60" w:type="dxa"/>
            <w:tcBorders/>
            <w:vAlign w:val="center"/>
          </w:tcPr>
          <w:p>
            <w:pPr>
              <w:pStyle w:val="TableContents"/>
              <w:bidi w:val="0"/>
              <w:spacing w:before="0" w:after="283"/>
              <w:jc w:val="left"/>
              <w:rPr/>
            </w:pPr>
            <w:r>
              <w:rPr/>
              <w:t> </w:t>
            </w:r>
          </w:p>
        </w:tc>
        <w:tc>
          <w:tcPr>
            <w:tcW w:w="2501" w:type="dxa"/>
            <w:gridSpan w:val="2"/>
            <w:tcBorders/>
            <w:vAlign w:val="center"/>
          </w:tcPr>
          <w:p>
            <w:pPr>
              <w:pStyle w:val="TableContents"/>
              <w:bidi w:val="0"/>
              <w:spacing w:before="0" w:after="283"/>
              <w:jc w:val="center"/>
              <w:rPr/>
            </w:pPr>
            <w:r>
              <w:rPr/>
              <w:t>For the Three Months Ended March 31, 2026</w:t>
            </w:r>
          </w:p>
        </w:tc>
        <w:tc>
          <w:tcPr>
            <w:tcW w:w="81" w:type="dxa"/>
            <w:tcBorders/>
            <w:vAlign w:val="center"/>
          </w:tcPr>
          <w:p>
            <w:pPr>
              <w:pStyle w:val="TableContents"/>
              <w:bidi w:val="0"/>
              <w:spacing w:before="0" w:after="283"/>
              <w:jc w:val="left"/>
              <w:rPr>
                <w:sz w:val="4"/>
                <w:szCs w:val="4"/>
              </w:rPr>
            </w:pPr>
            <w:r>
              <w:rPr>
                <w:sz w:val="4"/>
                <w:szCs w:val="4"/>
              </w:rPr>
            </w:r>
          </w:p>
        </w:tc>
      </w:tr>
      <w:tr>
        <w:trPr/>
        <w:tc>
          <w:tcPr>
            <w:tcW w:w="2989" w:type="dxa"/>
            <w:tcBorders/>
            <w:shd w:fill="CCEEFF" w:val="clear"/>
            <w:vAlign w:val="center"/>
          </w:tcPr>
          <w:p>
            <w:pPr>
              <w:pStyle w:val="TableContents"/>
              <w:bidi w:val="0"/>
              <w:spacing w:before="0" w:after="283"/>
              <w:jc w:val="left"/>
              <w:rPr/>
            </w:pPr>
            <w:r>
              <w:rPr/>
              <w:t>General and Administrative Expenses, Net of Grants</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2,062</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1,752</w:t>
            </w:r>
          </w:p>
        </w:tc>
        <w:tc>
          <w:tcPr>
            <w:tcW w:w="60"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608</w:t>
            </w:r>
          </w:p>
        </w:tc>
        <w:tc>
          <w:tcPr>
            <w:tcW w:w="81" w:type="dxa"/>
            <w:tcBorders/>
            <w:shd w:fill="CCEEFF" w:val="clear"/>
            <w:vAlign w:val="center"/>
          </w:tcPr>
          <w:p>
            <w:pPr>
              <w:pStyle w:val="TableContents"/>
              <w:bidi w:val="0"/>
              <w:spacing w:before="0" w:after="283"/>
              <w:jc w:val="left"/>
              <w:rPr/>
            </w:pPr>
            <w:r>
              <w:rPr/>
              <w:t> </w:t>
            </w:r>
          </w:p>
        </w:tc>
      </w:tr>
      <w:tr>
        <w:trPr/>
        <w:tc>
          <w:tcPr>
            <w:tcW w:w="2989" w:type="dxa"/>
            <w:tcBorders/>
            <w:vAlign w:val="center"/>
          </w:tcPr>
          <w:p>
            <w:pPr>
              <w:pStyle w:val="TableContents"/>
              <w:bidi w:val="0"/>
              <w:spacing w:before="0" w:after="283"/>
              <w:jc w:val="left"/>
              <w:rPr/>
            </w:pPr>
            <w:r>
              <w:rPr/>
              <w:t>Research and Development Expenses, Net of Grants</w:t>
            </w:r>
          </w:p>
        </w:tc>
        <w:tc>
          <w:tcPr>
            <w:tcW w:w="6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283"/>
              <w:jc w:val="right"/>
              <w:rPr/>
            </w:pPr>
            <w:r>
              <w:rPr/>
              <w:t>570</w:t>
            </w:r>
          </w:p>
        </w:tc>
        <w:tc>
          <w:tcPr>
            <w:tcW w:w="6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w:t>
            </w:r>
          </w:p>
        </w:tc>
        <w:tc>
          <w:tcPr>
            <w:tcW w:w="1827" w:type="dxa"/>
            <w:tcBorders/>
            <w:vAlign w:val="center"/>
          </w:tcPr>
          <w:p>
            <w:pPr>
              <w:pStyle w:val="TableContents"/>
              <w:bidi w:val="0"/>
              <w:spacing w:before="0" w:after="283"/>
              <w:jc w:val="right"/>
              <w:rPr/>
            </w:pPr>
            <w:r>
              <w:rPr/>
              <w:t>324</w:t>
            </w:r>
          </w:p>
        </w:tc>
        <w:tc>
          <w:tcPr>
            <w:tcW w:w="60" w:type="dxa"/>
            <w:tcBorders/>
            <w:vAlign w:val="center"/>
          </w:tcPr>
          <w:p>
            <w:pPr>
              <w:pStyle w:val="TableContents"/>
              <w:bidi w:val="0"/>
              <w:spacing w:before="0" w:after="283"/>
              <w:jc w:val="left"/>
              <w:rPr/>
            </w:pPr>
            <w:r>
              <w:rPr/>
              <w:t> </w:t>
            </w:r>
          </w:p>
        </w:tc>
        <w:tc>
          <w:tcPr>
            <w:tcW w:w="1979"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118</w:t>
            </w:r>
          </w:p>
        </w:tc>
        <w:tc>
          <w:tcPr>
            <w:tcW w:w="81" w:type="dxa"/>
            <w:tcBorders/>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(3,112)</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(2,232)</w:t>
            </w:r>
          </w:p>
        </w:tc>
        <w:tc>
          <w:tcPr>
            <w:tcW w:w="60"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(768)</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lineRule="auto" w:line="288" w:before="200" w:after="200"/>
        <w:ind w:left="0" w:right="0" w:hanging="0"/>
        <w:jc w:val="both"/>
        <w:rPr>
          <w:rFonts w:ascii="times new roman;times" w:hAnsi="times new roman;times"/>
          <w:b/>
          <w:sz w:val="20"/>
        </w:rPr>
      </w:pPr>
      <w:r>
        <w:rPr>
          <w:rFonts w:ascii="times new roman;times" w:hAnsi="times new roman;times"/>
          <w:b/>
          <w:sz w:val="20"/>
        </w:rPr>
        <w:t>General and Administrative Expenses, Net of Grants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General and administrative expenses, net of grants, consist primarily of personnel costs, professional fees, public company preparation costs, legal, accounting, insurance, consulting and other corporate expenses. General and administrative expenses, net of grants, were approximately $2.1 million for the year ended December 31, 2025, compared to approximately $1.8 million for the year ended December 31, 2024. General and administrative expenses, net of grants, were approximately $608,000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expects to incur significant general and administrative expenses as it operates as, or prepares to operate as, a public company and supports its product development programs. These expenses may include legal, accounting, insurance, investor relations, compliance, compensation and other costs associated with being a public company and advancing its business strategy.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Research and Development Expenses, Net of Grants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Research and development expenses, net of grants, consist primarily of costs related to Cortigent’s neurostimulation technology platform, including development activities for Orion and its stroke recovery program, engineering activities, clinical and regulatory development, prototype and device-related work, and related personnel, consulting and third-party costs. Research and development expenses, net of grants, were approximately $570,000 for the year ended December 31, 2025, compared to approximately $324,000 for the year ended December 31, 2024. Research and development expenses, net of grants, were approximately $118,000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expects research and development expenses to continue to represent a significant portion of its operating expenses as it advances Orion and its stroke recovery program, prepares for additional clinical development activities, and seeks required regulatory approvals. The timing and amount of Cortigent’s research and development expenses may vary significantly depending on clinical trial timing, regulatory interactions, product development activities, manufacturing activities and available capital resources.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Net Loss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incurred a net loss of approximately $3.1 million for the year ended December 31, 2025, compared to a net loss of approximately $2.2 million for the year ended December 31, 2024. The increase in net loss was primarily attributable to higher outside services costs, lower grant offsets and an increase in other expense related to the write-off of accumulated foreign currency translation adjustments associated with the closure of a foreign subsidiary during 2025.</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For the three months ended March 31, 2026, Cortigent incurred a net loss of approximately $0.8 million. Cortigent has generated no revenue from operations and expects to continue incurring operating losses for the foreseeable future as it advances development of Orion and its stroke recovery program, pursues clinical and regulatory activities and invests in the infrastructure and capabilities necessary to support future operations.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Liquidity and Capital Resources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Cortigent’s consolidated financial statements have been prepared on a going-concern basis. Cortigent is a pre-revenue company that has incurred recurring operating losses and negative cash flows since inception and expects to continue to incur operating losses and negative operating cash flows for the foreseeable future. Cortigent does not currently generate product revenue and does not expect to generate revenue unless and until it successfully completes development of, obtains regulatory approval for and commercializes one or more product candidates.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Historically, Cortigent’s operations have been funded through support provided by Vivani Medical, Inc. Pursuant to a Transition Funding, Support and Services Agreement, Vivani advanced funds and provided services necessary to support Cortigent’s operations.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As of December 31, 2025, Cortigent had cash of approximately $467,000. As of March 31, 2026, Cortigent had cash of approximately $428,000 and a working capital deficit of approximately $3.8 million. Cortigent’s operating cash burn was approximately $2.7 million for the year ended December 31, 2025 and approximately $833,000 for the three months ended March 31, 2026.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Management has determined that Cortigent’s limited cash resources raise substantial doubt about its ability to continue as a going concern within one year after the issuance of its consolidated financial statements. Cortigent’s future operations depend on its ability to obtain additional capital through equity or debt financings, grants, collaborations, strategic partnerships or other sources of financing and, ultimately, to successfully develop and commercialize its product candidates.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There can be no assurance that Cortigent will be able to obtain additional financing on acceptable terms or at all. If sufficient capital is not available, Cortigent may be required to significantly curtail operations, delay or discontinue development programs, reduce clinical and regulatory activities, or relinquish rights to technologies, product candidates or future revenue opportunities.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Cash Used in Operating Activities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used in operating activities was approximately $2.7 million during the year ended December 31, 2025, compared to approximately $2.2 million during the year ended December 31, 2024. Cash used in operating activities during 2025 primarily reflected Cortigent’s net loss of approximately $3.1 million, partially offset by non-cash expenses.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used in operating activities was approximately $0.8 million during the three months ended March 31, 2026, compared to approximately $0.5 million during the three months ended March 31, 2025. Cash used in operating activities during the 2026 period primarily reflected Cortigent’s net loss.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Cash Provided by Financing Activities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cash provided by financing activities was approximately $2.4 million during the year ended December 31, 2025 and approximately $2.2 million during the year ended December 31, 2024, reflecting capital contributions and funding provided by Vivani.</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Net cash provided by financing activities was approximately $0.8 million during the three months ended March 31, 2026 and approximately $0.3 million during the three months ended March 31, 2025, primarily reflecting additional funding provided by Vivani.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Critical Accounting Policies and Estimates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preparation of Cortigent’s consolidated financial statements in conformity with U.S. GAAP requires management to make estimates, assumptions and judgments that affect the reported amounts of assets and liabilities and related disclosures, as well as the reported amounts of expenses during the reporting periods. Cortigent’s significant accounting policies are described in the notes to its financial statements included elsewhere in this Information Statement. Management evaluates its estimates and assumptions on an ongoing basis using historical experience and other factors believed to be reasonable under the circumstances. Actual results could differ materially from those estimates and assumptions.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Going Concern</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Management evaluates whether conditions and events raise substantial doubt about Cortigent’s ability to continue as a going concern. Cortigent’s history of operating losses, negative operating cash flows, working capital deficit and limited cash resources raise substantial doubt about its ability to continue as a going concern. Cortigent’s ability to continue as a going concern depends on its ability to obtain additional financing and successfully execute its business plan.</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Research and Development Expenses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Research and development expenses, net of grants, consist primarily of personnel costs, consulting costs, engineering and product development activities, clinical and regulatory activities and other development-related expenditures, net of grant funding received to support certain programs. Research and development costs are expensed as incurred. Cortigent expects research and development expenses to increase over time as development activities for Orion and its stroke recovery program advance.</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Income Taxes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Cortigent accounts for income taxes using the asset and liability method. Deferred tax assets and liabilities are recognized for temporary differences between the financial statement carrying amounts and the tax bases of assets and liabilities. Cortigent evaluates the recoverability of deferred tax assets and records valuation allowances when necessary.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has not disclosed any off-balance sheet arrangements in the excerpts reviewed that have, or are reasonably likely to have, a material current or future effect on Cortigent’s financial condition, changes in financial condition, revenues, expenses, results of operations, liquidity, capital expenditures or capital resources.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Recent Accounting Pronouncements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See “</w:t>
      </w:r>
      <w:r>
        <w:rPr>
          <w:rFonts w:ascii="times new roman;times" w:hAnsi="times new roman;times"/>
          <w:i/>
          <w:sz w:val="20"/>
        </w:rPr>
        <w:t>Recent Accounting Pronouncements</w:t>
      </w:r>
      <w:r>
        <w:rPr>
          <w:rFonts w:ascii="times new roman;times" w:hAnsi="times new roman;times"/>
          <w:sz w:val="20"/>
        </w:rPr>
        <w:t>” described in the notes to Cortigent’s consolidated financial statements included elsewhere in this Information Statement.</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Risk Factors and Uncertainties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is subject to a number of risks and uncertainties that could significantly affect its financial condition and results of operations, including risks related to its development-stage status, history of losses, need for additional capital, dependence on the successful development of Orion and other neurostimulation systems, clinical trial and regulatory risks, manufacturing and supply-chain risks, protection of intellectual property, reliance on key personnel and consultants, potential dependence on Vivani or other third parties, and the uncertainty of market acceptance and reimbursement for any products that may receive regulatory approval.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Cortigent does not currently generate product revenue and does not expect to generate revenue unless and until it successfully develops, obtains regulatory approval for and commercializes one or more product candidates. There can be no assurance that Cortigent will successfully complete clinical development, obtain regulatory approval, commercialize its product candidates, obtain adequate financing or achieve profitability.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INFORMATION ABOUT CLEARONE UPON THE CONSUMMATION OF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Directors and Executive Officers of ClearOne Upon the Consummation of the Merger</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Upon the consummation of the Merger, the Board of the Combined Company is expected to consist of five directors: Adam Mendelsohn, who is expected to serve as Chairman, Jonathan Adams, John Bowers, Linda Szyper and Eric Robinson. Eric Robinson is expected to serve as Chair of the Audit Committee. Four directors are expected to be designated by Vivani, and one director is expected to be designated by the holders of a majority of the shares of Common Stock held by pre-closing ClearOne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information about ClearOne’s executive officers and directors upon consummation of the Merger, including their ages as of August 3, 2026. With respect to ClearOne’s directors, each biography includes information regarding the experience, qualifications, attributes, or skills that caused the ClearOne Board to determine that such person should serve as a director of ClearOne.</w:t>
      </w:r>
    </w:p>
    <w:tbl>
      <w:tblPr>
        <w:tblW w:w="5000" w:type="pct"/>
        <w:jc w:val="left"/>
        <w:tblInd w:w="-7" w:type="dxa"/>
        <w:tblLayout w:type="fixed"/>
        <w:tblCellMar>
          <w:top w:w="28" w:type="dxa"/>
          <w:left w:w="108" w:type="dxa"/>
          <w:bottom w:w="28" w:type="dxa"/>
          <w:right w:w="108" w:type="dxa"/>
        </w:tblCellMar>
      </w:tblPr>
      <w:tblGrid>
        <w:gridCol w:w="2167"/>
        <w:gridCol w:w="480"/>
        <w:gridCol w:w="7558"/>
      </w:tblGrid>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Name</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Age</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Position</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Adam Mendelsohn</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45</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Chairman of the Board</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Jonathan Adams</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63</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President, Chief Executive Officer and 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Simon Brewer</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47</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widowControl/>
              <w:bidi w:val="0"/>
              <w:spacing w:before="0" w:after="0"/>
              <w:ind w:left="0" w:right="0" w:hanging="0"/>
              <w:jc w:val="both"/>
              <w:rPr>
                <w:rFonts w:ascii="times new roman;times" w:hAnsi="times new roman;times"/>
                <w:sz w:val="20"/>
              </w:rPr>
            </w:pPr>
            <w:r>
              <w:rPr>
                <w:rFonts w:ascii="times new roman;times" w:hAnsi="times new roman;times"/>
                <w:sz w:val="20"/>
              </w:rPr>
              <w:t>Chief Financial Officer, Principal Accounting Officer, </w:t>
            </w:r>
            <w:r>
              <w:rPr>
                <w:rFonts w:ascii="times new roman;times" w:hAnsi="times new roman;times"/>
                <w:b w:val="false"/>
                <w:i w:val="false"/>
                <w:caps w:val="false"/>
                <w:smallCaps w:val="false"/>
                <w:color w:val="000000"/>
                <w:spacing w:val="0"/>
                <w:sz w:val="20"/>
              </w:rPr>
              <w:t>and Treasurer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John Bowers</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64</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Linda Szyper</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61</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r>
        <w:trPr/>
        <w:tc>
          <w:tcPr>
            <w:tcW w:w="2167"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Eric Robinson </w:t>
            </w:r>
          </w:p>
        </w:tc>
        <w:tc>
          <w:tcPr>
            <w:tcW w:w="4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59</w:t>
            </w:r>
          </w:p>
        </w:tc>
        <w:tc>
          <w:tcPr>
            <w:tcW w:w="755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Director</w:t>
            </w:r>
          </w:p>
        </w:tc>
      </w:tr>
    </w:tbl>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The following is a brief biography of each of the executive officers and directors of ClearOne upon the consummation of the Merger:</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Executive Officers and Directors</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Executive Officers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Adam Mendelsohn, PhD, has been a member of Cortigent’s Board since inception. He has been the Chief Executive Officer and member of the Board of Directors of Vivani since August 2022. Dr. Mendelsohn founded Nano Precision Medical and served as its CEO from 2009 until its acquisition by Second Sight in August 2022. Dr. Mendelsohn received his Ph.D. in bioengineering at the UC San Francisco/UC Berkeley Joint Graduate Group in Bioengineering, was awarded an NSF fellowship to perform research at Kyoto University and has published multiple peer-reviewed articles describing new treatment options for Type 1 diabetes. Dr. Mendelsohn has served as a Technical Advisor to the Alfred E. Mann Institute for Biomedical Engineering at USC, a fellow of the Startup Leadership Program, and is currently a board member of the Maestro Foundation. Dr. Mendelsohn also served as the director for the Venture Innovation Program in Life Sciences and completed his certificate in Management of Technology with the Haas School of Business. The Board believes that Dr. Mendelsohn’s educational attainments and engineering expertise, combined with his 14 years of executive management experience at Nano Precision Medical after having founded the company in 2009 and subsequently with Vivani, qualify him to serve as the Chairman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Jonathan Adams</w:t>
      </w:r>
      <w:r>
        <w:rPr>
          <w:rFonts w:ascii="times new roman;times" w:hAnsi="times new roman;times"/>
          <w:i/>
          <w:sz w:val="20"/>
        </w:rPr>
        <w:t xml:space="preserve">, </w:t>
      </w:r>
      <w:r>
        <w:rPr>
          <w:rFonts w:ascii="times new roman;times" w:hAnsi="times new roman;times"/>
          <w:sz w:val="20"/>
        </w:rPr>
        <w:t>MBA, joined Cortigent as a consultant in November 2022, and was appointed Chief Executive Officer in March 2023. Prior to joining Cortigent, from 2007 to mid-2022, Mr. Adams served in several executive roles, including CEO, COO, and Executive Vice President, at BioVie Inc., the company he founded in 2007. He led its successful up-listing to Nasdaq that raised substantial funding for operations. In addition to founding the company, he was a co-inventor on patents and co-author on publications. He has over 30 years of biopharmaceutical and device industry experience, including corporate finance, acquisitions and licensing, marketing, and sales support. From 1994 to 2000, Mr. Adams served as Associate Director at Searle Pharmaceuticals, where he was a member of the global launch team for the arthritis drug Celebrex, which generated multi-billion dollars in sales. Mr. Adams also has extensive experience assisting companies with launching new drugs and medical devices. Mr. Adams earned a BS from Cornell University and an MBA from the Tuck School of Business at Dartmouth College. The Board believes that Mr. Adams’ senior management leadership skills, his extensive public company experience, his history of assisting companies that have launched new drugs and medical devices, and his expertise in operations, finance, strategy, and risk management qualify him to serve as a member of the Board.</w:t>
      </w:r>
    </w:p>
    <w:p>
      <w:pPr>
        <w:pStyle w:val="TextBody"/>
        <w:widowControl/>
        <w:bidi w:val="0"/>
        <w:spacing w:lineRule="auto" w:line="288" w:before="0" w:after="20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Simon Brewer, CPA, CGMA has served as Chief Financial Officer of </w:t>
      </w:r>
      <w:r>
        <w:rPr>
          <w:rFonts w:ascii="times new roman;times" w:hAnsi="times new roman;times"/>
          <w:sz w:val="20"/>
        </w:rPr>
        <w:t>ClearOne</w:t>
      </w:r>
      <w:r>
        <w:rPr>
          <w:rFonts w:ascii="times new roman;times" w:hAnsi="times new roman;times"/>
          <w:b w:val="false"/>
          <w:i w:val="false"/>
          <w:caps w:val="false"/>
          <w:smallCaps w:val="false"/>
          <w:color w:val="000000"/>
          <w:spacing w:val="0"/>
          <w:sz w:val="20"/>
        </w:rPr>
        <w:t>, </w:t>
      </w:r>
      <w:r>
        <w:rPr>
          <w:rFonts w:ascii="times new roman;times" w:hAnsi="times new roman;times"/>
          <w:sz w:val="20"/>
        </w:rPr>
        <w:t>Inc</w:t>
      </w:r>
      <w:r>
        <w:rPr>
          <w:rFonts w:ascii="times new roman;times" w:hAnsi="times new roman;times"/>
          <w:b w:val="false"/>
          <w:i w:val="false"/>
          <w:caps w:val="false"/>
          <w:smallCaps w:val="false"/>
          <w:color w:val="000000"/>
          <w:spacing w:val="0"/>
          <w:sz w:val="20"/>
        </w:rPr>
        <w:t>. (</w:t>
      </w:r>
      <w:r>
        <w:rPr>
          <w:rFonts w:ascii="times new roman;times" w:hAnsi="times new roman;times"/>
          <w:sz w:val="20"/>
        </w:rPr>
        <w:t>Nasdaq</w:t>
      </w:r>
      <w:r>
        <w:rPr>
          <w:rFonts w:ascii="times new roman;times" w:hAnsi="times new roman;times"/>
          <w:b w:val="false"/>
          <w:i w:val="false"/>
          <w:caps w:val="false"/>
          <w:smallCaps w:val="false"/>
          <w:color w:val="000000"/>
          <w:spacing w:val="0"/>
          <w:sz w:val="20"/>
        </w:rPr>
        <w:t>: CLRO) since April 2024, where he leads the Company's finance, accounting, and information technology functions and has guided the Company through its strategic transformation. Mr. Brewer has more than 25 years of financial and operational leadership experience across the technology, manufacturing, biotechnology, and retail sectors as chief financial officer of multiple public and private companies. From 2021 to 2024, he served as Chief Financial Officer and Chief Operating Officer of Operation Underground Railroad, </w:t>
      </w:r>
      <w:r>
        <w:rPr>
          <w:rFonts w:ascii="times new roman;times" w:hAnsi="times new roman;times"/>
          <w:sz w:val="20"/>
        </w:rPr>
        <w:t>Inc</w:t>
      </w:r>
      <w:r>
        <w:rPr>
          <w:rFonts w:ascii="times new roman;times" w:hAnsi="times new roman;times"/>
          <w:b w:val="false"/>
          <w:i w:val="false"/>
          <w:caps w:val="false"/>
          <w:smallCaps w:val="false"/>
          <w:color w:val="000000"/>
          <w:spacing w:val="0"/>
          <w:sz w:val="20"/>
        </w:rPr>
        <w:t>., a global non-profit organization operating in more than 35 countries. From 2018 to 2021, he served as Chief Financial Officer of Predictive Technology Group, </w:t>
      </w:r>
      <w:r>
        <w:rPr>
          <w:rFonts w:ascii="times new roman;times" w:hAnsi="times new roman;times"/>
          <w:sz w:val="20"/>
        </w:rPr>
        <w:t>Inc</w:t>
      </w:r>
      <w:r>
        <w:rPr>
          <w:rFonts w:ascii="times new roman;times" w:hAnsi="times new roman;times"/>
          <w:b w:val="false"/>
          <w:i w:val="false"/>
          <w:caps w:val="false"/>
          <w:smallCaps w:val="false"/>
          <w:color w:val="000000"/>
          <w:spacing w:val="0"/>
          <w:sz w:val="20"/>
        </w:rPr>
        <w:t>. (OTCQX: PRED), a publicly traded biotechnology and life sciences company, where he led its transition to a public reporting company. Earlier in his career, Mr. Brewer served as Chief Financial Officer of </w:t>
      </w:r>
      <w:r>
        <w:rPr>
          <w:rFonts w:ascii="times new roman;times" w:hAnsi="times new roman;times"/>
          <w:sz w:val="20"/>
        </w:rPr>
        <w:t>Norbest</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LLC, as Vice President of Finance and Information Technology of Wilson Electronics, and in roles including Corporate Controller and Treasurer at Backcountry.com, then a subsidiary of Liberty Interactive (NYSE: LINTA), and began his career at KPMG LLP. Mr. Brewer is a Certified Public Accountant (Utah and Nevada) and a Chartered Global Management Accountant, and holds a Master of Accounting and a Bachelor of Arts in Accounting from the University of Utah.</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left"/>
        <w:rPr>
          <w:rFonts w:ascii="times new roman;times" w:hAnsi="times new roman;times"/>
          <w:i/>
          <w:sz w:val="20"/>
        </w:rPr>
      </w:pPr>
      <w:r>
        <w:rPr>
          <w:rFonts w:ascii="times new roman;times" w:hAnsi="times new roman;times"/>
          <w:i/>
          <w:sz w:val="20"/>
        </w:rPr>
        <w:t>Directors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John Bowers, MBA, has more than 30 years’ experience in the medical technology field developing and commercializing products for neuromodulation, cardiovascular, surgical, and imaging specialties. Most recently, he was Chief Commercial Officer at Verathon Medical, a global leader in video laryngoscopy and bladder volume measurement and a subsidiary of Roper Technologies (NYSE: ROP). Previously he was COO at the ultrasound therapy startup Kona Medical, after serving as Senior VP at ultrasound leader SonoSite (acquired by Fujifilm for about $1B), and as CEO at NorthStar Neuroscience where he and the founder led a successful IPO that raised over $100M. Prior to NorthStar, he had leadership positions at Guidant Corporation and Eli Lilly and Company. Mr. Bowers earned a MBA with Distinction from Harvard University, and a BA with Honors in Economics-Accounting from Gonzaga University. The Board believes that Mr. Bower’s corporate leadership at several highly successful medical device companies, including developing a cortical stimulation device for stroke recovery at Northstar Neuroscience, qualifies him to serve as a member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Linda Szyper, MBA, has served as Chief Operating Officer of McCann Health from 2018 to 2021, where she was responsible for the overall operations of its global healthcare network. From 2014 to 2017 she was the Chief Commercial Officer at Circassia Pharmaceuticals, a publicly traded biotechnology and medical device company headquartered in the United Kingdom, where she spearheaded business strategy and commercial direction. Prior to Circassia, she was Chief Development Officer of the Publicis Healthcare Communications Group, which followed executive roles at Searle Pharmaceuticals and Serono Laboratories. Ms. Szyper was a member of the Board of Directors of Neos Therapeutics Inc. and currently sits on the Board of Harmony Biosciences. She earned a BS in Biomedical Engineering from Northwestern University and an MBA from DePaul University. The Board believes that Ms. Szyper’s senior managerial experience, her abilities in spearheading strategy and commercial direction for pharma and healthcare companies and her service on the boards of Nasdaq listed health care companies qualifies her to serve as a member of the Board</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Eric Robinson has served as a director of ClearOne of since July 2015 and Chairman since February 2022. Mr. 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Committees of the Board of Directors</w:t>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Audit Committee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Audit Committee will be composed Eric Robinson, Chairperson of the Audit Committee, Linda Szyper, and John Bowers, all of whom are considered independent. The Board has determined that all members of the Audit Committee are considered financially literate and at least one member is an “audit committee financial expert,” as defined in SEC rules. The Audit Committee acts pursuant to a written charter which is available through ClearOne’s website at www.clearone.com.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functions of the audit committee are to review the scope of the audit procedures employed by ClearOne’s independent auditors, to review with the independent auditors ClearOne’s accounting practices and policies and recommend to whom reports should be submitted, to review with the independent auditors their final audit reports, to review with ClearOne’s internal and independent auditors ClearOne’s overall accounting and financial controls, to be available to the independent auditors during the year for consultation, to approve the audit fee charged by the independent auditors, to report to the ClearOne Board with respect to such matters and to recommend the selection of the independent auditors.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b/>
          <w:i/>
          <w:sz w:val="20"/>
        </w:rPr>
      </w:pPr>
      <w:r>
        <w:rPr>
          <w:rFonts w:ascii="times new roman;times" w:hAnsi="times new roman;times"/>
          <w:b/>
          <w:i/>
          <w:sz w:val="20"/>
        </w:rPr>
        <w:t>Compensation Committee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Compensation Committee will be composed of Linda Szyper, Chairperson of the Compensation Committee, Eric Robinson, and John Bowers, all of whom are considered independent. The Compensation Committee is responsible for overseeing, reviewing, and approving our executive compensation and 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Our compensation objectives for executive officers are as follows:</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attract and retain highly qualified individuals capable of making significant contributions to the long-term success of our company;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use incentive compensation to reinforce strategic performance objectives;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align the interest of our executives with the interests of our shareholders such that the risks and rewards of strategic decisions are shared; and </w:t>
      </w:r>
    </w:p>
    <w:p>
      <w:pPr>
        <w:pStyle w:val="TextBody"/>
        <w:numPr>
          <w:ilvl w:val="0"/>
          <w:numId w:val="52"/>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to reflect the value of each officer’s position in the marketplace and within our company.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Nominating Committee</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 xml:space="preserve">Upon consummation of the Merger, the Nominating Committee will be composed John Bowers, Chairperson of the Nominating Committee, Linda Szyper, and Eric Robinson, all of whom are considered independent. The Nominating Committee is responsible for overseeing the nomination of our directors. The Nominating Committee selects, evaluates, and recommends to the full ClearOne Board qualified candidates for election to the ClearOne Board.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Board Leadership Structure and Role in Risk Oversight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recognizes that the leadership structure and combination or separation of the Chief Executive Officer and Chairman roles is driven by the current needs of ClearOne. ClearOne has no policy requiring the combination or separation of leadership roles and its governing documents do not mandate a particular structure. This permits the ClearOne Board the flexibility to establish the most appropriate structure for ClearOne as the need arises.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ClearOne’s directors are involved in the general oversight of risks that could affect ClearOne and the iteration of the ClearOne Board following the Merger will continue to evaluate the leadership structure and modify such structure as appropriate based on ClearOne’s size, resources and operations.</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Code of Business Conduct and Ethics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ClearOne Board adopted a code of ethics that applies to our Board, executive officers, and employees. The Company's Code of Ethics is posted on our website at www.clearone.com.</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Insider Trading Policies and Procedures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Chief Financial Officer.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EXECUTIVE COMPENSATION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the compensation paid or earned by each named executive officer for the years ended December 31, 2025 and 2024.</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Summary Compensation Table</w:t>
      </w:r>
    </w:p>
    <w:tbl>
      <w:tblPr>
        <w:tblW w:w="5000" w:type="pct"/>
        <w:jc w:val="left"/>
        <w:tblInd w:w="0" w:type="dxa"/>
        <w:tblLayout w:type="fixed"/>
        <w:tblCellMar>
          <w:top w:w="0" w:type="dxa"/>
          <w:left w:w="0" w:type="dxa"/>
          <w:bottom w:w="0" w:type="dxa"/>
          <w:right w:w="0" w:type="dxa"/>
        </w:tblCellMar>
      </w:tblPr>
      <w:tblGrid>
        <w:gridCol w:w="2567"/>
        <w:gridCol w:w="60"/>
        <w:gridCol w:w="149"/>
        <w:gridCol w:w="695"/>
        <w:gridCol w:w="60"/>
        <w:gridCol w:w="60"/>
        <w:gridCol w:w="219"/>
        <w:gridCol w:w="835"/>
        <w:gridCol w:w="60"/>
        <w:gridCol w:w="60"/>
        <w:gridCol w:w="1524"/>
        <w:gridCol w:w="976"/>
        <w:gridCol w:w="60"/>
        <w:gridCol w:w="60"/>
        <w:gridCol w:w="281"/>
        <w:gridCol w:w="1433"/>
        <w:gridCol w:w="60"/>
        <w:gridCol w:w="60"/>
        <w:gridCol w:w="149"/>
        <w:gridCol w:w="755"/>
        <w:gridCol w:w="82"/>
      </w:tblGrid>
      <w:tr>
        <w:trPr/>
        <w:tc>
          <w:tcPr>
            <w:tcW w:w="2567"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and Principal Position </w:t>
            </w:r>
          </w:p>
        </w:tc>
        <w:tc>
          <w:tcPr>
            <w:tcW w:w="60" w:type="dxa"/>
            <w:tcBorders/>
            <w:vAlign w:val="center"/>
          </w:tcPr>
          <w:p>
            <w:pPr>
              <w:pStyle w:val="TableContents"/>
              <w:pBdr/>
              <w:bidi w:val="0"/>
              <w:spacing w:before="0" w:after="0"/>
              <w:ind w:left="0" w:right="0" w:hanging="0"/>
              <w:jc w:val="left"/>
              <w:rPr/>
            </w:pPr>
            <w:r>
              <w:rPr/>
              <w:t> </w:t>
            </w:r>
          </w:p>
        </w:tc>
        <w:tc>
          <w:tcPr>
            <w:tcW w:w="84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Salary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05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500" w:type="dxa"/>
            <w:gridSpan w:val="2"/>
            <w:tcBorders/>
            <w:vAlign w:val="center"/>
          </w:tcPr>
          <w:p>
            <w:pPr>
              <w:pStyle w:val="TableContents"/>
              <w:pBdr/>
              <w:bidi w:val="0"/>
              <w:spacing w:lineRule="atLeast" w:line="220" w:before="0" w:after="0"/>
              <w:ind w:left="0" w:right="0" w:hanging="0"/>
              <w:jc w:val="center"/>
              <w:rPr>
                <w:rFonts w:ascii="times new roman;times" w:hAnsi="times new roman;times"/>
                <w:b/>
                <w:sz w:val="20"/>
              </w:rPr>
            </w:pPr>
            <w:r>
              <w:rPr>
                <w:rFonts w:ascii="times new roman;times" w:hAnsi="times new roman;times"/>
                <w:b/>
                <w:sz w:val="20"/>
              </w:rPr>
              <w:t xml:space="preserve">Non-Equity Incentive Plan Compensation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71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All Other Compensation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04"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b/>
                <w:sz w:val="20"/>
              </w:rPr>
              <w:t>Derek Graham, Chief Executive Officer</w:t>
            </w:r>
            <w:r>
              <w:rPr>
                <w:rFonts w:ascii="times new roman;times" w:hAnsi="times new roman;times"/>
                <w:position w:val="5"/>
                <w:sz w:val="13"/>
                <w:sz w:val="16"/>
              </w:rPr>
              <w:t>(1)</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pPr>
            <w:r>
              <w:rPr/>
              <w:t> </w:t>
            </w:r>
          </w:p>
        </w:tc>
        <w:tc>
          <w:tcPr>
            <w:tcW w:w="695"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19" w:type="dxa"/>
            <w:tcBorders/>
            <w:shd w:fill="CCEEFF" w:val="clear"/>
            <w:vAlign w:val="center"/>
          </w:tcPr>
          <w:p>
            <w:pPr>
              <w:pStyle w:val="TableContents"/>
              <w:pBdr/>
              <w:bidi w:val="0"/>
              <w:spacing w:before="0" w:after="0"/>
              <w:ind w:left="0" w:right="0" w:hanging="0"/>
              <w:jc w:val="left"/>
              <w:rPr/>
            </w:pPr>
            <w:r>
              <w:rPr/>
              <w:t> </w:t>
            </w:r>
          </w:p>
        </w:tc>
        <w:tc>
          <w:tcPr>
            <w:tcW w:w="835"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524" w:type="dxa"/>
            <w:tcBorders/>
            <w:shd w:fill="CCEEFF" w:val="clear"/>
            <w:vAlign w:val="center"/>
          </w:tcPr>
          <w:p>
            <w:pPr>
              <w:pStyle w:val="TableContents"/>
              <w:pBdr/>
              <w:bidi w:val="0"/>
              <w:spacing w:before="0" w:after="0"/>
              <w:ind w:left="0" w:right="0" w:hanging="0"/>
              <w:jc w:val="left"/>
              <w:rPr/>
            </w:pPr>
            <w:r>
              <w:rPr/>
              <w:t> </w:t>
            </w:r>
          </w:p>
        </w:tc>
        <w:tc>
          <w:tcPr>
            <w:tcW w:w="976"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81" w:type="dxa"/>
            <w:tcBorders/>
            <w:shd w:fill="CCEEFF" w:val="clear"/>
            <w:vAlign w:val="center"/>
          </w:tcPr>
          <w:p>
            <w:pPr>
              <w:pStyle w:val="TableContents"/>
              <w:pBdr/>
              <w:bidi w:val="0"/>
              <w:spacing w:before="0" w:after="0"/>
              <w:ind w:left="0" w:right="0" w:hanging="0"/>
              <w:jc w:val="left"/>
              <w:rPr/>
            </w:pPr>
            <w:r>
              <w:rPr/>
              <w:t> </w:t>
            </w:r>
          </w:p>
        </w:tc>
        <w:tc>
          <w:tcPr>
            <w:tcW w:w="1433"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pPr>
            <w:r>
              <w:rPr/>
              <w:t> </w:t>
            </w:r>
          </w:p>
        </w:tc>
        <w:tc>
          <w:tcPr>
            <w:tcW w:w="755" w:type="dxa"/>
            <w:tcBorders/>
            <w:shd w:fill="CCEEFF" w:val="clear"/>
            <w:vAlign w:val="center"/>
          </w:tcPr>
          <w:p>
            <w:pPr>
              <w:pStyle w:val="TableContents"/>
              <w:pBdr/>
              <w:bidi w:val="0"/>
              <w:spacing w:before="0" w:after="0"/>
              <w:ind w:left="0" w:right="0" w:hanging="0"/>
              <w:jc w:val="left"/>
              <w:rPr/>
            </w:pPr>
            <w:r>
              <w:rPr/>
              <w:t> </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Year ended</w:t>
            </w:r>
            <w:r>
              <w:rPr>
                <w:rFonts w:ascii="times new roman;times" w:hAnsi="times new roman;times"/>
              </w:rPr>
              <w:t> </w:t>
            </w:r>
            <w:r>
              <w:rPr>
                <w:rFonts w:ascii="times new roman;times" w:hAnsi="times new roman;times"/>
                <w:sz w:val="20"/>
              </w:rPr>
              <w:t>December 31, 2025</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21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152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28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right"/>
              <w:rPr/>
            </w:pPr>
            <w:r>
              <w:rPr/>
              <w:t> </w:t>
            </w:r>
          </w:p>
        </w:tc>
        <w:tc>
          <w:tcPr>
            <w:tcW w:w="60" w:type="dxa"/>
            <w:tcBorders/>
            <w:vAlign w:val="center"/>
          </w:tcPr>
          <w:p>
            <w:pPr>
              <w:pStyle w:val="TableContents"/>
              <w:pBdr/>
              <w:bidi w:val="0"/>
              <w:spacing w:before="0" w:after="0"/>
              <w:ind w:left="0" w:right="0" w:hanging="0"/>
              <w:jc w:val="righ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249,749</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238,621</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21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24,336</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152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2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shd w:fill="CCEEFF" w:val="clear"/>
            <w:vAlign w:val="center"/>
          </w:tcPr>
          <w:p>
            <w:pPr>
              <w:pStyle w:val="TableContents"/>
              <w:pBdr/>
              <w:bidi w:val="0"/>
              <w:spacing w:before="0" w:after="0"/>
              <w:ind w:left="0" w:right="0" w:hanging="0"/>
              <w:jc w:val="right"/>
              <w:rPr/>
            </w:pPr>
            <w:r>
              <w:rPr>
                <w:rFonts w:ascii="times new roman;times" w:hAnsi="times new roman;times"/>
                <w:sz w:val="20"/>
              </w:rPr>
              <w:t>20,096</w:t>
            </w:r>
            <w:r>
              <w:rPr>
                <w:position w:val="5"/>
                <w:sz w:val="13"/>
                <w:sz w:val="16"/>
              </w:rPr>
              <w:t>(3)</w:t>
            </w:r>
          </w:p>
        </w:tc>
        <w:tc>
          <w:tcPr>
            <w:tcW w:w="60" w:type="dxa"/>
            <w:tcBorders/>
            <w:shd w:fill="CCEEFF" w:val="clear"/>
            <w:vAlign w:val="center"/>
          </w:tcPr>
          <w:p>
            <w:pPr>
              <w:pStyle w:val="TableContents"/>
              <w:pBdr/>
              <w:bidi w:val="0"/>
              <w:spacing w:before="0" w:after="0"/>
              <w:ind w:left="0" w:right="0" w:hanging="0"/>
              <w:jc w:val="right"/>
              <w:rPr/>
            </w:pPr>
            <w:r>
              <w:rPr/>
              <w:t> </w:t>
            </w:r>
          </w:p>
        </w:tc>
        <w:tc>
          <w:tcPr>
            <w:tcW w:w="60" w:type="dxa"/>
            <w:tcBorders/>
            <w:shd w:fill="CCEEFF" w:val="clear"/>
            <w:vAlign w:val="center"/>
          </w:tcPr>
          <w:p>
            <w:pPr>
              <w:pStyle w:val="TableContents"/>
              <w:pBdr/>
              <w:bidi w:val="0"/>
              <w:spacing w:before="0" w:after="0"/>
              <w:ind w:left="0" w:right="0" w:hanging="0"/>
              <w:jc w:val="righ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283,053</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keepNext w:val="true"/>
              <w:bidi w:val="0"/>
              <w:spacing w:before="0" w:after="0"/>
              <w:ind w:left="0" w:right="0" w:hanging="0"/>
              <w:jc w:val="left"/>
              <w:rPr/>
            </w:pPr>
            <w:r>
              <w:rPr>
                <w:rFonts w:ascii="times new roman;times" w:hAnsi="times new roman;times"/>
                <w:b/>
                <w:sz w:val="20"/>
              </w:rPr>
              <w:t>Simon Brewer - Chief Financial Officer</w:t>
            </w:r>
            <w:r>
              <w:rPr>
                <w:position w:val="5"/>
                <w:sz w:val="13"/>
                <w:sz w:val="16"/>
              </w:rPr>
              <w:t>(2)</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pPr>
            <w:r>
              <w:rPr/>
              <w:t> </w:t>
            </w:r>
          </w:p>
        </w:tc>
        <w:tc>
          <w:tcPr>
            <w:tcW w:w="695"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19" w:type="dxa"/>
            <w:tcBorders/>
            <w:vAlign w:val="center"/>
          </w:tcPr>
          <w:p>
            <w:pPr>
              <w:pStyle w:val="TableContents"/>
              <w:pBdr/>
              <w:bidi w:val="0"/>
              <w:spacing w:before="0" w:after="0"/>
              <w:ind w:left="0" w:right="0" w:hanging="0"/>
              <w:jc w:val="left"/>
              <w:rPr/>
            </w:pPr>
            <w:r>
              <w:rPr/>
              <w:t> </w:t>
            </w:r>
          </w:p>
        </w:tc>
        <w:tc>
          <w:tcPr>
            <w:tcW w:w="835"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524" w:type="dxa"/>
            <w:tcBorders/>
            <w:vAlign w:val="center"/>
          </w:tcPr>
          <w:p>
            <w:pPr>
              <w:pStyle w:val="TableContents"/>
              <w:pBdr/>
              <w:bidi w:val="0"/>
              <w:spacing w:before="0" w:after="0"/>
              <w:ind w:left="0" w:right="0" w:hanging="0"/>
              <w:jc w:val="left"/>
              <w:rPr/>
            </w:pPr>
            <w:r>
              <w:rPr/>
              <w:t> </w:t>
            </w:r>
          </w:p>
        </w:tc>
        <w:tc>
          <w:tcPr>
            <w:tcW w:w="976"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81" w:type="dxa"/>
            <w:tcBorders/>
            <w:vAlign w:val="center"/>
          </w:tcPr>
          <w:p>
            <w:pPr>
              <w:pStyle w:val="TableContents"/>
              <w:pBdr/>
              <w:bidi w:val="0"/>
              <w:spacing w:before="0" w:after="0"/>
              <w:ind w:left="0" w:right="0" w:hanging="0"/>
              <w:jc w:val="left"/>
              <w:rPr/>
            </w:pPr>
            <w:r>
              <w:rPr/>
              <w:t> </w:t>
            </w:r>
          </w:p>
        </w:tc>
        <w:tc>
          <w:tcPr>
            <w:tcW w:w="1433"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pPr>
            <w:r>
              <w:rPr/>
              <w:t> </w:t>
            </w:r>
          </w:p>
        </w:tc>
        <w:tc>
          <w:tcPr>
            <w:tcW w:w="755" w:type="dxa"/>
            <w:tcBorders/>
            <w:vAlign w:val="center"/>
          </w:tcPr>
          <w:p>
            <w:pPr>
              <w:pStyle w:val="TableContents"/>
              <w:pBdr/>
              <w:bidi w:val="0"/>
              <w:spacing w:before="0" w:after="0"/>
              <w:ind w:left="0" w:right="0" w:hanging="0"/>
              <w:jc w:val="left"/>
              <w:rPr/>
            </w:pPr>
            <w:r>
              <w:rPr/>
              <w:t> </w:t>
            </w:r>
          </w:p>
        </w:tc>
        <w:tc>
          <w:tcPr>
            <w:tcW w:w="82" w:type="dxa"/>
            <w:tcBorders/>
            <w:vAlign w:val="center"/>
          </w:tcPr>
          <w:p>
            <w:pPr>
              <w:pStyle w:val="TableContents"/>
              <w:pBdr/>
              <w:bidi w:val="0"/>
              <w:spacing w:before="0" w:after="0"/>
              <w:ind w:left="0" w:right="0" w:hanging="0"/>
              <w:jc w:val="left"/>
              <w:rPr/>
            </w:pPr>
            <w:r>
              <w:rPr/>
              <w:t> </w:t>
            </w:r>
          </w:p>
        </w:tc>
      </w:tr>
      <w:tr>
        <w:trPr/>
        <w:tc>
          <w:tcPr>
            <w:tcW w:w="2567" w:type="dxa"/>
            <w:tcBorders/>
            <w:shd w:fill="CCEEFF" w:val="clear"/>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Year ended December 31, 2025</w:t>
            </w:r>
            <w:r>
              <w:rPr>
                <w:rFonts w:ascii="times new roman;times" w:hAnsi="times new roman;times"/>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307,477</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1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3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52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28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33"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4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times" w:hAnsi="times new roman;times"/>
              </w:rPr>
            </w:pPr>
            <w:r>
              <w:rPr>
                <w:rFonts w:ascii="times new roman;times" w:hAnsi="times new roman;times"/>
                <w:sz w:val="20"/>
              </w:rPr>
              <w:t>307,477</w:t>
            </w:r>
            <w:r>
              <w:rPr>
                <w:rFonts w:ascii="times new roman;times" w:hAnsi="times new roman;times"/>
              </w:rPr>
              <w:t> </w:t>
            </w:r>
          </w:p>
        </w:tc>
        <w:tc>
          <w:tcPr>
            <w:tcW w:w="82" w:type="dxa"/>
            <w:tcBorders/>
            <w:shd w:fill="CCEEFF" w:val="clear"/>
            <w:vAlign w:val="center"/>
          </w:tcPr>
          <w:p>
            <w:pPr>
              <w:pStyle w:val="TableContents"/>
              <w:pBdr/>
              <w:bidi w:val="0"/>
              <w:spacing w:before="0" w:after="0"/>
              <w:ind w:left="0" w:right="0" w:hanging="0"/>
              <w:jc w:val="left"/>
              <w:rPr/>
            </w:pPr>
            <w:r>
              <w:rPr/>
              <w:t> </w:t>
            </w:r>
          </w:p>
        </w:tc>
      </w:tr>
      <w:tr>
        <w:trPr/>
        <w:tc>
          <w:tcPr>
            <w:tcW w:w="256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Year ended December 31, 2024</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193,846</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1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3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40,560</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52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28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433"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4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5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234,406</w:t>
            </w:r>
          </w:p>
        </w:tc>
        <w:tc>
          <w:tcPr>
            <w:tcW w:w="82" w:type="dxa"/>
            <w:tcBorders/>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keepNext w:val="true"/>
              <w:bidi w:val="0"/>
              <w:spacing w:before="0" w:after="0"/>
              <w:ind w:left="0" w:right="0" w:hanging="0"/>
              <w:jc w:val="left"/>
              <w:rPr>
                <w:rFonts w:ascii="times new roman;times" w:hAnsi="times new roman;times"/>
              </w:rPr>
            </w:pPr>
            <w:r>
              <w:rPr>
                <w:rFonts w:ascii="times new roman;times" w:hAnsi="times new roman;times"/>
                <w:sz w:val="20"/>
              </w:rPr>
              <w:t>(1)</w:t>
            </w:r>
            <w:r>
              <w:rPr>
                <w:rFonts w:ascii="times new roman;times" w:hAnsi="times new roman;times"/>
              </w:rPr>
              <w:t> </w:t>
            </w:r>
          </w:p>
        </w:tc>
        <w:tc>
          <w:tcPr>
            <w:tcW w:w="987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L. Graham was appointed as Interim CEO on May 24, 2022 and became permanent CEO on January 26, 2023. </w:t>
            </w:r>
          </w:p>
        </w:tc>
      </w:tr>
      <w:tr>
        <w:trPr/>
        <w:tc>
          <w:tcPr>
            <w:tcW w:w="334"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(2)</w:t>
            </w:r>
          </w:p>
        </w:tc>
        <w:tc>
          <w:tcPr>
            <w:tcW w:w="9871"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Simon Brewer was appointed Chief Financial Officer on April 15, 2024.</w:t>
            </w:r>
          </w:p>
        </w:tc>
      </w:tr>
      <w:tr>
        <w:trPr/>
        <w:tc>
          <w:tcPr>
            <w:tcW w:w="33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w:t>
            </w:r>
          </w:p>
        </w:tc>
        <w:tc>
          <w:tcPr>
            <w:tcW w:w="987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Bonuses reflect achievement of specific performance metrics approved by the Compensation Committee.</w:t>
            </w:r>
          </w:p>
        </w:tc>
      </w:tr>
    </w:tbl>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b/>
          <w:sz w:val="20"/>
        </w:rPr>
        <w:t>Executive Separations and Rehirings</w:t>
      </w:r>
      <w:r>
        <w:rPr>
          <w:rFonts w:ascii="times new roman;times" w:hAnsi="times new roman;times"/>
          <w:sz w:val="20"/>
        </w:rPr>
        <w:t xml:space="preserve"> </w:t>
      </w:r>
      <w:r>
        <w:rPr>
          <w:rFonts w:ascii="times new roman;times" w:hAnsi="times new roman;times"/>
          <w:b/>
          <w:sz w:val="20"/>
        </w:rPr>
        <w:t>(Subsequent Event)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December 31, 2025, the Company terminated the employment of Derek Graham (Chief Executive Officer). Mr. Graham received severance of $57,500 (three months base salary), which was accrued at December 31, 2025. Mr. Graham was rehired effective January 2, 2026 under a new employment agreement. A retention bonus was granted to Mr. Graham, contingent upon finishing projects on an agreed upon timeframe.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On December 31, 2025 the Company terminated the employment of Simon Brewer (Chief Financial Officer). Mr. Brewer received no material severance. Mr. Brewer was rehired effective January 1, 2026 under a new employment agreement. Mr. Brewer received a $75,000 sign-on bonus paid on January 9, 2026. A retention bonus was granted to Mr. Brewer, contingent upon the closing of a future transaction of the Company.</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Outstanding Equity Awards at Fiscal Year-End</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provides information on the holdings of stock options by the named executive officers as of December 31, 2025.</w:t>
      </w:r>
    </w:p>
    <w:p>
      <w:pPr>
        <w:pStyle w:val="TextBody"/>
        <w:bidi w:val="0"/>
        <w:spacing w:lineRule="auto" w:line="288"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1061"/>
        <w:gridCol w:w="60"/>
        <w:gridCol w:w="233"/>
        <w:gridCol w:w="1555"/>
        <w:gridCol w:w="180"/>
        <w:gridCol w:w="180"/>
        <w:gridCol w:w="89"/>
        <w:gridCol w:w="1698"/>
        <w:gridCol w:w="60"/>
        <w:gridCol w:w="60"/>
        <w:gridCol w:w="63"/>
        <w:gridCol w:w="1662"/>
        <w:gridCol w:w="60"/>
        <w:gridCol w:w="60"/>
        <w:gridCol w:w="81"/>
        <w:gridCol w:w="1211"/>
        <w:gridCol w:w="60"/>
        <w:gridCol w:w="60"/>
        <w:gridCol w:w="99"/>
        <w:gridCol w:w="1592"/>
        <w:gridCol w:w="81"/>
      </w:tblGrid>
      <w:tr>
        <w:trPr/>
        <w:tc>
          <w:tcPr>
            <w:tcW w:w="1061" w:type="dxa"/>
            <w:vMerge w:val="restart"/>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Name</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3935" w:type="dxa"/>
            <w:gridSpan w:val="6"/>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Number of Securities Underlying Unexercised Options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1725"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Exercise Price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1292"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Grant Date</w:t>
            </w:r>
          </w:p>
        </w:tc>
        <w:tc>
          <w:tcPr>
            <w:tcW w:w="60" w:type="dxa"/>
            <w:vMerge w:val="restart"/>
            <w:tcBorders/>
            <w:vAlign w:val="center"/>
          </w:tcPr>
          <w:p>
            <w:pPr>
              <w:pStyle w:val="TableContents"/>
              <w:keepNext w:val="true"/>
              <w:bidi w:val="0"/>
              <w:spacing w:before="0" w:after="0"/>
              <w:ind w:left="0" w:right="0" w:hanging="0"/>
              <w:jc w:val="left"/>
              <w:rPr/>
            </w:pPr>
            <w:r>
              <w:rPr/>
              <w:t> </w:t>
            </w:r>
          </w:p>
        </w:tc>
        <w:tc>
          <w:tcPr>
            <w:tcW w:w="60" w:type="dxa"/>
            <w:vMerge w:val="restart"/>
            <w:tcBorders/>
            <w:vAlign w:val="center"/>
          </w:tcPr>
          <w:p>
            <w:pPr>
              <w:pStyle w:val="TableContents"/>
              <w:keepNext w:val="true"/>
              <w:bidi w:val="0"/>
              <w:spacing w:before="0" w:after="0"/>
              <w:ind w:left="0" w:right="0" w:hanging="0"/>
              <w:jc w:val="left"/>
              <w:rPr/>
            </w:pPr>
            <w:r>
              <w:rPr/>
              <w:t> </w:t>
            </w:r>
          </w:p>
          <w:p>
            <w:pPr>
              <w:pStyle w:val="TableContents"/>
              <w:keepNext w:val="true"/>
              <w:bidi w:val="0"/>
              <w:spacing w:before="0" w:after="0"/>
              <w:ind w:left="0" w:right="0" w:hanging="0"/>
              <w:jc w:val="left"/>
              <w:rPr/>
            </w:pPr>
            <w:r>
              <w:rPr/>
              <w:t> </w:t>
            </w:r>
          </w:p>
        </w:tc>
        <w:tc>
          <w:tcPr>
            <w:tcW w:w="1691" w:type="dxa"/>
            <w:gridSpan w:val="2"/>
            <w:vMerge w:val="restart"/>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Option Expiration Date</w:t>
            </w:r>
          </w:p>
        </w:tc>
        <w:tc>
          <w:tcPr>
            <w:tcW w:w="81" w:type="dxa"/>
            <w:vMerge w:val="restart"/>
            <w:tcBorders/>
            <w:vAlign w:val="center"/>
          </w:tcPr>
          <w:p>
            <w:pPr>
              <w:pStyle w:val="TableContents"/>
              <w:keepNext w:val="true"/>
              <w:bidi w:val="0"/>
              <w:spacing w:before="0" w:after="0"/>
              <w:ind w:left="0" w:right="0" w:hanging="0"/>
              <w:jc w:val="left"/>
              <w:rPr/>
            </w:pPr>
            <w:r>
              <w:rPr/>
              <w:t> </w:t>
            </w:r>
          </w:p>
        </w:tc>
      </w:tr>
      <w:tr>
        <w:trPr/>
        <w:tc>
          <w:tcPr>
            <w:tcW w:w="106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88"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Exercisable </w:t>
            </w:r>
          </w:p>
        </w:tc>
        <w:tc>
          <w:tcPr>
            <w:tcW w:w="180" w:type="dxa"/>
            <w:tcBorders/>
            <w:vAlign w:val="center"/>
          </w:tcPr>
          <w:p>
            <w:pPr>
              <w:pStyle w:val="TableContents"/>
              <w:keepNext w:val="true"/>
              <w:bidi w:val="0"/>
              <w:spacing w:before="0" w:after="0"/>
              <w:ind w:left="0" w:right="0" w:hanging="0"/>
              <w:jc w:val="left"/>
              <w:rPr/>
            </w:pPr>
            <w:r>
              <w:rPr/>
              <w:t> </w:t>
            </w:r>
          </w:p>
        </w:tc>
        <w:tc>
          <w:tcPr>
            <w:tcW w:w="180" w:type="dxa"/>
            <w:tcBorders/>
            <w:vAlign w:val="center"/>
          </w:tcPr>
          <w:p>
            <w:pPr>
              <w:pStyle w:val="TableContents"/>
              <w:keepNext w:val="true"/>
              <w:bidi w:val="0"/>
              <w:spacing w:before="0" w:after="0"/>
              <w:ind w:left="0" w:right="0" w:hanging="0"/>
              <w:jc w:val="left"/>
              <w:rPr/>
            </w:pPr>
            <w:r>
              <w:rPr/>
              <w:t> </w:t>
            </w:r>
          </w:p>
        </w:tc>
        <w:tc>
          <w:tcPr>
            <w:tcW w:w="1787"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Unexercisable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2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92"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91" w:type="dxa"/>
            <w:gridSpan w:val="2"/>
            <w:vMerge w:val="continue"/>
            <w:tcBorders/>
            <w:vAlign w:val="center"/>
          </w:tcPr>
          <w:p>
            <w:pPr>
              <w:pStyle w:val="Normal"/>
              <w:bidi w:val="0"/>
              <w:jc w:val="left"/>
              <w:rPr/>
            </w:pPr>
            <w:r>
              <w:rPr/>
            </w:r>
          </w:p>
        </w:tc>
        <w:tc>
          <w:tcPr>
            <w:tcW w:w="81" w:type="dxa"/>
            <w:vMerge w:val="continue"/>
            <w:tcBorders/>
            <w:vAlign w:val="center"/>
          </w:tcPr>
          <w:p>
            <w:pPr>
              <w:pStyle w:val="Normal"/>
              <w:bidi w:val="0"/>
              <w:jc w:val="left"/>
              <w:rPr/>
            </w:pPr>
            <w:r>
              <w:rPr/>
            </w:r>
          </w:p>
        </w:tc>
      </w:tr>
      <w:tr>
        <w:trPr/>
        <w:tc>
          <w:tcPr>
            <w:tcW w:w="1061"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Derek Graham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33" w:type="dxa"/>
            <w:tcBorders/>
            <w:shd w:fill="CCEEFF" w:val="clear"/>
            <w:vAlign w:val="center"/>
          </w:tcPr>
          <w:p>
            <w:pPr>
              <w:pStyle w:val="TableContents"/>
              <w:bidi w:val="0"/>
              <w:spacing w:before="0" w:after="283"/>
              <w:jc w:val="left"/>
              <w:rPr/>
            </w:pPr>
            <w:r>
              <w:rPr/>
            </w:r>
          </w:p>
        </w:tc>
        <w:tc>
          <w:tcPr>
            <w:tcW w:w="155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667</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89" w:type="dxa"/>
            <w:tcBorders/>
            <w:shd w:fill="CCEEFF" w:val="clear"/>
            <w:vAlign w:val="center"/>
          </w:tcPr>
          <w:p>
            <w:pPr>
              <w:pStyle w:val="TableContents"/>
              <w:bidi w:val="0"/>
              <w:spacing w:before="0" w:after="283"/>
              <w:jc w:val="left"/>
              <w:rPr/>
            </w:pPr>
            <w:r>
              <w:rPr/>
            </w:r>
          </w:p>
        </w:tc>
        <w:tc>
          <w:tcPr>
            <w:tcW w:w="169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3" w:type="dxa"/>
            <w:tcBorders/>
            <w:shd w:fill="CCEEFF" w:val="clear"/>
            <w:vAlign w:val="center"/>
          </w:tcPr>
          <w:p>
            <w:pPr>
              <w:pStyle w:val="TableContents"/>
              <w:bidi w:val="0"/>
              <w:spacing w:before="0" w:after="283"/>
              <w:jc w:val="left"/>
              <w:rPr/>
            </w:pPr>
            <w:r>
              <w:rPr/>
            </w:r>
          </w:p>
        </w:tc>
        <w:tc>
          <w:tcPr>
            <w:tcW w:w="16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37.500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81" w:type="dxa"/>
            <w:tcBorders/>
            <w:shd w:fill="CCEEFF" w:val="clear"/>
            <w:vAlign w:val="center"/>
          </w:tcPr>
          <w:p>
            <w:pPr>
              <w:pStyle w:val="TableContents"/>
              <w:keepNext w:val="true"/>
              <w:bidi w:val="0"/>
              <w:spacing w:before="0" w:after="0"/>
              <w:ind w:left="0" w:right="0" w:hanging="0"/>
              <w:jc w:val="left"/>
              <w:rPr/>
            </w:pPr>
            <w:r>
              <w:rPr/>
              <w:t> </w:t>
            </w:r>
          </w:p>
        </w:tc>
        <w:tc>
          <w:tcPr>
            <w:tcW w:w="121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99" w:type="dxa"/>
            <w:tcBorders/>
            <w:shd w:fill="CCEEFF" w:val="clear"/>
            <w:vAlign w:val="center"/>
          </w:tcPr>
          <w:p>
            <w:pPr>
              <w:pStyle w:val="TableContents"/>
              <w:keepNext w:val="true"/>
              <w:bidi w:val="0"/>
              <w:spacing w:before="0" w:after="0"/>
              <w:ind w:left="0" w:right="0" w:hanging="0"/>
              <w:jc w:val="left"/>
              <w:rPr/>
            </w:pPr>
            <w:r>
              <w:rPr/>
              <w:t> </w:t>
            </w:r>
          </w:p>
        </w:tc>
        <w:tc>
          <w:tcPr>
            <w:tcW w:w="159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81" w:type="dxa"/>
            <w:tcBorders/>
            <w:shd w:fill="CCEEFF" w:val="clear"/>
            <w:vAlign w:val="center"/>
          </w:tcPr>
          <w:p>
            <w:pPr>
              <w:pStyle w:val="TableContents"/>
              <w:keepNext w:val="true"/>
              <w:bidi w:val="0"/>
              <w:spacing w:before="0" w:after="0"/>
              <w:ind w:left="0" w:right="0" w:hanging="0"/>
              <w:jc w:val="left"/>
              <w:rPr/>
            </w:pPr>
            <w:r>
              <w:rPr/>
              <w:t> </w:t>
            </w:r>
          </w:p>
        </w:tc>
      </w:tr>
      <w:tr>
        <w:trPr/>
        <w:tc>
          <w:tcPr>
            <w:tcW w:w="1061"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233" w:type="dxa"/>
            <w:tcBorders/>
            <w:vAlign w:val="center"/>
          </w:tcPr>
          <w:p>
            <w:pPr>
              <w:pStyle w:val="TableContents"/>
              <w:keepNext w:val="true"/>
              <w:bidi w:val="0"/>
              <w:spacing w:before="0" w:after="0"/>
              <w:ind w:left="0" w:right="0" w:hanging="0"/>
              <w:jc w:val="left"/>
              <w:rPr/>
            </w:pPr>
            <w:r>
              <w:rPr/>
              <w:t> </w:t>
            </w:r>
          </w:p>
        </w:tc>
        <w:tc>
          <w:tcPr>
            <w:tcW w:w="1555"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1,666</w:t>
            </w:r>
          </w:p>
        </w:tc>
        <w:tc>
          <w:tcPr>
            <w:tcW w:w="180" w:type="dxa"/>
            <w:tcBorders/>
            <w:vAlign w:val="center"/>
          </w:tcPr>
          <w:p>
            <w:pPr>
              <w:pStyle w:val="TableContents"/>
              <w:keepNext w:val="true"/>
              <w:bidi w:val="0"/>
              <w:spacing w:before="0" w:after="0"/>
              <w:ind w:left="0" w:right="0" w:hanging="0"/>
              <w:jc w:val="left"/>
              <w:rPr/>
            </w:pPr>
            <w:r>
              <w:rPr/>
              <w:t> </w:t>
            </w:r>
          </w:p>
        </w:tc>
        <w:tc>
          <w:tcPr>
            <w:tcW w:w="180" w:type="dxa"/>
            <w:tcBorders/>
            <w:vAlign w:val="center"/>
          </w:tcPr>
          <w:p>
            <w:pPr>
              <w:pStyle w:val="TableContents"/>
              <w:keepNext w:val="true"/>
              <w:bidi w:val="0"/>
              <w:spacing w:before="0" w:after="0"/>
              <w:ind w:left="0" w:right="0" w:hanging="0"/>
              <w:jc w:val="left"/>
              <w:rPr/>
            </w:pPr>
            <w:r>
              <w:rPr/>
              <w:t> </w:t>
            </w:r>
          </w:p>
        </w:tc>
        <w:tc>
          <w:tcPr>
            <w:tcW w:w="89" w:type="dxa"/>
            <w:tcBorders/>
            <w:vAlign w:val="center"/>
          </w:tcPr>
          <w:p>
            <w:pPr>
              <w:pStyle w:val="TableContents"/>
              <w:keepNext w:val="true"/>
              <w:bidi w:val="0"/>
              <w:spacing w:before="0" w:after="0"/>
              <w:ind w:left="0" w:right="0" w:hanging="0"/>
              <w:jc w:val="left"/>
              <w:rPr/>
            </w:pPr>
            <w:r>
              <w:rPr/>
            </w:r>
          </w:p>
        </w:tc>
        <w:tc>
          <w:tcPr>
            <w:tcW w:w="1698" w:type="dxa"/>
            <w:tcBorders/>
            <w:vAlign w:val="center"/>
          </w:tcPr>
          <w:p>
            <w:pPr>
              <w:pStyle w:val="TableContents"/>
              <w:keepNext w:val="true"/>
              <w:bidi w:val="0"/>
              <w:spacing w:before="0" w:after="0"/>
              <w:ind w:left="0" w:right="0" w:hanging="0"/>
              <w:jc w:val="right"/>
              <w:rPr/>
            </w:pPr>
            <w:r>
              <w:rPr>
                <w:rFonts w:ascii="times new roman;times" w:hAnsi="times new roman;times"/>
                <w:sz w:val="20"/>
              </w:rPr>
              <w:t>334</w:t>
            </w:r>
            <w:r>
              <w:rPr>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3" w:type="dxa"/>
            <w:tcBorders/>
            <w:vAlign w:val="center"/>
          </w:tcPr>
          <w:p>
            <w:pPr>
              <w:pStyle w:val="TableContents"/>
              <w:keepNext w:val="true"/>
              <w:bidi w:val="0"/>
              <w:spacing w:before="0" w:after="0"/>
              <w:ind w:left="0" w:right="0" w:hanging="0"/>
              <w:jc w:val="left"/>
              <w:rPr/>
            </w:pPr>
            <w:r>
              <w:rPr/>
            </w:r>
          </w:p>
        </w:tc>
        <w:tc>
          <w:tcPr>
            <w:tcW w:w="166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15.150</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81" w:type="dxa"/>
            <w:tcBorders/>
            <w:vAlign w:val="center"/>
          </w:tcPr>
          <w:p>
            <w:pPr>
              <w:pStyle w:val="TableContents"/>
              <w:keepNext w:val="true"/>
              <w:bidi w:val="0"/>
              <w:spacing w:before="0" w:after="0"/>
              <w:ind w:left="0" w:right="0" w:hanging="0"/>
              <w:jc w:val="left"/>
              <w:rPr/>
            </w:pPr>
            <w:r>
              <w:rPr/>
              <w:t> </w:t>
            </w:r>
          </w:p>
        </w:tc>
        <w:tc>
          <w:tcPr>
            <w:tcW w:w="121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06-15-2023</w:t>
            </w:r>
          </w:p>
        </w:tc>
        <w:tc>
          <w:tcPr>
            <w:tcW w:w="60" w:type="dxa"/>
            <w:tcBorders/>
            <w:vAlign w:val="center"/>
          </w:tcPr>
          <w:p>
            <w:pPr>
              <w:pStyle w:val="TableContents"/>
              <w:keepNext w:val="true"/>
              <w:bidi w:val="0"/>
              <w:spacing w:before="0" w:after="0"/>
              <w:ind w:left="0" w:right="0" w:hanging="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99" w:type="dxa"/>
            <w:tcBorders/>
            <w:vAlign w:val="center"/>
          </w:tcPr>
          <w:p>
            <w:pPr>
              <w:pStyle w:val="TableContents"/>
              <w:keepNext w:val="true"/>
              <w:bidi w:val="0"/>
              <w:spacing w:before="0" w:after="0"/>
              <w:ind w:left="0" w:right="0" w:hanging="0"/>
              <w:jc w:val="left"/>
              <w:rPr/>
            </w:pPr>
            <w:r>
              <w:rPr/>
              <w:t> </w:t>
            </w:r>
          </w:p>
        </w:tc>
        <w:tc>
          <w:tcPr>
            <w:tcW w:w="159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06-15-2029</w:t>
            </w:r>
          </w:p>
        </w:tc>
        <w:tc>
          <w:tcPr>
            <w:tcW w:w="81" w:type="dxa"/>
            <w:tcBorders/>
            <w:vAlign w:val="center"/>
          </w:tcPr>
          <w:p>
            <w:pPr>
              <w:pStyle w:val="TableContents"/>
              <w:keepNext w:val="true"/>
              <w:bidi w:val="0"/>
              <w:spacing w:before="0" w:after="0"/>
              <w:ind w:left="0" w:right="0" w:hanging="0"/>
              <w:jc w:val="left"/>
              <w:rPr/>
            </w:pPr>
            <w:r>
              <w:rPr/>
              <w:t> </w:t>
            </w:r>
          </w:p>
        </w:tc>
      </w:tr>
      <w:tr>
        <w:trPr/>
        <w:tc>
          <w:tcPr>
            <w:tcW w:w="1061"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233" w:type="dxa"/>
            <w:tcBorders/>
            <w:shd w:fill="CCEEFF" w:val="clear"/>
            <w:vAlign w:val="center"/>
          </w:tcPr>
          <w:p>
            <w:pPr>
              <w:pStyle w:val="TableContents"/>
              <w:keepNext w:val="true"/>
              <w:bidi w:val="0"/>
              <w:spacing w:before="0" w:after="0"/>
              <w:ind w:left="0" w:right="0" w:hanging="0"/>
              <w:jc w:val="left"/>
              <w:rPr/>
            </w:pPr>
            <w:r>
              <w:rPr/>
              <w:t> </w:t>
            </w:r>
          </w:p>
        </w:tc>
        <w:tc>
          <w:tcPr>
            <w:tcW w:w="1555"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180" w:type="dxa"/>
            <w:tcBorders/>
            <w:shd w:fill="CCEEFF" w:val="clear"/>
            <w:vAlign w:val="center"/>
          </w:tcPr>
          <w:p>
            <w:pPr>
              <w:pStyle w:val="TableContents"/>
              <w:keepNext w:val="true"/>
              <w:bidi w:val="0"/>
              <w:spacing w:before="0" w:after="0"/>
              <w:ind w:left="0" w:right="0" w:hanging="0"/>
              <w:jc w:val="left"/>
              <w:rPr/>
            </w:pPr>
            <w:r>
              <w:rPr/>
              <w:t> </w:t>
            </w:r>
          </w:p>
        </w:tc>
        <w:tc>
          <w:tcPr>
            <w:tcW w:w="89" w:type="dxa"/>
            <w:tcBorders/>
            <w:shd w:fill="CCEEFF" w:val="clear"/>
            <w:vAlign w:val="center"/>
          </w:tcPr>
          <w:p>
            <w:pPr>
              <w:pStyle w:val="TableContents"/>
              <w:keepNext w:val="true"/>
              <w:bidi w:val="0"/>
              <w:spacing w:before="0" w:after="0"/>
              <w:ind w:left="0" w:right="0" w:hanging="0"/>
              <w:jc w:val="left"/>
              <w:rPr/>
            </w:pPr>
            <w:r>
              <w:rPr/>
            </w:r>
          </w:p>
        </w:tc>
        <w:tc>
          <w:tcPr>
            <w:tcW w:w="1698"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3" w:type="dxa"/>
            <w:tcBorders/>
            <w:shd w:fill="CCEEFF" w:val="clear"/>
            <w:vAlign w:val="center"/>
          </w:tcPr>
          <w:p>
            <w:pPr>
              <w:pStyle w:val="TableContents"/>
              <w:keepNext w:val="true"/>
              <w:bidi w:val="0"/>
              <w:spacing w:before="0" w:after="0"/>
              <w:ind w:left="0" w:right="0" w:hanging="0"/>
              <w:jc w:val="left"/>
              <w:rPr/>
            </w:pPr>
            <w:r>
              <w:rPr/>
            </w:r>
          </w:p>
        </w:tc>
        <w:tc>
          <w:tcPr>
            <w:tcW w:w="166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81" w:type="dxa"/>
            <w:tcBorders/>
            <w:shd w:fill="CCEEFF" w:val="clear"/>
            <w:vAlign w:val="center"/>
          </w:tcPr>
          <w:p>
            <w:pPr>
              <w:pStyle w:val="TableContents"/>
              <w:keepNext w:val="true"/>
              <w:bidi w:val="0"/>
              <w:spacing w:before="0" w:after="0"/>
              <w:ind w:left="0" w:right="0" w:hanging="0"/>
              <w:jc w:val="left"/>
              <w:rPr/>
            </w:pPr>
            <w:r>
              <w:rPr/>
              <w:t> </w:t>
            </w:r>
          </w:p>
        </w:tc>
        <w:tc>
          <w:tcPr>
            <w:tcW w:w="121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99" w:type="dxa"/>
            <w:tcBorders/>
            <w:shd w:fill="CCEEFF" w:val="clear"/>
            <w:vAlign w:val="center"/>
          </w:tcPr>
          <w:p>
            <w:pPr>
              <w:pStyle w:val="TableContents"/>
              <w:keepNext w:val="true"/>
              <w:bidi w:val="0"/>
              <w:spacing w:before="0" w:after="0"/>
              <w:ind w:left="0" w:right="0" w:hanging="0"/>
              <w:jc w:val="left"/>
              <w:rPr/>
            </w:pPr>
            <w:r>
              <w:rPr/>
              <w:t> </w:t>
            </w:r>
          </w:p>
        </w:tc>
        <w:tc>
          <w:tcPr>
            <w:tcW w:w="159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1" w:type="dxa"/>
            <w:tcBorders/>
            <w:shd w:fill="CCEEFF" w:val="clear"/>
            <w:vAlign w:val="center"/>
          </w:tcPr>
          <w:p>
            <w:pPr>
              <w:pStyle w:val="TableContents"/>
              <w:keepNext w:val="true"/>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Simon Brewer</w:t>
            </w:r>
          </w:p>
        </w:tc>
        <w:tc>
          <w:tcPr>
            <w:tcW w:w="60"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r>
          </w:p>
        </w:tc>
        <w:tc>
          <w:tcPr>
            <w:tcW w:w="155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6,667</w:t>
            </w:r>
          </w:p>
        </w:tc>
        <w:tc>
          <w:tcPr>
            <w:tcW w:w="180"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89" w:type="dxa"/>
            <w:tcBorders/>
            <w:vAlign w:val="center"/>
          </w:tcPr>
          <w:p>
            <w:pPr>
              <w:pStyle w:val="TableContents"/>
              <w:bidi w:val="0"/>
              <w:spacing w:before="0" w:after="283"/>
              <w:jc w:val="left"/>
              <w:rPr/>
            </w:pPr>
            <w:r>
              <w:rPr/>
            </w:r>
          </w:p>
        </w:tc>
        <w:tc>
          <w:tcPr>
            <w:tcW w:w="169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283"/>
              <w:jc w:val="left"/>
              <w:rPr/>
            </w:pPr>
            <w:r>
              <w:rPr/>
            </w:r>
          </w:p>
        </w:tc>
        <w:tc>
          <w:tcPr>
            <w:tcW w:w="166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7.350</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1" w:type="dxa"/>
            <w:tcBorders/>
            <w:vAlign w:val="center"/>
          </w:tcPr>
          <w:p>
            <w:pPr>
              <w:pStyle w:val="TableContents"/>
              <w:bidi w:val="0"/>
              <w:spacing w:before="0" w:after="0"/>
              <w:ind w:left="0" w:right="0" w:hanging="0"/>
              <w:jc w:val="left"/>
              <w:rPr/>
            </w:pPr>
            <w:r>
              <w:rPr/>
              <w:t> </w:t>
            </w:r>
          </w:p>
        </w:tc>
        <w:tc>
          <w:tcPr>
            <w:tcW w:w="12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11-27-2024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9" w:type="dxa"/>
            <w:tcBorders/>
            <w:vAlign w:val="center"/>
          </w:tcPr>
          <w:p>
            <w:pPr>
              <w:pStyle w:val="TableContents"/>
              <w:bidi w:val="0"/>
              <w:spacing w:before="0" w:after="0"/>
              <w:ind w:left="0" w:right="0" w:hanging="0"/>
              <w:jc w:val="left"/>
              <w:rPr/>
            </w:pPr>
            <w:r>
              <w:rPr/>
              <w:t> </w:t>
            </w:r>
          </w:p>
        </w:tc>
        <w:tc>
          <w:tcPr>
            <w:tcW w:w="159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11-26-2030</w:t>
            </w:r>
          </w:p>
        </w:tc>
        <w:tc>
          <w:tcPr>
            <w:tcW w:w="81"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w:t>
            </w:r>
          </w:p>
        </w:tc>
        <w:tc>
          <w:tcPr>
            <w:tcW w:w="9974" w:type="dxa"/>
            <w:tcBorders/>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sz w:val="20"/>
              </w:rPr>
              <w:t>One-third of the shares underlying each stock option vest on the first anniversary of the grant date and the remaining shares vest equally over a period of</w:t>
            </w:r>
            <w:r>
              <w:rPr>
                <w:rFonts w:ascii="times new roman;times" w:hAnsi="times new roman;times"/>
              </w:rPr>
              <w:t> </w:t>
            </w:r>
            <w:r>
              <w:rPr>
                <w:rFonts w:ascii="times new roman;times" w:hAnsi="times new roman;times"/>
                <w:sz w:val="20"/>
              </w:rPr>
              <w:t>24</w:t>
            </w:r>
            <w:r>
              <w:rPr>
                <w:rFonts w:ascii="times new roman;times" w:hAnsi="times new roman;times"/>
              </w:rPr>
              <w:t> </w:t>
            </w:r>
            <w:r>
              <w:rPr>
                <w:rFonts w:ascii="times new roman;times" w:hAnsi="times new roman;times"/>
                <w:sz w:val="20"/>
              </w:rPr>
              <w:t xml:space="preserve">months following the first anniversary of the grant date. </w:t>
            </w:r>
          </w:p>
        </w:tc>
      </w:tr>
    </w:tbl>
    <w:p>
      <w:pPr>
        <w:pStyle w:val="TextBody"/>
        <w:bidi w:val="0"/>
        <w:spacing w:lineRule="auto" w:line="288" w:before="0" w:after="0"/>
        <w:ind w:left="144" w:right="144"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 xml:space="preserve">Option Exercises and Stock Vested </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were no exercises of stock options by named executive officers during 2025.</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Director Compensation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summarizes the compensation paid to non-employee directors for the year ended December 31, 2025.</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787"/>
        <w:gridCol w:w="73"/>
        <w:gridCol w:w="675"/>
        <w:gridCol w:w="2341"/>
        <w:gridCol w:w="74"/>
        <w:gridCol w:w="73"/>
        <w:gridCol w:w="999"/>
        <w:gridCol w:w="640"/>
        <w:gridCol w:w="74"/>
        <w:gridCol w:w="73"/>
        <w:gridCol w:w="1358"/>
        <w:gridCol w:w="869"/>
        <w:gridCol w:w="73"/>
        <w:gridCol w:w="74"/>
        <w:gridCol w:w="208"/>
        <w:gridCol w:w="722"/>
        <w:gridCol w:w="92"/>
      </w:tblGrid>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Name </w:t>
            </w:r>
          </w:p>
        </w:tc>
        <w:tc>
          <w:tcPr>
            <w:tcW w:w="73" w:type="dxa"/>
            <w:tcBorders/>
            <w:vAlign w:val="center"/>
          </w:tcPr>
          <w:p>
            <w:pPr>
              <w:pStyle w:val="TableContents"/>
              <w:keepNext w:val="true"/>
              <w:bidi w:val="0"/>
              <w:spacing w:before="0" w:after="0"/>
              <w:ind w:left="0" w:right="0" w:hanging="0"/>
              <w:jc w:val="left"/>
              <w:rPr/>
            </w:pPr>
            <w:r>
              <w:rPr/>
              <w:t> </w:t>
            </w:r>
          </w:p>
        </w:tc>
        <w:tc>
          <w:tcPr>
            <w:tcW w:w="3016" w:type="dxa"/>
            <w:gridSpan w:val="2"/>
            <w:tcBorders/>
            <w:vAlign w:val="center"/>
          </w:tcPr>
          <w:p>
            <w:pPr>
              <w:pStyle w:val="TableContents"/>
              <w:keepNext w:val="true"/>
              <w:bidi w:val="0"/>
              <w:spacing w:lineRule="atLeast" w:line="240" w:before="0" w:after="0"/>
              <w:ind w:left="0" w:right="0" w:hanging="0"/>
              <w:jc w:val="center"/>
              <w:rPr>
                <w:rFonts w:ascii="times new roman;times" w:hAnsi="times new roman;times"/>
                <w:b/>
                <w:sz w:val="20"/>
              </w:rPr>
            </w:pPr>
            <w:r>
              <w:rPr>
                <w:rFonts w:ascii="times new roman;times" w:hAnsi="times new roman;times"/>
                <w:b/>
                <w:sz w:val="20"/>
              </w:rPr>
              <w:t xml:space="preserve">Fees Earned or Paid in Cash </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639"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Awards </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2227"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Other Compensation </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930" w:type="dxa"/>
            <w:gridSpan w:val="2"/>
            <w:tcBorders/>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Total </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5"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341"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9"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358"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6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208"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22"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Lisa B. Higley</w:t>
            </w:r>
          </w:p>
        </w:tc>
        <w:tc>
          <w:tcPr>
            <w:tcW w:w="73" w:type="dxa"/>
            <w:tcBorders/>
            <w:vAlign w:val="center"/>
          </w:tcPr>
          <w:p>
            <w:pPr>
              <w:pStyle w:val="TableContents"/>
              <w:keepNext w:val="true"/>
              <w:bidi w:val="0"/>
              <w:spacing w:before="0" w:after="0"/>
              <w:ind w:left="0" w:right="0" w:hanging="0"/>
              <w:jc w:val="left"/>
              <w:rPr/>
            </w:pPr>
            <w:r>
              <w:rPr/>
              <w:t> </w:t>
            </w:r>
          </w:p>
        </w:tc>
        <w:tc>
          <w:tcPr>
            <w:tcW w:w="675" w:type="dxa"/>
            <w:tcBorders/>
            <w:vAlign w:val="center"/>
          </w:tcPr>
          <w:p>
            <w:pPr>
              <w:pStyle w:val="TableContents"/>
              <w:keepNext w:val="true"/>
              <w:bidi w:val="0"/>
              <w:spacing w:before="0" w:after="0"/>
              <w:ind w:left="0" w:right="0" w:hanging="0"/>
              <w:jc w:val="left"/>
              <w:rPr/>
            </w:pPr>
            <w:r>
              <w:rPr/>
              <w:t> </w:t>
            </w:r>
          </w:p>
        </w:tc>
        <w:tc>
          <w:tcPr>
            <w:tcW w:w="234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9" w:type="dxa"/>
            <w:tcBorders/>
            <w:vAlign w:val="center"/>
          </w:tcPr>
          <w:p>
            <w:pPr>
              <w:pStyle w:val="TableContents"/>
              <w:keepNext w:val="true"/>
              <w:bidi w:val="0"/>
              <w:spacing w:before="0" w:after="0"/>
              <w:ind w:left="0" w:right="0" w:hanging="0"/>
              <w:jc w:val="left"/>
              <w:rPr/>
            </w:pPr>
            <w:r>
              <w:rPr/>
              <w:t> </w:t>
            </w:r>
          </w:p>
        </w:tc>
        <w:tc>
          <w:tcPr>
            <w:tcW w:w="6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358" w:type="dxa"/>
            <w:tcBorders/>
            <w:vAlign w:val="center"/>
          </w:tcPr>
          <w:p>
            <w:pPr>
              <w:pStyle w:val="TableContents"/>
              <w:keepNext w:val="true"/>
              <w:bidi w:val="0"/>
              <w:spacing w:before="0" w:after="0"/>
              <w:ind w:left="0" w:right="0" w:hanging="0"/>
              <w:jc w:val="left"/>
              <w:rPr/>
            </w:pPr>
            <w:r>
              <w:rPr/>
              <w:t> </w:t>
            </w:r>
          </w:p>
        </w:tc>
        <w:tc>
          <w:tcPr>
            <w:tcW w:w="869"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208" w:type="dxa"/>
            <w:tcBorders/>
            <w:vAlign w:val="center"/>
          </w:tcPr>
          <w:p>
            <w:pPr>
              <w:pStyle w:val="TableContents"/>
              <w:keepNext w:val="true"/>
              <w:bidi w:val="0"/>
              <w:spacing w:before="0" w:after="0"/>
              <w:ind w:left="0" w:right="0" w:hanging="0"/>
              <w:jc w:val="left"/>
              <w:rPr/>
            </w:pPr>
            <w:r>
              <w:rPr/>
              <w:t> </w:t>
            </w:r>
          </w:p>
        </w:tc>
        <w:tc>
          <w:tcPr>
            <w:tcW w:w="72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54,000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Eric Boehnke</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675" w:type="dxa"/>
            <w:tcBorders/>
            <w:shd w:fill="CCEEFF" w:val="clear"/>
            <w:vAlign w:val="center"/>
          </w:tcPr>
          <w:p>
            <w:pPr>
              <w:pStyle w:val="TableContents"/>
              <w:keepNext w:val="true"/>
              <w:bidi w:val="0"/>
              <w:spacing w:before="0" w:after="0"/>
              <w:ind w:left="0" w:right="0" w:hanging="0"/>
              <w:jc w:val="left"/>
              <w:rPr/>
            </w:pPr>
            <w:r>
              <w:rPr/>
              <w:t> </w:t>
            </w:r>
          </w:p>
        </w:tc>
        <w:tc>
          <w:tcPr>
            <w:tcW w:w="2341" w:type="dxa"/>
            <w:tcBorders/>
            <w:shd w:fill="CCEEFF" w:val="clear"/>
            <w:vAlign w:val="center"/>
          </w:tcPr>
          <w:p>
            <w:pPr>
              <w:pStyle w:val="TableContents"/>
              <w:keepNext w:val="true"/>
              <w:bidi w:val="0"/>
              <w:spacing w:before="0" w:after="0"/>
              <w:ind w:left="0" w:right="0" w:hanging="0"/>
              <w:jc w:val="right"/>
              <w:rPr>
                <w:rFonts w:ascii="times new roman;times" w:hAnsi="times new roman;times"/>
              </w:rPr>
            </w:pPr>
            <w:r>
              <w:rPr>
                <w:rFonts w:ascii="times new roman;times" w:hAnsi="times new roman;times"/>
                <w:sz w:val="20"/>
              </w:rPr>
              <w:t>-</w:t>
            </w:r>
            <w:r>
              <w:rPr>
                <w:rFonts w:ascii="times new roman;times" w:hAnsi="times new roman;times"/>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999" w:type="dxa"/>
            <w:tcBorders/>
            <w:shd w:fill="CCEEFF" w:val="clear"/>
            <w:vAlign w:val="center"/>
          </w:tcPr>
          <w:p>
            <w:pPr>
              <w:pStyle w:val="TableContents"/>
              <w:keepNext w:val="true"/>
              <w:bidi w:val="0"/>
              <w:spacing w:before="0" w:after="0"/>
              <w:ind w:left="0" w:right="0" w:hanging="0"/>
              <w:jc w:val="left"/>
              <w:rPr/>
            </w:pPr>
            <w:r>
              <w:rPr/>
              <w:t> </w:t>
            </w:r>
          </w:p>
        </w:tc>
        <w:tc>
          <w:tcPr>
            <w:tcW w:w="640"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1358" w:type="dxa"/>
            <w:tcBorders/>
            <w:shd w:fill="CCEEFF" w:val="clear"/>
            <w:vAlign w:val="center"/>
          </w:tcPr>
          <w:p>
            <w:pPr>
              <w:pStyle w:val="TableContents"/>
              <w:keepNext w:val="true"/>
              <w:bidi w:val="0"/>
              <w:spacing w:before="0" w:after="0"/>
              <w:ind w:left="0" w:right="0" w:hanging="0"/>
              <w:jc w:val="left"/>
              <w:rPr/>
            </w:pPr>
            <w:r>
              <w:rPr/>
              <w:t> </w:t>
            </w:r>
          </w:p>
        </w:tc>
        <w:tc>
          <w:tcPr>
            <w:tcW w:w="86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left"/>
              <w:rPr/>
            </w:pPr>
            <w:r>
              <w:rPr/>
              <w:t> </w:t>
            </w:r>
          </w:p>
        </w:tc>
        <w:tc>
          <w:tcPr>
            <w:tcW w:w="74" w:type="dxa"/>
            <w:tcBorders/>
            <w:shd w:fill="CCEEFF" w:val="clear"/>
            <w:vAlign w:val="center"/>
          </w:tcPr>
          <w:p>
            <w:pPr>
              <w:pStyle w:val="TableContents"/>
              <w:keepNext w:val="true"/>
              <w:bidi w:val="0"/>
              <w:spacing w:before="0" w:after="0"/>
              <w:ind w:left="0" w:right="0" w:hanging="0"/>
              <w:jc w:val="left"/>
              <w:rPr/>
            </w:pPr>
            <w:r>
              <w:rPr/>
              <w:t> </w:t>
            </w:r>
          </w:p>
        </w:tc>
        <w:tc>
          <w:tcPr>
            <w:tcW w:w="208" w:type="dxa"/>
            <w:tcBorders/>
            <w:shd w:fill="CCEEFF" w:val="clear"/>
            <w:vAlign w:val="center"/>
          </w:tcPr>
          <w:p>
            <w:pPr>
              <w:pStyle w:val="TableContents"/>
              <w:keepNext w:val="true"/>
              <w:bidi w:val="0"/>
              <w:spacing w:before="0" w:after="0"/>
              <w:ind w:left="0" w:right="0" w:hanging="0"/>
              <w:jc w:val="left"/>
              <w:rPr/>
            </w:pPr>
            <w:r>
              <w:rPr/>
              <w:t> </w:t>
            </w:r>
          </w:p>
        </w:tc>
        <w:tc>
          <w:tcPr>
            <w:tcW w:w="722" w:type="dxa"/>
            <w:tcBorders/>
            <w:shd w:fill="CCEEFF" w:val="clear"/>
            <w:vAlign w:val="center"/>
          </w:tcPr>
          <w:p>
            <w:pPr>
              <w:pStyle w:val="TableContents"/>
              <w:keepNext w:val="true"/>
              <w:bidi w:val="0"/>
              <w:spacing w:before="0" w:after="0"/>
              <w:ind w:left="0" w:right="0" w:hanging="0"/>
              <w:jc w:val="right"/>
              <w:rPr>
                <w:rFonts w:ascii="times new roman;times" w:hAnsi="times new roman;times"/>
              </w:rPr>
            </w:pPr>
            <w:r>
              <w:rPr>
                <w:rFonts w:ascii="times new roman;times" w:hAnsi="times new roman;times"/>
                <w:sz w:val="20"/>
              </w:rPr>
              <w:t>-</w:t>
            </w:r>
            <w:r>
              <w:rPr>
                <w:rFonts w:ascii="times new roman;times" w:hAnsi="times new roman;times"/>
              </w:rPr>
              <w:t> </w:t>
            </w:r>
          </w:p>
        </w:tc>
        <w:tc>
          <w:tcPr>
            <w:tcW w:w="92" w:type="dxa"/>
            <w:tcBorders/>
            <w:shd w:fill="CCEEFF" w:val="clear"/>
            <w:vAlign w:val="center"/>
          </w:tcPr>
          <w:p>
            <w:pPr>
              <w:pStyle w:val="TableContents"/>
              <w:keepNext w:val="true"/>
              <w:bidi w:val="0"/>
              <w:spacing w:before="0" w:after="0"/>
              <w:ind w:left="0" w:right="0" w:hanging="0"/>
              <w:jc w:val="left"/>
              <w:rPr/>
            </w:pPr>
            <w:r>
              <w:rPr/>
              <w:t> </w:t>
            </w:r>
          </w:p>
        </w:tc>
      </w:tr>
      <w:tr>
        <w:trPr/>
        <w:tc>
          <w:tcPr>
            <w:tcW w:w="1787" w:type="dxa"/>
            <w:tcBorders/>
            <w:vAlign w:val="center"/>
          </w:tcPr>
          <w:p>
            <w:pPr>
              <w:pStyle w:val="TableContents"/>
              <w:keepNext w:val="true"/>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73" w:type="dxa"/>
            <w:tcBorders/>
            <w:vAlign w:val="center"/>
          </w:tcPr>
          <w:p>
            <w:pPr>
              <w:pStyle w:val="TableContents"/>
              <w:keepNext w:val="true"/>
              <w:bidi w:val="0"/>
              <w:spacing w:before="0" w:after="0"/>
              <w:ind w:left="0" w:right="0" w:hanging="0"/>
              <w:jc w:val="left"/>
              <w:rPr/>
            </w:pPr>
            <w:r>
              <w:rPr/>
              <w:t> </w:t>
            </w:r>
          </w:p>
        </w:tc>
        <w:tc>
          <w:tcPr>
            <w:tcW w:w="675" w:type="dxa"/>
            <w:tcBorders/>
            <w:vAlign w:val="center"/>
          </w:tcPr>
          <w:p>
            <w:pPr>
              <w:pStyle w:val="TableContents"/>
              <w:keepNext w:val="true"/>
              <w:bidi w:val="0"/>
              <w:spacing w:before="0" w:after="0"/>
              <w:ind w:left="0" w:right="0" w:hanging="0"/>
              <w:jc w:val="left"/>
              <w:rPr/>
            </w:pPr>
            <w:r>
              <w:rPr/>
              <w:t> </w:t>
            </w:r>
          </w:p>
        </w:tc>
        <w:tc>
          <w:tcPr>
            <w:tcW w:w="2341"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999" w:type="dxa"/>
            <w:tcBorders/>
            <w:vAlign w:val="center"/>
          </w:tcPr>
          <w:p>
            <w:pPr>
              <w:pStyle w:val="TableContents"/>
              <w:keepNext w:val="true"/>
              <w:bidi w:val="0"/>
              <w:spacing w:before="0" w:after="0"/>
              <w:ind w:left="0" w:right="0" w:hanging="0"/>
              <w:jc w:val="left"/>
              <w:rPr/>
            </w:pPr>
            <w:r>
              <w:rPr/>
              <w:t> </w:t>
            </w:r>
          </w:p>
        </w:tc>
        <w:tc>
          <w:tcPr>
            <w:tcW w:w="640"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vAlign w:val="center"/>
          </w:tcPr>
          <w:p>
            <w:pPr>
              <w:pStyle w:val="TableContents"/>
              <w:keepNext w:val="true"/>
              <w:bidi w:val="0"/>
              <w:spacing w:before="0" w:after="0"/>
              <w:ind w:left="0" w:right="0" w:hanging="0"/>
              <w:jc w:val="left"/>
              <w:rPr/>
            </w:pPr>
            <w:r>
              <w:rPr/>
              <w:t> </w:t>
            </w:r>
          </w:p>
        </w:tc>
        <w:tc>
          <w:tcPr>
            <w:tcW w:w="73" w:type="dxa"/>
            <w:tcBorders/>
            <w:vAlign w:val="center"/>
          </w:tcPr>
          <w:p>
            <w:pPr>
              <w:pStyle w:val="TableContents"/>
              <w:keepNext w:val="true"/>
              <w:bidi w:val="0"/>
              <w:spacing w:before="0" w:after="0"/>
              <w:ind w:left="0" w:right="0" w:hanging="0"/>
              <w:jc w:val="left"/>
              <w:rPr/>
            </w:pPr>
            <w:r>
              <w:rPr/>
              <w:t> </w:t>
            </w:r>
          </w:p>
        </w:tc>
        <w:tc>
          <w:tcPr>
            <w:tcW w:w="1358" w:type="dxa"/>
            <w:tcBorders/>
            <w:vAlign w:val="center"/>
          </w:tcPr>
          <w:p>
            <w:pPr>
              <w:pStyle w:val="TableContents"/>
              <w:keepNext w:val="true"/>
              <w:bidi w:val="0"/>
              <w:spacing w:before="0" w:after="0"/>
              <w:ind w:left="0" w:right="0" w:hanging="0"/>
              <w:jc w:val="left"/>
              <w:rPr/>
            </w:pPr>
            <w:r>
              <w:rPr/>
              <w:t> </w:t>
            </w:r>
          </w:p>
        </w:tc>
        <w:tc>
          <w:tcPr>
            <w:tcW w:w="869"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vAlign w:val="center"/>
          </w:tcPr>
          <w:p>
            <w:pPr>
              <w:pStyle w:val="TableContents"/>
              <w:keepNext w:val="true"/>
              <w:bidi w:val="0"/>
              <w:spacing w:before="0" w:after="0"/>
              <w:ind w:left="0" w:right="0" w:hanging="0"/>
              <w:jc w:val="left"/>
              <w:rPr/>
            </w:pPr>
            <w:r>
              <w:rPr/>
              <w:t> </w:t>
            </w:r>
          </w:p>
        </w:tc>
        <w:tc>
          <w:tcPr>
            <w:tcW w:w="74" w:type="dxa"/>
            <w:tcBorders/>
            <w:vAlign w:val="center"/>
          </w:tcPr>
          <w:p>
            <w:pPr>
              <w:pStyle w:val="TableContents"/>
              <w:keepNext w:val="true"/>
              <w:bidi w:val="0"/>
              <w:spacing w:before="0" w:after="0"/>
              <w:ind w:left="0" w:right="0" w:hanging="0"/>
              <w:jc w:val="left"/>
              <w:rPr/>
            </w:pPr>
            <w:r>
              <w:rPr/>
              <w:t> </w:t>
            </w:r>
          </w:p>
        </w:tc>
        <w:tc>
          <w:tcPr>
            <w:tcW w:w="208" w:type="dxa"/>
            <w:tcBorders/>
            <w:vAlign w:val="center"/>
          </w:tcPr>
          <w:p>
            <w:pPr>
              <w:pStyle w:val="TableContents"/>
              <w:keepNext w:val="true"/>
              <w:bidi w:val="0"/>
              <w:spacing w:before="0" w:after="0"/>
              <w:ind w:left="0" w:right="0" w:hanging="0"/>
              <w:jc w:val="left"/>
              <w:rPr/>
            </w:pPr>
            <w:r>
              <w:rPr/>
              <w:t> </w:t>
            </w:r>
          </w:p>
        </w:tc>
        <w:tc>
          <w:tcPr>
            <w:tcW w:w="722" w:type="dxa"/>
            <w:tcBorders/>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92" w:type="dxa"/>
            <w:tcBorders/>
            <w:vAlign w:val="center"/>
          </w:tcPr>
          <w:p>
            <w:pPr>
              <w:pStyle w:val="TableContents"/>
              <w:keepNext w:val="true"/>
              <w:bidi w:val="0"/>
              <w:spacing w:before="0" w:after="0"/>
              <w:ind w:left="0" w:right="0" w:hanging="0"/>
              <w:jc w:val="left"/>
              <w:rPr/>
            </w:pPr>
            <w:r>
              <w:rPr/>
              <w:t> </w:t>
            </w:r>
          </w:p>
        </w:tc>
      </w:tr>
      <w:tr>
        <w:trPr/>
        <w:tc>
          <w:tcPr>
            <w:tcW w:w="1787" w:type="dxa"/>
            <w:tcBorders/>
            <w:shd w:fill="CCEEFF" w:val="clear"/>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sz w:val="20"/>
              </w:rPr>
              <w:t>Youngsun</w:t>
            </w:r>
            <w:r>
              <w:rPr>
                <w:rFonts w:ascii="times new roman;times" w:hAnsi="times new roman;times"/>
              </w:rPr>
              <w:t> </w:t>
            </w:r>
            <w:r>
              <w:rPr>
                <w:rFonts w:ascii="times new roman;times" w:hAnsi="times new roman;times"/>
                <w:sz w:val="20"/>
              </w:rPr>
              <w:t>Park</w:t>
            </w:r>
          </w:p>
        </w:tc>
        <w:tc>
          <w:tcPr>
            <w:tcW w:w="73"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pPr>
            <w:r>
              <w:rPr/>
              <w:t> </w:t>
            </w:r>
          </w:p>
        </w:tc>
        <w:tc>
          <w:tcPr>
            <w:tcW w:w="234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74"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4"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358"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17,267</w:t>
            </w:r>
          </w:p>
        </w:tc>
        <w:tc>
          <w:tcPr>
            <w:tcW w:w="9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directors are reimbursed by the Company for their out-of-pocket travel and related expenses, if any, incurred in attending all Board of Directors and committee meetings. However, during 2025 no expenses were reimbursed to any director.</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SECURITY OWNERSHIP OF CERTAIN BENEFICIAL OWNERS AND MANAGEMENT OF CLEARONE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following table sets forth certain information with respect to the beneficial ownership of our Common Stock as of August 3, 2026 prior to the issuance of the Consideration Shares for:</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of our directors;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all of our current directors, named executive officers and executive officers as a group; and </w:t>
      </w:r>
    </w:p>
    <w:p>
      <w:pPr>
        <w:pStyle w:val="TextBody"/>
        <w:numPr>
          <w:ilvl w:val="0"/>
          <w:numId w:val="53"/>
        </w:numPr>
        <w:pBdr/>
        <w:tabs>
          <w:tab w:val="clear" w:pos="1134"/>
          <w:tab w:val="left" w:pos="709" w:leader="none"/>
        </w:tabs>
        <w:bidi w:val="0"/>
        <w:spacing w:before="0" w:after="200"/>
        <w:ind w:left="709" w:right="0" w:hanging="283"/>
        <w:jc w:val="both"/>
        <w:rPr>
          <w:rFonts w:ascii="times new roman;times" w:hAnsi="times new roman;times"/>
          <w:sz w:val="20"/>
        </w:rPr>
      </w:pPr>
      <w:r>
        <w:rPr>
          <w:rFonts w:ascii="times new roman;times" w:hAnsi="times new roman;times"/>
          <w:sz w:val="20"/>
        </w:rPr>
        <w:t xml:space="preserve">each person or group known by us to be the beneficial owner of more than 5% of our Common Stock.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We have based our calculation of the percentage of beneficial ownership on 2,675,412 shares of our Common Stock, NIL shares of our Class A Preferred Stock and NIL shares of our Class B Preferred Stock outstanding as of August 3, 2026. We have deemed shares of our Common Stock subject to stock options that are currently exercisable or exercisable within 60 days of August 3,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6014"/>
        <w:gridCol w:w="63"/>
        <w:gridCol w:w="1609"/>
        <w:gridCol w:w="73"/>
        <w:gridCol w:w="2366"/>
        <w:gridCol w:w="80"/>
      </w:tblGrid>
      <w:tr>
        <w:trPr/>
        <w:tc>
          <w:tcPr>
            <w:tcW w:w="6014" w:type="dxa"/>
            <w:tcBorders/>
            <w:shd w:fill="FFFFFF" w:val="clear"/>
            <w:vAlign w:val="center"/>
          </w:tcPr>
          <w:p>
            <w:pPr>
              <w:pStyle w:val="TableContents"/>
              <w:keepNext w:val="true"/>
              <w:bidi w:val="0"/>
              <w:spacing w:before="0" w:after="0"/>
              <w:ind w:left="200" w:right="0" w:hanging="200"/>
              <w:jc w:val="left"/>
              <w:rPr/>
            </w:pPr>
            <w:r>
              <w:rPr/>
              <w:t>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4048" w:type="dxa"/>
            <w:gridSpan w:val="3"/>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Amount and Nature of Beneficial Ownership </w:t>
            </w:r>
          </w:p>
        </w:tc>
        <w:tc>
          <w:tcPr>
            <w:tcW w:w="80" w:type="dxa"/>
            <w:tcBorders/>
            <w:shd w:fill="FFFFFF" w:val="clear"/>
            <w:vAlign w:val="center"/>
          </w:tcPr>
          <w:p>
            <w:pPr>
              <w:pStyle w:val="TableContents"/>
              <w:keepNext w:val="true"/>
              <w:bidi w:val="0"/>
              <w:spacing w:before="0" w:after="0"/>
              <w:ind w:left="0" w:right="0" w:hanging="0"/>
              <w:jc w:val="center"/>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b/>
                <w:sz w:val="20"/>
              </w:rPr>
              <w:t>Name of Beneficial Owner</w:t>
            </w:r>
            <w:r>
              <w:rPr>
                <w:position w:val="5"/>
                <w:sz w:val="13"/>
                <w:sz w:val="16"/>
              </w:rPr>
              <w:t>(1)</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center"/>
              <w:rPr>
                <w:rFonts w:ascii="times new roman;times" w:hAnsi="times new roman;times"/>
                <w:b/>
                <w:sz w:val="20"/>
              </w:rPr>
            </w:pPr>
            <w:r>
              <w:rPr>
                <w:rFonts w:ascii="times new roman;times" w:hAnsi="times new roman;times"/>
                <w:b/>
                <w:sz w:val="20"/>
              </w:rPr>
              <w:t>Common Stock</w:t>
            </w:r>
          </w:p>
        </w:tc>
        <w:tc>
          <w:tcPr>
            <w:tcW w:w="73" w:type="dxa"/>
            <w:tcBorders/>
            <w:shd w:fill="FFFFFF" w:val="clear"/>
            <w:vAlign w:val="center"/>
          </w:tcPr>
          <w:p>
            <w:pPr>
              <w:pStyle w:val="TableContents"/>
              <w:keepNext w:val="true"/>
              <w:bidi w:val="0"/>
              <w:spacing w:before="0" w:after="0"/>
              <w:ind w:left="0" w:right="0" w:hanging="0"/>
              <w:jc w:val="center"/>
              <w:rPr/>
            </w:pPr>
            <w:r>
              <w:rPr/>
              <w:t> </w:t>
            </w:r>
          </w:p>
        </w:tc>
        <w:tc>
          <w:tcPr>
            <w:tcW w:w="2366" w:type="dxa"/>
            <w:tcBorders/>
            <w:shd w:fill="FFFFFF" w:val="clear"/>
            <w:vAlign w:val="center"/>
          </w:tcPr>
          <w:p>
            <w:pPr>
              <w:pStyle w:val="TableContents"/>
              <w:keepNext w:val="true"/>
              <w:bidi w:val="0"/>
              <w:spacing w:before="0" w:after="0"/>
              <w:ind w:left="0" w:right="0" w:hanging="0"/>
              <w:jc w:val="center"/>
              <w:rPr/>
            </w:pPr>
            <w:r>
              <w:rPr>
                <w:rFonts w:ascii="times new roman;times" w:hAnsi="times new roman;times"/>
                <w:b/>
                <w:sz w:val="20"/>
              </w:rPr>
              <w:t>% of Common Stock</w:t>
            </w:r>
            <w:r>
              <w:rPr>
                <w:position w:val="5"/>
                <w:sz w:val="13"/>
                <w:sz w:val="16"/>
              </w:rPr>
              <w:t>(2)</w:t>
            </w:r>
          </w:p>
        </w:tc>
        <w:tc>
          <w:tcPr>
            <w:tcW w:w="80" w:type="dxa"/>
            <w:tcBorders/>
            <w:shd w:fill="FFFFFF" w:val="clear"/>
            <w:vAlign w:val="center"/>
          </w:tcPr>
          <w:p>
            <w:pPr>
              <w:pStyle w:val="TableContents"/>
              <w:keepNext w:val="true"/>
              <w:bidi w:val="0"/>
              <w:spacing w:before="0" w:after="0"/>
              <w:ind w:left="0" w:right="0" w:hanging="0"/>
              <w:jc w:val="center"/>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Directors and Executive Officers</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pPr>
            <w:r>
              <w:rPr/>
              <w:t> </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pPr>
            <w:r>
              <w:rPr/>
              <w:t> </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Derek L. Graham</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351</w:t>
            </w:r>
          </w:p>
        </w:tc>
        <w:tc>
          <w:tcPr>
            <w:tcW w:w="73" w:type="dxa"/>
            <w:tcBorders/>
            <w:shd w:fill="FFFFFF" w:val="clear"/>
            <w:vAlign w:val="center"/>
          </w:tcPr>
          <w:p>
            <w:pPr>
              <w:pStyle w:val="TableContents"/>
              <w:keepNext w:val="true"/>
              <w:bidi w:val="0"/>
              <w:spacing w:before="0" w:after="0"/>
              <w:ind w:left="0" w:right="0" w:hanging="0"/>
              <w:jc w:val="left"/>
              <w:rPr/>
            </w:pPr>
            <w:r>
              <w:rPr/>
              <w:t> </w:t>
            </w:r>
          </w:p>
        </w:tc>
        <w:tc>
          <w:tcPr>
            <w:tcW w:w="2366"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Boehnke</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sz w:val="20"/>
              </w:rPr>
              <w:t>Lisa B. Higley</w:t>
            </w:r>
            <w:r>
              <w:rPr>
                <w:position w:val="5"/>
                <w:sz w:val="13"/>
                <w:sz w:val="16"/>
              </w:rPr>
              <w:t xml:space="preserve">(3) </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1,633</w:t>
            </w:r>
          </w:p>
        </w:tc>
        <w:tc>
          <w:tcPr>
            <w:tcW w:w="73" w:type="dxa"/>
            <w:tcBorders/>
            <w:shd w:fill="FFFFFF" w:val="clear"/>
            <w:vAlign w:val="center"/>
          </w:tcPr>
          <w:p>
            <w:pPr>
              <w:pStyle w:val="TableContents"/>
              <w:keepNext w:val="true"/>
              <w:bidi w:val="0"/>
              <w:spacing w:before="0" w:after="0"/>
              <w:ind w:left="0" w:right="0" w:hanging="0"/>
              <w:jc w:val="right"/>
              <w:rPr/>
            </w:pPr>
            <w:r>
              <w:rPr/>
              <w:t> </w:t>
            </w:r>
          </w:p>
        </w:tc>
        <w:tc>
          <w:tcPr>
            <w:tcW w:w="2366"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Youngsun Park</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-Eric L. Robinson</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2,006</w:t>
            </w:r>
          </w:p>
        </w:tc>
        <w:tc>
          <w:tcPr>
            <w:tcW w:w="73" w:type="dxa"/>
            <w:tcBorders/>
            <w:shd w:fill="FFFFFF" w:val="clear"/>
            <w:vAlign w:val="center"/>
          </w:tcPr>
          <w:p>
            <w:pPr>
              <w:pStyle w:val="TableContents"/>
              <w:keepNext w:val="true"/>
              <w:bidi w:val="0"/>
              <w:spacing w:before="0" w:after="0"/>
              <w:ind w:left="0" w:right="0" w:hanging="0"/>
              <w:jc w:val="right"/>
              <w:rPr/>
            </w:pPr>
            <w:r>
              <w:rPr/>
              <w:t> </w:t>
            </w:r>
          </w:p>
        </w:tc>
        <w:tc>
          <w:tcPr>
            <w:tcW w:w="2366"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Bruce Whaley</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1,467</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Simon Brewer</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73" w:type="dxa"/>
            <w:tcBorders/>
            <w:shd w:fill="FFFFFF" w:val="clear"/>
            <w:vAlign w:val="center"/>
          </w:tcPr>
          <w:p>
            <w:pPr>
              <w:pStyle w:val="TableContents"/>
              <w:keepNext w:val="true"/>
              <w:bidi w:val="0"/>
              <w:spacing w:before="0" w:after="0"/>
              <w:ind w:left="0" w:right="0" w:hanging="0"/>
              <w:jc w:val="right"/>
              <w:rPr/>
            </w:pPr>
            <w:r>
              <w:rPr/>
              <w:t> </w:t>
            </w:r>
          </w:p>
        </w:tc>
        <w:tc>
          <w:tcPr>
            <w:tcW w:w="2366"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rFonts w:ascii="times new roman;times" w:hAnsi="times new roman;times"/>
                <w:sz w:val="20"/>
              </w:rPr>
            </w:pPr>
            <w:r>
              <w:rPr>
                <w:rFonts w:ascii="times new roman;times" w:hAnsi="times new roman;times"/>
                <w:sz w:val="20"/>
              </w:rPr>
              <w:t>All current directors and executive officers as a group (seven persons)</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5,457</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rFonts w:ascii="times new roman;times" w:hAnsi="times new roman;times"/>
                <w:b/>
                <w:i/>
                <w:sz w:val="20"/>
              </w:rPr>
            </w:pPr>
            <w:r>
              <w:rPr>
                <w:rFonts w:ascii="times new roman;times" w:hAnsi="times new roman;times"/>
                <w:b/>
                <w:i/>
                <w:sz w:val="20"/>
              </w:rPr>
              <w:t>Greater than 5% stockholders</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pPr>
            <w:r>
              <w:rPr/>
              <w:t> </w:t>
            </w:r>
          </w:p>
        </w:tc>
        <w:tc>
          <w:tcPr>
            <w:tcW w:w="73" w:type="dxa"/>
            <w:tcBorders/>
            <w:shd w:fill="FFFFFF" w:val="clear"/>
            <w:vAlign w:val="center"/>
          </w:tcPr>
          <w:p>
            <w:pPr>
              <w:pStyle w:val="TableContents"/>
              <w:keepNext w:val="true"/>
              <w:bidi w:val="0"/>
              <w:spacing w:before="0" w:after="0"/>
              <w:ind w:left="0" w:right="0" w:hanging="0"/>
              <w:jc w:val="right"/>
              <w:rPr/>
            </w:pPr>
            <w:r>
              <w:rPr/>
              <w:t> </w:t>
            </w:r>
          </w:p>
        </w:tc>
        <w:tc>
          <w:tcPr>
            <w:tcW w:w="2366" w:type="dxa"/>
            <w:tcBorders/>
            <w:shd w:fill="FFFFFF" w:val="clear"/>
            <w:vAlign w:val="center"/>
          </w:tcPr>
          <w:p>
            <w:pPr>
              <w:pStyle w:val="TableContents"/>
              <w:keepNext w:val="true"/>
              <w:bidi w:val="0"/>
              <w:spacing w:before="0" w:after="0"/>
              <w:ind w:left="0" w:right="0" w:hanging="0"/>
              <w:jc w:val="right"/>
              <w:rPr/>
            </w:pPr>
            <w:r>
              <w:rPr/>
              <w:t> </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r>
        <w:trPr/>
        <w:tc>
          <w:tcPr>
            <w:tcW w:w="6014" w:type="dxa"/>
            <w:tcBorders/>
            <w:shd w:fill="CCEEFF" w:val="clear"/>
            <w:vAlign w:val="center"/>
          </w:tcPr>
          <w:p>
            <w:pPr>
              <w:pStyle w:val="TableContents"/>
              <w:keepNext w:val="true"/>
              <w:bidi w:val="0"/>
              <w:spacing w:before="0" w:after="0"/>
              <w:ind w:left="200" w:right="0" w:hanging="200"/>
              <w:jc w:val="left"/>
              <w:rPr/>
            </w:pPr>
            <w:r>
              <w:rPr>
                <w:rFonts w:ascii="times new roman;times" w:hAnsi="times new roman;times"/>
                <w:sz w:val="20"/>
              </w:rPr>
              <w:t>First Finance Ltd.</w:t>
            </w:r>
            <w:r>
              <w:rPr>
                <w:position w:val="6"/>
                <w:sz w:val="14"/>
                <w:sz w:val="18"/>
              </w:rPr>
              <w:t>(4)</w:t>
            </w:r>
          </w:p>
        </w:tc>
        <w:tc>
          <w:tcPr>
            <w:tcW w:w="63" w:type="dxa"/>
            <w:tcBorders/>
            <w:shd w:fill="CCEEFF" w:val="clear"/>
            <w:vAlign w:val="center"/>
          </w:tcPr>
          <w:p>
            <w:pPr>
              <w:pStyle w:val="TableContents"/>
              <w:keepNext w:val="true"/>
              <w:bidi w:val="0"/>
              <w:spacing w:before="0" w:after="0"/>
              <w:ind w:left="0" w:right="0" w:hanging="0"/>
              <w:jc w:val="left"/>
              <w:rPr/>
            </w:pPr>
            <w:r>
              <w:rPr/>
              <w:t> </w:t>
            </w:r>
          </w:p>
        </w:tc>
        <w:tc>
          <w:tcPr>
            <w:tcW w:w="1609"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1,641,162</w:t>
            </w:r>
          </w:p>
        </w:tc>
        <w:tc>
          <w:tcPr>
            <w:tcW w:w="73" w:type="dxa"/>
            <w:tcBorders/>
            <w:shd w:fill="CCEEFF" w:val="clear"/>
            <w:vAlign w:val="center"/>
          </w:tcPr>
          <w:p>
            <w:pPr>
              <w:pStyle w:val="TableContents"/>
              <w:keepNext w:val="true"/>
              <w:bidi w:val="0"/>
              <w:spacing w:before="0" w:after="0"/>
              <w:ind w:left="0" w:right="0" w:hanging="0"/>
              <w:jc w:val="right"/>
              <w:rPr/>
            </w:pPr>
            <w:r>
              <w:rPr/>
              <w:t> </w:t>
            </w:r>
          </w:p>
        </w:tc>
        <w:tc>
          <w:tcPr>
            <w:tcW w:w="2366" w:type="dxa"/>
            <w:tcBorders/>
            <w:shd w:fill="CCEE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61.3%</w:t>
            </w:r>
          </w:p>
        </w:tc>
        <w:tc>
          <w:tcPr>
            <w:tcW w:w="80" w:type="dxa"/>
            <w:tcBorders/>
            <w:shd w:fill="CCEEFF" w:val="clear"/>
            <w:vAlign w:val="center"/>
          </w:tcPr>
          <w:p>
            <w:pPr>
              <w:pStyle w:val="TableContents"/>
              <w:keepNext w:val="true"/>
              <w:bidi w:val="0"/>
              <w:spacing w:before="0" w:after="0"/>
              <w:ind w:left="0" w:right="0" w:hanging="0"/>
              <w:jc w:val="right"/>
              <w:rPr/>
            </w:pPr>
            <w:r>
              <w:rPr/>
              <w:t> </w:t>
            </w:r>
          </w:p>
        </w:tc>
      </w:tr>
      <w:tr>
        <w:trPr/>
        <w:tc>
          <w:tcPr>
            <w:tcW w:w="6014" w:type="dxa"/>
            <w:tcBorders/>
            <w:shd w:fill="FFFFFF" w:val="clear"/>
            <w:vAlign w:val="center"/>
          </w:tcPr>
          <w:p>
            <w:pPr>
              <w:pStyle w:val="TableContents"/>
              <w:keepNext w:val="true"/>
              <w:bidi w:val="0"/>
              <w:spacing w:before="0" w:after="0"/>
              <w:ind w:left="200" w:right="0" w:hanging="200"/>
              <w:jc w:val="left"/>
              <w:rPr/>
            </w:pPr>
            <w:r>
              <w:rPr>
                <w:rFonts w:ascii="times new roman;times" w:hAnsi="times new roman;times"/>
                <w:sz w:val="20"/>
              </w:rPr>
              <w:t>Edward D. Bagley</w:t>
            </w:r>
            <w:r>
              <w:rPr>
                <w:position w:val="5"/>
                <w:sz w:val="13"/>
                <w:sz w:val="16"/>
              </w:rPr>
              <w:t>(5)</w:t>
            </w:r>
          </w:p>
        </w:tc>
        <w:tc>
          <w:tcPr>
            <w:tcW w:w="63" w:type="dxa"/>
            <w:tcBorders/>
            <w:shd w:fill="FFFFFF" w:val="clear"/>
            <w:vAlign w:val="center"/>
          </w:tcPr>
          <w:p>
            <w:pPr>
              <w:pStyle w:val="TableContents"/>
              <w:keepNext w:val="true"/>
              <w:bidi w:val="0"/>
              <w:spacing w:before="0" w:after="0"/>
              <w:ind w:left="0" w:right="0" w:hanging="0"/>
              <w:jc w:val="left"/>
              <w:rPr/>
            </w:pPr>
            <w:r>
              <w:rPr/>
              <w:t> </w:t>
            </w:r>
          </w:p>
        </w:tc>
        <w:tc>
          <w:tcPr>
            <w:tcW w:w="1609"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142,669</w:t>
            </w:r>
          </w:p>
        </w:tc>
        <w:tc>
          <w:tcPr>
            <w:tcW w:w="73" w:type="dxa"/>
            <w:tcBorders/>
            <w:shd w:fill="FFFFFF" w:val="clear"/>
            <w:vAlign w:val="center"/>
          </w:tcPr>
          <w:p>
            <w:pPr>
              <w:pStyle w:val="TableContents"/>
              <w:keepNext w:val="true"/>
              <w:bidi w:val="0"/>
              <w:spacing w:before="0" w:after="0"/>
              <w:ind w:left="0" w:right="0" w:hanging="0"/>
              <w:jc w:val="right"/>
              <w:rPr/>
            </w:pPr>
            <w:r>
              <w:rPr/>
              <w:t> </w:t>
            </w:r>
          </w:p>
        </w:tc>
        <w:tc>
          <w:tcPr>
            <w:tcW w:w="2366" w:type="dxa"/>
            <w:tcBorders/>
            <w:shd w:fill="FFFFFF" w:val="clear"/>
            <w:vAlign w:val="center"/>
          </w:tcPr>
          <w:p>
            <w:pPr>
              <w:pStyle w:val="TableContents"/>
              <w:keepNext w:val="true"/>
              <w:bidi w:val="0"/>
              <w:spacing w:before="0" w:after="0"/>
              <w:ind w:left="0" w:right="0" w:hanging="0"/>
              <w:jc w:val="right"/>
              <w:rPr>
                <w:rFonts w:ascii="times new roman;times" w:hAnsi="times new roman;times"/>
                <w:sz w:val="20"/>
              </w:rPr>
            </w:pPr>
            <w:r>
              <w:rPr>
                <w:rFonts w:ascii="times new roman;times" w:hAnsi="times new roman;times"/>
                <w:sz w:val="20"/>
              </w:rPr>
              <w:t>5.3%</w:t>
            </w:r>
          </w:p>
        </w:tc>
        <w:tc>
          <w:tcPr>
            <w:tcW w:w="80" w:type="dxa"/>
            <w:tcBorders/>
            <w:shd w:fill="FFFFFF" w:val="clear"/>
            <w:vAlign w:val="center"/>
          </w:tcPr>
          <w:p>
            <w:pPr>
              <w:pStyle w:val="TableContents"/>
              <w:keepNext w:val="true"/>
              <w:bidi w:val="0"/>
              <w:spacing w:before="0" w:after="0"/>
              <w:ind w:left="0" w:right="0" w:hanging="0"/>
              <w:jc w:val="right"/>
              <w:rPr/>
            </w:pPr>
            <w:r>
              <w:rPr/>
              <w:t> </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tcPr>
          <w:p>
            <w:pPr>
              <w:pStyle w:val="TableContents"/>
              <w:widowControl/>
              <w:bidi w:val="0"/>
              <w:spacing w:before="0" w:after="0"/>
              <w:ind w:left="0" w:right="0" w:hanging="0"/>
              <w:jc w:val="left"/>
              <w:rPr>
                <w:sz w:val="20"/>
              </w:rPr>
            </w:pPr>
            <w:r>
              <w:rPr>
                <w:rFonts w:ascii="times new roman;times" w:hAnsi="times new roman;times"/>
                <w:b w:val="false"/>
                <w:i w:val="false"/>
                <w:caps w:val="false"/>
                <w:smallCaps w:val="false"/>
                <w:color w:val="000000"/>
                <w:spacing w:val="0"/>
                <w:sz w:val="20"/>
              </w:rPr>
              <w:t>*</w:t>
            </w:r>
            <w:r>
              <w:rPr>
                <w:caps w:val="false"/>
                <w:smallCaps w:val="false"/>
                <w:color w:val="000000"/>
                <w:spacing w:val="0"/>
                <w:sz w:val="20"/>
              </w:rPr>
              <w:t> </w:t>
            </w:r>
          </w:p>
        </w:tc>
        <w:tc>
          <w:tcPr>
            <w:tcW w:w="9902" w:type="dxa"/>
            <w:tcBorders/>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Represents less than 1%.</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(1)</w:t>
            </w:r>
          </w:p>
        </w:tc>
        <w:tc>
          <w:tcPr>
            <w:tcW w:w="9902" w:type="dxa"/>
            <w:tcBorders/>
          </w:tcPr>
          <w:p>
            <w:pPr>
              <w:pStyle w:val="TableContents"/>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Except as otherwise indicated, we believe that the beneficial owners of the Common Stock and the preferred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 or preferred stock 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(2)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Percentage of Common Stock is based on 2,675,412</w:t>
            </w:r>
            <w:r>
              <w:rPr>
                <w:color w:val="000000"/>
                <w:spacing w:val="0"/>
                <w:sz w:val="20"/>
              </w:rPr>
              <w:t> </w:t>
            </w:r>
            <w:r>
              <w:rPr>
                <w:rFonts w:ascii="times new roman;times" w:hAnsi="times new roman;times"/>
                <w:b w:val="false"/>
                <w:color w:val="000000"/>
                <w:spacing w:val="0"/>
                <w:sz w:val="20"/>
              </w:rPr>
              <w:t>shares of our Common Stock issued and outstanding as of August 3, 2026. No</w:t>
            </w:r>
            <w:r>
              <w:rPr>
                <w:color w:val="000000"/>
                <w:spacing w:val="0"/>
                <w:sz w:val="20"/>
              </w:rPr>
              <w:t> </w:t>
            </w:r>
            <w:r>
              <w:rPr>
                <w:rFonts w:ascii="times new roman;times" w:hAnsi="times new roman;times"/>
                <w:b w:val="false"/>
                <w:color w:val="000000"/>
                <w:spacing w:val="0"/>
                <w:sz w:val="20"/>
              </w:rPr>
              <w:t>shares of Class A Preferred Stock or Class B Preferred Stock are outstanding.</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bidi w:val="0"/>
              <w:spacing w:before="0" w:after="0"/>
              <w:ind w:left="0" w:right="0" w:hanging="0"/>
              <w:jc w:val="left"/>
              <w:rPr>
                <w:sz w:val="20"/>
              </w:rPr>
            </w:pPr>
            <w:r>
              <w:rPr>
                <w:sz w:val="20"/>
              </w:rPr>
              <w:t>(3)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Lisa </w:t>
            </w:r>
            <w:r>
              <w:rPr>
                <w:sz w:val="20"/>
              </w:rPr>
              <w:t>Higley</w:t>
            </w:r>
            <w:r>
              <w:rPr>
                <w:rFonts w:ascii="times new roman;times" w:hAnsi="times new roman;times"/>
                <w:b w:val="false"/>
                <w:color w:val="000000"/>
                <w:spacing w:val="0"/>
                <w:sz w:val="20"/>
              </w:rPr>
              <w:t>, who was appointed a Director effective July 20, 2020, is the daughter of Edward D. Bagley, and each of them has previously disclaimed beneficial ownership of Common Stock beneficially owned by the other. The share amounts indicated for Ms. </w:t>
            </w:r>
            <w:r>
              <w:rPr>
                <w:sz w:val="20"/>
              </w:rPr>
              <w:t>Higley</w:t>
            </w:r>
            <w:r>
              <w:rPr>
                <w:color w:val="000000"/>
                <w:spacing w:val="0"/>
                <w:sz w:val="20"/>
              </w:rPr>
              <w:t> </w:t>
            </w:r>
            <w:r>
              <w:rPr>
                <w:rFonts w:ascii="times new roman;times" w:hAnsi="times new roman;times"/>
                <w:b w:val="false"/>
                <w:color w:val="000000"/>
                <w:spacing w:val="0"/>
                <w:sz w:val="20"/>
              </w:rPr>
              <w:t>do not include any shares held by Edward D. Bagley, 437 shares owned by her spouse, or 150,175 shares held by a trust in which she is a co-trustee.</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widowControl/>
              <w:bidi w:val="0"/>
              <w:spacing w:before="0" w:after="0"/>
              <w:ind w:left="0" w:right="0" w:hanging="0"/>
              <w:jc w:val="both"/>
              <w:rPr>
                <w:sz w:val="20"/>
              </w:rPr>
            </w:pPr>
            <w:r>
              <w:rPr>
                <w:rFonts w:ascii="times new roman;times" w:hAnsi="times new roman;times"/>
                <w:b w:val="false"/>
                <w:i w:val="false"/>
                <w:caps w:val="false"/>
                <w:smallCaps w:val="false"/>
                <w:color w:val="000000"/>
                <w:spacing w:val="0"/>
                <w:sz w:val="20"/>
              </w:rPr>
              <w:t>(4)</w:t>
            </w:r>
            <w:r>
              <w:rPr>
                <w:caps w:val="false"/>
                <w:smallCaps w:val="false"/>
                <w:color w:val="000000"/>
                <w:spacing w:val="0"/>
                <w:sz w:val="20"/>
              </w:rPr>
              <w:t>  </w:t>
            </w:r>
          </w:p>
        </w:tc>
        <w:tc>
          <w:tcPr>
            <w:tcW w:w="9902" w:type="dxa"/>
            <w:tcBorders/>
          </w:tcPr>
          <w:p>
            <w:pPr>
              <w:pStyle w:val="TableContents"/>
              <w:widowControl/>
              <w:bidi w:val="0"/>
              <w:spacing w:before="0" w:after="0"/>
              <w:ind w:left="0" w:right="0" w:hanging="0"/>
              <w:jc w:val="both"/>
              <w:rPr>
                <w:sz w:val="20"/>
              </w:rPr>
            </w:pPr>
            <w:r>
              <w:rPr>
                <w:rFonts w:ascii="times new roman;times" w:hAnsi="times new roman;times"/>
                <w:b w:val="false"/>
                <w:color w:val="000000"/>
                <w:spacing w:val="0"/>
                <w:sz w:val="20"/>
              </w:rPr>
              <w:t>Beneficial ownership information for First Finance Ltd. is based on a Schedule 13D/A filed November 26, 2025 and a Schedule 13D/A filed March 6, 2026. First Finance Ltd. exercises sole investment and dispositive power with respect to all such shares. By virtue of his pecuniary interest in and control of First Finance Ltd. as its controlling shareholder and director, Andrew </w:t>
            </w:r>
            <w:r>
              <w:rPr>
                <w:sz w:val="20"/>
              </w:rPr>
              <w:t>Hromyk</w:t>
            </w:r>
            <w:r>
              <w:rPr>
                <w:color w:val="000000"/>
                <w:spacing w:val="0"/>
                <w:sz w:val="20"/>
              </w:rPr>
              <w:t> </w:t>
            </w:r>
            <w:r>
              <w:rPr>
                <w:rFonts w:ascii="times new roman;times" w:hAnsi="times new roman;times"/>
                <w:b w:val="false"/>
                <w:color w:val="000000"/>
                <w:spacing w:val="0"/>
                <w:sz w:val="20"/>
              </w:rPr>
              <w:t>may be deemed to beneficially own all such shares. The principal business address of First Finance Ltd. and Mr. </w:t>
            </w:r>
            <w:r>
              <w:rPr>
                <w:sz w:val="20"/>
              </w:rPr>
              <w:t>Hromyk</w:t>
            </w:r>
            <w:r>
              <w:rPr>
                <w:color w:val="000000"/>
                <w:spacing w:val="0"/>
                <w:sz w:val="20"/>
              </w:rPr>
              <w:t> </w:t>
            </w:r>
            <w:r>
              <w:rPr>
                <w:rFonts w:ascii="times new roman;times" w:hAnsi="times new roman;times"/>
                <w:b w:val="false"/>
                <w:color w:val="000000"/>
                <w:spacing w:val="0"/>
                <w:sz w:val="20"/>
              </w:rPr>
              <w:t>is 520 Newport Center Drive, Suite 650, Newport Beach, CA 92660.</w:t>
            </w:r>
          </w:p>
        </w:tc>
      </w:tr>
      <w:tr>
        <w:trPr/>
        <w:tc>
          <w:tcPr>
            <w:tcW w:w="303" w:type="dxa"/>
            <w:tcBorders/>
            <w:vAlign w:val="center"/>
          </w:tcPr>
          <w:p>
            <w:pPr>
              <w:pStyle w:val="TableContents"/>
              <w:bidi w:val="0"/>
              <w:spacing w:before="0" w:after="283"/>
              <w:ind w:left="0" w:right="0" w:hanging="0"/>
              <w:jc w:val="left"/>
              <w:rPr/>
            </w:pPr>
            <w:r>
              <w:rPr/>
            </w:r>
          </w:p>
        </w:tc>
        <w:tc>
          <w:tcPr>
            <w:tcW w:w="9902" w:type="dxa"/>
            <w:tcBorders/>
            <w:vAlign w:val="center"/>
          </w:tcPr>
          <w:p>
            <w:pPr>
              <w:pStyle w:val="TableContents"/>
              <w:bidi w:val="0"/>
              <w:spacing w:before="0" w:after="283"/>
              <w:ind w:left="0" w:right="0" w:hanging="0"/>
              <w:jc w:val="left"/>
              <w:rPr/>
            </w:pPr>
            <w:r>
              <w:rPr/>
            </w:r>
          </w:p>
        </w:tc>
      </w:tr>
      <w:tr>
        <w:trPr/>
        <w:tc>
          <w:tcPr>
            <w:tcW w:w="303" w:type="dxa"/>
            <w:tcBorders/>
          </w:tcPr>
          <w:p>
            <w:pPr>
              <w:pStyle w:val="TableContents"/>
              <w:widowControl/>
              <w:bidi w:val="0"/>
              <w:spacing w:before="0" w:after="0"/>
              <w:ind w:left="0" w:right="0" w:hanging="0"/>
              <w:jc w:val="both"/>
              <w:rPr>
                <w:sz w:val="20"/>
              </w:rPr>
            </w:pPr>
            <w:r>
              <w:rPr>
                <w:rFonts w:ascii="times new roman;times" w:hAnsi="times new roman;times"/>
                <w:b w:val="false"/>
                <w:i w:val="false"/>
                <w:caps w:val="false"/>
                <w:smallCaps w:val="false"/>
                <w:color w:val="000000"/>
                <w:spacing w:val="0"/>
                <w:sz w:val="20"/>
              </w:rPr>
              <w:t>(5)</w:t>
            </w:r>
            <w:r>
              <w:rPr>
                <w:caps w:val="false"/>
                <w:smallCaps w:val="false"/>
                <w:color w:val="000000"/>
                <w:spacing w:val="0"/>
                <w:sz w:val="20"/>
              </w:rPr>
              <w:t> </w:t>
            </w:r>
          </w:p>
        </w:tc>
        <w:tc>
          <w:tcPr>
            <w:tcW w:w="9902" w:type="dxa"/>
            <w:tcBorders/>
          </w:tcPr>
          <w:p>
            <w:pPr>
              <w:pStyle w:val="TableContents"/>
              <w:widowControl/>
              <w:bidi w:val="0"/>
              <w:spacing w:before="0" w:after="0"/>
              <w:ind w:left="0" w:right="0" w:hanging="360"/>
              <w:jc w:val="both"/>
              <w:rPr>
                <w:sz w:val="20"/>
              </w:rPr>
            </w:pPr>
            <w:r>
              <w:rPr>
                <w:rFonts w:ascii="times new roman;times" w:hAnsi="times new roman;times"/>
                <w:b w:val="false"/>
                <w:color w:val="000000"/>
                <w:spacing w:val="0"/>
                <w:sz w:val="20"/>
              </w:rPr>
              <w:t>Mr. Edward D. Bagley has sole voting and dispositive power over 142,669 shares, including 2,001 shares issuable upon the exercise of options. He may be deemed to own an additional 23,684 shares owned individually by his spouse, Carolyn Bagley, but disclaims beneficial ownership of those shares, which are excluded from the table above. Based on a Schedule 13D/A filed November 26, 2025. The share amounts for Mr. Bagley do not include any shares held by E. Bryan Bagley or Lisa </w:t>
            </w:r>
            <w:r>
              <w:rPr>
                <w:sz w:val="20"/>
              </w:rPr>
              <w:t>Higley</w:t>
            </w:r>
            <w:r>
              <w:rPr>
                <w:rFonts w:ascii="times new roman;times" w:hAnsi="times new roman;times"/>
                <w:b w:val="false"/>
                <w:color w:val="000000"/>
                <w:spacing w:val="0"/>
                <w:sz w:val="20"/>
              </w:rPr>
              <w:t>.</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keepNext w:val="true"/>
        <w:bidi w:val="0"/>
        <w:spacing w:before="0" w:after="200"/>
        <w:ind w:left="0" w:right="0" w:hanging="0"/>
        <w:jc w:val="center"/>
        <w:rPr>
          <w:rFonts w:ascii="times new roman;times" w:hAnsi="times new roman;times"/>
          <w:b/>
          <w:sz w:val="20"/>
        </w:rPr>
      </w:pPr>
      <w:r>
        <w:rPr>
          <w:rFonts w:ascii="times new roman;times" w:hAnsi="times new roman;times"/>
          <w:b/>
          <w:sz w:val="20"/>
        </w:rPr>
        <w:t>DELIVERY OF DOCUMENTS TO SECURITY HOLDERS SHARING AN ADDRESS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ClearOne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ClearOne should direct the additional copy of the Information Statement, to ClearOne at 7533 S. Center View Ct., #5311, West Jordan, Utah 84084.</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multiple stockholders sharing an address have received one copy of this Information Statement or any other corporate mailing and would prefer ClearOne to mail each stockholder a separate copy of future mailings, you may mail notification to, or call ClearOne at, its principal executive offices. Additionally, if current stockholders with a shared address received multiple copies of this Information Statement or other corporate mailings and would prefer ClearOne to mail one copy of future mailings to stockholders at the shared address, notification of such request may also be made by mail or telephone to ClearOne’s principal executive offices.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Information Statement is provided to the stockholders of ClearOne only for information purposes in connection with the approval of the Merger Agreement and the issuance of the Consideration Shares. Please carefully read this Information Statement.</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WHERE YOU CAN FIND MORE INFORMATION ABOUT US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 is subject to the informational requirements of the Exchange Act, and in accordance therewith files reports and other information with the SEC. The SEC maintains a web site that contains reports, proxy and information statements and other information regarding registrants that file electronically with the SEC. The address of the web site is </w:t>
      </w:r>
      <w:r>
        <w:rPr>
          <w:rFonts w:ascii="times new roman;times" w:hAnsi="times new roman;times"/>
          <w:color w:val="0000FF"/>
          <w:sz w:val="20"/>
          <w:u w:val="single"/>
        </w:rPr>
        <w:t>www.sec.gov</w:t>
      </w:r>
      <w:r>
        <w:rPr>
          <w:rFonts w:ascii="times new roman;times" w:hAnsi="times new roman;times"/>
          <w:sz w:val="20"/>
        </w:rPr>
        <w:t>.</w:t>
      </w:r>
    </w:p>
    <w:p>
      <w:pPr>
        <w:pStyle w:val="Heading2"/>
        <w:bidi w:val="0"/>
        <w:spacing w:before="0" w:after="200"/>
        <w:ind w:left="0" w:right="0" w:hanging="0"/>
        <w:jc w:val="center"/>
        <w:rPr>
          <w:rFonts w:ascii="times new roman;times" w:hAnsi="times new roman;times"/>
          <w:b/>
          <w:sz w:val="20"/>
        </w:rPr>
      </w:pPr>
      <w:r>
        <w:rPr>
          <w:rFonts w:ascii="times new roman;times" w:hAnsi="times new roman;times"/>
          <w:b/>
          <w:sz w:val="20"/>
        </w:rPr>
        <w:t>DISSENTERS’ RIGHT OF APPRAISAL</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Stockholders are not entitled to dissenters’ or appraisal rights in connection with the Actions. </w:t>
      </w:r>
    </w:p>
    <w:p>
      <w:pPr>
        <w:pStyle w:val="Heading2"/>
        <w:keepNext w:val="true"/>
        <w:bidi w:val="0"/>
        <w:spacing w:before="0" w:after="200"/>
        <w:ind w:left="0" w:right="0" w:hanging="0"/>
        <w:jc w:val="center"/>
        <w:rPr>
          <w:rFonts w:ascii="times new roman;times" w:hAnsi="times new roman;times"/>
          <w:b/>
          <w:sz w:val="20"/>
        </w:rPr>
      </w:pPr>
      <w:r>
        <w:rPr>
          <w:rFonts w:ascii="times new roman;times" w:hAnsi="times new roman;times"/>
          <w:b/>
          <w:sz w:val="20"/>
        </w:rPr>
        <w:t>INFORMATION INCORPORATED BY REFERENCE</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This Information Statement incorporates by reference the documents listed below that ClearOne has previously filed with the SEC (other than, in each case, documents or information deemed to have been furnished and not filed in accordance with SEC rules). They contain important information about ClearOne and its financial condition. </w:t>
      </w:r>
    </w:p>
    <w:p>
      <w:pPr>
        <w:pStyle w:val="TextBody"/>
        <w:widowControl/>
        <w:numPr>
          <w:ilvl w:val="0"/>
          <w:numId w:val="54"/>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Annual Report on </w:t>
      </w:r>
      <w:hyperlink r:id="rId2">
        <w:r>
          <w:rPr>
            <w:rStyle w:val="InternetLink"/>
          </w:rPr>
          <w:t>Form 10-K</w:t>
        </w:r>
      </w:hyperlink>
      <w:r>
        <w:rPr>
          <w:rFonts w:ascii="times new roman;times" w:hAnsi="times new roman;times"/>
          <w:b w:val="false"/>
          <w:i w:val="false"/>
          <w:caps w:val="false"/>
          <w:smallCaps w:val="false"/>
          <w:color w:val="000000"/>
          <w:spacing w:val="0"/>
          <w:sz w:val="20"/>
        </w:rPr>
        <w:t> for the fiscal year ended December 31, 2025, filed with the SEC on March 31, 2026;</w:t>
      </w:r>
    </w:p>
    <w:p>
      <w:pPr>
        <w:pStyle w:val="TextBody"/>
        <w:widowControl/>
        <w:numPr>
          <w:ilvl w:val="0"/>
          <w:numId w:val="55"/>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Quarterly Report on </w:t>
      </w:r>
      <w:hyperlink r:id="rId3">
        <w:r>
          <w:rPr>
            <w:rStyle w:val="InternetLink"/>
            <w:rFonts w:ascii="times new roman;times" w:hAnsi="times new roman;times"/>
            <w:b w:val="false"/>
            <w:i w:val="false"/>
            <w:caps w:val="false"/>
            <w:smallCaps w:val="false"/>
            <w:color w:val="0000FF"/>
            <w:spacing w:val="0"/>
            <w:sz w:val="20"/>
          </w:rPr>
          <w:t>Form 10-Q</w:t>
        </w:r>
      </w:hyperlink>
      <w:r>
        <w:rPr>
          <w:rFonts w:ascii="times new roman;times" w:hAnsi="times new roman;times"/>
          <w:b w:val="false"/>
          <w:i w:val="false"/>
          <w:caps w:val="false"/>
          <w:smallCaps w:val="false"/>
          <w:color w:val="000000"/>
          <w:spacing w:val="0"/>
          <w:sz w:val="20"/>
        </w:rPr>
        <w:t> for the fiscal quarter ended March 31, 2026, filed with the SEC on May 15, 2026; and</w:t>
      </w:r>
    </w:p>
    <w:p>
      <w:pPr>
        <w:pStyle w:val="TextBody"/>
        <w:widowControl/>
        <w:numPr>
          <w:ilvl w:val="0"/>
          <w:numId w:val="56"/>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our Current Reports on Form 8-K filed with the SEC on </w:t>
      </w:r>
      <w:hyperlink r:id="rId4">
        <w:r>
          <w:rPr>
            <w:rStyle w:val="InternetLink"/>
          </w:rPr>
          <w:t>January 14, 2026</w:t>
        </w:r>
      </w:hyperlink>
      <w:r>
        <w:rPr>
          <w:rFonts w:ascii="times new roman;times" w:hAnsi="times new roman;times"/>
          <w:b w:val="false"/>
          <w:i w:val="false"/>
          <w:caps w:val="false"/>
          <w:smallCaps w:val="false"/>
          <w:color w:val="000000"/>
          <w:spacing w:val="0"/>
          <w:sz w:val="20"/>
        </w:rPr>
        <w:t>, </w:t>
      </w:r>
      <w:hyperlink r:id="rId5">
        <w:r>
          <w:rPr>
            <w:rStyle w:val="InternetLink"/>
          </w:rPr>
          <w:t>March 5, 2026</w:t>
        </w:r>
      </w:hyperlink>
      <w:r>
        <w:rPr>
          <w:rFonts w:ascii="times new roman;times" w:hAnsi="times new roman;times"/>
          <w:b w:val="false"/>
          <w:i w:val="false"/>
          <w:caps w:val="false"/>
          <w:smallCaps w:val="false"/>
          <w:color w:val="000000"/>
          <w:spacing w:val="0"/>
          <w:sz w:val="20"/>
        </w:rPr>
        <w:t>, </w:t>
      </w:r>
      <w:hyperlink r:id="rId6">
        <w:r>
          <w:rPr>
            <w:rStyle w:val="InternetLink"/>
          </w:rPr>
          <w:t>March 13, 2026</w:t>
        </w:r>
      </w:hyperlink>
      <w:r>
        <w:rPr>
          <w:rFonts w:ascii="times new roman;times" w:hAnsi="times new roman;times"/>
          <w:b w:val="false"/>
          <w:i w:val="false"/>
          <w:caps w:val="false"/>
          <w:smallCaps w:val="false"/>
          <w:color w:val="000000"/>
          <w:spacing w:val="0"/>
          <w:sz w:val="20"/>
        </w:rPr>
        <w:t>, </w:t>
      </w:r>
      <w:hyperlink r:id="rId7">
        <w:r>
          <w:rPr>
            <w:rStyle w:val="InternetLink"/>
          </w:rPr>
          <w:t>March 17, 2026</w:t>
        </w:r>
      </w:hyperlink>
      <w:r>
        <w:rPr>
          <w:rFonts w:ascii="times new roman;times" w:hAnsi="times new roman;times"/>
          <w:b w:val="false"/>
          <w:i w:val="false"/>
          <w:caps w:val="false"/>
          <w:smallCaps w:val="false"/>
          <w:color w:val="000000"/>
          <w:spacing w:val="0"/>
          <w:sz w:val="20"/>
        </w:rPr>
        <w:t>, </w:t>
      </w:r>
      <w:hyperlink r:id="rId8">
        <w:r>
          <w:rPr>
            <w:rStyle w:val="InternetLink"/>
            <w:rFonts w:ascii="times new roman;times" w:hAnsi="times new roman;times"/>
            <w:b w:val="false"/>
            <w:i w:val="false"/>
            <w:caps w:val="false"/>
            <w:smallCaps w:val="false"/>
            <w:color w:val="0000FF"/>
            <w:spacing w:val="0"/>
            <w:sz w:val="20"/>
            <w:u w:val="single"/>
          </w:rPr>
          <w:t>April 3, 2026</w:t>
        </w:r>
      </w:hyperlink>
      <w:r>
        <w:rPr>
          <w:rFonts w:ascii="times new roman;times" w:hAnsi="times new roman;times"/>
          <w:b w:val="false"/>
          <w:i w:val="false"/>
          <w:caps w:val="false"/>
          <w:smallCaps w:val="false"/>
          <w:color w:val="000000"/>
          <w:spacing w:val="0"/>
          <w:sz w:val="20"/>
        </w:rPr>
        <w:t>, </w:t>
      </w:r>
      <w:hyperlink r:id="rId9">
        <w:r>
          <w:rPr>
            <w:rStyle w:val="InternetLink"/>
            <w:rFonts w:ascii="times new roman;times" w:hAnsi="times new roman;times"/>
            <w:b w:val="false"/>
            <w:i w:val="false"/>
            <w:caps w:val="false"/>
            <w:smallCaps w:val="false"/>
            <w:color w:val="0000FF"/>
            <w:spacing w:val="0"/>
            <w:sz w:val="20"/>
            <w:u w:val="single"/>
          </w:rPr>
          <w:t>April 13, 2026</w:t>
        </w:r>
      </w:hyperlink>
      <w:r>
        <w:rPr>
          <w:rFonts w:ascii="times new roman;times" w:hAnsi="times new roman;times"/>
          <w:b w:val="false"/>
          <w:i w:val="false"/>
          <w:caps w:val="false"/>
          <w:smallCaps w:val="false"/>
          <w:color w:val="000000"/>
          <w:spacing w:val="0"/>
          <w:sz w:val="20"/>
        </w:rPr>
        <w:t>, </w:t>
      </w:r>
      <w:hyperlink r:id="rId10">
        <w:r>
          <w:rPr>
            <w:rStyle w:val="InternetLink"/>
            <w:rFonts w:ascii="times new roman;times" w:hAnsi="times new roman;times"/>
            <w:b w:val="false"/>
            <w:i w:val="false"/>
            <w:caps w:val="false"/>
            <w:smallCaps w:val="false"/>
            <w:color w:val="0000FF"/>
            <w:spacing w:val="0"/>
            <w:sz w:val="20"/>
            <w:u w:val="single"/>
          </w:rPr>
          <w:t>April 23, 2026</w:t>
        </w:r>
      </w:hyperlink>
      <w:r>
        <w:rPr>
          <w:rFonts w:ascii="times new roman;times" w:hAnsi="times new roman;times"/>
          <w:b w:val="false"/>
          <w:i w:val="false"/>
          <w:caps w:val="false"/>
          <w:smallCaps w:val="false"/>
          <w:color w:val="000000"/>
          <w:spacing w:val="0"/>
          <w:sz w:val="20"/>
        </w:rPr>
        <w:t>, </w:t>
      </w:r>
      <w:hyperlink r:id="rId11">
        <w:r>
          <w:rPr>
            <w:rStyle w:val="InternetLink"/>
            <w:rFonts w:ascii="times new roman;times" w:hAnsi="times new roman;times"/>
            <w:b w:val="false"/>
            <w:i w:val="false"/>
            <w:caps w:val="false"/>
            <w:smallCaps w:val="false"/>
            <w:color w:val="0000FF"/>
            <w:spacing w:val="0"/>
            <w:sz w:val="20"/>
            <w:u w:val="single"/>
          </w:rPr>
          <w:t>July 1, 2026</w:t>
        </w:r>
      </w:hyperlink>
      <w:r>
        <w:rPr>
          <w:rFonts w:ascii="times new roman;times" w:hAnsi="times new roman;times"/>
          <w:b w:val="false"/>
          <w:i w:val="false"/>
          <w:caps w:val="false"/>
          <w:smallCaps w:val="false"/>
          <w:color w:val="000000"/>
          <w:spacing w:val="0"/>
          <w:sz w:val="20"/>
        </w:rPr>
        <w:t> and </w:t>
      </w:r>
      <w:hyperlink r:id="rId12">
        <w:r>
          <w:rPr>
            <w:rStyle w:val="InternetLink"/>
            <w:rFonts w:ascii="times new roman;times" w:hAnsi="times new roman;times"/>
            <w:b w:val="false"/>
            <w:i w:val="false"/>
            <w:caps w:val="false"/>
            <w:smallCaps w:val="false"/>
            <w:color w:val="0000FF"/>
            <w:spacing w:val="0"/>
            <w:sz w:val="20"/>
            <w:u w:val="single"/>
          </w:rPr>
          <w:t>July 6, 2026</w:t>
        </w:r>
      </w:hyperlink>
      <w:r>
        <w:rPr>
          <w:rFonts w:ascii="times new roman;times" w:hAnsi="times new roman;times"/>
          <w:b w:val="false"/>
          <w:i w:val="false"/>
          <w:caps w:val="false"/>
          <w:smallCaps w:val="false"/>
          <w:color w:val="000000"/>
          <w:spacing w:val="0"/>
          <w:sz w:val="20"/>
        </w:rPr>
        <w:t>; and</w:t>
      </w:r>
    </w:p>
    <w:p>
      <w:pPr>
        <w:pStyle w:val="TextBody"/>
        <w:widowControl/>
        <w:numPr>
          <w:ilvl w:val="0"/>
          <w:numId w:val="57"/>
        </w:numPr>
        <w:pBdr/>
        <w:tabs>
          <w:tab w:val="clear" w:pos="1134"/>
          <w:tab w:val="left" w:pos="709" w:leader="none"/>
        </w:tabs>
        <w:bidi w:val="0"/>
        <w:spacing w:before="0" w:after="0"/>
        <w:ind w:left="709" w:right="0" w:hanging="0"/>
        <w:jc w:val="both"/>
        <w:rPr/>
      </w:pPr>
      <w:r>
        <w:rPr>
          <w:rFonts w:ascii="times new roman;times" w:hAnsi="times new roman;times"/>
          <w:b w:val="false"/>
          <w:i w:val="false"/>
          <w:caps w:val="false"/>
          <w:smallCaps w:val="false"/>
          <w:color w:val="000000"/>
          <w:spacing w:val="0"/>
          <w:sz w:val="20"/>
        </w:rPr>
        <w:t>the description of our Common Stock contained in our </w:t>
      </w:r>
      <w:hyperlink r:id="rId13">
        <w:r>
          <w:rPr>
            <w:rStyle w:val="InternetLink"/>
          </w:rPr>
          <w:t>Form 8-A</w:t>
        </w:r>
      </w:hyperlink>
      <w:r>
        <w:rPr>
          <w:rFonts w:ascii="times new roman;times" w:hAnsi="times new roman;times"/>
          <w:b w:val="false"/>
          <w:i w:val="false"/>
          <w:caps w:val="false"/>
          <w:smallCaps w:val="false"/>
          <w:color w:val="000000"/>
          <w:spacing w:val="0"/>
          <w:sz w:val="20"/>
        </w:rPr>
        <w:t> filed on August 10, 2007, including any amendments or reports filed for the purpose of updating such description.</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To the extent that any information contained in any report on Form 8-K, or any exhibit thereto, was furnished to, rather than filed with, the SEC by ClearOne, such information or exhibit is specifically not incorporated by reference.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In addition, ClearOne incorporates by reference any future filings it may make with the SEC under Section 13(a), 13(c), 14 or 15(d) of the Exchange Act after the date of this Information Statement before the Effective Time (excluding any current reports on Form 8-K to the extent disclosure is furnished and not filed). Those documents are considered to be a part of this Information Statement, effective as of the date they are filed. In the event of conflicting information in these documents, the information in the latest filed document should be considered correct.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ClearOne has supplied all information contained in this Information Statement relating to ClearOne, and Cortigent has supplied all information contained in this Information Statement relating to Cortigent.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If you would like to request documents from ClearOne, please send a request in writing or by telephone to ClearOne at the following addresses:</w:t>
      </w:r>
    </w:p>
    <w:p>
      <w:pPr>
        <w:pStyle w:val="TextBody"/>
        <w:bidi w:val="0"/>
        <w:spacing w:lineRule="auto" w:line="288" w:before="0" w:after="200"/>
        <w:ind w:left="0" w:right="0" w:hanging="0"/>
        <w:jc w:val="center"/>
        <w:rPr>
          <w:rFonts w:ascii="times new roman;times" w:hAnsi="times new roman;times"/>
          <w:sz w:val="20"/>
        </w:rPr>
      </w:pPr>
      <w:r>
        <w:rPr>
          <w:rFonts w:ascii="times new roman;times" w:hAnsi="times new roman;times"/>
          <w:b/>
          <w:sz w:val="20"/>
        </w:rPr>
        <w:t xml:space="preserve">ClearOne, Inc. </w:t>
      </w:r>
      <w:r>
        <w:rPr>
          <w:rFonts w:ascii="times new roman;times" w:hAnsi="times new roman;times"/>
          <w:sz w:val="20"/>
        </w:rPr>
        <w:br/>
      </w:r>
      <w:r>
        <w:rPr>
          <w:rFonts w:ascii="times new roman;times" w:hAnsi="times new roman;times"/>
          <w:b/>
          <w:sz w:val="20"/>
        </w:rPr>
        <w:t>7533 S Center View Ct. # 5311</w:t>
      </w:r>
      <w:r>
        <w:rPr>
          <w:rFonts w:ascii="times new roman;times" w:hAnsi="times new roman;times"/>
          <w:sz w:val="20"/>
        </w:rPr>
        <w:br/>
      </w:r>
      <w:r>
        <w:rPr>
          <w:rFonts w:ascii="times new roman;times" w:hAnsi="times new roman;times"/>
          <w:b/>
          <w:sz w:val="20"/>
        </w:rPr>
        <w:t>West Jordan, Utah 84084</w:t>
      </w:r>
      <w:r>
        <w:rPr>
          <w:rFonts w:ascii="times new roman;times" w:hAnsi="times new roman;times"/>
          <w:sz w:val="20"/>
        </w:rPr>
        <w:br/>
      </w:r>
      <w:r>
        <w:rPr>
          <w:rFonts w:ascii="times new roman;times" w:hAnsi="times new roman;times"/>
          <w:b/>
          <w:sz w:val="20"/>
        </w:rPr>
        <w:t>+1 (801) 975-7200</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By Order of the Board of </w:t>
      </w:r>
      <w:r>
        <w:rPr>
          <w:rFonts w:ascii="times new roman;times" w:hAnsi="times new roman;times"/>
          <w:spacing w:val="-2"/>
          <w:sz w:val="20"/>
        </w:rPr>
        <w:t>Directors,</w:t>
      </w:r>
    </w:p>
    <w:p>
      <w:pPr>
        <w:pStyle w:val="TextBody"/>
        <w:bidi w:val="0"/>
        <w:spacing w:lineRule="auto" w:line="288" w:before="240" w:after="0"/>
        <w:ind w:left="0" w:right="0" w:hanging="0"/>
        <w:jc w:val="left"/>
        <w:rPr/>
      </w:pPr>
      <w:r>
        <w:rPr/>
      </w:r>
    </w:p>
    <w:tbl>
      <w:tblPr>
        <w:tblW w:w="1846" w:type="dxa"/>
        <w:jc w:val="left"/>
        <w:tblInd w:w="0" w:type="dxa"/>
        <w:tblLayout w:type="fixed"/>
        <w:tblCellMar>
          <w:top w:w="0" w:type="dxa"/>
          <w:left w:w="0" w:type="dxa"/>
          <w:bottom w:w="0" w:type="dxa"/>
          <w:right w:w="0" w:type="dxa"/>
        </w:tblCellMar>
      </w:tblPr>
      <w:tblGrid>
        <w:gridCol w:w="1846"/>
      </w:tblGrid>
      <w:tr>
        <w:trPr/>
        <w:tc>
          <w:tcPr>
            <w:tcW w:w="1846" w:type="dxa"/>
            <w:tcBorders/>
            <w:vAlign w:val="center"/>
          </w:tcPr>
          <w:p>
            <w:pPr>
              <w:pStyle w:val="TableContents"/>
              <w:bidi w:val="0"/>
              <w:spacing w:before="0" w:after="283"/>
              <w:jc w:val="left"/>
              <w:rPr/>
            </w:pPr>
            <w:r>
              <w:rPr/>
              <w:t>/s/ Derek Graham</w:t>
            </w:r>
          </w:p>
        </w:tc>
      </w:tr>
    </w:tbl>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Derek Graham</w:t>
      </w:r>
    </w:p>
    <w:p>
      <w:pPr>
        <w:pStyle w:val="TextBody"/>
        <w:widowControl/>
        <w:bidi w:val="0"/>
        <w:spacing w:before="22" w:after="0"/>
        <w:ind w:left="0" w:right="5571"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Chief Executive Officer</w:t>
      </w:r>
    </w:p>
    <w:p>
      <w:pPr>
        <w:pStyle w:val="TextBody"/>
        <w:widowControl/>
        <w:bidi w:val="0"/>
        <w:spacing w:before="22" w:after="0"/>
        <w:ind w:left="0" w:right="5571"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August 3, 2026</w:t>
      </w:r>
    </w:p>
    <w:p>
      <w:pPr>
        <w:pStyle w:val="TextBody"/>
        <w:widowControl/>
        <w:bidi w:val="0"/>
        <w:spacing w:before="22" w:after="0"/>
        <w:ind w:left="0" w:right="5571"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center"/>
        <w:rPr>
          <w:rFonts w:ascii="Times New Roman" w:hAnsi="Times New Roman"/>
          <w:b/>
          <w:sz w:val="20"/>
        </w:rPr>
      </w:pPr>
      <w:r>
        <w:rPr>
          <w:rFonts w:ascii="Times New Roman" w:hAnsi="Times New Roman"/>
          <w:b/>
          <w:sz w:val="20"/>
        </w:rPr>
        <w:t>APPENDIX A</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AGREEMENT AND PLAN OF MERGER</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BY AND AMONG</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CLRO MERGER SUB, INC.,</w:t>
      </w:r>
    </w:p>
    <w:p>
      <w:pPr>
        <w:pStyle w:val="TextBody"/>
        <w:bidi w:val="0"/>
        <w:spacing w:lineRule="atLeast" w:line="432" w:before="0" w:after="0"/>
        <w:ind w:left="0" w:right="0" w:hanging="0"/>
        <w:jc w:val="center"/>
        <w:rPr>
          <w:rFonts w:ascii="TIMES NEW ROMAN BOLD" w:hAnsi="TIMES NEW ROMAN BOLD"/>
          <w:b/>
          <w:caps/>
          <w:sz w:val="20"/>
        </w:rPr>
      </w:pPr>
      <w:r>
        <w:rPr>
          <w:rFonts w:ascii="TIMES NEW ROMAN BOLD" w:hAnsi="TIMES NEW ROMAN BOLD"/>
          <w:b/>
          <w:caps/>
          <w:sz w:val="20"/>
        </w:rPr>
        <w:t>Cortigent, Inc.</w:t>
      </w:r>
    </w:p>
    <w:p>
      <w:pPr>
        <w:pStyle w:val="TextBody"/>
        <w:bidi w:val="0"/>
        <w:spacing w:lineRule="atLeast" w:line="432" w:before="0" w:after="0"/>
        <w:ind w:left="0" w:right="0" w:hanging="0"/>
        <w:jc w:val="center"/>
        <w:rPr>
          <w:rFonts w:ascii="Times New Roman" w:hAnsi="Times New Roman"/>
          <w:b/>
          <w:sz w:val="20"/>
        </w:rPr>
      </w:pPr>
      <w:r>
        <w:rPr>
          <w:rFonts w:ascii="Times New Roman" w:hAnsi="Times New Roman"/>
          <w:b/>
          <w:sz w:val="20"/>
        </w:rPr>
        <w:t>AND</w:t>
      </w:r>
    </w:p>
    <w:p>
      <w:pPr>
        <w:pStyle w:val="TextBody"/>
        <w:bidi w:val="0"/>
        <w:spacing w:lineRule="atLeast" w:line="432" w:before="0" w:after="0"/>
        <w:ind w:left="0" w:right="0" w:hanging="0"/>
        <w:jc w:val="center"/>
        <w:rPr>
          <w:rFonts w:ascii="TIMES NEW ROMAN BOLD" w:hAnsi="TIMES NEW ROMAN BOLD"/>
          <w:b/>
          <w:caps/>
          <w:sz w:val="20"/>
        </w:rPr>
      </w:pPr>
      <w:r>
        <w:rPr>
          <w:rFonts w:ascii="TIMES NEW ROMAN BOLD" w:hAnsi="TIMES NEW ROMAN BOLD"/>
          <w:b/>
          <w:caps/>
          <w:sz w:val="20"/>
        </w:rPr>
        <w:t>Vivani Medical, Inc.</w:t>
      </w:r>
    </w:p>
    <w:p>
      <w:pPr>
        <w:pStyle w:val="TextBody"/>
        <w:bidi w:val="0"/>
        <w:spacing w:lineRule="atLeast" w:line="432" w:before="0" w:after="240"/>
        <w:ind w:left="0" w:right="0" w:hanging="0"/>
        <w:jc w:val="center"/>
        <w:rPr>
          <w:rFonts w:ascii="Times New Roman" w:hAnsi="Times New Roman"/>
          <w:b/>
          <w:sz w:val="20"/>
        </w:rPr>
      </w:pPr>
      <w:r>
        <w:rPr>
          <w:rFonts w:ascii="Times New Roman" w:hAnsi="Times New Roman"/>
          <w:b/>
          <w:sz w:val="20"/>
        </w:rPr>
        <w:t>Dated as of July 1, 2026</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80"/>
        <w:gridCol w:w="9287"/>
        <w:gridCol w:w="515"/>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pPr>
            <w:r>
              <w:rPr/>
            </w:r>
          </w:p>
        </w:tc>
        <w:tc>
          <w:tcPr>
            <w:tcW w:w="9287" w:type="dxa"/>
            <w:tcBorders/>
            <w:vAlign w:val="center"/>
          </w:tcPr>
          <w:p>
            <w:pPr>
              <w:pStyle w:val="TableContents"/>
              <w:bidi w:val="0"/>
              <w:spacing w:before="0" w:after="283"/>
              <w:jc w:val="center"/>
              <w:rPr>
                <w:b/>
              </w:rPr>
            </w:pPr>
            <w:r>
              <w:rPr>
                <w:b/>
              </w:rPr>
              <w:t>TABLE OF CONTENTS</w:t>
            </w:r>
          </w:p>
        </w:tc>
        <w:tc>
          <w:tcPr>
            <w:tcW w:w="515" w:type="dxa"/>
            <w:tcBorders/>
            <w:vAlign w:val="center"/>
          </w:tcPr>
          <w:p>
            <w:pPr>
              <w:pStyle w:val="TableContents"/>
              <w:bidi w:val="0"/>
              <w:spacing w:before="0" w:after="283"/>
              <w:jc w:val="right"/>
              <w:rPr>
                <w:b/>
              </w:rPr>
            </w:pPr>
            <w:r>
              <w:rPr>
                <w:b/>
              </w:rPr>
              <w:t>Page</w:t>
            </w:r>
          </w:p>
        </w:tc>
      </w:tr>
      <w:tr>
        <w:trPr/>
        <w:tc>
          <w:tcPr>
            <w:tcW w:w="9690" w:type="dxa"/>
            <w:gridSpan w:val="3"/>
            <w:tcBorders/>
            <w:vAlign w:val="center"/>
          </w:tcPr>
          <w:p>
            <w:pPr>
              <w:pStyle w:val="TableContents"/>
              <w:bidi w:val="0"/>
              <w:spacing w:before="0" w:after="283"/>
              <w:jc w:val="left"/>
              <w:rPr/>
            </w:pPr>
            <w:hyperlink w:anchor="BJKBBB1_176202613025973">
              <w:r>
                <w:rPr>
                  <w:rStyle w:val="InternetLink"/>
                </w:rPr>
                <w:t>ARTICLE 1 DESCRIPTION OF TRANSACTION</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2_176202641342498">
              <w:r>
                <w:rPr>
                  <w:rStyle w:val="InternetLink"/>
                  <w:rFonts w:ascii="times new roman;times" w:hAnsi="times new roman;times"/>
                  <w:b w:val="false"/>
                  <w:i w:val="false"/>
                  <w:caps w:val="false"/>
                  <w:smallCaps w:val="false"/>
                  <w:spacing w:val="0"/>
                  <w:sz w:val="20"/>
                </w:rPr>
                <w:t>1.1</w:t>
              </w:r>
            </w:hyperlink>
          </w:p>
        </w:tc>
        <w:tc>
          <w:tcPr>
            <w:tcW w:w="9287" w:type="dxa"/>
            <w:tcBorders/>
            <w:vAlign w:val="center"/>
          </w:tcPr>
          <w:p>
            <w:pPr>
              <w:pStyle w:val="TableContents"/>
              <w:bidi w:val="0"/>
              <w:spacing w:before="0" w:after="283"/>
              <w:jc w:val="left"/>
              <w:rPr/>
            </w:pPr>
            <w:hyperlink w:anchor="BSd32_176202641342498">
              <w:r>
                <w:rPr>
                  <w:rStyle w:val="InternetLink"/>
                </w:rPr>
                <w:t>Structure of the Merger.</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3_176202641355250">
              <w:r>
                <w:rPr>
                  <w:rStyle w:val="InternetLink"/>
                  <w:rFonts w:ascii="times new roman;times" w:hAnsi="times new roman;times"/>
                  <w:b w:val="false"/>
                  <w:i w:val="false"/>
                  <w:caps w:val="false"/>
                  <w:smallCaps w:val="false"/>
                  <w:spacing w:val="0"/>
                  <w:sz w:val="20"/>
                </w:rPr>
                <w:t>1.2</w:t>
              </w:r>
            </w:hyperlink>
          </w:p>
        </w:tc>
        <w:tc>
          <w:tcPr>
            <w:tcW w:w="9287" w:type="dxa"/>
            <w:tcBorders/>
            <w:vAlign w:val="center"/>
          </w:tcPr>
          <w:p>
            <w:pPr>
              <w:pStyle w:val="TableContents"/>
              <w:bidi w:val="0"/>
              <w:spacing w:before="0" w:after="283"/>
              <w:jc w:val="left"/>
              <w:rPr/>
            </w:pPr>
            <w:hyperlink w:anchor="BSd33_176202641355250">
              <w:r>
                <w:rPr>
                  <w:rStyle w:val="InternetLink"/>
                </w:rPr>
                <w:t>Effects of the Merger</w:t>
              </w:r>
            </w:hyperlink>
          </w:p>
        </w:tc>
        <w:tc>
          <w:tcPr>
            <w:tcW w:w="515" w:type="dxa"/>
            <w:tcBorders/>
            <w:vAlign w:val="center"/>
          </w:tcPr>
          <w:p>
            <w:pPr>
              <w:pStyle w:val="TableContents"/>
              <w:bidi w:val="0"/>
              <w:spacing w:before="0" w:after="283"/>
              <w:jc w:val="right"/>
              <w:rPr/>
            </w:pPr>
            <w:r>
              <w:rPr/>
              <w:t>A-2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4_176202641421946">
              <w:r>
                <w:rPr>
                  <w:rStyle w:val="InternetLink"/>
                  <w:rFonts w:ascii="times new roman;times" w:hAnsi="times new roman;times"/>
                  <w:b w:val="false"/>
                  <w:i w:val="false"/>
                  <w:caps w:val="false"/>
                  <w:smallCaps w:val="false"/>
                  <w:spacing w:val="0"/>
                  <w:sz w:val="20"/>
                </w:rPr>
                <w:t>1.3</w:t>
              </w:r>
            </w:hyperlink>
          </w:p>
        </w:tc>
        <w:tc>
          <w:tcPr>
            <w:tcW w:w="9287" w:type="dxa"/>
            <w:tcBorders/>
            <w:vAlign w:val="center"/>
          </w:tcPr>
          <w:p>
            <w:pPr>
              <w:pStyle w:val="TableContents"/>
              <w:bidi w:val="0"/>
              <w:spacing w:before="0" w:after="283"/>
              <w:jc w:val="left"/>
              <w:rPr/>
            </w:pPr>
            <w:hyperlink w:anchor="BSd34_176202641421946">
              <w:r>
                <w:rPr>
                  <w:rStyle w:val="InternetLink"/>
                </w:rPr>
                <w:t>Closing; Effective Time</w:t>
              </w:r>
            </w:hyperlink>
          </w:p>
        </w:tc>
        <w:tc>
          <w:tcPr>
            <w:tcW w:w="515" w:type="dxa"/>
            <w:tcBorders/>
            <w:vAlign w:val="center"/>
          </w:tcPr>
          <w:p>
            <w:pPr>
              <w:pStyle w:val="TableContents"/>
              <w:bidi w:val="0"/>
              <w:spacing w:before="0" w:after="283"/>
              <w:jc w:val="right"/>
              <w:rPr/>
            </w:pPr>
            <w:r>
              <w:rPr/>
              <w:t>A-3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5_17620264143410">
              <w:r>
                <w:rPr>
                  <w:rStyle w:val="InternetLink"/>
                  <w:rFonts w:ascii="times new roman;times" w:hAnsi="times new roman;times"/>
                  <w:b w:val="false"/>
                  <w:i w:val="false"/>
                  <w:caps w:val="false"/>
                  <w:smallCaps w:val="false"/>
                  <w:spacing w:val="0"/>
                  <w:sz w:val="20"/>
                </w:rPr>
                <w:t>1.4</w:t>
              </w:r>
            </w:hyperlink>
          </w:p>
        </w:tc>
        <w:tc>
          <w:tcPr>
            <w:tcW w:w="9287" w:type="dxa"/>
            <w:tcBorders/>
            <w:vAlign w:val="center"/>
          </w:tcPr>
          <w:p>
            <w:pPr>
              <w:pStyle w:val="TableContents"/>
              <w:bidi w:val="0"/>
              <w:spacing w:before="0" w:after="283"/>
              <w:jc w:val="left"/>
              <w:rPr/>
            </w:pPr>
            <w:hyperlink w:anchor="BSd35_17620264143410">
              <w:r>
                <w:rPr>
                  <w:rStyle w:val="InternetLink"/>
                </w:rPr>
                <w:t>Certificate of Incorporation and Bylaws; Directors and Officers</w:t>
              </w:r>
            </w:hyperlink>
          </w:p>
        </w:tc>
        <w:tc>
          <w:tcPr>
            <w:tcW w:w="515" w:type="dxa"/>
            <w:tcBorders/>
            <w:vAlign w:val="center"/>
          </w:tcPr>
          <w:p>
            <w:pPr>
              <w:pStyle w:val="TableContents"/>
              <w:bidi w:val="0"/>
              <w:spacing w:before="0" w:after="283"/>
              <w:jc w:val="right"/>
              <w:rPr/>
            </w:pPr>
            <w:r>
              <w:rPr/>
              <w:t>A-3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8_17620264196437">
              <w:r>
                <w:rPr>
                  <w:rStyle w:val="InternetLink"/>
                  <w:rFonts w:ascii="times new roman;times" w:hAnsi="times new roman;times"/>
                  <w:b w:val="false"/>
                  <w:i w:val="false"/>
                  <w:caps w:val="false"/>
                  <w:smallCaps w:val="false"/>
                  <w:spacing w:val="0"/>
                  <w:sz w:val="20"/>
                </w:rPr>
                <w:t>1.5</w:t>
              </w:r>
            </w:hyperlink>
          </w:p>
        </w:tc>
        <w:tc>
          <w:tcPr>
            <w:tcW w:w="9287" w:type="dxa"/>
            <w:tcBorders/>
            <w:vAlign w:val="center"/>
          </w:tcPr>
          <w:p>
            <w:pPr>
              <w:pStyle w:val="TableContents"/>
              <w:bidi w:val="0"/>
              <w:spacing w:before="0" w:after="283"/>
              <w:jc w:val="left"/>
              <w:rPr/>
            </w:pPr>
            <w:hyperlink w:anchor="BSd38_17620264196437">
              <w:r>
                <w:rPr>
                  <w:rStyle w:val="InternetLink"/>
                </w:rPr>
                <w:t>Conversion of Company Shares.</w:t>
              </w:r>
            </w:hyperlink>
          </w:p>
        </w:tc>
        <w:tc>
          <w:tcPr>
            <w:tcW w:w="515" w:type="dxa"/>
            <w:tcBorders/>
            <w:vAlign w:val="center"/>
          </w:tcPr>
          <w:p>
            <w:pPr>
              <w:pStyle w:val="TableContents"/>
              <w:bidi w:val="0"/>
              <w:spacing w:before="0" w:after="283"/>
              <w:jc w:val="right"/>
              <w:rPr/>
            </w:pPr>
            <w:r>
              <w:rPr/>
              <w:t>A-4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9_176202641927368">
              <w:r>
                <w:rPr>
                  <w:rStyle w:val="InternetLink"/>
                  <w:rFonts w:ascii="times new roman;times" w:hAnsi="times new roman;times"/>
                  <w:b w:val="false"/>
                  <w:i w:val="false"/>
                  <w:caps w:val="false"/>
                  <w:smallCaps w:val="false"/>
                  <w:spacing w:val="0"/>
                  <w:sz w:val="20"/>
                </w:rPr>
                <w:t>1.6</w:t>
              </w:r>
            </w:hyperlink>
          </w:p>
        </w:tc>
        <w:tc>
          <w:tcPr>
            <w:tcW w:w="9287" w:type="dxa"/>
            <w:tcBorders/>
            <w:vAlign w:val="center"/>
          </w:tcPr>
          <w:p>
            <w:pPr>
              <w:pStyle w:val="TableContents"/>
              <w:bidi w:val="0"/>
              <w:spacing w:before="0" w:after="283"/>
              <w:jc w:val="left"/>
              <w:rPr/>
            </w:pPr>
            <w:hyperlink w:anchor="BSd39_176202641927368">
              <w:r>
                <w:rPr>
                  <w:rStyle w:val="InternetLink"/>
                </w:rPr>
                <w:t>Closing of the Company’s Transfer Books</w:t>
              </w:r>
            </w:hyperlink>
          </w:p>
        </w:tc>
        <w:tc>
          <w:tcPr>
            <w:tcW w:w="515" w:type="dxa"/>
            <w:tcBorders/>
            <w:vAlign w:val="center"/>
          </w:tcPr>
          <w:p>
            <w:pPr>
              <w:pStyle w:val="TableContents"/>
              <w:bidi w:val="0"/>
              <w:spacing w:before="0" w:after="283"/>
              <w:jc w:val="right"/>
              <w:rPr/>
            </w:pPr>
            <w:r>
              <w:rPr/>
              <w:t>A-4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0_176202641937233">
              <w:r>
                <w:rPr>
                  <w:rStyle w:val="InternetLink"/>
                  <w:rFonts w:ascii="times new roman;times" w:hAnsi="times new roman;times"/>
                  <w:b w:val="false"/>
                  <w:i w:val="false"/>
                  <w:caps w:val="false"/>
                  <w:smallCaps w:val="false"/>
                  <w:spacing w:val="0"/>
                  <w:sz w:val="20"/>
                </w:rPr>
                <w:t>1.7</w:t>
              </w:r>
            </w:hyperlink>
          </w:p>
        </w:tc>
        <w:tc>
          <w:tcPr>
            <w:tcW w:w="9287" w:type="dxa"/>
            <w:tcBorders/>
            <w:vAlign w:val="center"/>
          </w:tcPr>
          <w:p>
            <w:pPr>
              <w:pStyle w:val="TableContents"/>
              <w:bidi w:val="0"/>
              <w:spacing w:before="0" w:after="283"/>
              <w:jc w:val="left"/>
              <w:rPr/>
            </w:pPr>
            <w:hyperlink w:anchor="BSd40_176202641937233">
              <w:r>
                <w:rPr>
                  <w:rStyle w:val="InternetLink"/>
                </w:rPr>
                <w:t>Surrender of Certificates.</w:t>
              </w:r>
            </w:hyperlink>
          </w:p>
        </w:tc>
        <w:tc>
          <w:tcPr>
            <w:tcW w:w="515" w:type="dxa"/>
            <w:tcBorders/>
            <w:vAlign w:val="center"/>
          </w:tcPr>
          <w:p>
            <w:pPr>
              <w:pStyle w:val="TableContents"/>
              <w:bidi w:val="0"/>
              <w:spacing w:before="0" w:after="283"/>
              <w:jc w:val="right"/>
              <w:rPr/>
            </w:pPr>
            <w:r>
              <w:rPr/>
              <w:t>A-5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1_17620264207719">
              <w:r>
                <w:rPr>
                  <w:rStyle w:val="InternetLink"/>
                  <w:rFonts w:ascii="times new roman;times" w:hAnsi="times new roman;times"/>
                  <w:b w:val="false"/>
                  <w:i w:val="false"/>
                  <w:caps w:val="false"/>
                  <w:smallCaps w:val="false"/>
                  <w:spacing w:val="0"/>
                  <w:sz w:val="20"/>
                </w:rPr>
                <w:t>1.8</w:t>
              </w:r>
            </w:hyperlink>
          </w:p>
        </w:tc>
        <w:tc>
          <w:tcPr>
            <w:tcW w:w="9287" w:type="dxa"/>
            <w:tcBorders/>
            <w:vAlign w:val="center"/>
          </w:tcPr>
          <w:p>
            <w:pPr>
              <w:pStyle w:val="TableContents"/>
              <w:bidi w:val="0"/>
              <w:spacing w:before="0" w:after="283"/>
              <w:jc w:val="left"/>
              <w:rPr/>
            </w:pPr>
            <w:hyperlink w:anchor="BSd41_17620264207719">
              <w:r>
                <w:rPr>
                  <w:rStyle w:val="InternetLink"/>
                </w:rPr>
                <w:t>Dissenters’ Rights</w:t>
              </w:r>
            </w:hyperlink>
          </w:p>
        </w:tc>
        <w:tc>
          <w:tcPr>
            <w:tcW w:w="515" w:type="dxa"/>
            <w:tcBorders/>
            <w:vAlign w:val="center"/>
          </w:tcPr>
          <w:p>
            <w:pPr>
              <w:pStyle w:val="TableContents"/>
              <w:bidi w:val="0"/>
              <w:spacing w:before="0" w:after="283"/>
              <w:jc w:val="right"/>
              <w:rPr/>
            </w:pPr>
            <w:r>
              <w:rPr/>
              <w:t>A-5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2_17620264204266">
              <w:r>
                <w:rPr>
                  <w:rStyle w:val="InternetLink"/>
                  <w:rFonts w:ascii="times new roman;times" w:hAnsi="times new roman;times"/>
                  <w:b w:val="false"/>
                  <w:i w:val="false"/>
                  <w:caps w:val="false"/>
                  <w:smallCaps w:val="false"/>
                  <w:spacing w:val="0"/>
                  <w:sz w:val="20"/>
                </w:rPr>
                <w:t>1.9</w:t>
              </w:r>
            </w:hyperlink>
          </w:p>
        </w:tc>
        <w:tc>
          <w:tcPr>
            <w:tcW w:w="9287" w:type="dxa"/>
            <w:tcBorders/>
            <w:vAlign w:val="center"/>
          </w:tcPr>
          <w:p>
            <w:pPr>
              <w:pStyle w:val="TableContents"/>
              <w:bidi w:val="0"/>
              <w:spacing w:before="0" w:after="283"/>
              <w:jc w:val="left"/>
              <w:rPr/>
            </w:pPr>
            <w:hyperlink w:anchor="BSD42_17620264204266">
              <w:r>
                <w:rPr>
                  <w:rStyle w:val="InternetLink"/>
                </w:rPr>
                <w:t>Further Action</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4_176202642119433">
              <w:r>
                <w:rPr>
                  <w:rStyle w:val="InternetLink"/>
                  <w:rFonts w:ascii="times new roman;times" w:hAnsi="times new roman;times"/>
                  <w:b w:val="false"/>
                  <w:i w:val="false"/>
                  <w:caps w:val="false"/>
                  <w:smallCaps w:val="false"/>
                  <w:spacing w:val="0"/>
                  <w:sz w:val="20"/>
                </w:rPr>
                <w:t>1.10</w:t>
              </w:r>
            </w:hyperlink>
          </w:p>
        </w:tc>
        <w:tc>
          <w:tcPr>
            <w:tcW w:w="9287" w:type="dxa"/>
            <w:tcBorders/>
            <w:vAlign w:val="center"/>
          </w:tcPr>
          <w:p>
            <w:pPr>
              <w:pStyle w:val="TableContents"/>
              <w:bidi w:val="0"/>
              <w:spacing w:before="0" w:after="283"/>
              <w:jc w:val="left"/>
              <w:rPr/>
            </w:pPr>
            <w:hyperlink w:anchor="BSd44_176202642119433">
              <w:r>
                <w:rPr>
                  <w:rStyle w:val="InternetLink"/>
                </w:rPr>
                <w:t>Tax Consequences</w:t>
              </w:r>
            </w:hyperlink>
          </w:p>
        </w:tc>
        <w:tc>
          <w:tcPr>
            <w:tcW w:w="515" w:type="dxa"/>
            <w:tcBorders/>
            <w:vAlign w:val="center"/>
          </w:tcPr>
          <w:p>
            <w:pPr>
              <w:pStyle w:val="TableContents"/>
              <w:bidi w:val="0"/>
              <w:spacing w:before="0" w:after="283"/>
              <w:jc w:val="right"/>
              <w:rPr/>
            </w:pPr>
            <w:r>
              <w:rPr/>
              <w:t>A-6</w:t>
            </w:r>
          </w:p>
        </w:tc>
      </w:tr>
      <w:tr>
        <w:trPr/>
        <w:tc>
          <w:tcPr>
            <w:tcW w:w="9690" w:type="dxa"/>
            <w:gridSpan w:val="3"/>
            <w:tcBorders/>
            <w:vAlign w:val="center"/>
          </w:tcPr>
          <w:p>
            <w:pPr>
              <w:pStyle w:val="TableContents"/>
              <w:bidi w:val="0"/>
              <w:spacing w:before="0" w:after="283"/>
              <w:jc w:val="left"/>
              <w:rPr/>
            </w:pPr>
            <w:hyperlink w:anchor="BSd45_176202642319442">
              <w:r>
                <w:rPr>
                  <w:rStyle w:val="InternetLink"/>
                </w:rPr>
                <w:t>ARTICLE 2 REPRESENTATIONS AND WARRANTIES OF THE COMPANY AND SELLER</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6_176202642334281">
              <w:r>
                <w:rPr>
                  <w:rStyle w:val="InternetLink"/>
                  <w:rFonts w:ascii="times new roman;times" w:hAnsi="times new roman;times"/>
                  <w:b w:val="false"/>
                  <w:i w:val="false"/>
                  <w:caps w:val="false"/>
                  <w:smallCaps w:val="false"/>
                  <w:spacing w:val="0"/>
                  <w:sz w:val="20"/>
                </w:rPr>
                <w:t>2.1</w:t>
              </w:r>
            </w:hyperlink>
          </w:p>
        </w:tc>
        <w:tc>
          <w:tcPr>
            <w:tcW w:w="9287" w:type="dxa"/>
            <w:tcBorders/>
            <w:vAlign w:val="center"/>
          </w:tcPr>
          <w:p>
            <w:pPr>
              <w:pStyle w:val="TableContents"/>
              <w:bidi w:val="0"/>
              <w:spacing w:before="0" w:after="283"/>
              <w:jc w:val="left"/>
              <w:rPr/>
            </w:pPr>
            <w:hyperlink w:anchor="BSd46_176202642334281">
              <w:r>
                <w:rPr>
                  <w:rStyle w:val="InternetLink"/>
                </w:rPr>
                <w:t>Subsidiaries; Due Organization; Etc.</w:t>
              </w:r>
            </w:hyperlink>
          </w:p>
        </w:tc>
        <w:tc>
          <w:tcPr>
            <w:tcW w:w="515" w:type="dxa"/>
            <w:tcBorders/>
            <w:vAlign w:val="center"/>
          </w:tcPr>
          <w:p>
            <w:pPr>
              <w:pStyle w:val="TableContents"/>
              <w:bidi w:val="0"/>
              <w:spacing w:before="0" w:after="283"/>
              <w:jc w:val="right"/>
              <w:rPr/>
            </w:pPr>
            <w:r>
              <w:rPr/>
              <w:t>A-6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8_17620264304690">
              <w:r>
                <w:rPr>
                  <w:rStyle w:val="InternetLink"/>
                  <w:rFonts w:ascii="times new roman;times" w:hAnsi="times new roman;times"/>
                  <w:b w:val="false"/>
                  <w:i w:val="false"/>
                  <w:caps w:val="false"/>
                  <w:smallCaps w:val="false"/>
                  <w:spacing w:val="0"/>
                  <w:sz w:val="20"/>
                </w:rPr>
                <w:t>2.2</w:t>
              </w:r>
            </w:hyperlink>
          </w:p>
        </w:tc>
        <w:tc>
          <w:tcPr>
            <w:tcW w:w="9287" w:type="dxa"/>
            <w:tcBorders/>
            <w:vAlign w:val="center"/>
          </w:tcPr>
          <w:p>
            <w:pPr>
              <w:pStyle w:val="TableContents"/>
              <w:bidi w:val="0"/>
              <w:spacing w:before="0" w:after="283"/>
              <w:jc w:val="left"/>
              <w:rPr/>
            </w:pPr>
            <w:hyperlink w:anchor="BSd48_17620264304690">
              <w:r>
                <w:rPr>
                  <w:rStyle w:val="InternetLink"/>
                </w:rPr>
                <w:t>Certificate of Incorporation; Bylaws; Charters and Codes of Conduct</w:t>
              </w:r>
            </w:hyperlink>
          </w:p>
        </w:tc>
        <w:tc>
          <w:tcPr>
            <w:tcW w:w="515" w:type="dxa"/>
            <w:tcBorders/>
            <w:vAlign w:val="center"/>
          </w:tcPr>
          <w:p>
            <w:pPr>
              <w:pStyle w:val="TableContents"/>
              <w:bidi w:val="0"/>
              <w:spacing w:before="0" w:after="283"/>
              <w:jc w:val="right"/>
              <w:rPr/>
            </w:pPr>
            <w:r>
              <w:rPr/>
              <w:t>A-7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49_176202643012920">
              <w:r>
                <w:rPr>
                  <w:rStyle w:val="InternetLink"/>
                  <w:rFonts w:ascii="times new roman;times" w:hAnsi="times new roman;times"/>
                  <w:b w:val="false"/>
                  <w:i w:val="false"/>
                  <w:caps w:val="false"/>
                  <w:smallCaps w:val="false"/>
                  <w:spacing w:val="0"/>
                  <w:sz w:val="20"/>
                </w:rPr>
                <w:t>2.3</w:t>
              </w:r>
            </w:hyperlink>
          </w:p>
        </w:tc>
        <w:tc>
          <w:tcPr>
            <w:tcW w:w="9287" w:type="dxa"/>
            <w:tcBorders/>
            <w:vAlign w:val="center"/>
          </w:tcPr>
          <w:p>
            <w:pPr>
              <w:pStyle w:val="TableContents"/>
              <w:bidi w:val="0"/>
              <w:spacing w:before="0" w:after="283"/>
              <w:jc w:val="left"/>
              <w:rPr/>
            </w:pPr>
            <w:hyperlink w:anchor="BSd49_176202643012920">
              <w:r>
                <w:rPr>
                  <w:rStyle w:val="InternetLink"/>
                </w:rPr>
                <w:t>Capitalization, Etc.</w:t>
              </w:r>
            </w:hyperlink>
          </w:p>
        </w:tc>
        <w:tc>
          <w:tcPr>
            <w:tcW w:w="515" w:type="dxa"/>
            <w:tcBorders/>
            <w:vAlign w:val="center"/>
          </w:tcPr>
          <w:p>
            <w:pPr>
              <w:pStyle w:val="TableContents"/>
              <w:bidi w:val="0"/>
              <w:spacing w:before="0" w:after="283"/>
              <w:jc w:val="right"/>
              <w:rPr/>
            </w:pPr>
            <w:r>
              <w:rPr/>
              <w:t>A-7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1_176202643119177">
              <w:r>
                <w:rPr>
                  <w:rStyle w:val="InternetLink"/>
                  <w:rFonts w:ascii="times new roman;times" w:hAnsi="times new roman;times"/>
                  <w:b w:val="false"/>
                  <w:i w:val="false"/>
                  <w:caps w:val="false"/>
                  <w:smallCaps w:val="false"/>
                  <w:spacing w:val="0"/>
                  <w:sz w:val="20"/>
                </w:rPr>
                <w:t>2.4</w:t>
              </w:r>
            </w:hyperlink>
          </w:p>
        </w:tc>
        <w:tc>
          <w:tcPr>
            <w:tcW w:w="9287" w:type="dxa"/>
            <w:tcBorders/>
            <w:vAlign w:val="center"/>
          </w:tcPr>
          <w:p>
            <w:pPr>
              <w:pStyle w:val="TableContents"/>
              <w:bidi w:val="0"/>
              <w:spacing w:before="0" w:after="283"/>
              <w:jc w:val="left"/>
              <w:rPr/>
            </w:pPr>
            <w:hyperlink w:anchor="BSd51_176202643119177">
              <w:r>
                <w:rPr>
                  <w:rStyle w:val="InternetLink"/>
                </w:rPr>
                <w:t>Financial Statements.</w:t>
              </w:r>
            </w:hyperlink>
          </w:p>
        </w:tc>
        <w:tc>
          <w:tcPr>
            <w:tcW w:w="515" w:type="dxa"/>
            <w:tcBorders/>
            <w:vAlign w:val="center"/>
          </w:tcPr>
          <w:p>
            <w:pPr>
              <w:pStyle w:val="TableContents"/>
              <w:bidi w:val="0"/>
              <w:spacing w:before="0" w:after="283"/>
              <w:jc w:val="right"/>
              <w:rPr/>
            </w:pPr>
            <w:r>
              <w:rPr/>
              <w:t>A-8</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3_176202643151130">
              <w:r>
                <w:rPr>
                  <w:rStyle w:val="InternetLink"/>
                  <w:rFonts w:ascii="times new roman;times" w:hAnsi="times new roman;times"/>
                  <w:b w:val="false"/>
                  <w:i w:val="false"/>
                  <w:caps w:val="false"/>
                  <w:smallCaps w:val="false"/>
                  <w:spacing w:val="0"/>
                  <w:sz w:val="20"/>
                </w:rPr>
                <w:t>2.5</w:t>
              </w:r>
            </w:hyperlink>
          </w:p>
        </w:tc>
        <w:tc>
          <w:tcPr>
            <w:tcW w:w="9287" w:type="dxa"/>
            <w:tcBorders/>
            <w:vAlign w:val="center"/>
          </w:tcPr>
          <w:p>
            <w:pPr>
              <w:pStyle w:val="TableContents"/>
              <w:bidi w:val="0"/>
              <w:spacing w:before="0" w:after="283"/>
              <w:jc w:val="left"/>
              <w:rPr/>
            </w:pPr>
            <w:hyperlink w:anchor="BSd53_176202643151130">
              <w:r>
                <w:rPr>
                  <w:rStyle w:val="InternetLink"/>
                </w:rPr>
                <w:t>Absence of Changes</w:t>
              </w:r>
            </w:hyperlink>
          </w:p>
        </w:tc>
        <w:tc>
          <w:tcPr>
            <w:tcW w:w="515" w:type="dxa"/>
            <w:tcBorders/>
            <w:vAlign w:val="center"/>
          </w:tcPr>
          <w:p>
            <w:pPr>
              <w:pStyle w:val="TableContents"/>
              <w:bidi w:val="0"/>
              <w:spacing w:before="0" w:after="283"/>
              <w:jc w:val="right"/>
              <w:rPr/>
            </w:pPr>
            <w:r>
              <w:rPr/>
              <w:t>A-9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5_1762026432072">
              <w:r>
                <w:rPr>
                  <w:rStyle w:val="InternetLink"/>
                  <w:rFonts w:ascii="times new roman;times" w:hAnsi="times new roman;times"/>
                  <w:b w:val="false"/>
                  <w:i w:val="false"/>
                  <w:caps w:val="false"/>
                  <w:smallCaps w:val="false"/>
                  <w:spacing w:val="0"/>
                  <w:sz w:val="20"/>
                </w:rPr>
                <w:t>2.6</w:t>
              </w:r>
            </w:hyperlink>
          </w:p>
        </w:tc>
        <w:tc>
          <w:tcPr>
            <w:tcW w:w="9287" w:type="dxa"/>
            <w:tcBorders/>
            <w:vAlign w:val="center"/>
          </w:tcPr>
          <w:p>
            <w:pPr>
              <w:pStyle w:val="TableContents"/>
              <w:bidi w:val="0"/>
              <w:spacing w:before="0" w:after="283"/>
              <w:jc w:val="left"/>
              <w:rPr/>
            </w:pPr>
            <w:hyperlink w:anchor="BSd55_1762026432072">
              <w:r>
                <w:rPr>
                  <w:rStyle w:val="InternetLink"/>
                </w:rPr>
                <w:t>Title to Assets</w:t>
              </w:r>
            </w:hyperlink>
          </w:p>
        </w:tc>
        <w:tc>
          <w:tcPr>
            <w:tcW w:w="515" w:type="dxa"/>
            <w:tcBorders/>
            <w:vAlign w:val="center"/>
          </w:tcPr>
          <w:p>
            <w:pPr>
              <w:pStyle w:val="TableContents"/>
              <w:bidi w:val="0"/>
              <w:spacing w:before="0" w:after="283"/>
              <w:jc w:val="right"/>
              <w:rPr/>
            </w:pPr>
            <w:r>
              <w:rPr/>
              <w:t>A-9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7_176202643220931">
              <w:r>
                <w:rPr>
                  <w:rStyle w:val="InternetLink"/>
                  <w:rFonts w:ascii="times new roman;times" w:hAnsi="times new roman;times"/>
                  <w:b w:val="false"/>
                  <w:i w:val="false"/>
                  <w:caps w:val="false"/>
                  <w:smallCaps w:val="false"/>
                  <w:spacing w:val="0"/>
                  <w:sz w:val="20"/>
                </w:rPr>
                <w:t>2.7</w:t>
              </w:r>
            </w:hyperlink>
          </w:p>
        </w:tc>
        <w:tc>
          <w:tcPr>
            <w:tcW w:w="9287" w:type="dxa"/>
            <w:tcBorders/>
            <w:vAlign w:val="center"/>
          </w:tcPr>
          <w:p>
            <w:pPr>
              <w:pStyle w:val="TableContents"/>
              <w:bidi w:val="0"/>
              <w:spacing w:before="0" w:after="283"/>
              <w:jc w:val="left"/>
              <w:rPr/>
            </w:pPr>
            <w:hyperlink w:anchor="BSd57_176202643220931">
              <w:r>
                <w:rPr>
                  <w:rStyle w:val="InternetLink"/>
                </w:rPr>
                <w:t>Real Property; Leasehold</w:t>
              </w:r>
            </w:hyperlink>
          </w:p>
        </w:tc>
        <w:tc>
          <w:tcPr>
            <w:tcW w:w="515" w:type="dxa"/>
            <w:tcBorders/>
            <w:vAlign w:val="center"/>
          </w:tcPr>
          <w:p>
            <w:pPr>
              <w:pStyle w:val="TableContents"/>
              <w:bidi w:val="0"/>
              <w:spacing w:before="0" w:after="283"/>
              <w:jc w:val="right"/>
              <w:rPr/>
            </w:pPr>
            <w:r>
              <w:rPr/>
              <w:t>A-10</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9_176202643230802">
              <w:r>
                <w:rPr>
                  <w:rStyle w:val="InternetLink"/>
                  <w:rFonts w:ascii="times new roman;times" w:hAnsi="times new roman;times"/>
                  <w:b w:val="false"/>
                  <w:i w:val="false"/>
                  <w:caps w:val="false"/>
                  <w:smallCaps w:val="false"/>
                  <w:spacing w:val="0"/>
                  <w:sz w:val="20"/>
                </w:rPr>
                <w:t>2.8</w:t>
              </w:r>
            </w:hyperlink>
          </w:p>
        </w:tc>
        <w:tc>
          <w:tcPr>
            <w:tcW w:w="9287" w:type="dxa"/>
            <w:tcBorders/>
            <w:vAlign w:val="center"/>
          </w:tcPr>
          <w:p>
            <w:pPr>
              <w:pStyle w:val="TableContents"/>
              <w:bidi w:val="0"/>
              <w:spacing w:before="0" w:after="283"/>
              <w:jc w:val="left"/>
              <w:rPr/>
            </w:pPr>
            <w:hyperlink w:anchor="BSD59_176202643230802">
              <w:r>
                <w:rPr>
                  <w:rStyle w:val="InternetLink"/>
                </w:rPr>
                <w:t>Intellectual Property</w:t>
              </w:r>
            </w:hyperlink>
          </w:p>
        </w:tc>
        <w:tc>
          <w:tcPr>
            <w:tcW w:w="515" w:type="dxa"/>
            <w:tcBorders/>
            <w:vAlign w:val="center"/>
          </w:tcPr>
          <w:p>
            <w:pPr>
              <w:pStyle w:val="TableContents"/>
              <w:bidi w:val="0"/>
              <w:spacing w:before="0" w:after="283"/>
              <w:jc w:val="right"/>
              <w:rPr/>
            </w:pPr>
            <w:r>
              <w:rPr/>
              <w:t>A-10</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0_17620264348249">
              <w:r>
                <w:rPr>
                  <w:rStyle w:val="InternetLink"/>
                  <w:rFonts w:ascii="times new roman;times" w:hAnsi="times new roman;times"/>
                  <w:b w:val="false"/>
                  <w:i w:val="false"/>
                  <w:caps w:val="false"/>
                  <w:smallCaps w:val="false"/>
                  <w:spacing w:val="0"/>
                  <w:sz w:val="20"/>
                </w:rPr>
                <w:t>2.9</w:t>
              </w:r>
            </w:hyperlink>
          </w:p>
        </w:tc>
        <w:tc>
          <w:tcPr>
            <w:tcW w:w="9287" w:type="dxa"/>
            <w:tcBorders/>
            <w:vAlign w:val="center"/>
          </w:tcPr>
          <w:p>
            <w:pPr>
              <w:pStyle w:val="TableContents"/>
              <w:bidi w:val="0"/>
              <w:spacing w:before="0" w:after="283"/>
              <w:jc w:val="left"/>
              <w:rPr/>
            </w:pPr>
            <w:hyperlink w:anchor="BSd60_17620264348249">
              <w:r>
                <w:rPr>
                  <w:rStyle w:val="InternetLink"/>
                </w:rPr>
                <w:t>Agreements, Contracts and Commitments. Part 2.9 of the Company Disclosure Schedule identifies:</w:t>
              </w:r>
            </w:hyperlink>
          </w:p>
        </w:tc>
        <w:tc>
          <w:tcPr>
            <w:tcW w:w="515" w:type="dxa"/>
            <w:tcBorders/>
            <w:vAlign w:val="center"/>
          </w:tcPr>
          <w:p>
            <w:pPr>
              <w:pStyle w:val="TableContents"/>
              <w:bidi w:val="0"/>
              <w:spacing w:before="0" w:after="283"/>
              <w:jc w:val="right"/>
              <w:rPr/>
            </w:pPr>
            <w:r>
              <w:rPr/>
              <w:t>A-12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2_176202643543178">
              <w:r>
                <w:rPr>
                  <w:rStyle w:val="InternetLink"/>
                  <w:rFonts w:ascii="times new roman;times" w:hAnsi="times new roman;times"/>
                  <w:b w:val="false"/>
                  <w:i w:val="false"/>
                  <w:caps w:val="false"/>
                  <w:smallCaps w:val="false"/>
                  <w:spacing w:val="0"/>
                  <w:sz w:val="20"/>
                </w:rPr>
                <w:t>2.10</w:t>
              </w:r>
            </w:hyperlink>
          </w:p>
        </w:tc>
        <w:tc>
          <w:tcPr>
            <w:tcW w:w="9287" w:type="dxa"/>
            <w:tcBorders/>
            <w:vAlign w:val="center"/>
          </w:tcPr>
          <w:p>
            <w:pPr>
              <w:pStyle w:val="TableContents"/>
              <w:bidi w:val="0"/>
              <w:spacing w:before="0" w:after="283"/>
              <w:jc w:val="left"/>
              <w:rPr/>
            </w:pPr>
            <w:hyperlink w:anchor="BSd62_176202643543178">
              <w:r>
                <w:rPr>
                  <w:rStyle w:val="InternetLink"/>
                </w:rPr>
                <w:t>Liabilities.</w:t>
              </w:r>
            </w:hyperlink>
          </w:p>
        </w:tc>
        <w:tc>
          <w:tcPr>
            <w:tcW w:w="515" w:type="dxa"/>
            <w:tcBorders/>
            <w:vAlign w:val="center"/>
          </w:tcPr>
          <w:p>
            <w:pPr>
              <w:pStyle w:val="TableContents"/>
              <w:bidi w:val="0"/>
              <w:spacing w:before="0" w:after="283"/>
              <w:jc w:val="right"/>
              <w:rPr/>
            </w:pPr>
            <w:r>
              <w:rPr/>
              <w:t>A-14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4_176202643619801">
              <w:r>
                <w:rPr>
                  <w:rStyle w:val="InternetLink"/>
                  <w:rFonts w:ascii="times new roman;times" w:hAnsi="times new roman;times"/>
                  <w:b w:val="false"/>
                  <w:i w:val="false"/>
                  <w:caps w:val="false"/>
                  <w:smallCaps w:val="false"/>
                  <w:spacing w:val="0"/>
                  <w:sz w:val="20"/>
                </w:rPr>
                <w:t>2.11</w:t>
              </w:r>
            </w:hyperlink>
          </w:p>
        </w:tc>
        <w:tc>
          <w:tcPr>
            <w:tcW w:w="9287" w:type="dxa"/>
            <w:tcBorders/>
            <w:vAlign w:val="center"/>
          </w:tcPr>
          <w:p>
            <w:pPr>
              <w:pStyle w:val="TableContents"/>
              <w:bidi w:val="0"/>
              <w:spacing w:before="0" w:after="283"/>
              <w:jc w:val="left"/>
              <w:rPr/>
            </w:pPr>
            <w:hyperlink w:anchor="BSd64_176202643619801">
              <w:r>
                <w:rPr>
                  <w:rStyle w:val="InternetLink"/>
                </w:rPr>
                <w:t>Compliance; Permits; Restrictions.</w:t>
              </w:r>
            </w:hyperlink>
          </w:p>
        </w:tc>
        <w:tc>
          <w:tcPr>
            <w:tcW w:w="515" w:type="dxa"/>
            <w:tcBorders/>
            <w:vAlign w:val="center"/>
          </w:tcPr>
          <w:p>
            <w:pPr>
              <w:pStyle w:val="TableContents"/>
              <w:bidi w:val="0"/>
              <w:spacing w:before="0" w:after="283"/>
              <w:jc w:val="right"/>
              <w:rPr/>
            </w:pPr>
            <w:r>
              <w:rPr/>
              <w:t>A-15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1_176202643818192">
              <w:r>
                <w:rPr>
                  <w:rStyle w:val="InternetLink"/>
                  <w:rFonts w:ascii="times new roman;times" w:hAnsi="times new roman;times"/>
                  <w:b w:val="false"/>
                  <w:i w:val="false"/>
                  <w:caps w:val="false"/>
                  <w:smallCaps w:val="false"/>
                  <w:spacing w:val="0"/>
                  <w:sz w:val="20"/>
                </w:rPr>
                <w:t>2.12</w:t>
              </w:r>
            </w:hyperlink>
          </w:p>
        </w:tc>
        <w:tc>
          <w:tcPr>
            <w:tcW w:w="9287" w:type="dxa"/>
            <w:tcBorders/>
            <w:vAlign w:val="center"/>
          </w:tcPr>
          <w:p>
            <w:pPr>
              <w:pStyle w:val="TableContents"/>
              <w:bidi w:val="0"/>
              <w:spacing w:before="0" w:after="283"/>
              <w:jc w:val="left"/>
              <w:rPr/>
            </w:pPr>
            <w:hyperlink w:anchor="BSd71_176202643818192">
              <w:r>
                <w:rPr>
                  <w:rStyle w:val="InternetLink"/>
                </w:rPr>
                <w:t>Anti-Corruption Compliance; Trade Control Laws and Sanctions.</w:t>
              </w:r>
            </w:hyperlink>
          </w:p>
        </w:tc>
        <w:tc>
          <w:tcPr>
            <w:tcW w:w="515" w:type="dxa"/>
            <w:tcBorders/>
            <w:vAlign w:val="center"/>
          </w:tcPr>
          <w:p>
            <w:pPr>
              <w:pStyle w:val="TableContents"/>
              <w:bidi w:val="0"/>
              <w:spacing w:before="0" w:after="283"/>
              <w:jc w:val="right"/>
              <w:rPr/>
            </w:pPr>
            <w:r>
              <w:rPr/>
              <w:t>A-16</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2_176202644043432">
              <w:r>
                <w:rPr>
                  <w:rStyle w:val="InternetLink"/>
                  <w:rFonts w:ascii="times new roman;times" w:hAnsi="times new roman;times"/>
                  <w:b w:val="false"/>
                  <w:i w:val="false"/>
                  <w:caps w:val="false"/>
                  <w:smallCaps w:val="false"/>
                  <w:spacing w:val="0"/>
                  <w:sz w:val="20"/>
                </w:rPr>
                <w:t>2.13</w:t>
              </w:r>
            </w:hyperlink>
          </w:p>
        </w:tc>
        <w:tc>
          <w:tcPr>
            <w:tcW w:w="9287" w:type="dxa"/>
            <w:tcBorders/>
            <w:vAlign w:val="center"/>
          </w:tcPr>
          <w:p>
            <w:pPr>
              <w:pStyle w:val="TableContents"/>
              <w:bidi w:val="0"/>
              <w:spacing w:before="0" w:after="283"/>
              <w:jc w:val="left"/>
              <w:rPr/>
            </w:pPr>
            <w:hyperlink w:anchor="BSD72_176202644043432">
              <w:r>
                <w:rPr>
                  <w:rStyle w:val="InternetLink"/>
                </w:rPr>
                <w:t>Tax Matters.</w:t>
              </w:r>
            </w:hyperlink>
          </w:p>
        </w:tc>
        <w:tc>
          <w:tcPr>
            <w:tcW w:w="515" w:type="dxa"/>
            <w:tcBorders/>
            <w:vAlign w:val="center"/>
          </w:tcPr>
          <w:p>
            <w:pPr>
              <w:pStyle w:val="TableContents"/>
              <w:bidi w:val="0"/>
              <w:spacing w:before="0" w:after="283"/>
              <w:jc w:val="right"/>
              <w:rPr/>
            </w:pPr>
            <w:r>
              <w:rPr/>
              <w:t>A-17</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3_176202644318241">
              <w:r>
                <w:rPr>
                  <w:rStyle w:val="InternetLink"/>
                  <w:rFonts w:ascii="times new roman;times" w:hAnsi="times new roman;times"/>
                  <w:b w:val="false"/>
                  <w:i w:val="false"/>
                  <w:caps w:val="false"/>
                  <w:smallCaps w:val="false"/>
                  <w:spacing w:val="0"/>
                  <w:sz w:val="20"/>
                </w:rPr>
                <w:t>2.14</w:t>
              </w:r>
            </w:hyperlink>
          </w:p>
        </w:tc>
        <w:tc>
          <w:tcPr>
            <w:tcW w:w="9287" w:type="dxa"/>
            <w:tcBorders/>
            <w:vAlign w:val="center"/>
          </w:tcPr>
          <w:p>
            <w:pPr>
              <w:pStyle w:val="TableContents"/>
              <w:bidi w:val="0"/>
              <w:spacing w:before="0" w:after="283"/>
              <w:jc w:val="left"/>
              <w:rPr/>
            </w:pPr>
            <w:hyperlink w:anchor="BSd73_176202644318241">
              <w:r>
                <w:rPr>
                  <w:rStyle w:val="InternetLink"/>
                </w:rPr>
                <w:t>Employee Benefit Plans.</w:t>
              </w:r>
            </w:hyperlink>
          </w:p>
        </w:tc>
        <w:tc>
          <w:tcPr>
            <w:tcW w:w="515" w:type="dxa"/>
            <w:tcBorders/>
            <w:vAlign w:val="center"/>
          </w:tcPr>
          <w:p>
            <w:pPr>
              <w:pStyle w:val="TableContents"/>
              <w:bidi w:val="0"/>
              <w:spacing w:before="0" w:after="283"/>
              <w:jc w:val="right"/>
              <w:rPr/>
            </w:pPr>
            <w:r>
              <w:rPr/>
              <w:t>A-19</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_176202632034736">
              <w:r>
                <w:rPr>
                  <w:rStyle w:val="InternetLink"/>
                  <w:rFonts w:ascii="times new roman;times" w:hAnsi="times new roman;times"/>
                  <w:b w:val="false"/>
                  <w:i w:val="false"/>
                  <w:caps w:val="false"/>
                  <w:smallCaps w:val="false"/>
                  <w:spacing w:val="0"/>
                  <w:sz w:val="20"/>
                </w:rPr>
                <w:t>2.15</w:t>
              </w:r>
            </w:hyperlink>
          </w:p>
        </w:tc>
        <w:tc>
          <w:tcPr>
            <w:tcW w:w="9287" w:type="dxa"/>
            <w:tcBorders/>
            <w:vAlign w:val="center"/>
          </w:tcPr>
          <w:p>
            <w:pPr>
              <w:pStyle w:val="TableContents"/>
              <w:bidi w:val="0"/>
              <w:spacing w:before="0" w:after="283"/>
              <w:jc w:val="left"/>
              <w:rPr/>
            </w:pPr>
            <w:hyperlink w:anchor="BSd1_176202632034736">
              <w:r>
                <w:rPr>
                  <w:rStyle w:val="InternetLink"/>
                </w:rPr>
                <w:t>Labor and Employment.</w:t>
              </w:r>
            </w:hyperlink>
          </w:p>
        </w:tc>
        <w:tc>
          <w:tcPr>
            <w:tcW w:w="515" w:type="dxa"/>
            <w:tcBorders/>
            <w:vAlign w:val="center"/>
          </w:tcPr>
          <w:p>
            <w:pPr>
              <w:pStyle w:val="TableContents"/>
              <w:bidi w:val="0"/>
              <w:spacing w:before="0" w:after="283"/>
              <w:jc w:val="right"/>
              <w:rPr/>
            </w:pPr>
            <w:r>
              <w:rPr/>
              <w:t>A-21</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2_176202632126313">
              <w:r>
                <w:rPr>
                  <w:rStyle w:val="InternetLink"/>
                  <w:rFonts w:ascii="times new roman;times" w:hAnsi="times new roman;times"/>
                  <w:b w:val="false"/>
                  <w:i w:val="false"/>
                  <w:caps w:val="false"/>
                  <w:smallCaps w:val="false"/>
                  <w:spacing w:val="0"/>
                  <w:sz w:val="20"/>
                </w:rPr>
                <w:t>2.16</w:t>
              </w:r>
            </w:hyperlink>
          </w:p>
        </w:tc>
        <w:tc>
          <w:tcPr>
            <w:tcW w:w="9287" w:type="dxa"/>
            <w:tcBorders/>
            <w:vAlign w:val="center"/>
          </w:tcPr>
          <w:p>
            <w:pPr>
              <w:pStyle w:val="TableContents"/>
              <w:bidi w:val="0"/>
              <w:spacing w:before="0" w:after="283"/>
              <w:jc w:val="left"/>
              <w:rPr/>
            </w:pPr>
            <w:hyperlink w:anchor="BSd2_176202632126313">
              <w:r>
                <w:rPr>
                  <w:rStyle w:val="InternetLink"/>
                </w:rPr>
                <w:t>Environmental Matters</w:t>
              </w:r>
            </w:hyperlink>
          </w:p>
        </w:tc>
        <w:tc>
          <w:tcPr>
            <w:tcW w:w="515" w:type="dxa"/>
            <w:tcBorders/>
            <w:vAlign w:val="center"/>
          </w:tcPr>
          <w:p>
            <w:pPr>
              <w:pStyle w:val="TableContents"/>
              <w:bidi w:val="0"/>
              <w:spacing w:before="0" w:after="283"/>
              <w:jc w:val="right"/>
              <w:rPr/>
            </w:pPr>
            <w:r>
              <w:rPr/>
              <w:t>A-22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3_176202632137673">
              <w:r>
                <w:rPr>
                  <w:rStyle w:val="InternetLink"/>
                  <w:rFonts w:ascii="times new roman;times" w:hAnsi="times new roman;times"/>
                  <w:b w:val="false"/>
                  <w:i w:val="false"/>
                  <w:caps w:val="false"/>
                  <w:smallCaps w:val="false"/>
                  <w:spacing w:val="0"/>
                  <w:sz w:val="20"/>
                </w:rPr>
                <w:t>2.17</w:t>
              </w:r>
            </w:hyperlink>
          </w:p>
        </w:tc>
        <w:tc>
          <w:tcPr>
            <w:tcW w:w="9287" w:type="dxa"/>
            <w:tcBorders/>
            <w:vAlign w:val="center"/>
          </w:tcPr>
          <w:p>
            <w:pPr>
              <w:pStyle w:val="TableContents"/>
              <w:bidi w:val="0"/>
              <w:spacing w:before="0" w:after="283"/>
              <w:jc w:val="left"/>
              <w:rPr/>
            </w:pPr>
            <w:hyperlink w:anchor="BSd3_176202632137673">
              <w:r>
                <w:rPr>
                  <w:rStyle w:val="InternetLink"/>
                </w:rPr>
                <w:t>Insurance.</w:t>
              </w:r>
            </w:hyperlink>
          </w:p>
        </w:tc>
        <w:tc>
          <w:tcPr>
            <w:tcW w:w="515" w:type="dxa"/>
            <w:tcBorders/>
            <w:vAlign w:val="center"/>
          </w:tcPr>
          <w:p>
            <w:pPr>
              <w:pStyle w:val="TableContents"/>
              <w:bidi w:val="0"/>
              <w:spacing w:before="0" w:after="283"/>
              <w:jc w:val="right"/>
              <w:rPr/>
            </w:pPr>
            <w:r>
              <w:rPr/>
              <w:t>A-22</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5_176202632317103">
              <w:r>
                <w:rPr>
                  <w:rStyle w:val="InternetLink"/>
                  <w:rFonts w:ascii="times new roman;times" w:hAnsi="times new roman;times"/>
                  <w:b w:val="false"/>
                  <w:i w:val="false"/>
                  <w:caps w:val="false"/>
                  <w:smallCaps w:val="false"/>
                  <w:spacing w:val="0"/>
                  <w:sz w:val="20"/>
                </w:rPr>
                <w:t>2.18</w:t>
              </w:r>
            </w:hyperlink>
          </w:p>
        </w:tc>
        <w:tc>
          <w:tcPr>
            <w:tcW w:w="9287" w:type="dxa"/>
            <w:tcBorders/>
            <w:vAlign w:val="center"/>
          </w:tcPr>
          <w:p>
            <w:pPr>
              <w:pStyle w:val="TableContents"/>
              <w:bidi w:val="0"/>
              <w:spacing w:before="0" w:after="283"/>
              <w:jc w:val="left"/>
              <w:rPr/>
            </w:pPr>
            <w:hyperlink w:anchor="BSd5_176202632317103">
              <w:r>
                <w:rPr>
                  <w:rStyle w:val="InternetLink"/>
                </w:rPr>
                <w:t>Legal Proceedings; Orders.</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6_176202632458817">
              <w:r>
                <w:rPr>
                  <w:rStyle w:val="InternetLink"/>
                  <w:rFonts w:ascii="times new roman;times" w:hAnsi="times new roman;times"/>
                  <w:b w:val="false"/>
                  <w:i w:val="false"/>
                  <w:caps w:val="false"/>
                  <w:smallCaps w:val="false"/>
                  <w:spacing w:val="0"/>
                  <w:sz w:val="20"/>
                </w:rPr>
                <w:t>2.19</w:t>
              </w:r>
            </w:hyperlink>
          </w:p>
        </w:tc>
        <w:tc>
          <w:tcPr>
            <w:tcW w:w="9287" w:type="dxa"/>
            <w:tcBorders/>
            <w:vAlign w:val="center"/>
          </w:tcPr>
          <w:p>
            <w:pPr>
              <w:pStyle w:val="TableContents"/>
              <w:bidi w:val="0"/>
              <w:spacing w:before="0" w:after="283"/>
              <w:jc w:val="left"/>
              <w:rPr/>
            </w:pPr>
            <w:hyperlink w:anchor="BSd6_176202632458817">
              <w:r>
                <w:rPr>
                  <w:rStyle w:val="InternetLink"/>
                </w:rPr>
                <w:t>Authority; Binding Nature of Agreement</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7_176202632556217">
              <w:r>
                <w:rPr>
                  <w:rStyle w:val="InternetLink"/>
                  <w:rFonts w:ascii="times new roman;times" w:hAnsi="times new roman;times"/>
                  <w:b w:val="false"/>
                  <w:i w:val="false"/>
                  <w:caps w:val="false"/>
                  <w:smallCaps w:val="false"/>
                  <w:spacing w:val="0"/>
                  <w:sz w:val="20"/>
                </w:rPr>
                <w:t>2.20</w:t>
              </w:r>
            </w:hyperlink>
          </w:p>
        </w:tc>
        <w:tc>
          <w:tcPr>
            <w:tcW w:w="9287" w:type="dxa"/>
            <w:tcBorders/>
            <w:vAlign w:val="center"/>
          </w:tcPr>
          <w:p>
            <w:pPr>
              <w:pStyle w:val="TableContents"/>
              <w:bidi w:val="0"/>
              <w:spacing w:before="0" w:after="283"/>
              <w:jc w:val="left"/>
              <w:rPr/>
            </w:pPr>
            <w:hyperlink w:anchor="BSd7_176202632556217">
              <w:r>
                <w:rPr>
                  <w:rStyle w:val="InternetLink"/>
                </w:rPr>
                <w:t>Vote Required</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8_17620263267442">
              <w:r>
                <w:rPr>
                  <w:rStyle w:val="InternetLink"/>
                  <w:rFonts w:ascii="times new roman;times" w:hAnsi="times new roman;times"/>
                  <w:b w:val="false"/>
                  <w:i w:val="false"/>
                  <w:caps w:val="false"/>
                  <w:smallCaps w:val="false"/>
                  <w:spacing w:val="0"/>
                  <w:sz w:val="20"/>
                </w:rPr>
                <w:t>2.21</w:t>
              </w:r>
            </w:hyperlink>
          </w:p>
        </w:tc>
        <w:tc>
          <w:tcPr>
            <w:tcW w:w="9287" w:type="dxa"/>
            <w:tcBorders/>
            <w:vAlign w:val="center"/>
          </w:tcPr>
          <w:p>
            <w:pPr>
              <w:pStyle w:val="TableContents"/>
              <w:bidi w:val="0"/>
              <w:spacing w:before="0" w:after="283"/>
              <w:jc w:val="left"/>
              <w:rPr/>
            </w:pPr>
            <w:hyperlink w:anchor="BSd8_17620263267442">
              <w:r>
                <w:rPr>
                  <w:rStyle w:val="InternetLink"/>
                </w:rPr>
                <w:t>Non-Contravention; Consents</w:t>
              </w:r>
            </w:hyperlink>
          </w:p>
        </w:tc>
        <w:tc>
          <w:tcPr>
            <w:tcW w:w="515" w:type="dxa"/>
            <w:tcBorders/>
            <w:vAlign w:val="center"/>
          </w:tcPr>
          <w:p>
            <w:pPr>
              <w:pStyle w:val="TableContents"/>
              <w:bidi w:val="0"/>
              <w:spacing w:before="0" w:after="283"/>
              <w:jc w:val="right"/>
              <w:rPr/>
            </w:pPr>
            <w:r>
              <w:rPr/>
              <w:t>A-23</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9_176202632757561">
              <w:r>
                <w:rPr>
                  <w:rStyle w:val="InternetLink"/>
                  <w:rFonts w:ascii="times new roman;times" w:hAnsi="times new roman;times"/>
                  <w:b w:val="false"/>
                  <w:i w:val="false"/>
                  <w:caps w:val="false"/>
                  <w:smallCaps w:val="false"/>
                  <w:spacing w:val="0"/>
                  <w:sz w:val="20"/>
                </w:rPr>
                <w:t>2.22</w:t>
              </w:r>
            </w:hyperlink>
          </w:p>
        </w:tc>
        <w:tc>
          <w:tcPr>
            <w:tcW w:w="9287" w:type="dxa"/>
            <w:tcBorders/>
            <w:vAlign w:val="center"/>
          </w:tcPr>
          <w:p>
            <w:pPr>
              <w:pStyle w:val="TableContents"/>
              <w:bidi w:val="0"/>
              <w:spacing w:before="0" w:after="283"/>
              <w:jc w:val="left"/>
              <w:rPr/>
            </w:pPr>
            <w:hyperlink w:anchor="BSd9_176202632757561">
              <w:r>
                <w:rPr>
                  <w:rStyle w:val="InternetLink"/>
                </w:rPr>
                <w:t>No Financial Advisor.</w:t>
              </w:r>
            </w:hyperlink>
          </w:p>
        </w:tc>
        <w:tc>
          <w:tcPr>
            <w:tcW w:w="515" w:type="dxa"/>
            <w:tcBorders/>
            <w:vAlign w:val="center"/>
          </w:tcPr>
          <w:p>
            <w:pPr>
              <w:pStyle w:val="TableContents"/>
              <w:bidi w:val="0"/>
              <w:spacing w:before="0" w:after="283"/>
              <w:jc w:val="right"/>
              <w:rPr/>
            </w:pPr>
            <w:r>
              <w:rPr/>
              <w:t>A-24</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0_176202632826751">
              <w:r>
                <w:rPr>
                  <w:rStyle w:val="InternetLink"/>
                  <w:rFonts w:ascii="times new roman;times" w:hAnsi="times new roman;times"/>
                  <w:b w:val="false"/>
                  <w:i w:val="false"/>
                  <w:caps w:val="false"/>
                  <w:smallCaps w:val="false"/>
                  <w:spacing w:val="0"/>
                  <w:sz w:val="20"/>
                </w:rPr>
                <w:t>2.23</w:t>
              </w:r>
            </w:hyperlink>
          </w:p>
        </w:tc>
        <w:tc>
          <w:tcPr>
            <w:tcW w:w="9287" w:type="dxa"/>
            <w:tcBorders/>
            <w:vAlign w:val="center"/>
          </w:tcPr>
          <w:p>
            <w:pPr>
              <w:pStyle w:val="TableContents"/>
              <w:bidi w:val="0"/>
              <w:spacing w:before="0" w:after="283"/>
              <w:jc w:val="left"/>
              <w:rPr/>
            </w:pPr>
            <w:hyperlink w:anchor="BSD10_176202632826751">
              <w:r>
                <w:rPr>
                  <w:rStyle w:val="InternetLink"/>
                </w:rPr>
                <w:t>Privacy</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1_176202632921432">
              <w:r>
                <w:rPr>
                  <w:rStyle w:val="InternetLink"/>
                  <w:rFonts w:ascii="times new roman;times" w:hAnsi="times new roman;times"/>
                  <w:b w:val="false"/>
                  <w:i w:val="false"/>
                  <w:caps w:val="false"/>
                  <w:smallCaps w:val="false"/>
                  <w:spacing w:val="0"/>
                  <w:sz w:val="20"/>
                </w:rPr>
                <w:t>2.24</w:t>
              </w:r>
            </w:hyperlink>
          </w:p>
        </w:tc>
        <w:tc>
          <w:tcPr>
            <w:tcW w:w="9287" w:type="dxa"/>
            <w:tcBorders/>
            <w:vAlign w:val="center"/>
          </w:tcPr>
          <w:p>
            <w:pPr>
              <w:pStyle w:val="TableContents"/>
              <w:bidi w:val="0"/>
              <w:spacing w:before="0" w:after="283"/>
              <w:jc w:val="left"/>
              <w:rPr/>
            </w:pPr>
            <w:hyperlink w:anchor="BSd11_176202632921432">
              <w:r>
                <w:rPr>
                  <w:rStyle w:val="InternetLink"/>
                </w:rPr>
                <w:t>Disclosure</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4_176202633142138">
              <w:r>
                <w:rPr>
                  <w:rStyle w:val="InternetLink"/>
                  <w:rFonts w:ascii="times new roman;times" w:hAnsi="times new roman;times"/>
                  <w:b w:val="false"/>
                  <w:i w:val="false"/>
                  <w:caps w:val="false"/>
                  <w:smallCaps w:val="false"/>
                  <w:spacing w:val="0"/>
                  <w:sz w:val="20"/>
                </w:rPr>
                <w:t>2.25</w:t>
              </w:r>
            </w:hyperlink>
          </w:p>
        </w:tc>
        <w:tc>
          <w:tcPr>
            <w:tcW w:w="9287" w:type="dxa"/>
            <w:tcBorders/>
            <w:vAlign w:val="center"/>
          </w:tcPr>
          <w:p>
            <w:pPr>
              <w:pStyle w:val="TableContents"/>
              <w:bidi w:val="0"/>
              <w:spacing w:before="0" w:after="283"/>
              <w:jc w:val="left"/>
              <w:rPr/>
            </w:pPr>
            <w:hyperlink w:anchor="BSd14_176202633142138">
              <w:r>
                <w:rPr>
                  <w:rStyle w:val="InternetLink"/>
                </w:rPr>
                <w:t>No Other Representations or Warranties</w:t>
              </w:r>
            </w:hyperlink>
          </w:p>
        </w:tc>
        <w:tc>
          <w:tcPr>
            <w:tcW w:w="515" w:type="dxa"/>
            <w:tcBorders/>
            <w:vAlign w:val="center"/>
          </w:tcPr>
          <w:p>
            <w:pPr>
              <w:pStyle w:val="TableContents"/>
              <w:bidi w:val="0"/>
              <w:spacing w:before="0" w:after="283"/>
              <w:jc w:val="right"/>
              <w:rPr/>
            </w:pPr>
            <w:r>
              <w:rPr/>
              <w:t>A-25</w:t>
            </w:r>
          </w:p>
        </w:tc>
      </w:tr>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widowControl/>
              <w:bidi w:val="0"/>
              <w:spacing w:before="0" w:after="283"/>
              <w:ind w:left="0" w:right="0" w:hanging="0"/>
              <w:jc w:val="left"/>
              <w:rPr/>
            </w:pPr>
            <w:hyperlink w:anchor="BSd15_17620263320553">
              <w:r>
                <w:rPr>
                  <w:rStyle w:val="InternetLink"/>
                  <w:rFonts w:ascii="times new roman;times" w:hAnsi="times new roman;times"/>
                  <w:b w:val="false"/>
                  <w:i w:val="false"/>
                  <w:caps w:val="false"/>
                  <w:smallCaps w:val="false"/>
                  <w:spacing w:val="0"/>
                  <w:sz w:val="20"/>
                </w:rPr>
                <w:t>2.26</w:t>
              </w:r>
            </w:hyperlink>
          </w:p>
        </w:tc>
        <w:tc>
          <w:tcPr>
            <w:tcW w:w="9287" w:type="dxa"/>
            <w:tcBorders/>
            <w:vAlign w:val="center"/>
          </w:tcPr>
          <w:p>
            <w:pPr>
              <w:pStyle w:val="TableContents"/>
              <w:bidi w:val="0"/>
              <w:spacing w:before="0" w:after="283"/>
              <w:jc w:val="left"/>
              <w:rPr/>
            </w:pPr>
            <w:hyperlink w:anchor="BSd15_17620263320553">
              <w:r>
                <w:rPr>
                  <w:rStyle w:val="InternetLink"/>
                </w:rPr>
                <w:t>Disclaimer of Other Representations and Warranties</w:t>
              </w:r>
            </w:hyperlink>
          </w:p>
        </w:tc>
        <w:tc>
          <w:tcPr>
            <w:tcW w:w="515" w:type="dxa"/>
            <w:tcBorders/>
            <w:vAlign w:val="center"/>
          </w:tcPr>
          <w:p>
            <w:pPr>
              <w:pStyle w:val="TableContents"/>
              <w:bidi w:val="0"/>
              <w:spacing w:before="0" w:after="283"/>
              <w:jc w:val="right"/>
              <w:rPr/>
            </w:pPr>
            <w:r>
              <w:rPr/>
              <w:t>A-25</w:t>
            </w:r>
          </w:p>
        </w:tc>
      </w:tr>
    </w:tbl>
    <w:p>
      <w:pPr>
        <w:pStyle w:val="TextBody"/>
        <w:bidi w:val="0"/>
        <w:spacing w:before="0" w:after="0"/>
        <w:jc w:val="left"/>
        <w:rPr/>
      </w:pPr>
      <w:r>
        <w:rPr/>
      </w:r>
    </w:p>
    <w:tbl>
      <w:tblPr>
        <w:tblW w:w="226" w:type="dxa"/>
        <w:jc w:val="left"/>
        <w:tblInd w:w="0" w:type="dxa"/>
        <w:tblLayout w:type="fixed"/>
        <w:tblCellMar>
          <w:top w:w="0" w:type="dxa"/>
          <w:left w:w="0" w:type="dxa"/>
          <w:bottom w:w="0" w:type="dxa"/>
          <w:right w:w="0" w:type="dxa"/>
        </w:tblCellMar>
      </w:tblPr>
      <w:tblGrid>
        <w:gridCol w:w="226"/>
      </w:tblGrid>
      <w:tr>
        <w:trPr/>
        <w:tc>
          <w:tcPr>
            <w:tcW w:w="226" w:type="dxa"/>
            <w:tcBorders/>
            <w:vAlign w:val="center"/>
          </w:tcPr>
          <w:p>
            <w:pPr>
              <w:pStyle w:val="TableContents"/>
              <w:bidi w:val="0"/>
              <w:spacing w:before="0" w:after="283"/>
              <w:jc w:val="center"/>
              <w:rPr>
                <w:sz w:val="20"/>
              </w:rPr>
            </w:pPr>
            <w:r>
              <w:rPr>
                <w:sz w:val="20"/>
              </w:rPr>
              <w:t>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tbl>
      <w:tblPr>
        <w:tblW w:w="9968" w:type="dxa"/>
        <w:jc w:val="left"/>
        <w:tblInd w:w="0" w:type="dxa"/>
        <w:tblLayout w:type="fixed"/>
        <w:tblCellMar>
          <w:top w:w="0" w:type="dxa"/>
          <w:left w:w="0" w:type="dxa"/>
          <w:bottom w:w="0" w:type="dxa"/>
          <w:right w:w="0" w:type="dxa"/>
        </w:tblCellMar>
      </w:tblPr>
      <w:tblGrid>
        <w:gridCol w:w="32"/>
        <w:gridCol w:w="575"/>
        <w:gridCol w:w="8846"/>
        <w:gridCol w:w="515"/>
      </w:tblGrid>
      <w:tr>
        <w:trPr/>
        <w:tc>
          <w:tcPr>
            <w:tcW w:w="9453" w:type="dxa"/>
            <w:gridSpan w:val="3"/>
            <w:tcBorders/>
            <w:vAlign w:val="center"/>
          </w:tcPr>
          <w:p>
            <w:pPr>
              <w:pStyle w:val="TableContents"/>
              <w:bidi w:val="0"/>
              <w:spacing w:before="0" w:after="283"/>
              <w:jc w:val="left"/>
              <w:rPr/>
            </w:pPr>
            <w:hyperlink w:anchor="BSB-051_1762026123811731">
              <w:r>
                <w:rPr>
                  <w:rStyle w:val="InternetLink"/>
                </w:rPr>
                <w:t>ARTICLE 2A REPRESENTATIONS AND WARRANTIES OF SELLER</w:t>
              </w:r>
            </w:hyperlink>
          </w:p>
        </w:tc>
        <w:tc>
          <w:tcPr>
            <w:tcW w:w="515" w:type="dxa"/>
            <w:tcBorders/>
            <w:vAlign w:val="center"/>
          </w:tcPr>
          <w:p>
            <w:pPr>
              <w:pStyle w:val="TableContents"/>
              <w:bidi w:val="0"/>
              <w:spacing w:before="0" w:after="283"/>
              <w:jc w:val="right"/>
              <w:rPr/>
            </w:pPr>
            <w:r>
              <w:rPr/>
              <w:t>A-25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17_176202635319576">
              <w:r>
                <w:rPr>
                  <w:rStyle w:val="InternetLink"/>
                  <w:rFonts w:ascii="times new roman;times" w:hAnsi="times new roman;times"/>
                  <w:b w:val="false"/>
                  <w:i w:val="false"/>
                  <w:caps w:val="false"/>
                  <w:smallCaps w:val="false"/>
                  <w:spacing w:val="0"/>
                  <w:sz w:val="20"/>
                </w:rPr>
                <w:t>2A.1</w:t>
              </w:r>
            </w:hyperlink>
          </w:p>
        </w:tc>
        <w:tc>
          <w:tcPr>
            <w:tcW w:w="8846" w:type="dxa"/>
            <w:tcBorders/>
            <w:vAlign w:val="center"/>
          </w:tcPr>
          <w:p>
            <w:pPr>
              <w:pStyle w:val="TableContents"/>
              <w:bidi w:val="0"/>
              <w:spacing w:before="0" w:after="283"/>
              <w:jc w:val="left"/>
              <w:rPr/>
            </w:pPr>
            <w:hyperlink w:anchor="BSd17_176202635319576">
              <w:r>
                <w:rPr>
                  <w:rStyle w:val="InternetLink"/>
                </w:rPr>
                <w:t>Due Organization; Authority.</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19_176202635335880">
              <w:r>
                <w:rPr>
                  <w:rStyle w:val="InternetLink"/>
                  <w:rFonts w:ascii="times new roman;times" w:hAnsi="times new roman;times"/>
                  <w:b w:val="false"/>
                  <w:i w:val="false"/>
                  <w:caps w:val="false"/>
                  <w:smallCaps w:val="false"/>
                  <w:spacing w:val="0"/>
                  <w:sz w:val="20"/>
                </w:rPr>
                <w:t>2A.2</w:t>
              </w:r>
            </w:hyperlink>
          </w:p>
        </w:tc>
        <w:tc>
          <w:tcPr>
            <w:tcW w:w="8846" w:type="dxa"/>
            <w:tcBorders/>
            <w:vAlign w:val="center"/>
          </w:tcPr>
          <w:p>
            <w:pPr>
              <w:pStyle w:val="TableContents"/>
              <w:bidi w:val="0"/>
              <w:spacing w:before="0" w:after="283"/>
              <w:jc w:val="left"/>
              <w:rPr/>
            </w:pPr>
            <w:hyperlink w:anchor="BSd19_176202635335880">
              <w:r>
                <w:rPr>
                  <w:rStyle w:val="InternetLink"/>
                </w:rPr>
                <w:t>Authorization; Binding Nature of Agreement.</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1_17620263557152">
              <w:r>
                <w:rPr>
                  <w:rStyle w:val="InternetLink"/>
                  <w:rFonts w:ascii="times new roman;times" w:hAnsi="times new roman;times"/>
                  <w:b w:val="false"/>
                  <w:i w:val="false"/>
                  <w:caps w:val="false"/>
                  <w:smallCaps w:val="false"/>
                  <w:spacing w:val="0"/>
                  <w:sz w:val="20"/>
                </w:rPr>
                <w:t>2A.3</w:t>
              </w:r>
            </w:hyperlink>
          </w:p>
        </w:tc>
        <w:tc>
          <w:tcPr>
            <w:tcW w:w="8846" w:type="dxa"/>
            <w:tcBorders/>
            <w:vAlign w:val="center"/>
          </w:tcPr>
          <w:p>
            <w:pPr>
              <w:pStyle w:val="TableContents"/>
              <w:bidi w:val="0"/>
              <w:spacing w:before="0" w:after="283"/>
              <w:jc w:val="left"/>
              <w:rPr/>
            </w:pPr>
            <w:hyperlink w:anchor="BSd21_17620263557152">
              <w:r>
                <w:rPr>
                  <w:rStyle w:val="InternetLink"/>
                </w:rPr>
                <w:t>Ownership of Company Securities.</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2_1762026488495">
              <w:r>
                <w:rPr>
                  <w:rStyle w:val="InternetLink"/>
                  <w:rFonts w:ascii="times new roman;times" w:hAnsi="times new roman;times"/>
                  <w:b w:val="false"/>
                  <w:i w:val="false"/>
                  <w:caps w:val="false"/>
                  <w:smallCaps w:val="false"/>
                  <w:spacing w:val="0"/>
                  <w:sz w:val="20"/>
                </w:rPr>
                <w:t>2A.4</w:t>
              </w:r>
            </w:hyperlink>
          </w:p>
        </w:tc>
        <w:tc>
          <w:tcPr>
            <w:tcW w:w="8846" w:type="dxa"/>
            <w:tcBorders/>
            <w:vAlign w:val="center"/>
          </w:tcPr>
          <w:p>
            <w:pPr>
              <w:pStyle w:val="TableContents"/>
              <w:bidi w:val="0"/>
              <w:spacing w:before="0" w:after="283"/>
              <w:jc w:val="left"/>
              <w:rPr/>
            </w:pPr>
            <w:hyperlink w:anchor="BSd22_1762026488495">
              <w:r>
                <w:rPr>
                  <w:rStyle w:val="InternetLink"/>
                </w:rPr>
                <w:t>No Conflicts; Consents</w:t>
              </w:r>
            </w:hyperlink>
          </w:p>
        </w:tc>
        <w:tc>
          <w:tcPr>
            <w:tcW w:w="515" w:type="dxa"/>
            <w:tcBorders/>
            <w:vAlign w:val="center"/>
          </w:tcPr>
          <w:p>
            <w:pPr>
              <w:pStyle w:val="TableContents"/>
              <w:bidi w:val="0"/>
              <w:spacing w:before="0" w:after="283"/>
              <w:jc w:val="right"/>
              <w:rPr/>
            </w:pPr>
            <w:r>
              <w:rPr/>
              <w:t>A-26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3_17620264821264">
              <w:r>
                <w:rPr>
                  <w:rStyle w:val="InternetLink"/>
                  <w:rFonts w:ascii="times new roman;times" w:hAnsi="times new roman;times"/>
                  <w:b w:val="false"/>
                  <w:i w:val="false"/>
                  <w:caps w:val="false"/>
                  <w:smallCaps w:val="false"/>
                  <w:spacing w:val="0"/>
                  <w:sz w:val="20"/>
                </w:rPr>
                <w:t>2A.5</w:t>
              </w:r>
            </w:hyperlink>
          </w:p>
        </w:tc>
        <w:tc>
          <w:tcPr>
            <w:tcW w:w="8846" w:type="dxa"/>
            <w:tcBorders/>
            <w:vAlign w:val="center"/>
          </w:tcPr>
          <w:p>
            <w:pPr>
              <w:pStyle w:val="TableContents"/>
              <w:bidi w:val="0"/>
              <w:spacing w:before="0" w:after="283"/>
              <w:jc w:val="left"/>
              <w:rPr/>
            </w:pPr>
            <w:hyperlink w:anchor="BSd23_17620264821264">
              <w:r>
                <w:rPr>
                  <w:rStyle w:val="InternetLink"/>
                </w:rPr>
                <w:t>Litigation.</w:t>
              </w:r>
            </w:hyperlink>
          </w:p>
        </w:tc>
        <w:tc>
          <w:tcPr>
            <w:tcW w:w="515" w:type="dxa"/>
            <w:tcBorders/>
            <w:vAlign w:val="center"/>
          </w:tcPr>
          <w:p>
            <w:pPr>
              <w:pStyle w:val="TableContents"/>
              <w:bidi w:val="0"/>
              <w:spacing w:before="0" w:after="283"/>
              <w:jc w:val="right"/>
              <w:rPr/>
            </w:pPr>
            <w:r>
              <w:rPr/>
              <w:t>A-27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4_17620264829863">
              <w:r>
                <w:rPr>
                  <w:rStyle w:val="InternetLink"/>
                  <w:rFonts w:ascii="times new roman;times" w:hAnsi="times new roman;times"/>
                  <w:b w:val="false"/>
                  <w:i w:val="false"/>
                  <w:caps w:val="false"/>
                  <w:smallCaps w:val="false"/>
                  <w:spacing w:val="0"/>
                  <w:sz w:val="20"/>
                </w:rPr>
                <w:t>2A.6</w:t>
              </w:r>
            </w:hyperlink>
          </w:p>
        </w:tc>
        <w:tc>
          <w:tcPr>
            <w:tcW w:w="8846" w:type="dxa"/>
            <w:tcBorders/>
            <w:vAlign w:val="center"/>
          </w:tcPr>
          <w:p>
            <w:pPr>
              <w:pStyle w:val="TableContents"/>
              <w:bidi w:val="0"/>
              <w:spacing w:before="0" w:after="283"/>
              <w:jc w:val="left"/>
              <w:rPr/>
            </w:pPr>
            <w:hyperlink w:anchor="BSd24_17620264829863">
              <w:r>
                <w:rPr>
                  <w:rStyle w:val="InternetLink"/>
                </w:rPr>
                <w:t>Brokers; Financial Advisors; Fees</w:t>
              </w:r>
            </w:hyperlink>
          </w:p>
        </w:tc>
        <w:tc>
          <w:tcPr>
            <w:tcW w:w="515" w:type="dxa"/>
            <w:tcBorders/>
            <w:vAlign w:val="center"/>
          </w:tcPr>
          <w:p>
            <w:pPr>
              <w:pStyle w:val="TableContents"/>
              <w:bidi w:val="0"/>
              <w:spacing w:before="0" w:after="283"/>
              <w:jc w:val="right"/>
              <w:rPr/>
            </w:pPr>
            <w:r>
              <w:rPr/>
              <w:t>A-27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26_17620264841735">
              <w:r>
                <w:rPr>
                  <w:rStyle w:val="InternetLink"/>
                  <w:rFonts w:ascii="times new roman;times" w:hAnsi="times new roman;times"/>
                  <w:b w:val="false"/>
                  <w:i w:val="false"/>
                  <w:caps w:val="false"/>
                  <w:smallCaps w:val="false"/>
                  <w:spacing w:val="0"/>
                  <w:sz w:val="20"/>
                </w:rPr>
                <w:t>2A.7</w:t>
              </w:r>
            </w:hyperlink>
          </w:p>
        </w:tc>
        <w:tc>
          <w:tcPr>
            <w:tcW w:w="8846" w:type="dxa"/>
            <w:tcBorders/>
            <w:vAlign w:val="center"/>
          </w:tcPr>
          <w:p>
            <w:pPr>
              <w:pStyle w:val="TableContents"/>
              <w:bidi w:val="0"/>
              <w:spacing w:before="0" w:after="283"/>
              <w:jc w:val="left"/>
              <w:rPr/>
            </w:pPr>
            <w:hyperlink w:anchor="BSd26_17620264841735">
              <w:r>
                <w:rPr>
                  <w:rStyle w:val="InternetLink"/>
                </w:rPr>
                <w:t>ThinkEquity LLC.</w:t>
              </w:r>
            </w:hyperlink>
          </w:p>
        </w:tc>
        <w:tc>
          <w:tcPr>
            <w:tcW w:w="515" w:type="dxa"/>
            <w:tcBorders/>
            <w:vAlign w:val="center"/>
          </w:tcPr>
          <w:p>
            <w:pPr>
              <w:pStyle w:val="TableContents"/>
              <w:bidi w:val="0"/>
              <w:spacing w:before="0" w:after="283"/>
              <w:jc w:val="right"/>
              <w:rPr/>
            </w:pPr>
            <w:r>
              <w:rPr/>
              <w:t>A-27</w:t>
            </w:r>
          </w:p>
        </w:tc>
      </w:tr>
      <w:tr>
        <w:trPr/>
        <w:tc>
          <w:tcPr>
            <w:tcW w:w="9453" w:type="dxa"/>
            <w:gridSpan w:val="3"/>
            <w:tcBorders/>
            <w:vAlign w:val="center"/>
          </w:tcPr>
          <w:p>
            <w:pPr>
              <w:pStyle w:val="TableContents"/>
              <w:bidi w:val="0"/>
              <w:spacing w:before="0" w:after="283"/>
              <w:jc w:val="left"/>
              <w:rPr/>
            </w:pPr>
            <w:hyperlink w:anchor="BdaA11_176202665039922">
              <w:r>
                <w:rPr>
                  <w:rStyle w:val="InternetLink"/>
                </w:rPr>
                <w:t>ARTICLE 3 REPRESENTATIONS AND WARRANTIES OF PARENT AND MERGER SUB</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2_176202665114842">
              <w:r>
                <w:rPr>
                  <w:rStyle w:val="InternetLink"/>
                  <w:rFonts w:ascii="times new roman;times" w:hAnsi="times new roman;times"/>
                  <w:b w:val="false"/>
                  <w:i w:val="false"/>
                  <w:caps w:val="false"/>
                  <w:smallCaps w:val="false"/>
                  <w:spacing w:val="0"/>
                  <w:sz w:val="20"/>
                </w:rPr>
                <w:t>3.1</w:t>
              </w:r>
            </w:hyperlink>
          </w:p>
        </w:tc>
        <w:tc>
          <w:tcPr>
            <w:tcW w:w="8846" w:type="dxa"/>
            <w:tcBorders/>
            <w:vAlign w:val="center"/>
          </w:tcPr>
          <w:p>
            <w:pPr>
              <w:pStyle w:val="TableContents"/>
              <w:bidi w:val="0"/>
              <w:spacing w:before="0" w:after="283"/>
              <w:jc w:val="left"/>
              <w:rPr/>
            </w:pPr>
            <w:hyperlink w:anchor="BdA12_176202665114842">
              <w:r>
                <w:rPr>
                  <w:rStyle w:val="InternetLink"/>
                </w:rPr>
                <w:t>Subsidiaries; Due Organization; Etc.</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3_176202665126371">
              <w:r>
                <w:rPr>
                  <w:rStyle w:val="InternetLink"/>
                  <w:rFonts w:ascii="times new roman;times" w:hAnsi="times new roman;times"/>
                  <w:b w:val="false"/>
                  <w:i w:val="false"/>
                  <w:caps w:val="false"/>
                  <w:smallCaps w:val="false"/>
                  <w:spacing w:val="0"/>
                  <w:sz w:val="20"/>
                </w:rPr>
                <w:t>3.2</w:t>
              </w:r>
            </w:hyperlink>
          </w:p>
        </w:tc>
        <w:tc>
          <w:tcPr>
            <w:tcW w:w="8846" w:type="dxa"/>
            <w:tcBorders/>
            <w:vAlign w:val="center"/>
          </w:tcPr>
          <w:p>
            <w:pPr>
              <w:pStyle w:val="TableContents"/>
              <w:bidi w:val="0"/>
              <w:spacing w:before="0" w:after="283"/>
              <w:jc w:val="left"/>
              <w:rPr/>
            </w:pPr>
            <w:hyperlink w:anchor="BdA13_176202665126371">
              <w:r>
                <w:rPr>
                  <w:rStyle w:val="InternetLink"/>
                </w:rPr>
                <w:t>Articles of Incorporation; Bylaws; Charters and Codes of Conduct</w:t>
              </w:r>
            </w:hyperlink>
          </w:p>
        </w:tc>
        <w:tc>
          <w:tcPr>
            <w:tcW w:w="515" w:type="dxa"/>
            <w:tcBorders/>
            <w:vAlign w:val="center"/>
          </w:tcPr>
          <w:p>
            <w:pPr>
              <w:pStyle w:val="TableContents"/>
              <w:bidi w:val="0"/>
              <w:spacing w:before="0" w:after="283"/>
              <w:jc w:val="right"/>
              <w:rPr/>
            </w:pPr>
            <w:r>
              <w:rPr/>
              <w:t>A-29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4_176202665138642">
              <w:r>
                <w:rPr>
                  <w:rStyle w:val="InternetLink"/>
                  <w:rFonts w:ascii="times new roman;times" w:hAnsi="times new roman;times"/>
                  <w:b w:val="false"/>
                  <w:i w:val="false"/>
                  <w:caps w:val="false"/>
                  <w:smallCaps w:val="false"/>
                  <w:spacing w:val="0"/>
                  <w:sz w:val="20"/>
                </w:rPr>
                <w:t>3.3</w:t>
              </w:r>
            </w:hyperlink>
          </w:p>
        </w:tc>
        <w:tc>
          <w:tcPr>
            <w:tcW w:w="8846" w:type="dxa"/>
            <w:tcBorders/>
            <w:vAlign w:val="center"/>
          </w:tcPr>
          <w:p>
            <w:pPr>
              <w:pStyle w:val="TableContents"/>
              <w:bidi w:val="0"/>
              <w:spacing w:before="0" w:after="283"/>
              <w:jc w:val="left"/>
              <w:rPr/>
            </w:pPr>
            <w:hyperlink w:anchor="BDa14_176202665138642">
              <w:r>
                <w:rPr>
                  <w:rStyle w:val="InternetLink"/>
                </w:rPr>
                <w:t>Capitalization, Etc.</w:t>
              </w:r>
            </w:hyperlink>
          </w:p>
        </w:tc>
        <w:tc>
          <w:tcPr>
            <w:tcW w:w="515" w:type="dxa"/>
            <w:tcBorders/>
            <w:vAlign w:val="center"/>
          </w:tcPr>
          <w:p>
            <w:pPr>
              <w:pStyle w:val="TableContents"/>
              <w:bidi w:val="0"/>
              <w:spacing w:before="0" w:after="283"/>
              <w:jc w:val="right"/>
              <w:rPr/>
            </w:pPr>
            <w:r>
              <w:rPr/>
              <w:t>A-30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6_176202665153394">
              <w:r>
                <w:rPr>
                  <w:rStyle w:val="InternetLink"/>
                  <w:rFonts w:ascii="times new roman;times" w:hAnsi="times new roman;times"/>
                  <w:b w:val="false"/>
                  <w:i w:val="false"/>
                  <w:caps w:val="false"/>
                  <w:smallCaps w:val="false"/>
                  <w:spacing w:val="0"/>
                  <w:sz w:val="20"/>
                </w:rPr>
                <w:t>3.4</w:t>
              </w:r>
            </w:hyperlink>
          </w:p>
        </w:tc>
        <w:tc>
          <w:tcPr>
            <w:tcW w:w="8846" w:type="dxa"/>
            <w:tcBorders/>
            <w:vAlign w:val="center"/>
          </w:tcPr>
          <w:p>
            <w:pPr>
              <w:pStyle w:val="TableContents"/>
              <w:bidi w:val="0"/>
              <w:spacing w:before="0" w:after="283"/>
              <w:jc w:val="left"/>
              <w:rPr/>
            </w:pPr>
            <w:hyperlink w:anchor="BDa16_176202665153394">
              <w:r>
                <w:rPr>
                  <w:rStyle w:val="InternetLink"/>
                </w:rPr>
                <w:t>SEC Filings; Financial Statements.</w:t>
              </w:r>
            </w:hyperlink>
          </w:p>
        </w:tc>
        <w:tc>
          <w:tcPr>
            <w:tcW w:w="515" w:type="dxa"/>
            <w:tcBorders/>
            <w:vAlign w:val="center"/>
          </w:tcPr>
          <w:p>
            <w:pPr>
              <w:pStyle w:val="TableContents"/>
              <w:bidi w:val="0"/>
              <w:spacing w:before="0" w:after="283"/>
              <w:jc w:val="right"/>
              <w:rPr/>
            </w:pPr>
            <w:r>
              <w:rPr/>
              <w:t>A-30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7_176202665310956">
              <w:r>
                <w:rPr>
                  <w:rStyle w:val="InternetLink"/>
                  <w:rFonts w:ascii="times new roman;times" w:hAnsi="times new roman;times"/>
                  <w:b w:val="false"/>
                  <w:i w:val="false"/>
                  <w:caps w:val="false"/>
                  <w:smallCaps w:val="false"/>
                  <w:spacing w:val="0"/>
                  <w:sz w:val="20"/>
                </w:rPr>
                <w:t>3.5</w:t>
              </w:r>
            </w:hyperlink>
          </w:p>
        </w:tc>
        <w:tc>
          <w:tcPr>
            <w:tcW w:w="8846" w:type="dxa"/>
            <w:tcBorders/>
            <w:vAlign w:val="center"/>
          </w:tcPr>
          <w:p>
            <w:pPr>
              <w:pStyle w:val="TableContents"/>
              <w:bidi w:val="0"/>
              <w:spacing w:before="0" w:after="283"/>
              <w:jc w:val="left"/>
              <w:rPr/>
            </w:pPr>
            <w:hyperlink w:anchor="BDa17_176202665310956">
              <w:r>
                <w:rPr>
                  <w:rStyle w:val="InternetLink"/>
                </w:rPr>
                <w:t>Absence of Changes</w:t>
              </w:r>
            </w:hyperlink>
          </w:p>
        </w:tc>
        <w:tc>
          <w:tcPr>
            <w:tcW w:w="515" w:type="dxa"/>
            <w:tcBorders/>
            <w:vAlign w:val="center"/>
          </w:tcPr>
          <w:p>
            <w:pPr>
              <w:pStyle w:val="TableContents"/>
              <w:bidi w:val="0"/>
              <w:spacing w:before="0" w:after="283"/>
              <w:jc w:val="right"/>
              <w:rPr/>
            </w:pPr>
            <w:r>
              <w:rPr/>
              <w:t>A-32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18_176202665319875">
              <w:r>
                <w:rPr>
                  <w:rStyle w:val="InternetLink"/>
                  <w:rFonts w:ascii="times new roman;times" w:hAnsi="times new roman;times"/>
                  <w:b w:val="false"/>
                  <w:i w:val="false"/>
                  <w:caps w:val="false"/>
                  <w:smallCaps w:val="false"/>
                  <w:spacing w:val="0"/>
                  <w:sz w:val="20"/>
                </w:rPr>
                <w:t>3.6</w:t>
              </w:r>
            </w:hyperlink>
          </w:p>
        </w:tc>
        <w:tc>
          <w:tcPr>
            <w:tcW w:w="8846" w:type="dxa"/>
            <w:tcBorders/>
            <w:vAlign w:val="center"/>
          </w:tcPr>
          <w:p>
            <w:pPr>
              <w:pStyle w:val="TableContents"/>
              <w:bidi w:val="0"/>
              <w:spacing w:before="0" w:after="283"/>
              <w:jc w:val="left"/>
              <w:rPr/>
            </w:pPr>
            <w:hyperlink w:anchor="BDa18_176202665319875">
              <w:r>
                <w:rPr>
                  <w:rStyle w:val="InternetLink"/>
                </w:rPr>
                <w:t>Intellectual Property.</w:t>
              </w:r>
            </w:hyperlink>
          </w:p>
        </w:tc>
        <w:tc>
          <w:tcPr>
            <w:tcW w:w="515" w:type="dxa"/>
            <w:tcBorders/>
            <w:vAlign w:val="center"/>
          </w:tcPr>
          <w:p>
            <w:pPr>
              <w:pStyle w:val="TableContents"/>
              <w:bidi w:val="0"/>
              <w:spacing w:before="0" w:after="283"/>
              <w:jc w:val="right"/>
              <w:rPr/>
            </w:pPr>
            <w:r>
              <w:rPr/>
              <w:t>A-32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20_176202665351946">
              <w:r>
                <w:rPr>
                  <w:rStyle w:val="InternetLink"/>
                  <w:rFonts w:ascii="times new roman;times" w:hAnsi="times new roman;times"/>
                  <w:b w:val="false"/>
                  <w:i w:val="false"/>
                  <w:caps w:val="false"/>
                  <w:smallCaps w:val="false"/>
                  <w:spacing w:val="0"/>
                  <w:sz w:val="20"/>
                </w:rPr>
                <w:t>3.7</w:t>
              </w:r>
            </w:hyperlink>
          </w:p>
        </w:tc>
        <w:tc>
          <w:tcPr>
            <w:tcW w:w="8846" w:type="dxa"/>
            <w:tcBorders/>
            <w:vAlign w:val="center"/>
          </w:tcPr>
          <w:p>
            <w:pPr>
              <w:pStyle w:val="TableContents"/>
              <w:bidi w:val="0"/>
              <w:spacing w:before="0" w:after="283"/>
              <w:jc w:val="left"/>
              <w:rPr/>
            </w:pPr>
            <w:hyperlink w:anchor="BDa20_176202665351946">
              <w:r>
                <w:rPr>
                  <w:rStyle w:val="InternetLink"/>
                </w:rPr>
                <w:t>Agreements, Contracts and Commitments</w:t>
              </w:r>
            </w:hyperlink>
          </w:p>
        </w:tc>
        <w:tc>
          <w:tcPr>
            <w:tcW w:w="515" w:type="dxa"/>
            <w:tcBorders/>
            <w:vAlign w:val="center"/>
          </w:tcPr>
          <w:p>
            <w:pPr>
              <w:pStyle w:val="TableContents"/>
              <w:bidi w:val="0"/>
              <w:spacing w:before="0" w:after="283"/>
              <w:jc w:val="right"/>
              <w:rPr/>
            </w:pPr>
            <w:r>
              <w:rPr/>
              <w:t>A-34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1_176202665432305">
              <w:r>
                <w:rPr>
                  <w:rStyle w:val="InternetLink"/>
                  <w:rFonts w:ascii="times new roman;times" w:hAnsi="times new roman;times"/>
                  <w:b w:val="false"/>
                  <w:i w:val="false"/>
                  <w:caps w:val="false"/>
                  <w:smallCaps w:val="false"/>
                  <w:spacing w:val="0"/>
                  <w:sz w:val="20"/>
                </w:rPr>
                <w:t>3.8</w:t>
              </w:r>
            </w:hyperlink>
          </w:p>
        </w:tc>
        <w:tc>
          <w:tcPr>
            <w:tcW w:w="8846" w:type="dxa"/>
            <w:tcBorders/>
            <w:vAlign w:val="center"/>
          </w:tcPr>
          <w:p>
            <w:pPr>
              <w:pStyle w:val="TableContents"/>
              <w:bidi w:val="0"/>
              <w:spacing w:before="0" w:after="283"/>
              <w:jc w:val="left"/>
              <w:rPr/>
            </w:pPr>
            <w:hyperlink w:anchor="BDaa21_176202665432305">
              <w:r>
                <w:rPr>
                  <w:rStyle w:val="InternetLink"/>
                </w:rPr>
                <w:t>Liabilities</w:t>
              </w:r>
            </w:hyperlink>
          </w:p>
        </w:tc>
        <w:tc>
          <w:tcPr>
            <w:tcW w:w="515" w:type="dxa"/>
            <w:tcBorders/>
            <w:vAlign w:val="center"/>
          </w:tcPr>
          <w:p>
            <w:pPr>
              <w:pStyle w:val="TableContents"/>
              <w:bidi w:val="0"/>
              <w:spacing w:before="0" w:after="283"/>
              <w:jc w:val="right"/>
              <w:rPr/>
            </w:pPr>
            <w:r>
              <w:rPr/>
              <w:t>A-35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2_176202665442832">
              <w:r>
                <w:rPr>
                  <w:rStyle w:val="InternetLink"/>
                  <w:rFonts w:ascii="times new roman;times" w:hAnsi="times new roman;times"/>
                  <w:b w:val="false"/>
                  <w:i w:val="false"/>
                  <w:caps w:val="false"/>
                  <w:smallCaps w:val="false"/>
                  <w:spacing w:val="0"/>
                  <w:sz w:val="20"/>
                </w:rPr>
                <w:t>3.9</w:t>
              </w:r>
            </w:hyperlink>
          </w:p>
        </w:tc>
        <w:tc>
          <w:tcPr>
            <w:tcW w:w="8846" w:type="dxa"/>
            <w:tcBorders/>
            <w:vAlign w:val="center"/>
          </w:tcPr>
          <w:p>
            <w:pPr>
              <w:pStyle w:val="TableContents"/>
              <w:bidi w:val="0"/>
              <w:spacing w:before="0" w:after="283"/>
              <w:jc w:val="left"/>
              <w:rPr/>
            </w:pPr>
            <w:hyperlink w:anchor="BDaa22_176202665442832">
              <w:r>
                <w:rPr>
                  <w:rStyle w:val="InternetLink"/>
                </w:rPr>
                <w:t>Compliance; Permits; Restrictions.</w:t>
              </w:r>
            </w:hyperlink>
          </w:p>
        </w:tc>
        <w:tc>
          <w:tcPr>
            <w:tcW w:w="515" w:type="dxa"/>
            <w:tcBorders/>
            <w:vAlign w:val="center"/>
          </w:tcPr>
          <w:p>
            <w:pPr>
              <w:pStyle w:val="TableContents"/>
              <w:bidi w:val="0"/>
              <w:spacing w:before="0" w:after="283"/>
              <w:jc w:val="right"/>
              <w:rPr/>
            </w:pPr>
            <w:r>
              <w:rPr/>
              <w:t>A-35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25_176202665723354">
              <w:r>
                <w:rPr>
                  <w:rStyle w:val="InternetLink"/>
                  <w:rFonts w:ascii="times new roman;times" w:hAnsi="times new roman;times"/>
                  <w:b w:val="false"/>
                  <w:i w:val="false"/>
                  <w:caps w:val="false"/>
                  <w:smallCaps w:val="false"/>
                  <w:spacing w:val="0"/>
                  <w:sz w:val="20"/>
                </w:rPr>
                <w:t>3.10</w:t>
              </w:r>
            </w:hyperlink>
          </w:p>
        </w:tc>
        <w:tc>
          <w:tcPr>
            <w:tcW w:w="8846" w:type="dxa"/>
            <w:tcBorders/>
            <w:vAlign w:val="center"/>
          </w:tcPr>
          <w:p>
            <w:pPr>
              <w:pStyle w:val="TableContents"/>
              <w:bidi w:val="0"/>
              <w:spacing w:before="0" w:after="283"/>
              <w:jc w:val="left"/>
              <w:rPr/>
            </w:pPr>
            <w:hyperlink w:anchor="BDaaa25_176202665723354">
              <w:r>
                <w:rPr>
                  <w:rStyle w:val="InternetLink"/>
                </w:rPr>
                <w:t>Anti-Corruption Compliance; Trade Control Laws and Sanctions.</w:t>
              </w:r>
            </w:hyperlink>
          </w:p>
        </w:tc>
        <w:tc>
          <w:tcPr>
            <w:tcW w:w="515" w:type="dxa"/>
            <w:tcBorders/>
            <w:vAlign w:val="center"/>
          </w:tcPr>
          <w:p>
            <w:pPr>
              <w:pStyle w:val="TableContents"/>
              <w:bidi w:val="0"/>
              <w:spacing w:before="0" w:after="283"/>
              <w:jc w:val="right"/>
              <w:rPr/>
            </w:pPr>
            <w:r>
              <w:rPr/>
              <w:t>A-36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6_1762026658193">
              <w:r>
                <w:rPr>
                  <w:rStyle w:val="InternetLink"/>
                  <w:rFonts w:ascii="times new roman;times" w:hAnsi="times new roman;times"/>
                  <w:b w:val="false"/>
                  <w:i w:val="false"/>
                  <w:caps w:val="false"/>
                  <w:smallCaps w:val="false"/>
                  <w:spacing w:val="0"/>
                  <w:sz w:val="20"/>
                </w:rPr>
                <w:t>3.11</w:t>
              </w:r>
            </w:hyperlink>
          </w:p>
        </w:tc>
        <w:tc>
          <w:tcPr>
            <w:tcW w:w="8846" w:type="dxa"/>
            <w:tcBorders/>
            <w:vAlign w:val="center"/>
          </w:tcPr>
          <w:p>
            <w:pPr>
              <w:pStyle w:val="TableContents"/>
              <w:bidi w:val="0"/>
              <w:spacing w:before="0" w:after="283"/>
              <w:jc w:val="left"/>
              <w:rPr/>
            </w:pPr>
            <w:hyperlink w:anchor="BDaa26_1762026658193">
              <w:r>
                <w:rPr>
                  <w:rStyle w:val="InternetLink"/>
                </w:rPr>
                <w:t>Tax Matters.</w:t>
              </w:r>
            </w:hyperlink>
          </w:p>
        </w:tc>
        <w:tc>
          <w:tcPr>
            <w:tcW w:w="515" w:type="dxa"/>
            <w:tcBorders/>
            <w:vAlign w:val="center"/>
          </w:tcPr>
          <w:p>
            <w:pPr>
              <w:pStyle w:val="TableContents"/>
              <w:bidi w:val="0"/>
              <w:spacing w:before="0" w:after="283"/>
              <w:jc w:val="right"/>
              <w:rPr/>
            </w:pPr>
            <w:r>
              <w:rPr/>
              <w:t>A-37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7_17620267210448">
              <w:r>
                <w:rPr>
                  <w:rStyle w:val="InternetLink"/>
                  <w:rFonts w:ascii="times new roman;times" w:hAnsi="times new roman;times"/>
                  <w:b w:val="false"/>
                  <w:i w:val="false"/>
                  <w:caps w:val="false"/>
                  <w:smallCaps w:val="false"/>
                  <w:spacing w:val="0"/>
                  <w:sz w:val="20"/>
                </w:rPr>
                <w:t>3.12</w:t>
              </w:r>
            </w:hyperlink>
          </w:p>
        </w:tc>
        <w:tc>
          <w:tcPr>
            <w:tcW w:w="8846" w:type="dxa"/>
            <w:tcBorders/>
            <w:vAlign w:val="center"/>
          </w:tcPr>
          <w:p>
            <w:pPr>
              <w:pStyle w:val="TableContents"/>
              <w:bidi w:val="0"/>
              <w:spacing w:before="0" w:after="283"/>
              <w:jc w:val="left"/>
              <w:rPr/>
            </w:pPr>
            <w:hyperlink w:anchor="BDaa27_17620267210448">
              <w:r>
                <w:rPr>
                  <w:rStyle w:val="InternetLink"/>
                </w:rPr>
                <w:t>Employee Benefit Plans.</w:t>
              </w:r>
            </w:hyperlink>
          </w:p>
        </w:tc>
        <w:tc>
          <w:tcPr>
            <w:tcW w:w="515" w:type="dxa"/>
            <w:tcBorders/>
            <w:vAlign w:val="center"/>
          </w:tcPr>
          <w:p>
            <w:pPr>
              <w:pStyle w:val="TableContents"/>
              <w:bidi w:val="0"/>
              <w:spacing w:before="0" w:after="283"/>
              <w:jc w:val="right"/>
              <w:rPr/>
            </w:pPr>
            <w:r>
              <w:rPr/>
              <w:t>A-39</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29_17620267221434">
              <w:r>
                <w:rPr>
                  <w:rStyle w:val="InternetLink"/>
                  <w:rFonts w:ascii="times new roman;times" w:hAnsi="times new roman;times"/>
                  <w:b w:val="false"/>
                  <w:i w:val="false"/>
                  <w:caps w:val="false"/>
                  <w:smallCaps w:val="false"/>
                  <w:spacing w:val="0"/>
                  <w:sz w:val="20"/>
                </w:rPr>
                <w:t>3.13</w:t>
              </w:r>
            </w:hyperlink>
          </w:p>
        </w:tc>
        <w:tc>
          <w:tcPr>
            <w:tcW w:w="8846" w:type="dxa"/>
            <w:tcBorders/>
            <w:vAlign w:val="center"/>
          </w:tcPr>
          <w:p>
            <w:pPr>
              <w:pStyle w:val="TableContents"/>
              <w:bidi w:val="0"/>
              <w:spacing w:before="0" w:after="283"/>
              <w:jc w:val="left"/>
              <w:rPr/>
            </w:pPr>
            <w:hyperlink w:anchor="BDaa29_17620267221434">
              <w:r>
                <w:rPr>
                  <w:rStyle w:val="InternetLink"/>
                </w:rPr>
                <w:t>Labor and Employment.</w:t>
              </w:r>
            </w:hyperlink>
          </w:p>
        </w:tc>
        <w:tc>
          <w:tcPr>
            <w:tcW w:w="515" w:type="dxa"/>
            <w:tcBorders/>
            <w:vAlign w:val="center"/>
          </w:tcPr>
          <w:p>
            <w:pPr>
              <w:pStyle w:val="TableContents"/>
              <w:bidi w:val="0"/>
              <w:spacing w:before="0" w:after="283"/>
              <w:jc w:val="right"/>
              <w:rPr/>
            </w:pPr>
            <w:r>
              <w:rPr/>
              <w:t>A-40</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30_17620267236131">
              <w:r>
                <w:rPr>
                  <w:rStyle w:val="InternetLink"/>
                  <w:rFonts w:ascii="times new roman;times" w:hAnsi="times new roman;times"/>
                  <w:b w:val="false"/>
                  <w:i w:val="false"/>
                  <w:caps w:val="false"/>
                  <w:smallCaps w:val="false"/>
                  <w:spacing w:val="0"/>
                  <w:sz w:val="20"/>
                </w:rPr>
                <w:t>3.14</w:t>
              </w:r>
            </w:hyperlink>
          </w:p>
        </w:tc>
        <w:tc>
          <w:tcPr>
            <w:tcW w:w="8846" w:type="dxa"/>
            <w:tcBorders/>
            <w:vAlign w:val="center"/>
          </w:tcPr>
          <w:p>
            <w:pPr>
              <w:pStyle w:val="TableContents"/>
              <w:bidi w:val="0"/>
              <w:spacing w:before="0" w:after="283"/>
              <w:jc w:val="left"/>
              <w:rPr/>
            </w:pPr>
            <w:hyperlink w:anchor="BDaa30_17620267236131">
              <w:r>
                <w:rPr>
                  <w:rStyle w:val="InternetLink"/>
                </w:rPr>
                <w:t>Environmental Matters</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Daa31_17620267245762">
              <w:r>
                <w:rPr>
                  <w:rStyle w:val="InternetLink"/>
                  <w:rFonts w:ascii="times new roman;times" w:hAnsi="times new roman;times"/>
                  <w:b w:val="false"/>
                  <w:i w:val="false"/>
                  <w:caps w:val="false"/>
                  <w:smallCaps w:val="false"/>
                  <w:spacing w:val="0"/>
                  <w:sz w:val="20"/>
                </w:rPr>
                <w:t>3.15</w:t>
              </w:r>
            </w:hyperlink>
          </w:p>
        </w:tc>
        <w:tc>
          <w:tcPr>
            <w:tcW w:w="8846" w:type="dxa"/>
            <w:tcBorders/>
            <w:vAlign w:val="center"/>
          </w:tcPr>
          <w:p>
            <w:pPr>
              <w:pStyle w:val="TableContents"/>
              <w:bidi w:val="0"/>
              <w:spacing w:before="0" w:after="283"/>
              <w:jc w:val="left"/>
              <w:rPr/>
            </w:pPr>
            <w:hyperlink w:anchor="BDDaa31_17620267245762">
              <w:r>
                <w:rPr>
                  <w:rStyle w:val="InternetLink"/>
                </w:rPr>
                <w:t>Insurance.</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32_17620267254530">
              <w:r>
                <w:rPr>
                  <w:rStyle w:val="InternetLink"/>
                  <w:rFonts w:ascii="times new roman;times" w:hAnsi="times new roman;times"/>
                  <w:b w:val="false"/>
                  <w:i w:val="false"/>
                  <w:caps w:val="false"/>
                  <w:smallCaps w:val="false"/>
                  <w:spacing w:val="0"/>
                  <w:sz w:val="20"/>
                </w:rPr>
                <w:t>3.16</w:t>
              </w:r>
            </w:hyperlink>
          </w:p>
        </w:tc>
        <w:tc>
          <w:tcPr>
            <w:tcW w:w="8846" w:type="dxa"/>
            <w:tcBorders/>
            <w:vAlign w:val="center"/>
          </w:tcPr>
          <w:p>
            <w:pPr>
              <w:pStyle w:val="TableContents"/>
              <w:bidi w:val="0"/>
              <w:spacing w:before="0" w:after="283"/>
              <w:jc w:val="left"/>
              <w:rPr/>
            </w:pPr>
            <w:hyperlink w:anchor="BDaa32_17620267254530">
              <w:r>
                <w:rPr>
                  <w:rStyle w:val="InternetLink"/>
                </w:rPr>
                <w:t>Legal Proceedings; Orders.</w:t>
              </w:r>
            </w:hyperlink>
          </w:p>
        </w:tc>
        <w:tc>
          <w:tcPr>
            <w:tcW w:w="515" w:type="dxa"/>
            <w:tcBorders/>
            <w:vAlign w:val="center"/>
          </w:tcPr>
          <w:p>
            <w:pPr>
              <w:pStyle w:val="TableContents"/>
              <w:bidi w:val="0"/>
              <w:spacing w:before="0" w:after="283"/>
              <w:jc w:val="right"/>
              <w:rPr/>
            </w:pPr>
            <w:r>
              <w:rPr/>
              <w:t>A-42</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1_17620267628314">
              <w:r>
                <w:rPr>
                  <w:rStyle w:val="InternetLink"/>
                  <w:rFonts w:ascii="times new roman;times" w:hAnsi="times new roman;times"/>
                  <w:b w:val="false"/>
                  <w:i w:val="false"/>
                  <w:caps w:val="false"/>
                  <w:smallCaps w:val="false"/>
                  <w:spacing w:val="0"/>
                  <w:sz w:val="20"/>
                </w:rPr>
                <w:t>3.17</w:t>
              </w:r>
            </w:hyperlink>
          </w:p>
        </w:tc>
        <w:tc>
          <w:tcPr>
            <w:tcW w:w="8846" w:type="dxa"/>
            <w:tcBorders/>
            <w:vAlign w:val="center"/>
          </w:tcPr>
          <w:p>
            <w:pPr>
              <w:pStyle w:val="TableContents"/>
              <w:bidi w:val="0"/>
              <w:spacing w:before="0" w:after="283"/>
              <w:jc w:val="left"/>
              <w:rPr/>
            </w:pPr>
            <w:hyperlink w:anchor="BDaa41_17620267628314">
              <w:r>
                <w:rPr>
                  <w:rStyle w:val="InternetLink"/>
                </w:rPr>
                <w:t>Authority; Binding Nature of Agreement</w:t>
              </w:r>
            </w:hyperlink>
          </w:p>
        </w:tc>
        <w:tc>
          <w:tcPr>
            <w:tcW w:w="515" w:type="dxa"/>
            <w:tcBorders/>
            <w:vAlign w:val="center"/>
          </w:tcPr>
          <w:p>
            <w:pPr>
              <w:pStyle w:val="TableContents"/>
              <w:bidi w:val="0"/>
              <w:spacing w:before="0" w:after="283"/>
              <w:jc w:val="right"/>
              <w:rPr/>
            </w:pPr>
            <w:r>
              <w:rPr/>
              <w:t>A-43</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2_17620267637771">
              <w:r>
                <w:rPr>
                  <w:rStyle w:val="InternetLink"/>
                  <w:rFonts w:ascii="times new roman;times" w:hAnsi="times new roman;times"/>
                  <w:b w:val="false"/>
                  <w:i w:val="false"/>
                  <w:caps w:val="false"/>
                  <w:smallCaps w:val="false"/>
                  <w:spacing w:val="0"/>
                  <w:sz w:val="20"/>
                </w:rPr>
                <w:t>3.18</w:t>
              </w:r>
            </w:hyperlink>
          </w:p>
        </w:tc>
        <w:tc>
          <w:tcPr>
            <w:tcW w:w="8846" w:type="dxa"/>
            <w:tcBorders/>
            <w:vAlign w:val="center"/>
          </w:tcPr>
          <w:p>
            <w:pPr>
              <w:pStyle w:val="TableContents"/>
              <w:bidi w:val="0"/>
              <w:spacing w:before="0" w:after="283"/>
              <w:jc w:val="left"/>
              <w:rPr/>
            </w:pPr>
            <w:hyperlink w:anchor="BDaa42_17620267637771">
              <w:r>
                <w:rPr>
                  <w:rStyle w:val="InternetLink"/>
                </w:rPr>
                <w:t xml:space="preserve">Vote Required. </w:t>
              </w:r>
            </w:hyperlink>
          </w:p>
        </w:tc>
        <w:tc>
          <w:tcPr>
            <w:tcW w:w="515" w:type="dxa"/>
            <w:tcBorders/>
            <w:vAlign w:val="center"/>
          </w:tcPr>
          <w:p>
            <w:pPr>
              <w:pStyle w:val="TableContents"/>
              <w:bidi w:val="0"/>
              <w:spacing w:before="0" w:after="283"/>
              <w:jc w:val="right"/>
              <w:rPr/>
            </w:pPr>
            <w:r>
              <w:rPr/>
              <w:t>A-43</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3_17620267649810">
              <w:r>
                <w:rPr>
                  <w:rStyle w:val="InternetLink"/>
                  <w:rFonts w:ascii="times new roman;times" w:hAnsi="times new roman;times"/>
                  <w:b w:val="false"/>
                  <w:i w:val="false"/>
                  <w:caps w:val="false"/>
                  <w:smallCaps w:val="false"/>
                  <w:spacing w:val="0"/>
                  <w:sz w:val="20"/>
                </w:rPr>
                <w:t>3.19</w:t>
              </w:r>
            </w:hyperlink>
          </w:p>
        </w:tc>
        <w:tc>
          <w:tcPr>
            <w:tcW w:w="8846" w:type="dxa"/>
            <w:tcBorders/>
            <w:vAlign w:val="center"/>
          </w:tcPr>
          <w:p>
            <w:pPr>
              <w:pStyle w:val="TableContents"/>
              <w:bidi w:val="0"/>
              <w:spacing w:before="0" w:after="283"/>
              <w:jc w:val="left"/>
              <w:rPr/>
            </w:pPr>
            <w:hyperlink w:anchor="BDaa43_17620267649810">
              <w:r>
                <w:rPr>
                  <w:rStyle w:val="InternetLink"/>
                </w:rPr>
                <w:t>Non-Contravention; Consents</w:t>
              </w:r>
            </w:hyperlink>
          </w:p>
        </w:tc>
        <w:tc>
          <w:tcPr>
            <w:tcW w:w="515" w:type="dxa"/>
            <w:tcBorders/>
            <w:vAlign w:val="center"/>
          </w:tcPr>
          <w:p>
            <w:pPr>
              <w:pStyle w:val="TableContents"/>
              <w:bidi w:val="0"/>
              <w:spacing w:before="0" w:after="283"/>
              <w:jc w:val="right"/>
              <w:rPr/>
            </w:pPr>
            <w:r>
              <w:rPr/>
              <w:t>A-44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4_1762026774747">
              <w:r>
                <w:rPr>
                  <w:rStyle w:val="InternetLink"/>
                  <w:rFonts w:ascii="times new roman;times" w:hAnsi="times new roman;times"/>
                  <w:b w:val="false"/>
                  <w:i w:val="false"/>
                  <w:caps w:val="false"/>
                  <w:smallCaps w:val="false"/>
                  <w:spacing w:val="0"/>
                  <w:sz w:val="20"/>
                </w:rPr>
                <w:t>3.20</w:t>
              </w:r>
            </w:hyperlink>
          </w:p>
        </w:tc>
        <w:tc>
          <w:tcPr>
            <w:tcW w:w="8846" w:type="dxa"/>
            <w:tcBorders/>
            <w:vAlign w:val="center"/>
          </w:tcPr>
          <w:p>
            <w:pPr>
              <w:pStyle w:val="TableContents"/>
              <w:bidi w:val="0"/>
              <w:spacing w:before="0" w:after="283"/>
              <w:jc w:val="left"/>
              <w:rPr/>
            </w:pPr>
            <w:hyperlink w:anchor="BDaa44_1762026774747">
              <w:r>
                <w:rPr>
                  <w:rStyle w:val="InternetLink"/>
                </w:rPr>
                <w:t>Bank Accounts</w:t>
              </w:r>
            </w:hyperlink>
          </w:p>
        </w:tc>
        <w:tc>
          <w:tcPr>
            <w:tcW w:w="515" w:type="dxa"/>
            <w:tcBorders/>
            <w:vAlign w:val="center"/>
          </w:tcPr>
          <w:p>
            <w:pPr>
              <w:pStyle w:val="TableContents"/>
              <w:bidi w:val="0"/>
              <w:spacing w:before="0" w:after="283"/>
              <w:jc w:val="right"/>
              <w:rPr/>
            </w:pPr>
            <w:r>
              <w:rPr/>
              <w:t>A-44</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5_1762026771418">
              <w:r>
                <w:rPr>
                  <w:rStyle w:val="InternetLink"/>
                  <w:rFonts w:ascii="times new roman;times" w:hAnsi="times new roman;times"/>
                  <w:b w:val="false"/>
                  <w:i w:val="false"/>
                  <w:caps w:val="false"/>
                  <w:smallCaps w:val="false"/>
                  <w:spacing w:val="0"/>
                  <w:sz w:val="20"/>
                </w:rPr>
                <w:t>3.21</w:t>
              </w:r>
            </w:hyperlink>
          </w:p>
        </w:tc>
        <w:tc>
          <w:tcPr>
            <w:tcW w:w="8846" w:type="dxa"/>
            <w:tcBorders/>
            <w:vAlign w:val="center"/>
          </w:tcPr>
          <w:p>
            <w:pPr>
              <w:pStyle w:val="TableContents"/>
              <w:bidi w:val="0"/>
              <w:spacing w:before="0" w:after="283"/>
              <w:jc w:val="left"/>
              <w:rPr/>
            </w:pPr>
            <w:hyperlink w:anchor="BDaa45_1762026771418">
              <w:r>
                <w:rPr>
                  <w:rStyle w:val="InternetLink"/>
                </w:rPr>
                <w:t>No Financial Advisor</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7_17620267726922">
              <w:r>
                <w:rPr>
                  <w:rStyle w:val="InternetLink"/>
                  <w:rFonts w:ascii="times new roman;times" w:hAnsi="times new roman;times"/>
                  <w:b w:val="false"/>
                  <w:i w:val="false"/>
                  <w:caps w:val="false"/>
                  <w:smallCaps w:val="false"/>
                  <w:spacing w:val="0"/>
                  <w:sz w:val="20"/>
                </w:rPr>
                <w:t>3.22</w:t>
              </w:r>
            </w:hyperlink>
          </w:p>
        </w:tc>
        <w:tc>
          <w:tcPr>
            <w:tcW w:w="8846" w:type="dxa"/>
            <w:tcBorders/>
            <w:vAlign w:val="center"/>
          </w:tcPr>
          <w:p>
            <w:pPr>
              <w:pStyle w:val="TableContents"/>
              <w:bidi w:val="0"/>
              <w:spacing w:before="0" w:after="283"/>
              <w:jc w:val="left"/>
              <w:rPr/>
            </w:pPr>
            <w:hyperlink w:anchor="BDaa47_17620267726922">
              <w:r>
                <w:rPr>
                  <w:rStyle w:val="InternetLink"/>
                </w:rPr>
                <w:t>Title to Assets</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8_1762026774049">
              <w:r>
                <w:rPr>
                  <w:rStyle w:val="InternetLink"/>
                  <w:rFonts w:ascii="times new roman;times" w:hAnsi="times new roman;times"/>
                  <w:b w:val="false"/>
                  <w:i w:val="false"/>
                  <w:caps w:val="false"/>
                  <w:smallCaps w:val="false"/>
                  <w:spacing w:val="0"/>
                  <w:sz w:val="20"/>
                </w:rPr>
                <w:t>3.23</w:t>
              </w:r>
            </w:hyperlink>
          </w:p>
        </w:tc>
        <w:tc>
          <w:tcPr>
            <w:tcW w:w="8846" w:type="dxa"/>
            <w:tcBorders/>
            <w:vAlign w:val="center"/>
          </w:tcPr>
          <w:p>
            <w:pPr>
              <w:pStyle w:val="TableContents"/>
              <w:bidi w:val="0"/>
              <w:spacing w:before="0" w:after="283"/>
              <w:jc w:val="left"/>
              <w:rPr/>
            </w:pPr>
            <w:hyperlink w:anchor="BDaa48_1762026774049">
              <w:r>
                <w:rPr>
                  <w:rStyle w:val="InternetLink"/>
                </w:rPr>
                <w:t>Real Property; Leasehold</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49_17620267750971">
              <w:r>
                <w:rPr>
                  <w:rStyle w:val="InternetLink"/>
                  <w:rFonts w:ascii="times new roman;times" w:hAnsi="times new roman;times"/>
                  <w:b w:val="false"/>
                  <w:i w:val="false"/>
                  <w:caps w:val="false"/>
                  <w:smallCaps w:val="false"/>
                  <w:spacing w:val="0"/>
                  <w:sz w:val="20"/>
                </w:rPr>
                <w:t>3.24</w:t>
              </w:r>
            </w:hyperlink>
          </w:p>
        </w:tc>
        <w:tc>
          <w:tcPr>
            <w:tcW w:w="8846" w:type="dxa"/>
            <w:tcBorders/>
            <w:vAlign w:val="center"/>
          </w:tcPr>
          <w:p>
            <w:pPr>
              <w:pStyle w:val="TableContents"/>
              <w:bidi w:val="0"/>
              <w:spacing w:before="0" w:after="283"/>
              <w:jc w:val="left"/>
              <w:rPr/>
            </w:pPr>
            <w:hyperlink w:anchor="BDaa49_17620267750971">
              <w:r>
                <w:rPr>
                  <w:rStyle w:val="InternetLink"/>
                </w:rPr>
                <w:t>Valid Issuance</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0_1762026783843">
              <w:r>
                <w:rPr>
                  <w:rStyle w:val="InternetLink"/>
                  <w:rFonts w:ascii="times new roman;times" w:hAnsi="times new roman;times"/>
                  <w:b w:val="false"/>
                  <w:i w:val="false"/>
                  <w:caps w:val="false"/>
                  <w:smallCaps w:val="false"/>
                  <w:spacing w:val="0"/>
                  <w:sz w:val="20"/>
                </w:rPr>
                <w:t>3.25</w:t>
              </w:r>
            </w:hyperlink>
          </w:p>
        </w:tc>
        <w:tc>
          <w:tcPr>
            <w:tcW w:w="8846" w:type="dxa"/>
            <w:tcBorders/>
            <w:vAlign w:val="center"/>
          </w:tcPr>
          <w:p>
            <w:pPr>
              <w:pStyle w:val="TableContents"/>
              <w:bidi w:val="0"/>
              <w:spacing w:before="0" w:after="283"/>
              <w:jc w:val="left"/>
              <w:rPr/>
            </w:pPr>
            <w:hyperlink w:anchor="BDaa50_1762026783843">
              <w:r>
                <w:rPr>
                  <w:rStyle w:val="InternetLink"/>
                </w:rPr>
                <w:t>Privacy</w:t>
              </w:r>
            </w:hyperlink>
          </w:p>
        </w:tc>
        <w:tc>
          <w:tcPr>
            <w:tcW w:w="515" w:type="dxa"/>
            <w:tcBorders/>
            <w:vAlign w:val="center"/>
          </w:tcPr>
          <w:p>
            <w:pPr>
              <w:pStyle w:val="TableContents"/>
              <w:bidi w:val="0"/>
              <w:spacing w:before="0" w:after="283"/>
              <w:jc w:val="right"/>
              <w:rPr/>
            </w:pPr>
            <w:r>
              <w:rPr/>
              <w:t>A-45</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1_17620267820810">
              <w:r>
                <w:rPr>
                  <w:rStyle w:val="InternetLink"/>
                  <w:rFonts w:ascii="times new roman;times" w:hAnsi="times new roman;times"/>
                  <w:b w:val="false"/>
                  <w:i w:val="false"/>
                  <w:caps w:val="false"/>
                  <w:smallCaps w:val="false"/>
                  <w:spacing w:val="0"/>
                  <w:sz w:val="20"/>
                </w:rPr>
                <w:t>3.26</w:t>
              </w:r>
            </w:hyperlink>
          </w:p>
        </w:tc>
        <w:tc>
          <w:tcPr>
            <w:tcW w:w="8846" w:type="dxa"/>
            <w:tcBorders/>
            <w:vAlign w:val="center"/>
          </w:tcPr>
          <w:p>
            <w:pPr>
              <w:pStyle w:val="TableContents"/>
              <w:bidi w:val="0"/>
              <w:spacing w:before="0" w:after="283"/>
              <w:jc w:val="left"/>
              <w:rPr/>
            </w:pPr>
            <w:hyperlink w:anchor="BDaa51_17620267820810">
              <w:r>
                <w:rPr>
                  <w:rStyle w:val="InternetLink"/>
                </w:rPr>
                <w:t>Financing</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2_17620267829139">
              <w:r>
                <w:rPr>
                  <w:rStyle w:val="InternetLink"/>
                  <w:rFonts w:ascii="times new roman;times" w:hAnsi="times new roman;times"/>
                  <w:b w:val="false"/>
                  <w:i w:val="false"/>
                  <w:caps w:val="false"/>
                  <w:smallCaps w:val="false"/>
                  <w:spacing w:val="0"/>
                  <w:sz w:val="20"/>
                </w:rPr>
                <w:t>3.27</w:t>
              </w:r>
            </w:hyperlink>
          </w:p>
        </w:tc>
        <w:tc>
          <w:tcPr>
            <w:tcW w:w="8846" w:type="dxa"/>
            <w:tcBorders/>
            <w:vAlign w:val="center"/>
          </w:tcPr>
          <w:p>
            <w:pPr>
              <w:pStyle w:val="TableContents"/>
              <w:bidi w:val="0"/>
              <w:spacing w:before="0" w:after="283"/>
              <w:jc w:val="left"/>
              <w:rPr/>
            </w:pPr>
            <w:hyperlink w:anchor="BDaa52_17620267829139">
              <w:r>
                <w:rPr>
                  <w:rStyle w:val="InternetLink"/>
                </w:rPr>
                <w:t>Disclosure</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54_17620267839890">
              <w:r>
                <w:rPr>
                  <w:rStyle w:val="InternetLink"/>
                  <w:rFonts w:ascii="times new roman;times" w:hAnsi="times new roman;times"/>
                  <w:b w:val="false"/>
                  <w:i w:val="false"/>
                  <w:caps w:val="false"/>
                  <w:smallCaps w:val="false"/>
                  <w:spacing w:val="0"/>
                  <w:sz w:val="20"/>
                </w:rPr>
                <w:t>3.28</w:t>
              </w:r>
            </w:hyperlink>
          </w:p>
        </w:tc>
        <w:tc>
          <w:tcPr>
            <w:tcW w:w="8846" w:type="dxa"/>
            <w:tcBorders/>
            <w:vAlign w:val="center"/>
          </w:tcPr>
          <w:p>
            <w:pPr>
              <w:pStyle w:val="TableContents"/>
              <w:bidi w:val="0"/>
              <w:spacing w:before="0" w:after="283"/>
              <w:jc w:val="left"/>
              <w:rPr/>
            </w:pPr>
            <w:hyperlink w:anchor="BDaa54_17620267839890">
              <w:r>
                <w:rPr>
                  <w:rStyle w:val="InternetLink"/>
                </w:rPr>
                <w:t>Shell Company Status.</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55_17620267848691">
              <w:r>
                <w:rPr>
                  <w:rStyle w:val="InternetLink"/>
                  <w:rFonts w:ascii="times new roman;times" w:hAnsi="times new roman;times"/>
                  <w:b w:val="false"/>
                  <w:i w:val="false"/>
                  <w:caps w:val="false"/>
                  <w:smallCaps w:val="false"/>
                  <w:spacing w:val="0"/>
                  <w:sz w:val="20"/>
                </w:rPr>
                <w:t>3.29</w:t>
              </w:r>
            </w:hyperlink>
          </w:p>
        </w:tc>
        <w:tc>
          <w:tcPr>
            <w:tcW w:w="8846" w:type="dxa"/>
            <w:tcBorders/>
            <w:vAlign w:val="center"/>
          </w:tcPr>
          <w:p>
            <w:pPr>
              <w:pStyle w:val="TableContents"/>
              <w:bidi w:val="0"/>
              <w:spacing w:before="0" w:after="283"/>
              <w:jc w:val="left"/>
              <w:rPr/>
            </w:pPr>
            <w:hyperlink w:anchor="BDaaa55_17620267848691">
              <w:r>
                <w:rPr>
                  <w:rStyle w:val="InternetLink"/>
                </w:rPr>
                <w:t>No Other Representations or Warranties</w:t>
              </w:r>
            </w:hyperlink>
          </w:p>
        </w:tc>
        <w:tc>
          <w:tcPr>
            <w:tcW w:w="515" w:type="dxa"/>
            <w:tcBorders/>
            <w:vAlign w:val="center"/>
          </w:tcPr>
          <w:p>
            <w:pPr>
              <w:pStyle w:val="TableContents"/>
              <w:bidi w:val="0"/>
              <w:spacing w:before="0" w:after="283"/>
              <w:jc w:val="right"/>
              <w:rPr/>
            </w:pPr>
            <w:r>
              <w:rPr/>
              <w:t>A-46</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Daaa56_17620267859524">
              <w:r>
                <w:rPr>
                  <w:rStyle w:val="InternetLink"/>
                  <w:rFonts w:ascii="times new roman;times" w:hAnsi="times new roman;times"/>
                  <w:b w:val="false"/>
                  <w:i w:val="false"/>
                  <w:caps w:val="false"/>
                  <w:smallCaps w:val="false"/>
                  <w:spacing w:val="0"/>
                  <w:sz w:val="20"/>
                </w:rPr>
                <w:t>3.30</w:t>
              </w:r>
            </w:hyperlink>
          </w:p>
        </w:tc>
        <w:tc>
          <w:tcPr>
            <w:tcW w:w="8846" w:type="dxa"/>
            <w:tcBorders/>
            <w:vAlign w:val="center"/>
          </w:tcPr>
          <w:p>
            <w:pPr>
              <w:pStyle w:val="TableContents"/>
              <w:bidi w:val="0"/>
              <w:spacing w:before="0" w:after="283"/>
              <w:jc w:val="left"/>
              <w:rPr/>
            </w:pPr>
            <w:hyperlink w:anchor="BDaaa56_17620267859524">
              <w:r>
                <w:rPr>
                  <w:rStyle w:val="InternetLink"/>
                </w:rPr>
                <w:t>Disclaimer of Other Representations and Warranties</w:t>
              </w:r>
            </w:hyperlink>
          </w:p>
        </w:tc>
        <w:tc>
          <w:tcPr>
            <w:tcW w:w="515" w:type="dxa"/>
            <w:tcBorders/>
            <w:vAlign w:val="center"/>
          </w:tcPr>
          <w:p>
            <w:pPr>
              <w:pStyle w:val="TableContents"/>
              <w:bidi w:val="0"/>
              <w:spacing w:before="0" w:after="283"/>
              <w:jc w:val="right"/>
              <w:rPr/>
            </w:pPr>
            <w:r>
              <w:rPr/>
              <w:t>A-46</w:t>
            </w:r>
          </w:p>
        </w:tc>
      </w:tr>
      <w:tr>
        <w:trPr/>
        <w:tc>
          <w:tcPr>
            <w:tcW w:w="9453" w:type="dxa"/>
            <w:gridSpan w:val="3"/>
            <w:tcBorders/>
            <w:vAlign w:val="center"/>
          </w:tcPr>
          <w:p>
            <w:pPr>
              <w:pStyle w:val="TableContents"/>
              <w:bidi w:val="0"/>
              <w:spacing w:before="0" w:after="283"/>
              <w:jc w:val="left"/>
              <w:rPr/>
            </w:pPr>
            <w:hyperlink w:anchor="BSdd75_176202644730309">
              <w:r>
                <w:rPr>
                  <w:rStyle w:val="InternetLink"/>
                </w:rPr>
                <w:t>ARTICLE 4 CERTAIN COVENANTS OF THE PARTIES</w:t>
              </w:r>
            </w:hyperlink>
          </w:p>
        </w:tc>
        <w:tc>
          <w:tcPr>
            <w:tcW w:w="515" w:type="dxa"/>
            <w:tcBorders/>
            <w:vAlign w:val="center"/>
          </w:tcPr>
          <w:p>
            <w:pPr>
              <w:pStyle w:val="TableContents"/>
              <w:bidi w:val="0"/>
              <w:spacing w:before="0" w:after="283"/>
              <w:jc w:val="right"/>
              <w:rPr/>
            </w:pPr>
            <w:r>
              <w:rPr/>
              <w:t>A-47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6_17620265158674">
              <w:r>
                <w:rPr>
                  <w:rStyle w:val="InternetLink"/>
                  <w:rFonts w:ascii="times new roman;times" w:hAnsi="times new roman;times"/>
                  <w:b w:val="false"/>
                  <w:i w:val="false"/>
                  <w:caps w:val="false"/>
                  <w:smallCaps w:val="false"/>
                  <w:spacing w:val="0"/>
                  <w:sz w:val="20"/>
                </w:rPr>
                <w:t>4.1</w:t>
              </w:r>
            </w:hyperlink>
          </w:p>
        </w:tc>
        <w:tc>
          <w:tcPr>
            <w:tcW w:w="8846" w:type="dxa"/>
            <w:tcBorders/>
            <w:vAlign w:val="center"/>
          </w:tcPr>
          <w:p>
            <w:pPr>
              <w:pStyle w:val="TableContents"/>
              <w:bidi w:val="0"/>
              <w:spacing w:before="0" w:after="283"/>
              <w:jc w:val="left"/>
              <w:rPr/>
            </w:pPr>
            <w:hyperlink w:anchor="BSd76_17620265158674">
              <w:r>
                <w:rPr>
                  <w:rStyle w:val="InternetLink"/>
                </w:rPr>
                <w:t>Access and Investigation</w:t>
              </w:r>
            </w:hyperlink>
          </w:p>
        </w:tc>
        <w:tc>
          <w:tcPr>
            <w:tcW w:w="515" w:type="dxa"/>
            <w:tcBorders/>
            <w:vAlign w:val="center"/>
          </w:tcPr>
          <w:p>
            <w:pPr>
              <w:pStyle w:val="TableContents"/>
              <w:bidi w:val="0"/>
              <w:spacing w:before="0" w:after="283"/>
              <w:jc w:val="right"/>
              <w:rPr/>
            </w:pPr>
            <w:r>
              <w:rPr/>
              <w:t>A-47</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7_17620265210380">
              <w:r>
                <w:rPr>
                  <w:rStyle w:val="InternetLink"/>
                  <w:rFonts w:ascii="times new roman;times" w:hAnsi="times new roman;times"/>
                  <w:b w:val="false"/>
                  <w:i w:val="false"/>
                  <w:caps w:val="false"/>
                  <w:smallCaps w:val="false"/>
                  <w:spacing w:val="0"/>
                  <w:sz w:val="20"/>
                </w:rPr>
                <w:t>4.2</w:t>
              </w:r>
            </w:hyperlink>
          </w:p>
        </w:tc>
        <w:tc>
          <w:tcPr>
            <w:tcW w:w="8846" w:type="dxa"/>
            <w:tcBorders/>
            <w:vAlign w:val="center"/>
          </w:tcPr>
          <w:p>
            <w:pPr>
              <w:pStyle w:val="TableContents"/>
              <w:bidi w:val="0"/>
              <w:spacing w:before="0" w:after="283"/>
              <w:jc w:val="left"/>
              <w:rPr/>
            </w:pPr>
            <w:hyperlink w:anchor="BSD77_17620265210380">
              <w:r>
                <w:rPr>
                  <w:rStyle w:val="InternetLink"/>
                </w:rPr>
                <w:t>Operation of Parent’s Business.</w:t>
              </w:r>
            </w:hyperlink>
          </w:p>
        </w:tc>
        <w:tc>
          <w:tcPr>
            <w:tcW w:w="515" w:type="dxa"/>
            <w:tcBorders/>
            <w:vAlign w:val="center"/>
          </w:tcPr>
          <w:p>
            <w:pPr>
              <w:pStyle w:val="TableContents"/>
              <w:bidi w:val="0"/>
              <w:spacing w:before="0" w:after="283"/>
              <w:jc w:val="right"/>
              <w:rPr/>
            </w:pPr>
            <w:r>
              <w:rPr/>
              <w:t>A-48</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8_17620265224523">
              <w:r>
                <w:rPr>
                  <w:rStyle w:val="InternetLink"/>
                  <w:rFonts w:ascii="times new roman;times" w:hAnsi="times new roman;times"/>
                  <w:b w:val="false"/>
                  <w:i w:val="false"/>
                  <w:caps w:val="false"/>
                  <w:smallCaps w:val="false"/>
                  <w:spacing w:val="0"/>
                  <w:sz w:val="20"/>
                </w:rPr>
                <w:t>4.3</w:t>
              </w:r>
            </w:hyperlink>
          </w:p>
        </w:tc>
        <w:tc>
          <w:tcPr>
            <w:tcW w:w="8846" w:type="dxa"/>
            <w:tcBorders/>
            <w:vAlign w:val="center"/>
          </w:tcPr>
          <w:p>
            <w:pPr>
              <w:pStyle w:val="TableContents"/>
              <w:bidi w:val="0"/>
              <w:spacing w:before="0" w:after="283"/>
              <w:jc w:val="left"/>
              <w:rPr/>
            </w:pPr>
            <w:hyperlink w:anchor="BSD78_17620265224523">
              <w:r>
                <w:rPr>
                  <w:rStyle w:val="InternetLink"/>
                </w:rPr>
                <w:t>Operation of the Company’s Business.</w:t>
              </w:r>
            </w:hyperlink>
          </w:p>
        </w:tc>
        <w:tc>
          <w:tcPr>
            <w:tcW w:w="515" w:type="dxa"/>
            <w:tcBorders/>
            <w:vAlign w:val="center"/>
          </w:tcPr>
          <w:p>
            <w:pPr>
              <w:pStyle w:val="TableContents"/>
              <w:bidi w:val="0"/>
              <w:spacing w:before="0" w:after="283"/>
              <w:jc w:val="right"/>
              <w:rPr/>
            </w:pPr>
            <w:r>
              <w:rPr/>
              <w:t>A-48</w:t>
            </w:r>
          </w:p>
        </w:tc>
      </w:tr>
      <w:tr>
        <w:trPr/>
        <w:tc>
          <w:tcPr>
            <w:tcW w:w="32" w:type="dxa"/>
            <w:tcBorders/>
            <w:vAlign w:val="center"/>
          </w:tcPr>
          <w:p>
            <w:pPr>
              <w:pStyle w:val="TableContents"/>
              <w:bidi w:val="0"/>
              <w:spacing w:before="0" w:after="283"/>
              <w:jc w:val="left"/>
              <w:rPr/>
            </w:pPr>
            <w:r>
              <w:rPr/>
            </w:r>
          </w:p>
        </w:tc>
        <w:tc>
          <w:tcPr>
            <w:tcW w:w="575" w:type="dxa"/>
            <w:tcBorders/>
            <w:vAlign w:val="center"/>
          </w:tcPr>
          <w:p>
            <w:pPr>
              <w:pStyle w:val="TableContents"/>
              <w:widowControl/>
              <w:bidi w:val="0"/>
              <w:spacing w:before="0" w:after="283"/>
              <w:ind w:left="0" w:right="0" w:hanging="0"/>
              <w:jc w:val="left"/>
              <w:rPr/>
            </w:pPr>
            <w:hyperlink w:anchor="BSD79_17620265234309">
              <w:r>
                <w:rPr>
                  <w:rStyle w:val="InternetLink"/>
                  <w:rFonts w:ascii="times new roman;times" w:hAnsi="times new roman;times"/>
                  <w:b w:val="false"/>
                  <w:i w:val="false"/>
                  <w:caps w:val="false"/>
                  <w:smallCaps w:val="false"/>
                  <w:spacing w:val="0"/>
                  <w:sz w:val="20"/>
                </w:rPr>
                <w:t>4.4</w:t>
              </w:r>
            </w:hyperlink>
          </w:p>
        </w:tc>
        <w:tc>
          <w:tcPr>
            <w:tcW w:w="8846" w:type="dxa"/>
            <w:tcBorders/>
            <w:vAlign w:val="center"/>
          </w:tcPr>
          <w:p>
            <w:pPr>
              <w:pStyle w:val="TableContents"/>
              <w:bidi w:val="0"/>
              <w:spacing w:before="0" w:after="283"/>
              <w:jc w:val="left"/>
              <w:rPr/>
            </w:pPr>
            <w:hyperlink w:anchor="BSD79_17620265234309">
              <w:r>
                <w:rPr>
                  <w:rStyle w:val="InternetLink"/>
                </w:rPr>
                <w:t>Negative Obligations.</w:t>
              </w:r>
            </w:hyperlink>
          </w:p>
        </w:tc>
        <w:tc>
          <w:tcPr>
            <w:tcW w:w="515" w:type="dxa"/>
            <w:tcBorders/>
            <w:vAlign w:val="center"/>
          </w:tcPr>
          <w:p>
            <w:pPr>
              <w:pStyle w:val="TableContents"/>
              <w:bidi w:val="0"/>
              <w:spacing w:before="0" w:after="283"/>
              <w:jc w:val="right"/>
              <w:rPr/>
            </w:pPr>
            <w:r>
              <w:rPr/>
              <w:t>A-49</w:t>
            </w:r>
          </w:p>
        </w:tc>
      </w:tr>
    </w:tbl>
    <w:p>
      <w:pPr>
        <w:pStyle w:val="TextBody"/>
        <w:bidi w:val="0"/>
        <w:spacing w:before="0" w:after="0"/>
        <w:jc w:val="left"/>
        <w:rPr/>
      </w:pPr>
      <w:r>
        <w:rPr/>
      </w:r>
    </w:p>
    <w:tbl>
      <w:tblPr>
        <w:tblW w:w="286" w:type="dxa"/>
        <w:jc w:val="left"/>
        <w:tblInd w:w="0" w:type="dxa"/>
        <w:tblLayout w:type="fixed"/>
        <w:tblCellMar>
          <w:top w:w="0" w:type="dxa"/>
          <w:left w:w="0" w:type="dxa"/>
          <w:bottom w:w="0" w:type="dxa"/>
          <w:right w:w="0" w:type="dxa"/>
        </w:tblCellMar>
      </w:tblPr>
      <w:tblGrid>
        <w:gridCol w:w="286"/>
      </w:tblGrid>
      <w:tr>
        <w:trPr/>
        <w:tc>
          <w:tcPr>
            <w:tcW w:w="286" w:type="dxa"/>
            <w:tcBorders/>
            <w:vAlign w:val="center"/>
          </w:tcPr>
          <w:p>
            <w:pPr>
              <w:pStyle w:val="TableContents"/>
              <w:bidi w:val="0"/>
              <w:spacing w:before="0" w:after="283"/>
              <w:jc w:val="center"/>
              <w:rPr>
                <w:sz w:val="20"/>
              </w:rPr>
            </w:pPr>
            <w:r>
              <w:rPr>
                <w:sz w:val="20"/>
              </w:rPr>
              <w:t>ii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31"/>
        <w:gridCol w:w="528"/>
        <w:gridCol w:w="9176"/>
        <w:gridCol w:w="470"/>
      </w:tblGrid>
      <w:tr>
        <w:trPr/>
        <w:tc>
          <w:tcPr>
            <w:tcW w:w="9735" w:type="dxa"/>
            <w:gridSpan w:val="3"/>
            <w:tcBorders/>
            <w:vAlign w:val="center"/>
          </w:tcPr>
          <w:p>
            <w:pPr>
              <w:pStyle w:val="TableContents"/>
              <w:bidi w:val="0"/>
              <w:spacing w:before="0" w:after="283"/>
              <w:jc w:val="left"/>
              <w:rPr/>
            </w:pPr>
            <w:hyperlink w:anchor="BSD81_176202651824436">
              <w:r>
                <w:rPr>
                  <w:rStyle w:val="InternetLink"/>
                </w:rPr>
                <w:t>ARTICLE 5 ADDITIONAL AGREEMENTS OF THE PARTIES</w:t>
              </w:r>
            </w:hyperlink>
          </w:p>
        </w:tc>
        <w:tc>
          <w:tcPr>
            <w:tcW w:w="470" w:type="dxa"/>
            <w:tcBorders/>
            <w:vAlign w:val="center"/>
          </w:tcPr>
          <w:p>
            <w:pPr>
              <w:pStyle w:val="TableContents"/>
              <w:bidi w:val="0"/>
              <w:spacing w:before="0" w:after="283"/>
              <w:jc w:val="right"/>
              <w:rPr/>
            </w:pPr>
            <w:r>
              <w:rPr/>
              <w:t>A-53</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2_17620266137620">
              <w:r>
                <w:rPr>
                  <w:rStyle w:val="InternetLink"/>
                  <w:rFonts w:ascii="times new roman;times" w:hAnsi="times new roman;times"/>
                  <w:b w:val="false"/>
                  <w:i w:val="false"/>
                  <w:caps w:val="false"/>
                  <w:smallCaps w:val="false"/>
                  <w:spacing w:val="0"/>
                  <w:sz w:val="20"/>
                </w:rPr>
                <w:t>5.1</w:t>
              </w:r>
            </w:hyperlink>
          </w:p>
        </w:tc>
        <w:tc>
          <w:tcPr>
            <w:tcW w:w="9176" w:type="dxa"/>
            <w:tcBorders/>
            <w:vAlign w:val="center"/>
          </w:tcPr>
          <w:p>
            <w:pPr>
              <w:pStyle w:val="TableContents"/>
              <w:bidi w:val="0"/>
              <w:spacing w:before="0" w:after="283"/>
              <w:jc w:val="left"/>
              <w:rPr/>
            </w:pPr>
            <w:hyperlink w:anchor="BSD82_17620266137620">
              <w:r>
                <w:rPr>
                  <w:rStyle w:val="InternetLink"/>
                </w:rPr>
                <w:t>Company Financial Statements; Registration Statement; Parent Schedule 14C.</w:t>
              </w:r>
            </w:hyperlink>
          </w:p>
        </w:tc>
        <w:tc>
          <w:tcPr>
            <w:tcW w:w="470" w:type="dxa"/>
            <w:tcBorders/>
            <w:vAlign w:val="center"/>
          </w:tcPr>
          <w:p>
            <w:pPr>
              <w:pStyle w:val="TableContents"/>
              <w:bidi w:val="0"/>
              <w:spacing w:before="0" w:after="283"/>
              <w:jc w:val="right"/>
              <w:rPr/>
            </w:pPr>
            <w:r>
              <w:rPr/>
              <w:t>A-53</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3_17620266153642">
              <w:r>
                <w:rPr>
                  <w:rStyle w:val="InternetLink"/>
                  <w:rFonts w:ascii="times new roman;times" w:hAnsi="times new roman;times"/>
                  <w:b w:val="false"/>
                  <w:i w:val="false"/>
                  <w:caps w:val="false"/>
                  <w:smallCaps w:val="false"/>
                  <w:spacing w:val="0"/>
                  <w:sz w:val="20"/>
                </w:rPr>
                <w:t>5.2</w:t>
              </w:r>
            </w:hyperlink>
          </w:p>
        </w:tc>
        <w:tc>
          <w:tcPr>
            <w:tcW w:w="9176" w:type="dxa"/>
            <w:tcBorders/>
            <w:vAlign w:val="center"/>
          </w:tcPr>
          <w:p>
            <w:pPr>
              <w:pStyle w:val="TableContents"/>
              <w:bidi w:val="0"/>
              <w:spacing w:before="0" w:after="283"/>
              <w:jc w:val="left"/>
              <w:rPr/>
            </w:pPr>
            <w:hyperlink w:anchor="BSD83_17620266153642">
              <w:r>
                <w:rPr>
                  <w:rStyle w:val="InternetLink"/>
                </w:rPr>
                <w:t>Company Shareholder Written Consent.</w:t>
              </w:r>
            </w:hyperlink>
          </w:p>
        </w:tc>
        <w:tc>
          <w:tcPr>
            <w:tcW w:w="470" w:type="dxa"/>
            <w:tcBorders/>
            <w:vAlign w:val="center"/>
          </w:tcPr>
          <w:p>
            <w:pPr>
              <w:pStyle w:val="TableContents"/>
              <w:bidi w:val="0"/>
              <w:spacing w:before="0" w:after="283"/>
              <w:jc w:val="right"/>
              <w:rPr/>
            </w:pPr>
            <w:r>
              <w:rPr/>
              <w:t>A-54</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5_17620266344156">
              <w:r>
                <w:rPr>
                  <w:rStyle w:val="InternetLink"/>
                  <w:rFonts w:ascii="times new roman;times" w:hAnsi="times new roman;times"/>
                  <w:b w:val="false"/>
                  <w:i w:val="false"/>
                  <w:caps w:val="false"/>
                  <w:smallCaps w:val="false"/>
                  <w:spacing w:val="0"/>
                  <w:sz w:val="20"/>
                </w:rPr>
                <w:t>5.3</w:t>
              </w:r>
            </w:hyperlink>
          </w:p>
        </w:tc>
        <w:tc>
          <w:tcPr>
            <w:tcW w:w="9176" w:type="dxa"/>
            <w:tcBorders/>
            <w:vAlign w:val="center"/>
          </w:tcPr>
          <w:p>
            <w:pPr>
              <w:pStyle w:val="TableContents"/>
              <w:bidi w:val="0"/>
              <w:spacing w:before="0" w:after="283"/>
              <w:jc w:val="left"/>
              <w:rPr/>
            </w:pPr>
            <w:hyperlink w:anchor="BSd85_17620266344156">
              <w:r>
                <w:rPr>
                  <w:rStyle w:val="InternetLink"/>
                </w:rPr>
                <w:t>Parent Stockholders’ Consent.</w:t>
              </w:r>
            </w:hyperlink>
          </w:p>
        </w:tc>
        <w:tc>
          <w:tcPr>
            <w:tcW w:w="470" w:type="dxa"/>
            <w:tcBorders/>
            <w:vAlign w:val="center"/>
          </w:tcPr>
          <w:p>
            <w:pPr>
              <w:pStyle w:val="TableContents"/>
              <w:bidi w:val="0"/>
              <w:spacing w:before="0" w:after="283"/>
              <w:jc w:val="right"/>
              <w:rPr/>
            </w:pPr>
            <w:r>
              <w:rPr/>
              <w:t>A-54</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6_17620266426242">
              <w:r>
                <w:rPr>
                  <w:rStyle w:val="InternetLink"/>
                  <w:rFonts w:ascii="times new roman;times" w:hAnsi="times new roman;times"/>
                  <w:b w:val="false"/>
                  <w:i w:val="false"/>
                  <w:caps w:val="false"/>
                  <w:smallCaps w:val="false"/>
                  <w:spacing w:val="0"/>
                  <w:sz w:val="20"/>
                </w:rPr>
                <w:t>5.4</w:t>
              </w:r>
            </w:hyperlink>
          </w:p>
        </w:tc>
        <w:tc>
          <w:tcPr>
            <w:tcW w:w="9176" w:type="dxa"/>
            <w:tcBorders/>
            <w:vAlign w:val="center"/>
          </w:tcPr>
          <w:p>
            <w:pPr>
              <w:pStyle w:val="TableContents"/>
              <w:bidi w:val="0"/>
              <w:spacing w:before="0" w:after="283"/>
              <w:jc w:val="left"/>
              <w:rPr/>
            </w:pPr>
            <w:hyperlink w:anchor="BSD86_17620266426242">
              <w:r>
                <w:rPr>
                  <w:rStyle w:val="InternetLink"/>
                </w:rPr>
                <w:t>Regulatory Approvals</w:t>
              </w:r>
            </w:hyperlink>
          </w:p>
        </w:tc>
        <w:tc>
          <w:tcPr>
            <w:tcW w:w="470" w:type="dxa"/>
            <w:tcBorders/>
            <w:vAlign w:val="center"/>
          </w:tcPr>
          <w:p>
            <w:pPr>
              <w:pStyle w:val="TableContents"/>
              <w:bidi w:val="0"/>
              <w:spacing w:before="0" w:after="283"/>
              <w:jc w:val="right"/>
              <w:rPr/>
            </w:pPr>
            <w:r>
              <w:rPr/>
              <w:t>A-55</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7_17620266437139">
              <w:r>
                <w:rPr>
                  <w:rStyle w:val="InternetLink"/>
                  <w:rFonts w:ascii="times new roman;times" w:hAnsi="times new roman;times"/>
                  <w:b w:val="false"/>
                  <w:i w:val="false"/>
                  <w:caps w:val="false"/>
                  <w:smallCaps w:val="false"/>
                  <w:spacing w:val="0"/>
                  <w:sz w:val="20"/>
                </w:rPr>
                <w:t>5.5</w:t>
              </w:r>
            </w:hyperlink>
          </w:p>
        </w:tc>
        <w:tc>
          <w:tcPr>
            <w:tcW w:w="9176" w:type="dxa"/>
            <w:tcBorders/>
            <w:vAlign w:val="center"/>
          </w:tcPr>
          <w:p>
            <w:pPr>
              <w:pStyle w:val="TableContents"/>
              <w:bidi w:val="0"/>
              <w:spacing w:before="0" w:after="283"/>
              <w:jc w:val="left"/>
              <w:rPr/>
            </w:pPr>
            <w:hyperlink w:anchor="BSD87_17620266437139">
              <w:r>
                <w:rPr>
                  <w:rStyle w:val="InternetLink"/>
                </w:rPr>
                <w:t>Options, RSAs, RSUs, DSUs and Warrants.</w:t>
              </w:r>
            </w:hyperlink>
          </w:p>
        </w:tc>
        <w:tc>
          <w:tcPr>
            <w:tcW w:w="470" w:type="dxa"/>
            <w:tcBorders/>
            <w:vAlign w:val="center"/>
          </w:tcPr>
          <w:p>
            <w:pPr>
              <w:pStyle w:val="TableContents"/>
              <w:bidi w:val="0"/>
              <w:spacing w:before="0" w:after="283"/>
              <w:jc w:val="right"/>
              <w:rPr/>
            </w:pPr>
            <w:r>
              <w:rPr/>
              <w:t>A-55</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89_176202664250589">
              <w:r>
                <w:rPr>
                  <w:rStyle w:val="InternetLink"/>
                  <w:rFonts w:ascii="times new roman;times" w:hAnsi="times new roman;times"/>
                  <w:b w:val="false"/>
                  <w:i w:val="false"/>
                  <w:caps w:val="false"/>
                  <w:smallCaps w:val="false"/>
                  <w:spacing w:val="0"/>
                  <w:sz w:val="20"/>
                </w:rPr>
                <w:t>5.6</w:t>
              </w:r>
            </w:hyperlink>
          </w:p>
        </w:tc>
        <w:tc>
          <w:tcPr>
            <w:tcW w:w="9176" w:type="dxa"/>
            <w:tcBorders/>
            <w:vAlign w:val="center"/>
          </w:tcPr>
          <w:p>
            <w:pPr>
              <w:pStyle w:val="TableContents"/>
              <w:bidi w:val="0"/>
              <w:spacing w:before="0" w:after="283"/>
              <w:jc w:val="left"/>
              <w:rPr/>
            </w:pPr>
            <w:hyperlink w:anchor="BSD89_176202664250589">
              <w:r>
                <w:rPr>
                  <w:rStyle w:val="InternetLink"/>
                </w:rPr>
                <w:t>Indemnification of Officers and Directors.</w:t>
              </w:r>
            </w:hyperlink>
          </w:p>
        </w:tc>
        <w:tc>
          <w:tcPr>
            <w:tcW w:w="470" w:type="dxa"/>
            <w:tcBorders/>
            <w:vAlign w:val="center"/>
          </w:tcPr>
          <w:p>
            <w:pPr>
              <w:pStyle w:val="TableContents"/>
              <w:bidi w:val="0"/>
              <w:spacing w:before="0" w:after="283"/>
              <w:jc w:val="right"/>
              <w:rPr/>
            </w:pPr>
            <w:r>
              <w:rPr/>
              <w:t>A-56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0_176202664259827">
              <w:r>
                <w:rPr>
                  <w:rStyle w:val="InternetLink"/>
                  <w:rFonts w:ascii="times new roman;times" w:hAnsi="times new roman;times"/>
                  <w:b w:val="false"/>
                  <w:i w:val="false"/>
                  <w:caps w:val="false"/>
                  <w:smallCaps w:val="false"/>
                  <w:spacing w:val="0"/>
                  <w:sz w:val="20"/>
                </w:rPr>
                <w:t>5.7</w:t>
              </w:r>
            </w:hyperlink>
          </w:p>
        </w:tc>
        <w:tc>
          <w:tcPr>
            <w:tcW w:w="9176" w:type="dxa"/>
            <w:tcBorders/>
            <w:vAlign w:val="center"/>
          </w:tcPr>
          <w:p>
            <w:pPr>
              <w:pStyle w:val="TableContents"/>
              <w:bidi w:val="0"/>
              <w:spacing w:before="0" w:after="283"/>
              <w:jc w:val="left"/>
              <w:rPr/>
            </w:pPr>
            <w:hyperlink w:anchor="BSD90_176202664259827">
              <w:r>
                <w:rPr>
                  <w:rStyle w:val="InternetLink"/>
                </w:rPr>
                <w:t>Additional Agreements.</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1_176202664311179">
              <w:r>
                <w:rPr>
                  <w:rStyle w:val="InternetLink"/>
                  <w:rFonts w:ascii="times new roman;times" w:hAnsi="times new roman;times"/>
                  <w:b w:val="false"/>
                  <w:i w:val="false"/>
                  <w:caps w:val="false"/>
                  <w:smallCaps w:val="false"/>
                  <w:spacing w:val="0"/>
                  <w:sz w:val="20"/>
                </w:rPr>
                <w:t>5.8</w:t>
              </w:r>
            </w:hyperlink>
          </w:p>
        </w:tc>
        <w:tc>
          <w:tcPr>
            <w:tcW w:w="9176" w:type="dxa"/>
            <w:tcBorders/>
            <w:vAlign w:val="center"/>
          </w:tcPr>
          <w:p>
            <w:pPr>
              <w:pStyle w:val="TableContents"/>
              <w:bidi w:val="0"/>
              <w:spacing w:before="0" w:after="283"/>
              <w:jc w:val="left"/>
              <w:rPr/>
            </w:pPr>
            <w:hyperlink w:anchor="BSD91_176202664311179">
              <w:r>
                <w:rPr>
                  <w:rStyle w:val="InternetLink"/>
                </w:rPr>
                <w:t>Disclosure</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2_176202664321476">
              <w:r>
                <w:rPr>
                  <w:rStyle w:val="InternetLink"/>
                  <w:rFonts w:ascii="times new roman;times" w:hAnsi="times new roman;times"/>
                  <w:b w:val="false"/>
                  <w:i w:val="false"/>
                  <w:caps w:val="false"/>
                  <w:smallCaps w:val="false"/>
                  <w:spacing w:val="0"/>
                  <w:sz w:val="20"/>
                </w:rPr>
                <w:t>5.9</w:t>
              </w:r>
            </w:hyperlink>
          </w:p>
        </w:tc>
        <w:tc>
          <w:tcPr>
            <w:tcW w:w="9176" w:type="dxa"/>
            <w:tcBorders/>
            <w:vAlign w:val="center"/>
          </w:tcPr>
          <w:p>
            <w:pPr>
              <w:pStyle w:val="TableContents"/>
              <w:bidi w:val="0"/>
              <w:spacing w:before="0" w:after="283"/>
              <w:jc w:val="left"/>
              <w:rPr/>
            </w:pPr>
            <w:hyperlink w:anchor="BSD92_176202664321476">
              <w:r>
                <w:rPr>
                  <w:rStyle w:val="InternetLink"/>
                </w:rPr>
                <w:t>Listing</w:t>
              </w:r>
            </w:hyperlink>
          </w:p>
        </w:tc>
        <w:tc>
          <w:tcPr>
            <w:tcW w:w="470" w:type="dxa"/>
            <w:tcBorders/>
            <w:vAlign w:val="center"/>
          </w:tcPr>
          <w:p>
            <w:pPr>
              <w:pStyle w:val="TableContents"/>
              <w:bidi w:val="0"/>
              <w:spacing w:before="0" w:after="283"/>
              <w:jc w:val="right"/>
              <w:rPr/>
            </w:pPr>
            <w:r>
              <w:rPr/>
              <w:t>A-57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3_176202664334116">
              <w:r>
                <w:rPr>
                  <w:rStyle w:val="InternetLink"/>
                  <w:rFonts w:ascii="times new roman;times" w:hAnsi="times new roman;times"/>
                  <w:b w:val="false"/>
                  <w:i w:val="false"/>
                  <w:caps w:val="false"/>
                  <w:smallCaps w:val="false"/>
                  <w:spacing w:val="0"/>
                  <w:sz w:val="20"/>
                </w:rPr>
                <w:t>5.10</w:t>
              </w:r>
            </w:hyperlink>
          </w:p>
        </w:tc>
        <w:tc>
          <w:tcPr>
            <w:tcW w:w="9176" w:type="dxa"/>
            <w:tcBorders/>
            <w:vAlign w:val="center"/>
          </w:tcPr>
          <w:p>
            <w:pPr>
              <w:pStyle w:val="TableContents"/>
              <w:bidi w:val="0"/>
              <w:spacing w:before="0" w:after="283"/>
              <w:jc w:val="left"/>
              <w:rPr/>
            </w:pPr>
            <w:hyperlink w:anchor="BSD93_176202664334116">
              <w:r>
                <w:rPr>
                  <w:rStyle w:val="InternetLink"/>
                </w:rPr>
                <w:t>Tax Matters.</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5_176202664351956">
              <w:r>
                <w:rPr>
                  <w:rStyle w:val="InternetLink"/>
                  <w:rFonts w:ascii="times new roman;times" w:hAnsi="times new roman;times"/>
                  <w:b w:val="false"/>
                  <w:i w:val="false"/>
                  <w:caps w:val="false"/>
                  <w:smallCaps w:val="false"/>
                  <w:spacing w:val="0"/>
                  <w:sz w:val="20"/>
                </w:rPr>
                <w:t>5.11</w:t>
              </w:r>
            </w:hyperlink>
          </w:p>
        </w:tc>
        <w:tc>
          <w:tcPr>
            <w:tcW w:w="9176" w:type="dxa"/>
            <w:tcBorders/>
            <w:vAlign w:val="center"/>
          </w:tcPr>
          <w:p>
            <w:pPr>
              <w:pStyle w:val="TableContents"/>
              <w:bidi w:val="0"/>
              <w:spacing w:before="0" w:after="283"/>
              <w:jc w:val="left"/>
              <w:rPr/>
            </w:pPr>
            <w:hyperlink w:anchor="BSD95_176202664351956">
              <w:r>
                <w:rPr>
                  <w:rStyle w:val="InternetLink"/>
                </w:rPr>
                <w:t>Legends</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6_17620266441501">
              <w:r>
                <w:rPr>
                  <w:rStyle w:val="InternetLink"/>
                  <w:rFonts w:ascii="times new roman;times" w:hAnsi="times new roman;times"/>
                  <w:b w:val="false"/>
                  <w:i w:val="false"/>
                  <w:caps w:val="false"/>
                  <w:smallCaps w:val="false"/>
                  <w:spacing w:val="0"/>
                  <w:sz w:val="20"/>
                </w:rPr>
                <w:t>5.12</w:t>
              </w:r>
            </w:hyperlink>
          </w:p>
        </w:tc>
        <w:tc>
          <w:tcPr>
            <w:tcW w:w="9176" w:type="dxa"/>
            <w:tcBorders/>
            <w:vAlign w:val="center"/>
          </w:tcPr>
          <w:p>
            <w:pPr>
              <w:pStyle w:val="TableContents"/>
              <w:bidi w:val="0"/>
              <w:spacing w:before="0" w:after="283"/>
              <w:jc w:val="left"/>
              <w:rPr/>
            </w:pPr>
            <w:hyperlink w:anchor="BSD96_17620266441501">
              <w:r>
                <w:rPr>
                  <w:rStyle w:val="InternetLink"/>
                </w:rPr>
                <w:t>Cooperation</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8_176202664410580">
              <w:r>
                <w:rPr>
                  <w:rStyle w:val="InternetLink"/>
                  <w:rFonts w:ascii="times new roman;times" w:hAnsi="times new roman;times"/>
                  <w:b w:val="false"/>
                  <w:i w:val="false"/>
                  <w:caps w:val="false"/>
                  <w:smallCaps w:val="false"/>
                  <w:spacing w:val="0"/>
                  <w:sz w:val="20"/>
                </w:rPr>
                <w:t>5.13</w:t>
              </w:r>
            </w:hyperlink>
          </w:p>
        </w:tc>
        <w:tc>
          <w:tcPr>
            <w:tcW w:w="9176" w:type="dxa"/>
            <w:tcBorders/>
            <w:vAlign w:val="center"/>
          </w:tcPr>
          <w:p>
            <w:pPr>
              <w:pStyle w:val="TableContents"/>
              <w:bidi w:val="0"/>
              <w:spacing w:before="0" w:after="283"/>
              <w:jc w:val="left"/>
              <w:rPr/>
            </w:pPr>
            <w:hyperlink w:anchor="BSD98_176202664410580">
              <w:r>
                <w:rPr>
                  <w:rStyle w:val="InternetLink"/>
                </w:rPr>
                <w:t xml:space="preserve">Directors and Officers. </w:t>
              </w:r>
            </w:hyperlink>
          </w:p>
        </w:tc>
        <w:tc>
          <w:tcPr>
            <w:tcW w:w="470" w:type="dxa"/>
            <w:tcBorders/>
            <w:vAlign w:val="center"/>
          </w:tcPr>
          <w:p>
            <w:pPr>
              <w:pStyle w:val="TableContents"/>
              <w:bidi w:val="0"/>
              <w:spacing w:before="0" w:after="283"/>
              <w:jc w:val="right"/>
              <w:rPr/>
            </w:pPr>
            <w:r>
              <w:rPr/>
              <w:t>A-58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99_176202664435316">
              <w:r>
                <w:rPr>
                  <w:rStyle w:val="InternetLink"/>
                  <w:rFonts w:ascii="times new roman;times" w:hAnsi="times new roman;times"/>
                  <w:b w:val="false"/>
                  <w:i w:val="false"/>
                  <w:caps w:val="false"/>
                  <w:smallCaps w:val="false"/>
                  <w:spacing w:val="0"/>
                  <w:sz w:val="20"/>
                </w:rPr>
                <w:t>5.14</w:t>
              </w:r>
            </w:hyperlink>
          </w:p>
        </w:tc>
        <w:tc>
          <w:tcPr>
            <w:tcW w:w="9176" w:type="dxa"/>
            <w:tcBorders/>
            <w:vAlign w:val="center"/>
          </w:tcPr>
          <w:p>
            <w:pPr>
              <w:pStyle w:val="TableContents"/>
              <w:bidi w:val="0"/>
              <w:spacing w:before="0" w:after="283"/>
              <w:jc w:val="left"/>
              <w:rPr/>
            </w:pPr>
            <w:hyperlink w:anchor="BSd99_176202664435316">
              <w:r>
                <w:rPr>
                  <w:rStyle w:val="InternetLink"/>
                </w:rPr>
                <w:t>Section 16 Matters</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0_176202664446301">
              <w:r>
                <w:rPr>
                  <w:rStyle w:val="InternetLink"/>
                  <w:rFonts w:ascii="times new roman;times" w:hAnsi="times new roman;times"/>
                  <w:b w:val="false"/>
                  <w:i w:val="false"/>
                  <w:caps w:val="false"/>
                  <w:smallCaps w:val="false"/>
                  <w:spacing w:val="0"/>
                  <w:sz w:val="20"/>
                </w:rPr>
                <w:t>5.15</w:t>
              </w:r>
            </w:hyperlink>
          </w:p>
        </w:tc>
        <w:tc>
          <w:tcPr>
            <w:tcW w:w="9176" w:type="dxa"/>
            <w:tcBorders/>
            <w:vAlign w:val="center"/>
          </w:tcPr>
          <w:p>
            <w:pPr>
              <w:pStyle w:val="TableContents"/>
              <w:bidi w:val="0"/>
              <w:spacing w:before="0" w:after="283"/>
              <w:jc w:val="left"/>
              <w:rPr/>
            </w:pPr>
            <w:hyperlink w:anchor="BSdd100_176202664446301">
              <w:r>
                <w:rPr>
                  <w:rStyle w:val="InternetLink"/>
                </w:rPr>
                <w:t>Reverse Split</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1_176202664455945">
              <w:r>
                <w:rPr>
                  <w:rStyle w:val="InternetLink"/>
                  <w:rFonts w:ascii="times new roman;times" w:hAnsi="times new roman;times"/>
                  <w:b w:val="false"/>
                  <w:i w:val="false"/>
                  <w:caps w:val="false"/>
                  <w:smallCaps w:val="false"/>
                  <w:spacing w:val="0"/>
                  <w:sz w:val="20"/>
                </w:rPr>
                <w:t>5.16</w:t>
              </w:r>
            </w:hyperlink>
          </w:p>
        </w:tc>
        <w:tc>
          <w:tcPr>
            <w:tcW w:w="9176" w:type="dxa"/>
            <w:tcBorders/>
            <w:vAlign w:val="center"/>
          </w:tcPr>
          <w:p>
            <w:pPr>
              <w:pStyle w:val="TableContents"/>
              <w:bidi w:val="0"/>
              <w:spacing w:before="0" w:after="283"/>
              <w:jc w:val="left"/>
              <w:rPr/>
            </w:pPr>
            <w:hyperlink w:anchor="BSdd101_176202664455945">
              <w:r>
                <w:rPr>
                  <w:rStyle w:val="InternetLink"/>
                </w:rPr>
                <w:t>Covenants Regarding Financing.</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2_17620266458493">
              <w:r>
                <w:rPr>
                  <w:rStyle w:val="InternetLink"/>
                  <w:rFonts w:ascii="times new roman;times" w:hAnsi="times new roman;times"/>
                  <w:b w:val="false"/>
                  <w:i w:val="false"/>
                  <w:caps w:val="false"/>
                  <w:smallCaps w:val="false"/>
                  <w:spacing w:val="0"/>
                  <w:sz w:val="20"/>
                </w:rPr>
                <w:t>5.17</w:t>
              </w:r>
            </w:hyperlink>
          </w:p>
        </w:tc>
        <w:tc>
          <w:tcPr>
            <w:tcW w:w="9176" w:type="dxa"/>
            <w:tcBorders/>
            <w:vAlign w:val="center"/>
          </w:tcPr>
          <w:p>
            <w:pPr>
              <w:pStyle w:val="TableContents"/>
              <w:bidi w:val="0"/>
              <w:spacing w:before="0" w:after="283"/>
              <w:jc w:val="left"/>
              <w:rPr/>
            </w:pPr>
            <w:hyperlink w:anchor="BSdd102_17620266458493">
              <w:r>
                <w:rPr>
                  <w:rStyle w:val="InternetLink"/>
                </w:rPr>
                <w:t xml:space="preserve">Termination of Certain Agreements and Seller Debt. </w:t>
              </w:r>
            </w:hyperlink>
          </w:p>
        </w:tc>
        <w:tc>
          <w:tcPr>
            <w:tcW w:w="470" w:type="dxa"/>
            <w:tcBorders/>
            <w:vAlign w:val="center"/>
          </w:tcPr>
          <w:p>
            <w:pPr>
              <w:pStyle w:val="TableContents"/>
              <w:bidi w:val="0"/>
              <w:spacing w:before="0" w:after="283"/>
              <w:jc w:val="right"/>
              <w:rPr/>
            </w:pPr>
            <w:r>
              <w:rPr/>
              <w:t>A-60</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5_176202664519228">
              <w:r>
                <w:rPr>
                  <w:rStyle w:val="InternetLink"/>
                  <w:rFonts w:ascii="times new roman;times" w:hAnsi="times new roman;times"/>
                  <w:b w:val="false"/>
                  <w:i w:val="false"/>
                  <w:caps w:val="false"/>
                  <w:smallCaps w:val="false"/>
                  <w:spacing w:val="0"/>
                  <w:sz w:val="20"/>
                </w:rPr>
                <w:t>5.18</w:t>
              </w:r>
            </w:hyperlink>
          </w:p>
        </w:tc>
        <w:tc>
          <w:tcPr>
            <w:tcW w:w="9176" w:type="dxa"/>
            <w:tcBorders/>
            <w:vAlign w:val="center"/>
          </w:tcPr>
          <w:p>
            <w:pPr>
              <w:pStyle w:val="TableContents"/>
              <w:bidi w:val="0"/>
              <w:spacing w:before="0" w:after="283"/>
              <w:jc w:val="left"/>
              <w:rPr/>
            </w:pPr>
            <w:hyperlink w:anchor="BSdd105_176202664519228">
              <w:r>
                <w:rPr>
                  <w:rStyle w:val="InternetLink"/>
                </w:rPr>
                <w:t>Certificates.</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7_176202664531924">
              <w:r>
                <w:rPr>
                  <w:rStyle w:val="InternetLink"/>
                  <w:rFonts w:ascii="times new roman;times" w:hAnsi="times new roman;times"/>
                  <w:b w:val="false"/>
                  <w:i w:val="false"/>
                  <w:caps w:val="false"/>
                  <w:smallCaps w:val="false"/>
                  <w:spacing w:val="0"/>
                  <w:sz w:val="20"/>
                </w:rPr>
                <w:t>5.19</w:t>
              </w:r>
            </w:hyperlink>
          </w:p>
        </w:tc>
        <w:tc>
          <w:tcPr>
            <w:tcW w:w="9176" w:type="dxa"/>
            <w:tcBorders/>
            <w:vAlign w:val="center"/>
          </w:tcPr>
          <w:p>
            <w:pPr>
              <w:pStyle w:val="TableContents"/>
              <w:bidi w:val="0"/>
              <w:spacing w:before="0" w:after="283"/>
              <w:jc w:val="left"/>
              <w:rPr/>
            </w:pPr>
            <w:hyperlink w:anchor="BsDD107_176202664531924">
              <w:r>
                <w:rPr>
                  <w:rStyle w:val="InternetLink"/>
                </w:rPr>
                <w:t>Litigation</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09_176202664542637">
              <w:r>
                <w:rPr>
                  <w:rStyle w:val="InternetLink"/>
                  <w:rFonts w:ascii="times new roman;times" w:hAnsi="times new roman;times"/>
                  <w:b w:val="false"/>
                  <w:i w:val="false"/>
                  <w:caps w:val="false"/>
                  <w:smallCaps w:val="false"/>
                  <w:spacing w:val="0"/>
                  <w:sz w:val="20"/>
                </w:rPr>
                <w:t>5.20</w:t>
              </w:r>
            </w:hyperlink>
          </w:p>
        </w:tc>
        <w:tc>
          <w:tcPr>
            <w:tcW w:w="9176" w:type="dxa"/>
            <w:tcBorders/>
            <w:vAlign w:val="center"/>
          </w:tcPr>
          <w:p>
            <w:pPr>
              <w:pStyle w:val="TableContents"/>
              <w:bidi w:val="0"/>
              <w:spacing w:before="0" w:after="283"/>
              <w:jc w:val="left"/>
              <w:rPr/>
            </w:pPr>
            <w:hyperlink w:anchor="BsdD109_176202664542637">
              <w:r>
                <w:rPr>
                  <w:rStyle w:val="InternetLink"/>
                </w:rPr>
                <w:t>Information Rights.</w:t>
              </w:r>
            </w:hyperlink>
          </w:p>
        </w:tc>
        <w:tc>
          <w:tcPr>
            <w:tcW w:w="470" w:type="dxa"/>
            <w:tcBorders/>
            <w:vAlign w:val="center"/>
          </w:tcPr>
          <w:p>
            <w:pPr>
              <w:pStyle w:val="TableContents"/>
              <w:bidi w:val="0"/>
              <w:spacing w:before="0" w:after="283"/>
              <w:jc w:val="right"/>
              <w:rPr/>
            </w:pPr>
            <w:r>
              <w:rPr/>
              <w:t>A-61</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1_176202664552665">
              <w:r>
                <w:rPr>
                  <w:rStyle w:val="InternetLink"/>
                  <w:rFonts w:ascii="times new roman;times" w:hAnsi="times new roman;times"/>
                  <w:b w:val="false"/>
                  <w:i w:val="false"/>
                  <w:caps w:val="false"/>
                  <w:smallCaps w:val="false"/>
                  <w:spacing w:val="0"/>
                  <w:sz w:val="20"/>
                </w:rPr>
                <w:t>5.21</w:t>
              </w:r>
            </w:hyperlink>
          </w:p>
        </w:tc>
        <w:tc>
          <w:tcPr>
            <w:tcW w:w="9176" w:type="dxa"/>
            <w:tcBorders/>
            <w:vAlign w:val="center"/>
          </w:tcPr>
          <w:p>
            <w:pPr>
              <w:pStyle w:val="TableContents"/>
              <w:bidi w:val="0"/>
              <w:spacing w:before="0" w:after="283"/>
              <w:jc w:val="left"/>
              <w:rPr/>
            </w:pPr>
            <w:hyperlink w:anchor="BsDD111_176202664552665">
              <w:r>
                <w:rPr>
                  <w:rStyle w:val="InternetLink"/>
                </w:rPr>
                <w:t>ThinkEquity Fee</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3_17620266462244">
              <w:r>
                <w:rPr>
                  <w:rStyle w:val="InternetLink"/>
                  <w:rFonts w:ascii="times new roman;times" w:hAnsi="times new roman;times"/>
                  <w:b w:val="false"/>
                  <w:i w:val="false"/>
                  <w:caps w:val="false"/>
                  <w:smallCaps w:val="false"/>
                  <w:spacing w:val="0"/>
                  <w:sz w:val="20"/>
                </w:rPr>
                <w:t>5.22</w:t>
              </w:r>
            </w:hyperlink>
          </w:p>
        </w:tc>
        <w:tc>
          <w:tcPr>
            <w:tcW w:w="9176" w:type="dxa"/>
            <w:tcBorders/>
            <w:vAlign w:val="center"/>
          </w:tcPr>
          <w:p>
            <w:pPr>
              <w:pStyle w:val="TableContents"/>
              <w:bidi w:val="0"/>
              <w:spacing w:before="0" w:after="283"/>
              <w:jc w:val="left"/>
              <w:rPr/>
            </w:pPr>
            <w:hyperlink w:anchor="BsDD113_17620266462244">
              <w:r>
                <w:rPr>
                  <w:rStyle w:val="InternetLink"/>
                </w:rPr>
                <w:t>Advisor Shares</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115_176202664614694">
              <w:r>
                <w:rPr>
                  <w:rStyle w:val="InternetLink"/>
                  <w:rFonts w:ascii="times new roman;times" w:hAnsi="times new roman;times"/>
                  <w:b w:val="false"/>
                  <w:i w:val="false"/>
                  <w:caps w:val="false"/>
                  <w:smallCaps w:val="false"/>
                  <w:spacing w:val="0"/>
                  <w:sz w:val="20"/>
                </w:rPr>
                <w:t>5.23</w:t>
              </w:r>
            </w:hyperlink>
          </w:p>
        </w:tc>
        <w:tc>
          <w:tcPr>
            <w:tcW w:w="9176" w:type="dxa"/>
            <w:tcBorders/>
            <w:vAlign w:val="center"/>
          </w:tcPr>
          <w:p>
            <w:pPr>
              <w:pStyle w:val="TableContents"/>
              <w:bidi w:val="0"/>
              <w:spacing w:before="0" w:after="283"/>
              <w:jc w:val="left"/>
              <w:rPr/>
            </w:pPr>
            <w:hyperlink w:anchor="BsDD115_176202664614694">
              <w:r>
                <w:rPr>
                  <w:rStyle w:val="InternetLink"/>
                </w:rPr>
                <w:t>Equity Moratorium.</w:t>
              </w:r>
            </w:hyperlink>
          </w:p>
        </w:tc>
        <w:tc>
          <w:tcPr>
            <w:tcW w:w="470" w:type="dxa"/>
            <w:tcBorders/>
            <w:vAlign w:val="center"/>
          </w:tcPr>
          <w:p>
            <w:pPr>
              <w:pStyle w:val="TableContents"/>
              <w:bidi w:val="0"/>
              <w:spacing w:before="0" w:after="283"/>
              <w:jc w:val="right"/>
              <w:rPr/>
            </w:pPr>
            <w:r>
              <w:rPr/>
              <w:t>A-62</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DDD117_176202664628461">
              <w:r>
                <w:rPr>
                  <w:rStyle w:val="InternetLink"/>
                  <w:rFonts w:ascii="times new roman;times" w:hAnsi="times new roman;times"/>
                  <w:b w:val="false"/>
                  <w:i w:val="false"/>
                  <w:caps w:val="false"/>
                  <w:smallCaps w:val="false"/>
                  <w:spacing w:val="0"/>
                  <w:sz w:val="20"/>
                </w:rPr>
                <w:t>5.24</w:t>
              </w:r>
            </w:hyperlink>
          </w:p>
        </w:tc>
        <w:tc>
          <w:tcPr>
            <w:tcW w:w="9176" w:type="dxa"/>
            <w:tcBorders/>
            <w:vAlign w:val="center"/>
          </w:tcPr>
          <w:p>
            <w:pPr>
              <w:pStyle w:val="TableContents"/>
              <w:bidi w:val="0"/>
              <w:spacing w:before="0" w:after="283"/>
              <w:jc w:val="left"/>
              <w:rPr/>
            </w:pPr>
            <w:hyperlink w:anchor="BsDDD117_176202664628461">
              <w:r>
                <w:rPr>
                  <w:rStyle w:val="InternetLink"/>
                </w:rPr>
                <w:t>Seller Voting Agreement.</w:t>
              </w:r>
            </w:hyperlink>
          </w:p>
        </w:tc>
        <w:tc>
          <w:tcPr>
            <w:tcW w:w="470" w:type="dxa"/>
            <w:tcBorders/>
            <w:vAlign w:val="center"/>
          </w:tcPr>
          <w:p>
            <w:pPr>
              <w:pStyle w:val="TableContents"/>
              <w:bidi w:val="0"/>
              <w:spacing w:before="0" w:after="283"/>
              <w:jc w:val="right"/>
              <w:rPr/>
            </w:pPr>
            <w:r>
              <w:rPr/>
              <w:t>A-65</w:t>
            </w:r>
          </w:p>
        </w:tc>
      </w:tr>
      <w:tr>
        <w:trPr/>
        <w:tc>
          <w:tcPr>
            <w:tcW w:w="9735" w:type="dxa"/>
            <w:gridSpan w:val="3"/>
            <w:tcBorders/>
            <w:vAlign w:val="center"/>
          </w:tcPr>
          <w:p>
            <w:pPr>
              <w:pStyle w:val="TableContents"/>
              <w:bidi w:val="0"/>
              <w:spacing w:before="0" w:after="283"/>
              <w:jc w:val="left"/>
              <w:rPr/>
            </w:pPr>
            <w:hyperlink w:anchor="BSB-01_17620261057694">
              <w:r>
                <w:rPr>
                  <w:rStyle w:val="InternetLink"/>
                </w:rPr>
                <w:t>ARTICLE 6 CONDITIONS PRECEDENT TO OBLIGATIONS OF EACH PARTY</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2_17620261063930">
              <w:r>
                <w:rPr>
                  <w:rStyle w:val="InternetLink"/>
                  <w:rFonts w:ascii="times new roman;times" w:hAnsi="times new roman;times"/>
                  <w:b w:val="false"/>
                  <w:i w:val="false"/>
                  <w:caps w:val="false"/>
                  <w:smallCaps w:val="false"/>
                  <w:spacing w:val="0"/>
                  <w:sz w:val="20"/>
                </w:rPr>
                <w:t>6.1 </w:t>
              </w:r>
            </w:hyperlink>
          </w:p>
        </w:tc>
        <w:tc>
          <w:tcPr>
            <w:tcW w:w="9176" w:type="dxa"/>
            <w:tcBorders/>
            <w:vAlign w:val="center"/>
          </w:tcPr>
          <w:p>
            <w:pPr>
              <w:pStyle w:val="TableContents"/>
              <w:bidi w:val="0"/>
              <w:spacing w:before="0" w:after="283"/>
              <w:jc w:val="left"/>
              <w:rPr/>
            </w:pPr>
            <w:hyperlink w:anchor="BSB-02_17620261063930">
              <w:r>
                <w:rPr>
                  <w:rStyle w:val="InternetLink"/>
                </w:rPr>
                <w:t xml:space="preserve">Effectiveness of Registration Statement. </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3_176202610617207">
              <w:r>
                <w:rPr>
                  <w:rStyle w:val="InternetLink"/>
                  <w:rFonts w:ascii="times new roman;times" w:hAnsi="times new roman;times"/>
                  <w:b w:val="false"/>
                  <w:i w:val="false"/>
                  <w:caps w:val="false"/>
                  <w:smallCaps w:val="false"/>
                  <w:spacing w:val="0"/>
                  <w:sz w:val="20"/>
                </w:rPr>
                <w:t>6.2 </w:t>
              </w:r>
            </w:hyperlink>
          </w:p>
        </w:tc>
        <w:tc>
          <w:tcPr>
            <w:tcW w:w="9176" w:type="dxa"/>
            <w:tcBorders/>
            <w:vAlign w:val="center"/>
          </w:tcPr>
          <w:p>
            <w:pPr>
              <w:pStyle w:val="TableContents"/>
              <w:bidi w:val="0"/>
              <w:spacing w:before="0" w:after="283"/>
              <w:jc w:val="left"/>
              <w:rPr/>
            </w:pPr>
            <w:hyperlink w:anchor="BSB-03_176202610617207">
              <w:r>
                <w:rPr>
                  <w:rStyle w:val="InternetLink"/>
                </w:rPr>
                <w:t>No Restraints</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4_176202610625705">
              <w:r>
                <w:rPr>
                  <w:rStyle w:val="InternetLink"/>
                  <w:rFonts w:ascii="times new roman;times" w:hAnsi="times new roman;times"/>
                  <w:b w:val="false"/>
                  <w:i w:val="false"/>
                  <w:caps w:val="false"/>
                  <w:smallCaps w:val="false"/>
                  <w:spacing w:val="0"/>
                  <w:sz w:val="20"/>
                </w:rPr>
                <w:t>6.3 </w:t>
              </w:r>
            </w:hyperlink>
          </w:p>
        </w:tc>
        <w:tc>
          <w:tcPr>
            <w:tcW w:w="9176" w:type="dxa"/>
            <w:tcBorders/>
            <w:vAlign w:val="center"/>
          </w:tcPr>
          <w:p>
            <w:pPr>
              <w:pStyle w:val="TableContents"/>
              <w:bidi w:val="0"/>
              <w:spacing w:before="0" w:after="283"/>
              <w:jc w:val="left"/>
              <w:rPr/>
            </w:pPr>
            <w:hyperlink w:anchor="BSB-04_176202610625705">
              <w:r>
                <w:rPr>
                  <w:rStyle w:val="InternetLink"/>
                </w:rPr>
                <w:t>Stockholder Approval</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5_176202610634679">
              <w:r>
                <w:rPr>
                  <w:rStyle w:val="InternetLink"/>
                  <w:rFonts w:ascii="times new roman;times" w:hAnsi="times new roman;times"/>
                  <w:b w:val="false"/>
                  <w:i w:val="false"/>
                  <w:caps w:val="false"/>
                  <w:smallCaps w:val="false"/>
                  <w:spacing w:val="0"/>
                  <w:sz w:val="20"/>
                </w:rPr>
                <w:t>6.4 </w:t>
              </w:r>
            </w:hyperlink>
          </w:p>
        </w:tc>
        <w:tc>
          <w:tcPr>
            <w:tcW w:w="9176" w:type="dxa"/>
            <w:tcBorders/>
            <w:vAlign w:val="center"/>
          </w:tcPr>
          <w:p>
            <w:pPr>
              <w:pStyle w:val="TableContents"/>
              <w:bidi w:val="0"/>
              <w:spacing w:before="0" w:after="283"/>
              <w:jc w:val="left"/>
              <w:rPr/>
            </w:pPr>
            <w:hyperlink w:anchor="BSB-05_176202610634679">
              <w:r>
                <w:rPr>
                  <w:rStyle w:val="InternetLink"/>
                </w:rPr>
                <w:t xml:space="preserve">Listing. </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6_176202610646208">
              <w:r>
                <w:rPr>
                  <w:rStyle w:val="InternetLink"/>
                  <w:rFonts w:ascii="times new roman" w:hAnsi="times new roman"/>
                  <w:b w:val="false"/>
                  <w:i w:val="false"/>
                  <w:caps w:val="false"/>
                  <w:smallCaps w:val="false"/>
                  <w:spacing w:val="0"/>
                  <w:sz w:val="20"/>
                </w:rPr>
                <w:t>6.5 </w:t>
              </w:r>
            </w:hyperlink>
          </w:p>
        </w:tc>
        <w:tc>
          <w:tcPr>
            <w:tcW w:w="9176" w:type="dxa"/>
            <w:tcBorders/>
            <w:vAlign w:val="center"/>
          </w:tcPr>
          <w:p>
            <w:pPr>
              <w:pStyle w:val="TableContents"/>
              <w:bidi w:val="0"/>
              <w:spacing w:before="0" w:after="283"/>
              <w:jc w:val="left"/>
              <w:rPr/>
            </w:pPr>
            <w:hyperlink w:anchor="BSB-06_176202610646208">
              <w:r>
                <w:rPr>
                  <w:rStyle w:val="InternetLink"/>
                </w:rPr>
                <w:t>Financing</w:t>
              </w:r>
            </w:hyperlink>
          </w:p>
        </w:tc>
        <w:tc>
          <w:tcPr>
            <w:tcW w:w="470" w:type="dxa"/>
            <w:tcBorders/>
            <w:vAlign w:val="center"/>
          </w:tcPr>
          <w:p>
            <w:pPr>
              <w:pStyle w:val="TableContents"/>
              <w:bidi w:val="0"/>
              <w:spacing w:before="0" w:after="283"/>
              <w:jc w:val="right"/>
              <w:rPr/>
            </w:pPr>
            <w:r>
              <w:rPr/>
              <w:t>A-66</w:t>
            </w:r>
          </w:p>
        </w:tc>
      </w:tr>
      <w:tr>
        <w:trPr/>
        <w:tc>
          <w:tcPr>
            <w:tcW w:w="9735" w:type="dxa"/>
            <w:gridSpan w:val="3"/>
            <w:tcBorders/>
            <w:vAlign w:val="center"/>
          </w:tcPr>
          <w:p>
            <w:pPr>
              <w:pStyle w:val="TableContents"/>
              <w:bidi w:val="0"/>
              <w:spacing w:before="0" w:after="283"/>
              <w:jc w:val="left"/>
              <w:rPr/>
            </w:pPr>
            <w:hyperlink w:anchor="BSB-07_176202610732105">
              <w:r>
                <w:rPr>
                  <w:rStyle w:val="InternetLink"/>
                </w:rPr>
                <w:t>ARTICLE 7 ADDITIONAL CONDITIONS PRECEDENT TO OBLIGATIONS OF PARENT AND MERGER SUB</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8_176202610745687">
              <w:r>
                <w:rPr>
                  <w:rStyle w:val="InternetLink"/>
                  <w:rFonts w:ascii="times new roman;times" w:hAnsi="times new roman;times"/>
                  <w:b w:val="false"/>
                  <w:i w:val="false"/>
                  <w:caps w:val="false"/>
                  <w:smallCaps w:val="false"/>
                  <w:spacing w:val="0"/>
                  <w:sz w:val="20"/>
                </w:rPr>
                <w:t>7.1 </w:t>
              </w:r>
            </w:hyperlink>
          </w:p>
        </w:tc>
        <w:tc>
          <w:tcPr>
            <w:tcW w:w="9176" w:type="dxa"/>
            <w:tcBorders/>
            <w:vAlign w:val="center"/>
          </w:tcPr>
          <w:p>
            <w:pPr>
              <w:pStyle w:val="TableContents"/>
              <w:bidi w:val="0"/>
              <w:spacing w:before="0" w:after="283"/>
              <w:jc w:val="left"/>
              <w:rPr/>
            </w:pPr>
            <w:hyperlink w:anchor="BSB-08_176202610745687">
              <w:r>
                <w:rPr>
                  <w:rStyle w:val="InternetLink"/>
                </w:rPr>
                <w:t>Accuracy of Representations</w:t>
              </w:r>
            </w:hyperlink>
          </w:p>
        </w:tc>
        <w:tc>
          <w:tcPr>
            <w:tcW w:w="470" w:type="dxa"/>
            <w:tcBorders/>
            <w:vAlign w:val="center"/>
          </w:tcPr>
          <w:p>
            <w:pPr>
              <w:pStyle w:val="TableContents"/>
              <w:bidi w:val="0"/>
              <w:spacing w:before="0" w:after="283"/>
              <w:jc w:val="right"/>
              <w:rPr/>
            </w:pPr>
            <w:r>
              <w:rPr/>
              <w:t>A-66</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09_176202610755225">
              <w:r>
                <w:rPr>
                  <w:rStyle w:val="InternetLink"/>
                  <w:rFonts w:ascii="times new roman;times" w:hAnsi="times new roman;times"/>
                  <w:b w:val="false"/>
                  <w:i w:val="false"/>
                  <w:caps w:val="false"/>
                  <w:smallCaps w:val="false"/>
                  <w:spacing w:val="0"/>
                  <w:sz w:val="20"/>
                </w:rPr>
                <w:t>7.2 </w:t>
              </w:r>
            </w:hyperlink>
          </w:p>
        </w:tc>
        <w:tc>
          <w:tcPr>
            <w:tcW w:w="9176" w:type="dxa"/>
            <w:tcBorders/>
            <w:vAlign w:val="center"/>
          </w:tcPr>
          <w:p>
            <w:pPr>
              <w:pStyle w:val="TableContents"/>
              <w:bidi w:val="0"/>
              <w:spacing w:before="0" w:after="283"/>
              <w:jc w:val="left"/>
              <w:rPr/>
            </w:pPr>
            <w:hyperlink w:anchor="BSB-09_176202610755225">
              <w:r>
                <w:rPr>
                  <w:rStyle w:val="InternetLink"/>
                </w:rPr>
                <w:t>Performance of Covenants</w:t>
              </w:r>
            </w:hyperlink>
          </w:p>
        </w:tc>
        <w:tc>
          <w:tcPr>
            <w:tcW w:w="470" w:type="dxa"/>
            <w:tcBorders/>
            <w:vAlign w:val="center"/>
          </w:tcPr>
          <w:p>
            <w:pPr>
              <w:pStyle w:val="TableContents"/>
              <w:bidi w:val="0"/>
              <w:spacing w:before="0" w:after="283"/>
              <w:jc w:val="right"/>
              <w:rPr/>
            </w:pPr>
            <w:r>
              <w:rPr/>
              <w:t>A-67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0_17620261089263">
              <w:r>
                <w:rPr>
                  <w:rStyle w:val="InternetLink"/>
                  <w:rFonts w:ascii="times new roman;times" w:hAnsi="times new roman;times"/>
                  <w:b w:val="false"/>
                  <w:i w:val="false"/>
                  <w:caps w:val="false"/>
                  <w:smallCaps w:val="false"/>
                  <w:spacing w:val="0"/>
                  <w:sz w:val="20"/>
                </w:rPr>
                <w:t>7.3 </w:t>
              </w:r>
            </w:hyperlink>
          </w:p>
        </w:tc>
        <w:tc>
          <w:tcPr>
            <w:tcW w:w="9176" w:type="dxa"/>
            <w:tcBorders/>
            <w:vAlign w:val="center"/>
          </w:tcPr>
          <w:p>
            <w:pPr>
              <w:pStyle w:val="TableContents"/>
              <w:bidi w:val="0"/>
              <w:spacing w:before="0" w:after="283"/>
              <w:jc w:val="left"/>
              <w:rPr/>
            </w:pPr>
            <w:hyperlink w:anchor="BSB-10_17620261089263">
              <w:r>
                <w:rPr>
                  <w:rStyle w:val="InternetLink"/>
                </w:rPr>
                <w:t>Documents</w:t>
              </w:r>
            </w:hyperlink>
          </w:p>
        </w:tc>
        <w:tc>
          <w:tcPr>
            <w:tcW w:w="470" w:type="dxa"/>
            <w:tcBorders/>
            <w:vAlign w:val="center"/>
          </w:tcPr>
          <w:p>
            <w:pPr>
              <w:pStyle w:val="TableContents"/>
              <w:bidi w:val="0"/>
              <w:spacing w:before="0" w:after="283"/>
              <w:jc w:val="right"/>
              <w:rPr/>
            </w:pPr>
            <w:r>
              <w:rPr/>
              <w:t>A-67</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1_176202610826259">
              <w:r>
                <w:rPr>
                  <w:rStyle w:val="InternetLink"/>
                  <w:rFonts w:ascii="times new roman;times" w:hAnsi="times new roman;times"/>
                  <w:b w:val="false"/>
                  <w:i w:val="false"/>
                  <w:caps w:val="false"/>
                  <w:smallCaps w:val="false"/>
                  <w:spacing w:val="0"/>
                  <w:sz w:val="20"/>
                </w:rPr>
                <w:t>7.4 </w:t>
              </w:r>
            </w:hyperlink>
          </w:p>
        </w:tc>
        <w:tc>
          <w:tcPr>
            <w:tcW w:w="9176" w:type="dxa"/>
            <w:tcBorders/>
            <w:vAlign w:val="center"/>
          </w:tcPr>
          <w:p>
            <w:pPr>
              <w:pStyle w:val="TableContents"/>
              <w:bidi w:val="0"/>
              <w:spacing w:before="0" w:after="283"/>
              <w:jc w:val="left"/>
              <w:rPr/>
            </w:pPr>
            <w:hyperlink w:anchor="BSB-11_176202610826259">
              <w:r>
                <w:rPr>
                  <w:rStyle w:val="InternetLink"/>
                </w:rPr>
                <w:t>No Company Material Adverse Effect</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2_176202610836433">
              <w:r>
                <w:rPr>
                  <w:rStyle w:val="InternetLink"/>
                  <w:rFonts w:ascii="times new roman;times" w:hAnsi="times new roman;times"/>
                  <w:b w:val="false"/>
                  <w:i w:val="false"/>
                  <w:caps w:val="false"/>
                  <w:smallCaps w:val="false"/>
                  <w:spacing w:val="0"/>
                  <w:sz w:val="20"/>
                </w:rPr>
                <w:t>7.5 </w:t>
              </w:r>
            </w:hyperlink>
          </w:p>
        </w:tc>
        <w:tc>
          <w:tcPr>
            <w:tcW w:w="9176" w:type="dxa"/>
            <w:tcBorders/>
            <w:vAlign w:val="center"/>
          </w:tcPr>
          <w:p>
            <w:pPr>
              <w:pStyle w:val="TableContents"/>
              <w:bidi w:val="0"/>
              <w:spacing w:before="0" w:after="283"/>
              <w:jc w:val="left"/>
              <w:rPr/>
            </w:pPr>
            <w:hyperlink w:anchor="BSB-12_176202610836433">
              <w:r>
                <w:rPr>
                  <w:rStyle w:val="InternetLink"/>
                </w:rPr>
                <w:t>Termination of Investor Agreements and Seller Debt.</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3_176202610846572">
              <w:r>
                <w:rPr>
                  <w:rStyle w:val="InternetLink"/>
                  <w:rFonts w:ascii="times new roman;times" w:hAnsi="times new roman;times"/>
                  <w:b w:val="false"/>
                  <w:i w:val="false"/>
                  <w:caps w:val="false"/>
                  <w:smallCaps w:val="false"/>
                  <w:spacing w:val="0"/>
                  <w:sz w:val="20"/>
                </w:rPr>
                <w:t>7.6 </w:t>
              </w:r>
            </w:hyperlink>
          </w:p>
        </w:tc>
        <w:tc>
          <w:tcPr>
            <w:tcW w:w="9176" w:type="dxa"/>
            <w:tcBorders/>
            <w:vAlign w:val="center"/>
          </w:tcPr>
          <w:p>
            <w:pPr>
              <w:pStyle w:val="TableContents"/>
              <w:bidi w:val="0"/>
              <w:spacing w:before="0" w:after="283"/>
              <w:jc w:val="left"/>
              <w:rPr/>
            </w:pPr>
            <w:hyperlink w:anchor="BSB-13_176202610846572">
              <w:r>
                <w:rPr>
                  <w:rStyle w:val="InternetLink"/>
                </w:rPr>
                <w:t xml:space="preserve">Lock-Up Agreements. </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4_176202610859988">
              <w:r>
                <w:rPr>
                  <w:rStyle w:val="InternetLink"/>
                  <w:rFonts w:ascii="times new roman;times" w:hAnsi="times new roman;times"/>
                  <w:b w:val="false"/>
                  <w:i w:val="false"/>
                  <w:caps w:val="false"/>
                  <w:smallCaps w:val="false"/>
                  <w:spacing w:val="0"/>
                  <w:sz w:val="20"/>
                </w:rPr>
                <w:t>7.7 </w:t>
              </w:r>
            </w:hyperlink>
          </w:p>
        </w:tc>
        <w:tc>
          <w:tcPr>
            <w:tcW w:w="9176" w:type="dxa"/>
            <w:tcBorders/>
            <w:vAlign w:val="center"/>
          </w:tcPr>
          <w:p>
            <w:pPr>
              <w:pStyle w:val="TableContents"/>
              <w:bidi w:val="0"/>
              <w:spacing w:before="0" w:after="283"/>
              <w:jc w:val="left"/>
              <w:rPr/>
            </w:pPr>
            <w:hyperlink w:anchor="BSB-14_176202610859988">
              <w:r>
                <w:rPr>
                  <w:rStyle w:val="InternetLink"/>
                </w:rPr>
                <w:t>Nasdaq Approval</w:t>
              </w:r>
            </w:hyperlink>
          </w:p>
        </w:tc>
        <w:tc>
          <w:tcPr>
            <w:tcW w:w="470" w:type="dxa"/>
            <w:tcBorders/>
            <w:vAlign w:val="center"/>
          </w:tcPr>
          <w:p>
            <w:pPr>
              <w:pStyle w:val="TableContents"/>
              <w:bidi w:val="0"/>
              <w:spacing w:before="0" w:after="283"/>
              <w:jc w:val="right"/>
              <w:rPr/>
            </w:pPr>
            <w:r>
              <w:rPr/>
              <w:t>A-68</w:t>
            </w:r>
          </w:p>
        </w:tc>
      </w:tr>
      <w:tr>
        <w:trPr/>
        <w:tc>
          <w:tcPr>
            <w:tcW w:w="31" w:type="dxa"/>
            <w:tcBorders/>
            <w:vAlign w:val="center"/>
          </w:tcPr>
          <w:p>
            <w:pPr>
              <w:pStyle w:val="TableContents"/>
              <w:bidi w:val="0"/>
              <w:spacing w:before="0" w:after="283"/>
              <w:jc w:val="left"/>
              <w:rPr/>
            </w:pPr>
            <w:r>
              <w:rPr/>
            </w:r>
          </w:p>
        </w:tc>
        <w:tc>
          <w:tcPr>
            <w:tcW w:w="528" w:type="dxa"/>
            <w:tcBorders/>
            <w:vAlign w:val="center"/>
          </w:tcPr>
          <w:p>
            <w:pPr>
              <w:pStyle w:val="TableContents"/>
              <w:widowControl/>
              <w:bidi w:val="0"/>
              <w:spacing w:before="0" w:after="283"/>
              <w:ind w:left="0" w:right="0" w:hanging="0"/>
              <w:jc w:val="left"/>
              <w:rPr/>
            </w:pPr>
            <w:hyperlink w:anchor="BSB-15_17620261099599">
              <w:r>
                <w:rPr>
                  <w:rStyle w:val="InternetLink"/>
                  <w:rFonts w:ascii="times new roman;times" w:hAnsi="times new roman;times"/>
                  <w:b w:val="false"/>
                  <w:i w:val="false"/>
                  <w:caps w:val="false"/>
                  <w:smallCaps w:val="false"/>
                  <w:spacing w:val="0"/>
                  <w:sz w:val="20"/>
                </w:rPr>
                <w:t>7.8 </w:t>
              </w:r>
            </w:hyperlink>
          </w:p>
        </w:tc>
        <w:tc>
          <w:tcPr>
            <w:tcW w:w="9176" w:type="dxa"/>
            <w:tcBorders/>
            <w:vAlign w:val="center"/>
          </w:tcPr>
          <w:p>
            <w:pPr>
              <w:pStyle w:val="TableContents"/>
              <w:bidi w:val="0"/>
              <w:spacing w:before="0" w:after="283"/>
              <w:jc w:val="left"/>
              <w:rPr/>
            </w:pPr>
            <w:hyperlink w:anchor="BSB-15_17620261099599">
              <w:r>
                <w:rPr>
                  <w:rStyle w:val="InternetLink"/>
                </w:rPr>
                <w:t>Seller Voting Agreement</w:t>
              </w:r>
            </w:hyperlink>
          </w:p>
        </w:tc>
        <w:tc>
          <w:tcPr>
            <w:tcW w:w="470" w:type="dxa"/>
            <w:tcBorders/>
            <w:vAlign w:val="center"/>
          </w:tcPr>
          <w:p>
            <w:pPr>
              <w:pStyle w:val="TableContents"/>
              <w:bidi w:val="0"/>
              <w:spacing w:before="0" w:after="283"/>
              <w:jc w:val="right"/>
              <w:rPr/>
            </w:pPr>
            <w:r>
              <w:rPr/>
              <w:t>A-68</w:t>
            </w:r>
          </w:p>
        </w:tc>
      </w:tr>
    </w:tbl>
    <w:p>
      <w:pPr>
        <w:pStyle w:val="TextBody"/>
        <w:bidi w:val="0"/>
        <w:spacing w:before="0" w:after="0"/>
        <w:jc w:val="left"/>
        <w:rPr/>
      </w:pPr>
      <w:r>
        <w:rPr/>
      </w:r>
    </w:p>
    <w:tbl>
      <w:tblPr>
        <w:tblW w:w="346" w:type="dxa"/>
        <w:jc w:val="left"/>
        <w:tblInd w:w="0" w:type="dxa"/>
        <w:tblLayout w:type="fixed"/>
        <w:tblCellMar>
          <w:top w:w="0" w:type="dxa"/>
          <w:left w:w="0" w:type="dxa"/>
          <w:bottom w:w="0" w:type="dxa"/>
          <w:right w:w="0" w:type="dxa"/>
        </w:tblCellMar>
      </w:tblPr>
      <w:tblGrid>
        <w:gridCol w:w="346"/>
      </w:tblGrid>
      <w:tr>
        <w:trPr/>
        <w:tc>
          <w:tcPr>
            <w:tcW w:w="346" w:type="dxa"/>
            <w:tcBorders/>
            <w:vAlign w:val="center"/>
          </w:tcPr>
          <w:p>
            <w:pPr>
              <w:pStyle w:val="TableContents"/>
              <w:bidi w:val="0"/>
              <w:spacing w:before="0" w:after="283"/>
              <w:jc w:val="center"/>
              <w:rPr>
                <w:sz w:val="20"/>
              </w:rPr>
            </w:pPr>
            <w:r>
              <w:rPr>
                <w:sz w:val="20"/>
              </w:rPr>
              <w:t>iii</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
        <w:gridCol w:w="945"/>
        <w:gridCol w:w="8717"/>
        <w:gridCol w:w="503"/>
      </w:tblGrid>
      <w:tr>
        <w:trPr/>
        <w:tc>
          <w:tcPr>
            <w:tcW w:w="9702" w:type="dxa"/>
            <w:gridSpan w:val="3"/>
            <w:tcBorders/>
            <w:vAlign w:val="center"/>
          </w:tcPr>
          <w:p>
            <w:pPr>
              <w:pStyle w:val="TableContents"/>
              <w:bidi w:val="0"/>
              <w:spacing w:before="0" w:after="283"/>
              <w:jc w:val="left"/>
              <w:rPr/>
            </w:pPr>
            <w:hyperlink w:anchor="BSB-16_176202610925919">
              <w:r>
                <w:rPr>
                  <w:rStyle w:val="InternetLink"/>
                </w:rPr>
                <w:t>ARTICLE 8 ADDITIONAL CONDITIONS PRECEDENT TO OBLIGATIONS OF THE COMPANY</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7_176202610935176">
              <w:r>
                <w:rPr>
                  <w:rStyle w:val="InternetLink"/>
                  <w:rFonts w:ascii="times new roman;times" w:hAnsi="times new roman;times"/>
                  <w:b w:val="false"/>
                  <w:i w:val="false"/>
                  <w:caps w:val="false"/>
                  <w:smallCaps w:val="false"/>
                  <w:spacing w:val="0"/>
                  <w:sz w:val="20"/>
                </w:rPr>
                <w:t>8.1 </w:t>
              </w:r>
            </w:hyperlink>
          </w:p>
        </w:tc>
        <w:tc>
          <w:tcPr>
            <w:tcW w:w="8717" w:type="dxa"/>
            <w:tcBorders/>
            <w:vAlign w:val="center"/>
          </w:tcPr>
          <w:p>
            <w:pPr>
              <w:pStyle w:val="TableContents"/>
              <w:bidi w:val="0"/>
              <w:spacing w:before="0" w:after="283"/>
              <w:jc w:val="left"/>
              <w:rPr/>
            </w:pPr>
            <w:hyperlink w:anchor="BSB-17_176202610935176">
              <w:r>
                <w:rPr>
                  <w:rStyle w:val="InternetLink"/>
                </w:rPr>
                <w:t>Accuracy of Representations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8_176202610945346">
              <w:r>
                <w:rPr>
                  <w:rStyle w:val="InternetLink"/>
                  <w:rFonts w:ascii="times new roman;times" w:hAnsi="times new roman;times"/>
                  <w:b w:val="false"/>
                  <w:i w:val="false"/>
                  <w:caps w:val="false"/>
                  <w:smallCaps w:val="false"/>
                  <w:spacing w:val="0"/>
                  <w:sz w:val="20"/>
                </w:rPr>
                <w:t>8.2 </w:t>
              </w:r>
            </w:hyperlink>
          </w:p>
        </w:tc>
        <w:tc>
          <w:tcPr>
            <w:tcW w:w="8717" w:type="dxa"/>
            <w:tcBorders/>
            <w:vAlign w:val="center"/>
          </w:tcPr>
          <w:p>
            <w:pPr>
              <w:pStyle w:val="TableContents"/>
              <w:bidi w:val="0"/>
              <w:spacing w:before="0" w:after="283"/>
              <w:jc w:val="left"/>
              <w:rPr/>
            </w:pPr>
            <w:hyperlink w:anchor="BSB-18_176202610945346">
              <w:r>
                <w:rPr>
                  <w:rStyle w:val="InternetLink"/>
                </w:rPr>
                <w:t>Performance of Covenants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19_176202610955608">
              <w:r>
                <w:rPr>
                  <w:rStyle w:val="InternetLink"/>
                  <w:rFonts w:ascii="times new roman;times" w:hAnsi="times new roman;times"/>
                  <w:b w:val="false"/>
                  <w:i w:val="false"/>
                  <w:caps w:val="false"/>
                  <w:smallCaps w:val="false"/>
                  <w:spacing w:val="0"/>
                  <w:sz w:val="20"/>
                </w:rPr>
                <w:t>8.3 </w:t>
              </w:r>
            </w:hyperlink>
          </w:p>
        </w:tc>
        <w:tc>
          <w:tcPr>
            <w:tcW w:w="8717" w:type="dxa"/>
            <w:tcBorders/>
            <w:vAlign w:val="center"/>
          </w:tcPr>
          <w:p>
            <w:pPr>
              <w:pStyle w:val="TableContents"/>
              <w:bidi w:val="0"/>
              <w:spacing w:before="0" w:after="283"/>
              <w:jc w:val="left"/>
              <w:rPr/>
            </w:pPr>
            <w:hyperlink w:anchor="BSB-19_176202610955608">
              <w:r>
                <w:rPr>
                  <w:rStyle w:val="InternetLink"/>
                </w:rPr>
                <w:t>Documents</w:t>
              </w:r>
            </w:hyperlink>
          </w:p>
        </w:tc>
        <w:tc>
          <w:tcPr>
            <w:tcW w:w="503" w:type="dxa"/>
            <w:tcBorders/>
            <w:vAlign w:val="center"/>
          </w:tcPr>
          <w:p>
            <w:pPr>
              <w:pStyle w:val="TableContents"/>
              <w:bidi w:val="0"/>
              <w:spacing w:before="0" w:after="283"/>
              <w:jc w:val="right"/>
              <w:rPr/>
            </w:pPr>
            <w:r>
              <w:rPr/>
              <w:t>A-68</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0_176202610107783">
              <w:r>
                <w:rPr>
                  <w:rStyle w:val="InternetLink"/>
                  <w:rFonts w:ascii="times new roman;times" w:hAnsi="times new roman;times"/>
                  <w:b w:val="false"/>
                  <w:i w:val="false"/>
                  <w:caps w:val="false"/>
                  <w:smallCaps w:val="false"/>
                  <w:spacing w:val="0"/>
                  <w:sz w:val="20"/>
                </w:rPr>
                <w:t>8.4 </w:t>
              </w:r>
            </w:hyperlink>
          </w:p>
        </w:tc>
        <w:tc>
          <w:tcPr>
            <w:tcW w:w="8717" w:type="dxa"/>
            <w:tcBorders/>
            <w:vAlign w:val="center"/>
          </w:tcPr>
          <w:p>
            <w:pPr>
              <w:pStyle w:val="TableContents"/>
              <w:bidi w:val="0"/>
              <w:spacing w:before="0" w:after="283"/>
              <w:jc w:val="left"/>
              <w:rPr/>
            </w:pPr>
            <w:hyperlink w:anchor="BSB-20_176202610107783">
              <w:r>
                <w:rPr>
                  <w:rStyle w:val="InternetLink"/>
                </w:rPr>
                <w:t>Board of Directors</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1_1762026101017402">
              <w:r>
                <w:rPr>
                  <w:rStyle w:val="InternetLink"/>
                  <w:rFonts w:ascii="times new roman;times" w:hAnsi="times new roman;times"/>
                  <w:b w:val="false"/>
                  <w:i w:val="false"/>
                  <w:caps w:val="false"/>
                  <w:smallCaps w:val="false"/>
                  <w:spacing w:val="0"/>
                  <w:sz w:val="20"/>
                </w:rPr>
                <w:t>8.5 </w:t>
              </w:r>
            </w:hyperlink>
          </w:p>
        </w:tc>
        <w:tc>
          <w:tcPr>
            <w:tcW w:w="8717" w:type="dxa"/>
            <w:tcBorders/>
            <w:vAlign w:val="center"/>
          </w:tcPr>
          <w:p>
            <w:pPr>
              <w:pStyle w:val="TableContents"/>
              <w:bidi w:val="0"/>
              <w:spacing w:before="0" w:after="283"/>
              <w:jc w:val="left"/>
              <w:rPr/>
            </w:pPr>
            <w:hyperlink w:anchor="BSB-21_1762026101017402">
              <w:r>
                <w:rPr>
                  <w:rStyle w:val="InternetLink"/>
                </w:rPr>
                <w:t>No Parent Material Adverse Effect</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2_1762026101025956">
              <w:r>
                <w:rPr>
                  <w:rStyle w:val="InternetLink"/>
                  <w:rFonts w:ascii="times new roman;times" w:hAnsi="times new roman;times"/>
                  <w:b w:val="false"/>
                  <w:i w:val="false"/>
                  <w:caps w:val="false"/>
                  <w:smallCaps w:val="false"/>
                  <w:spacing w:val="0"/>
                  <w:sz w:val="20"/>
                </w:rPr>
                <w:t>8.6 </w:t>
              </w:r>
            </w:hyperlink>
          </w:p>
        </w:tc>
        <w:tc>
          <w:tcPr>
            <w:tcW w:w="8717" w:type="dxa"/>
            <w:tcBorders/>
            <w:vAlign w:val="center"/>
          </w:tcPr>
          <w:p>
            <w:pPr>
              <w:pStyle w:val="TableContents"/>
              <w:bidi w:val="0"/>
              <w:spacing w:before="0" w:after="283"/>
              <w:jc w:val="left"/>
              <w:rPr/>
            </w:pPr>
            <w:hyperlink w:anchor="BSB-22_1762026101025956">
              <w:r>
                <w:rPr>
                  <w:rStyle w:val="InternetLink"/>
                </w:rPr>
                <w:t>Parent Net Cash Requirement</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3_1762026101036234">
              <w:r>
                <w:rPr>
                  <w:rStyle w:val="InternetLink"/>
                  <w:rFonts w:ascii="times new roman;times" w:hAnsi="times new roman;times"/>
                  <w:b w:val="false"/>
                  <w:i w:val="false"/>
                  <w:caps w:val="false"/>
                  <w:smallCaps w:val="false"/>
                  <w:spacing w:val="0"/>
                  <w:sz w:val="20"/>
                </w:rPr>
                <w:t>8.7 </w:t>
              </w:r>
            </w:hyperlink>
          </w:p>
        </w:tc>
        <w:tc>
          <w:tcPr>
            <w:tcW w:w="8717" w:type="dxa"/>
            <w:tcBorders/>
            <w:vAlign w:val="center"/>
          </w:tcPr>
          <w:p>
            <w:pPr>
              <w:pStyle w:val="TableContents"/>
              <w:bidi w:val="0"/>
              <w:spacing w:before="0" w:after="283"/>
              <w:jc w:val="left"/>
              <w:rPr/>
            </w:pPr>
            <w:hyperlink w:anchor="BSB-23_1762026101036234">
              <w:r>
                <w:rPr>
                  <w:rStyle w:val="InternetLink"/>
                </w:rPr>
                <w:t xml:space="preserve">Nasdaq Approval. </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4_1762026101044112">
              <w:r>
                <w:rPr>
                  <w:rStyle w:val="InternetLink"/>
                  <w:rFonts w:ascii="times new roman;times" w:hAnsi="times new roman;times"/>
                  <w:b w:val="false"/>
                  <w:i w:val="false"/>
                  <w:caps w:val="false"/>
                  <w:smallCaps w:val="false"/>
                  <w:spacing w:val="0"/>
                  <w:sz w:val="20"/>
                </w:rPr>
                <w:t>8.8 </w:t>
              </w:r>
            </w:hyperlink>
          </w:p>
        </w:tc>
        <w:tc>
          <w:tcPr>
            <w:tcW w:w="8717" w:type="dxa"/>
            <w:tcBorders/>
            <w:vAlign w:val="center"/>
          </w:tcPr>
          <w:p>
            <w:pPr>
              <w:pStyle w:val="TableContents"/>
              <w:bidi w:val="0"/>
              <w:spacing w:before="0" w:after="283"/>
              <w:jc w:val="left"/>
              <w:rPr/>
            </w:pPr>
            <w:hyperlink w:anchor="BSB-24_1762026101044112">
              <w:r>
                <w:rPr>
                  <w:rStyle w:val="InternetLink"/>
                </w:rPr>
                <w:t>Seller Voting Agreement</w:t>
              </w:r>
            </w:hyperlink>
          </w:p>
        </w:tc>
        <w:tc>
          <w:tcPr>
            <w:tcW w:w="503" w:type="dxa"/>
            <w:tcBorders/>
            <w:vAlign w:val="center"/>
          </w:tcPr>
          <w:p>
            <w:pPr>
              <w:pStyle w:val="TableContents"/>
              <w:bidi w:val="0"/>
              <w:spacing w:before="0" w:after="283"/>
              <w:jc w:val="right"/>
              <w:rPr/>
            </w:pPr>
            <w:r>
              <w:rPr/>
              <w:t>A-69</w:t>
            </w:r>
          </w:p>
        </w:tc>
      </w:tr>
      <w:tr>
        <w:trPr/>
        <w:tc>
          <w:tcPr>
            <w:tcW w:w="9702" w:type="dxa"/>
            <w:gridSpan w:val="3"/>
            <w:tcBorders/>
            <w:vAlign w:val="center"/>
          </w:tcPr>
          <w:p>
            <w:pPr>
              <w:pStyle w:val="TableContents"/>
              <w:bidi w:val="0"/>
              <w:spacing w:before="0" w:after="283"/>
              <w:jc w:val="left"/>
              <w:rPr/>
            </w:pPr>
            <w:hyperlink w:anchor="BSB-25_176202610119625">
              <w:r>
                <w:rPr>
                  <w:rStyle w:val="InternetLink"/>
                </w:rPr>
                <w:t>ARTICLE 9 TERMINATION</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6_1762026101122984">
              <w:r>
                <w:rPr>
                  <w:rStyle w:val="InternetLink"/>
                  <w:rFonts w:ascii="times new roman;times" w:hAnsi="times new roman;times"/>
                  <w:b w:val="false"/>
                  <w:i w:val="false"/>
                  <w:caps w:val="false"/>
                  <w:smallCaps w:val="false"/>
                  <w:spacing w:val="0"/>
                  <w:sz w:val="20"/>
                </w:rPr>
                <w:t>9.1 </w:t>
              </w:r>
            </w:hyperlink>
          </w:p>
        </w:tc>
        <w:tc>
          <w:tcPr>
            <w:tcW w:w="8717" w:type="dxa"/>
            <w:tcBorders/>
            <w:vAlign w:val="center"/>
          </w:tcPr>
          <w:p>
            <w:pPr>
              <w:pStyle w:val="TableContents"/>
              <w:bidi w:val="0"/>
              <w:spacing w:before="0" w:after="283"/>
              <w:jc w:val="left"/>
              <w:rPr/>
            </w:pPr>
            <w:hyperlink w:anchor="BSB-26_1762026101122984">
              <w:r>
                <w:rPr>
                  <w:rStyle w:val="InternetLink"/>
                </w:rPr>
                <w:t>Termination</w:t>
              </w:r>
            </w:hyperlink>
          </w:p>
        </w:tc>
        <w:tc>
          <w:tcPr>
            <w:tcW w:w="503" w:type="dxa"/>
            <w:tcBorders/>
            <w:vAlign w:val="center"/>
          </w:tcPr>
          <w:p>
            <w:pPr>
              <w:pStyle w:val="TableContents"/>
              <w:bidi w:val="0"/>
              <w:spacing w:before="0" w:after="283"/>
              <w:jc w:val="right"/>
              <w:rPr/>
            </w:pPr>
            <w:r>
              <w:rPr/>
              <w:t>A-69</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7_1762026101136224">
              <w:r>
                <w:rPr>
                  <w:rStyle w:val="InternetLink"/>
                  <w:rFonts w:ascii="times new roman;times" w:hAnsi="times new roman;times"/>
                  <w:b w:val="false"/>
                  <w:i w:val="false"/>
                  <w:caps w:val="false"/>
                  <w:smallCaps w:val="false"/>
                  <w:spacing w:val="0"/>
                  <w:sz w:val="20"/>
                </w:rPr>
                <w:t>9.2 </w:t>
              </w:r>
            </w:hyperlink>
          </w:p>
        </w:tc>
        <w:tc>
          <w:tcPr>
            <w:tcW w:w="8717" w:type="dxa"/>
            <w:tcBorders/>
            <w:vAlign w:val="center"/>
          </w:tcPr>
          <w:p>
            <w:pPr>
              <w:pStyle w:val="TableContents"/>
              <w:bidi w:val="0"/>
              <w:spacing w:before="0" w:after="283"/>
              <w:jc w:val="left"/>
              <w:rPr/>
            </w:pPr>
            <w:hyperlink w:anchor="BSB-27_1762026101136224">
              <w:r>
                <w:rPr>
                  <w:rStyle w:val="InternetLink"/>
                </w:rPr>
                <w:t xml:space="preserve">Effect of Termination. </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28_1762026101146627">
              <w:r>
                <w:rPr>
                  <w:rStyle w:val="InternetLink"/>
                  <w:rFonts w:ascii="times new roman;times" w:hAnsi="times new roman;times"/>
                  <w:b w:val="false"/>
                  <w:i w:val="false"/>
                  <w:caps w:val="false"/>
                  <w:smallCaps w:val="false"/>
                  <w:spacing w:val="0"/>
                  <w:sz w:val="20"/>
                </w:rPr>
                <w:t>9.3 </w:t>
              </w:r>
            </w:hyperlink>
          </w:p>
        </w:tc>
        <w:tc>
          <w:tcPr>
            <w:tcW w:w="8717" w:type="dxa"/>
            <w:tcBorders/>
            <w:vAlign w:val="center"/>
          </w:tcPr>
          <w:p>
            <w:pPr>
              <w:pStyle w:val="TableContents"/>
              <w:bidi w:val="0"/>
              <w:spacing w:before="0" w:after="283"/>
              <w:jc w:val="left"/>
              <w:rPr/>
            </w:pPr>
            <w:hyperlink w:anchor="BSB-28_1762026101146627">
              <w:r>
                <w:rPr>
                  <w:rStyle w:val="InternetLink"/>
                </w:rPr>
                <w:t>Expenses</w:t>
              </w:r>
            </w:hyperlink>
          </w:p>
        </w:tc>
        <w:tc>
          <w:tcPr>
            <w:tcW w:w="503" w:type="dxa"/>
            <w:tcBorders/>
            <w:vAlign w:val="center"/>
          </w:tcPr>
          <w:p>
            <w:pPr>
              <w:pStyle w:val="TableContents"/>
              <w:bidi w:val="0"/>
              <w:spacing w:before="0" w:after="283"/>
              <w:jc w:val="right"/>
              <w:rPr/>
            </w:pPr>
            <w:r>
              <w:rPr/>
              <w:t>A-70</w:t>
            </w:r>
          </w:p>
        </w:tc>
      </w:tr>
      <w:tr>
        <w:trPr/>
        <w:tc>
          <w:tcPr>
            <w:tcW w:w="9702" w:type="dxa"/>
            <w:gridSpan w:val="3"/>
            <w:tcBorders/>
            <w:vAlign w:val="center"/>
          </w:tcPr>
          <w:p>
            <w:pPr>
              <w:pStyle w:val="TableContents"/>
              <w:bidi w:val="0"/>
              <w:spacing w:before="0" w:after="283"/>
              <w:jc w:val="left"/>
              <w:rPr/>
            </w:pPr>
            <w:hyperlink w:anchor="BSB-29_1762026101158648">
              <w:r>
                <w:rPr>
                  <w:rStyle w:val="InternetLink"/>
                </w:rPr>
                <w:t>ARTICLE 10 MISCELLANEOUS PROVISIONS</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0_1762026101213518">
              <w:r>
                <w:rPr>
                  <w:rStyle w:val="InternetLink"/>
                  <w:rFonts w:ascii="times new roman;times" w:hAnsi="times new roman;times"/>
                  <w:b w:val="false"/>
                  <w:i w:val="false"/>
                  <w:caps w:val="false"/>
                  <w:smallCaps w:val="false"/>
                  <w:spacing w:val="0"/>
                  <w:sz w:val="20"/>
                </w:rPr>
                <w:t>10.1 </w:t>
              </w:r>
            </w:hyperlink>
          </w:p>
        </w:tc>
        <w:tc>
          <w:tcPr>
            <w:tcW w:w="8717" w:type="dxa"/>
            <w:tcBorders/>
            <w:vAlign w:val="center"/>
          </w:tcPr>
          <w:p>
            <w:pPr>
              <w:pStyle w:val="TableContents"/>
              <w:bidi w:val="0"/>
              <w:spacing w:before="0" w:after="283"/>
              <w:jc w:val="left"/>
              <w:rPr/>
            </w:pPr>
            <w:hyperlink w:anchor="BSB-30_1762026101213518">
              <w:r>
                <w:rPr>
                  <w:rStyle w:val="InternetLink"/>
                </w:rPr>
                <w:t>Non-Survival of Representations and Warranties</w:t>
              </w:r>
            </w:hyperlink>
          </w:p>
        </w:tc>
        <w:tc>
          <w:tcPr>
            <w:tcW w:w="503" w:type="dxa"/>
            <w:tcBorders/>
            <w:vAlign w:val="center"/>
          </w:tcPr>
          <w:p>
            <w:pPr>
              <w:pStyle w:val="TableContents"/>
              <w:bidi w:val="0"/>
              <w:spacing w:before="0" w:after="283"/>
              <w:jc w:val="right"/>
              <w:rPr/>
            </w:pPr>
            <w:r>
              <w:rPr/>
              <w:t>A-70</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1_1762026101224216">
              <w:r>
                <w:rPr>
                  <w:rStyle w:val="InternetLink"/>
                  <w:rFonts w:ascii="times new roman;times" w:hAnsi="times new roman;times"/>
                  <w:b w:val="false"/>
                  <w:i w:val="false"/>
                  <w:caps w:val="false"/>
                  <w:smallCaps w:val="false"/>
                  <w:spacing w:val="0"/>
                  <w:sz w:val="20"/>
                </w:rPr>
                <w:t>10.2 </w:t>
              </w:r>
            </w:hyperlink>
          </w:p>
        </w:tc>
        <w:tc>
          <w:tcPr>
            <w:tcW w:w="8717" w:type="dxa"/>
            <w:tcBorders/>
            <w:vAlign w:val="center"/>
          </w:tcPr>
          <w:p>
            <w:pPr>
              <w:pStyle w:val="TableContents"/>
              <w:bidi w:val="0"/>
              <w:spacing w:before="0" w:after="283"/>
              <w:jc w:val="left"/>
              <w:rPr/>
            </w:pPr>
            <w:hyperlink w:anchor="BSB-31_1762026101224216">
              <w:r>
                <w:rPr>
                  <w:rStyle w:val="InternetLink"/>
                </w:rPr>
                <w:t>Amendment</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2_1762026101234544">
              <w:r>
                <w:rPr>
                  <w:rStyle w:val="InternetLink"/>
                  <w:rFonts w:ascii="times new roman;times" w:hAnsi="times new roman;times"/>
                  <w:b w:val="false"/>
                  <w:i w:val="false"/>
                  <w:caps w:val="false"/>
                  <w:smallCaps w:val="false"/>
                  <w:spacing w:val="0"/>
                  <w:sz w:val="20"/>
                </w:rPr>
                <w:t>10.3 </w:t>
              </w:r>
            </w:hyperlink>
          </w:p>
        </w:tc>
        <w:tc>
          <w:tcPr>
            <w:tcW w:w="8717" w:type="dxa"/>
            <w:tcBorders/>
            <w:vAlign w:val="center"/>
          </w:tcPr>
          <w:p>
            <w:pPr>
              <w:pStyle w:val="TableContents"/>
              <w:bidi w:val="0"/>
              <w:spacing w:before="0" w:after="283"/>
              <w:jc w:val="left"/>
              <w:rPr/>
            </w:pPr>
            <w:hyperlink w:anchor="BSB-32_1762026101234544">
              <w:r>
                <w:rPr>
                  <w:rStyle w:val="InternetLink"/>
                </w:rPr>
                <w:t>Waiver.</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3_1762026101247893">
              <w:r>
                <w:rPr>
                  <w:rStyle w:val="InternetLink"/>
                  <w:rFonts w:ascii="times new roman;times" w:hAnsi="times new roman;times"/>
                  <w:b w:val="false"/>
                  <w:i w:val="false"/>
                  <w:caps w:val="false"/>
                  <w:smallCaps w:val="false"/>
                  <w:spacing w:val="0"/>
                  <w:sz w:val="20"/>
                </w:rPr>
                <w:t>10.4 </w:t>
              </w:r>
            </w:hyperlink>
          </w:p>
        </w:tc>
        <w:tc>
          <w:tcPr>
            <w:tcW w:w="8717" w:type="dxa"/>
            <w:tcBorders/>
            <w:vAlign w:val="center"/>
          </w:tcPr>
          <w:p>
            <w:pPr>
              <w:pStyle w:val="TableContents"/>
              <w:bidi w:val="0"/>
              <w:spacing w:before="0" w:after="283"/>
              <w:jc w:val="left"/>
              <w:rPr/>
            </w:pPr>
            <w:hyperlink w:anchor="BSB-33_1762026101247893">
              <w:r>
                <w:rPr>
                  <w:rStyle w:val="InternetLink"/>
                </w:rPr>
                <w:t>Entire Agreement; Counterparts; Electronic Delivery</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4_1762026101259135">
              <w:r>
                <w:rPr>
                  <w:rStyle w:val="InternetLink"/>
                  <w:rFonts w:ascii="times new roman;times" w:hAnsi="times new roman;times"/>
                  <w:b w:val="false"/>
                  <w:i w:val="false"/>
                  <w:caps w:val="false"/>
                  <w:smallCaps w:val="false"/>
                  <w:spacing w:val="0"/>
                  <w:sz w:val="20"/>
                </w:rPr>
                <w:t>10.5 </w:t>
              </w:r>
            </w:hyperlink>
          </w:p>
        </w:tc>
        <w:tc>
          <w:tcPr>
            <w:tcW w:w="8717" w:type="dxa"/>
            <w:tcBorders/>
            <w:vAlign w:val="center"/>
          </w:tcPr>
          <w:p>
            <w:pPr>
              <w:pStyle w:val="TableContents"/>
              <w:bidi w:val="0"/>
              <w:spacing w:before="0" w:after="283"/>
              <w:jc w:val="left"/>
              <w:rPr/>
            </w:pPr>
            <w:hyperlink w:anchor="BSB-34_1762026101259135">
              <w:r>
                <w:rPr>
                  <w:rStyle w:val="InternetLink"/>
                </w:rPr>
                <w:t>Applicable Law; Jurisdiction</w:t>
              </w:r>
            </w:hyperlink>
          </w:p>
        </w:tc>
        <w:tc>
          <w:tcPr>
            <w:tcW w:w="503" w:type="dxa"/>
            <w:tcBorders/>
            <w:vAlign w:val="center"/>
          </w:tcPr>
          <w:p>
            <w:pPr>
              <w:pStyle w:val="TableContents"/>
              <w:bidi w:val="0"/>
              <w:spacing w:before="0" w:after="283"/>
              <w:jc w:val="right"/>
              <w:rPr/>
            </w:pPr>
            <w:r>
              <w:rPr/>
              <w:t>A-71</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5_176202610139634">
              <w:r>
                <w:rPr>
                  <w:rStyle w:val="InternetLink"/>
                  <w:rFonts w:ascii="times new roman;times" w:hAnsi="times new roman;times"/>
                  <w:b w:val="false"/>
                  <w:i w:val="false"/>
                  <w:caps w:val="false"/>
                  <w:smallCaps w:val="false"/>
                  <w:spacing w:val="0"/>
                  <w:sz w:val="20"/>
                </w:rPr>
                <w:t>10.6 </w:t>
              </w:r>
            </w:hyperlink>
          </w:p>
        </w:tc>
        <w:tc>
          <w:tcPr>
            <w:tcW w:w="8717" w:type="dxa"/>
            <w:tcBorders/>
            <w:vAlign w:val="center"/>
          </w:tcPr>
          <w:p>
            <w:pPr>
              <w:pStyle w:val="TableContents"/>
              <w:bidi w:val="0"/>
              <w:spacing w:before="0" w:after="283"/>
              <w:jc w:val="left"/>
              <w:rPr/>
            </w:pPr>
            <w:hyperlink w:anchor="BSB-35_176202610139634">
              <w:r>
                <w:rPr>
                  <w:rStyle w:val="InternetLink"/>
                </w:rPr>
                <w:t>Assignability; No Third-Party Beneficiaries</w:t>
              </w:r>
            </w:hyperlink>
          </w:p>
        </w:tc>
        <w:tc>
          <w:tcPr>
            <w:tcW w:w="503" w:type="dxa"/>
            <w:tcBorders/>
            <w:vAlign w:val="center"/>
          </w:tcPr>
          <w:p>
            <w:pPr>
              <w:pStyle w:val="TableContents"/>
              <w:bidi w:val="0"/>
              <w:spacing w:before="0" w:after="283"/>
              <w:jc w:val="right"/>
              <w:rPr/>
            </w:pPr>
            <w:r>
              <w:rPr/>
              <w:t>A-72</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6_176202610131929">
              <w:r>
                <w:rPr>
                  <w:rStyle w:val="InternetLink"/>
                  <w:rFonts w:ascii="times new roman;times" w:hAnsi="times new roman;times"/>
                  <w:b w:val="false"/>
                  <w:i w:val="false"/>
                  <w:caps w:val="false"/>
                  <w:smallCaps w:val="false"/>
                  <w:spacing w:val="0"/>
                  <w:sz w:val="20"/>
                </w:rPr>
                <w:t>10.7 </w:t>
              </w:r>
            </w:hyperlink>
          </w:p>
        </w:tc>
        <w:tc>
          <w:tcPr>
            <w:tcW w:w="8717" w:type="dxa"/>
            <w:tcBorders/>
            <w:vAlign w:val="center"/>
          </w:tcPr>
          <w:p>
            <w:pPr>
              <w:pStyle w:val="TableContents"/>
              <w:bidi w:val="0"/>
              <w:spacing w:before="0" w:after="283"/>
              <w:jc w:val="left"/>
              <w:rPr/>
            </w:pPr>
            <w:hyperlink w:anchor="BSB-36_176202610131929">
              <w:r>
                <w:rPr>
                  <w:rStyle w:val="InternetLink"/>
                </w:rPr>
                <w:t xml:space="preserve">Notices. </w:t>
              </w:r>
            </w:hyperlink>
          </w:p>
        </w:tc>
        <w:tc>
          <w:tcPr>
            <w:tcW w:w="503" w:type="dxa"/>
            <w:tcBorders/>
            <w:vAlign w:val="center"/>
          </w:tcPr>
          <w:p>
            <w:pPr>
              <w:pStyle w:val="TableContents"/>
              <w:bidi w:val="0"/>
              <w:spacing w:before="0" w:after="283"/>
              <w:jc w:val="right"/>
              <w:rPr/>
            </w:pPr>
            <w:r>
              <w:rPr/>
              <w:t>A-72</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7_1762026101331474">
              <w:r>
                <w:rPr>
                  <w:rStyle w:val="InternetLink"/>
                  <w:rFonts w:ascii="times new roman;times" w:hAnsi="times new roman;times"/>
                  <w:b w:val="false"/>
                  <w:i w:val="false"/>
                  <w:caps w:val="false"/>
                  <w:smallCaps w:val="false"/>
                  <w:spacing w:val="0"/>
                  <w:sz w:val="20"/>
                </w:rPr>
                <w:t>10.8 </w:t>
              </w:r>
            </w:hyperlink>
          </w:p>
        </w:tc>
        <w:tc>
          <w:tcPr>
            <w:tcW w:w="8717" w:type="dxa"/>
            <w:tcBorders/>
            <w:vAlign w:val="center"/>
          </w:tcPr>
          <w:p>
            <w:pPr>
              <w:pStyle w:val="TableContents"/>
              <w:bidi w:val="0"/>
              <w:spacing w:before="0" w:after="283"/>
              <w:jc w:val="left"/>
              <w:rPr/>
            </w:pPr>
            <w:hyperlink w:anchor="BSB-37_1762026101331474">
              <w:r>
                <w:rPr>
                  <w:rStyle w:val="InternetLink"/>
                </w:rPr>
                <w:t>Cooperation</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8_1762026101341986">
              <w:r>
                <w:rPr>
                  <w:rStyle w:val="InternetLink"/>
                  <w:rFonts w:ascii="times new roman;times" w:hAnsi="times new roman;times"/>
                  <w:b w:val="false"/>
                  <w:i w:val="false"/>
                  <w:caps w:val="false"/>
                  <w:smallCaps w:val="false"/>
                  <w:spacing w:val="0"/>
                  <w:sz w:val="20"/>
                </w:rPr>
                <w:t>10.9 </w:t>
              </w:r>
            </w:hyperlink>
          </w:p>
        </w:tc>
        <w:tc>
          <w:tcPr>
            <w:tcW w:w="8717" w:type="dxa"/>
            <w:tcBorders/>
            <w:vAlign w:val="center"/>
          </w:tcPr>
          <w:p>
            <w:pPr>
              <w:pStyle w:val="TableContents"/>
              <w:bidi w:val="0"/>
              <w:spacing w:before="0" w:after="283"/>
              <w:jc w:val="left"/>
              <w:rPr/>
            </w:pPr>
            <w:hyperlink w:anchor="BSB-38_1762026101341986">
              <w:r>
                <w:rPr>
                  <w:rStyle w:val="InternetLink"/>
                </w:rPr>
                <w:t>Severability</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39_1762026101352552">
              <w:r>
                <w:rPr>
                  <w:rStyle w:val="InternetLink"/>
                  <w:rFonts w:ascii="times new roman;times" w:hAnsi="times new roman;times"/>
                  <w:b w:val="false"/>
                  <w:i w:val="false"/>
                  <w:caps w:val="false"/>
                  <w:smallCaps w:val="false"/>
                  <w:spacing w:val="0"/>
                  <w:sz w:val="20"/>
                </w:rPr>
                <w:t>10.10 </w:t>
              </w:r>
            </w:hyperlink>
          </w:p>
        </w:tc>
        <w:tc>
          <w:tcPr>
            <w:tcW w:w="8717" w:type="dxa"/>
            <w:tcBorders/>
            <w:vAlign w:val="center"/>
          </w:tcPr>
          <w:p>
            <w:pPr>
              <w:pStyle w:val="TableContents"/>
              <w:bidi w:val="0"/>
              <w:spacing w:before="0" w:after="283"/>
              <w:jc w:val="left"/>
              <w:rPr/>
            </w:pPr>
            <w:hyperlink w:anchor="BSB-39_1762026101352552">
              <w:r>
                <w:rPr>
                  <w:rStyle w:val="InternetLink"/>
                </w:rPr>
                <w:t>Other Remedies; Specific Performance</w:t>
              </w:r>
            </w:hyperlink>
          </w:p>
        </w:tc>
        <w:tc>
          <w:tcPr>
            <w:tcW w:w="503" w:type="dxa"/>
            <w:tcBorders/>
            <w:vAlign w:val="center"/>
          </w:tcPr>
          <w:p>
            <w:pPr>
              <w:pStyle w:val="TableContents"/>
              <w:bidi w:val="0"/>
              <w:spacing w:before="0" w:after="283"/>
              <w:jc w:val="right"/>
              <w:rPr/>
            </w:pPr>
            <w:r>
              <w:rPr/>
              <w:t>A-73</w:t>
            </w:r>
          </w:p>
        </w:tc>
      </w:tr>
      <w:tr>
        <w:trPr/>
        <w:tc>
          <w:tcPr>
            <w:tcW w:w="40" w:type="dxa"/>
            <w:tcBorders/>
            <w:vAlign w:val="center"/>
          </w:tcPr>
          <w:p>
            <w:pPr>
              <w:pStyle w:val="TableContents"/>
              <w:bidi w:val="0"/>
              <w:spacing w:before="0" w:after="283"/>
              <w:jc w:val="left"/>
              <w:rPr/>
            </w:pPr>
            <w:r>
              <w:rPr/>
            </w:r>
          </w:p>
        </w:tc>
        <w:tc>
          <w:tcPr>
            <w:tcW w:w="945" w:type="dxa"/>
            <w:tcBorders/>
            <w:vAlign w:val="center"/>
          </w:tcPr>
          <w:p>
            <w:pPr>
              <w:pStyle w:val="TableContents"/>
              <w:widowControl/>
              <w:bidi w:val="0"/>
              <w:spacing w:before="0" w:after="283"/>
              <w:ind w:left="0" w:right="0" w:hanging="0"/>
              <w:jc w:val="left"/>
              <w:rPr/>
            </w:pPr>
            <w:hyperlink w:anchor="BSB-40_176202610144740">
              <w:r>
                <w:rPr>
                  <w:rStyle w:val="InternetLink"/>
                  <w:rFonts w:ascii="times new roman;times" w:hAnsi="times new roman;times"/>
                  <w:b w:val="false"/>
                  <w:i w:val="false"/>
                  <w:caps w:val="false"/>
                  <w:smallCaps w:val="false"/>
                  <w:spacing w:val="0"/>
                  <w:sz w:val="20"/>
                </w:rPr>
                <w:t>10.11 </w:t>
              </w:r>
            </w:hyperlink>
          </w:p>
        </w:tc>
        <w:tc>
          <w:tcPr>
            <w:tcW w:w="8717" w:type="dxa"/>
            <w:tcBorders/>
            <w:vAlign w:val="center"/>
          </w:tcPr>
          <w:p>
            <w:pPr>
              <w:pStyle w:val="TableContents"/>
              <w:bidi w:val="0"/>
              <w:spacing w:before="0" w:after="283"/>
              <w:jc w:val="left"/>
              <w:rPr/>
            </w:pPr>
            <w:hyperlink w:anchor="BSB-40_176202610144740">
              <w:r>
                <w:rPr>
                  <w:rStyle w:val="InternetLink"/>
                </w:rPr>
                <w:t>Construction.</w:t>
              </w:r>
            </w:hyperlink>
          </w:p>
        </w:tc>
        <w:tc>
          <w:tcPr>
            <w:tcW w:w="503" w:type="dxa"/>
            <w:tcBorders/>
            <w:vAlign w:val="center"/>
          </w:tcPr>
          <w:p>
            <w:pPr>
              <w:pStyle w:val="TableContents"/>
              <w:bidi w:val="0"/>
              <w:spacing w:before="0" w:after="283"/>
              <w:jc w:val="right"/>
              <w:rPr/>
            </w:pPr>
            <w:r>
              <w:rPr/>
              <w:t>A-74</w:t>
            </w:r>
          </w:p>
        </w:tc>
      </w:tr>
    </w:tbl>
    <w:p>
      <w:pPr>
        <w:pStyle w:val="TextBody"/>
        <w:bidi w:val="0"/>
        <w:spacing w:before="0" w:after="0"/>
        <w:jc w:val="left"/>
        <w:rPr/>
      </w:pPr>
      <w:r>
        <w:rPr/>
      </w:r>
    </w:p>
    <w:tbl>
      <w:tblPr>
        <w:tblW w:w="7868" w:type="dxa"/>
        <w:jc w:val="left"/>
        <w:tblInd w:w="0" w:type="dxa"/>
        <w:tblLayout w:type="fixed"/>
        <w:tblCellMar>
          <w:top w:w="0" w:type="dxa"/>
          <w:left w:w="0" w:type="dxa"/>
          <w:bottom w:w="0" w:type="dxa"/>
          <w:right w:w="0" w:type="dxa"/>
        </w:tblCellMar>
      </w:tblPr>
      <w:tblGrid>
        <w:gridCol w:w="23"/>
        <w:gridCol w:w="1175"/>
        <w:gridCol w:w="6155"/>
        <w:gridCol w:w="515"/>
      </w:tblGrid>
      <w:tr>
        <w:trPr/>
        <w:tc>
          <w:tcPr>
            <w:tcW w:w="7353" w:type="dxa"/>
            <w:gridSpan w:val="3"/>
            <w:tcBorders/>
            <w:vAlign w:val="center"/>
          </w:tcPr>
          <w:p>
            <w:pPr>
              <w:pStyle w:val="TableContents"/>
              <w:bidi w:val="0"/>
              <w:spacing w:before="0" w:after="283"/>
              <w:jc w:val="left"/>
              <w:rPr>
                <w:b/>
              </w:rPr>
            </w:pPr>
            <w:r>
              <w:rPr>
                <w:b/>
              </w:rPr>
              <w:t>Schedules:</w:t>
            </w:r>
          </w:p>
        </w:tc>
        <w:tc>
          <w:tcPr>
            <w:tcW w:w="51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175" w:type="dxa"/>
            <w:tcBorders/>
            <w:vAlign w:val="center"/>
          </w:tcPr>
          <w:p>
            <w:pPr>
              <w:pStyle w:val="TableContents"/>
              <w:widowControl/>
              <w:bidi w:val="0"/>
              <w:spacing w:before="0" w:after="283"/>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Schedule 5.25</w:t>
            </w:r>
          </w:p>
        </w:tc>
        <w:tc>
          <w:tcPr>
            <w:tcW w:w="6155" w:type="dxa"/>
            <w:tcBorders/>
            <w:vAlign w:val="center"/>
          </w:tcPr>
          <w:p>
            <w:pPr>
              <w:pStyle w:val="TableContents"/>
              <w:bidi w:val="0"/>
              <w:spacing w:before="0" w:after="283"/>
              <w:jc w:val="left"/>
              <w:rPr/>
            </w:pPr>
            <w:hyperlink w:anchor="BSB-50_1762026113657919">
              <w:r>
                <w:rPr>
                  <w:rStyle w:val="InternetLink"/>
                </w:rPr>
                <w:t>Pre-Existing Contractual Obligations Requiring Equity Issuances</w:t>
              </w:r>
            </w:hyperlink>
          </w:p>
        </w:tc>
        <w:tc>
          <w:tcPr>
            <w:tcW w:w="515" w:type="dxa"/>
            <w:tcBorders/>
            <w:vAlign w:val="center"/>
          </w:tcPr>
          <w:p>
            <w:pPr>
              <w:pStyle w:val="TableContents"/>
              <w:bidi w:val="0"/>
              <w:spacing w:before="0" w:after="283"/>
              <w:jc w:val="right"/>
              <w:rPr/>
            </w:pPr>
            <w:r>
              <w:rPr/>
              <w:t>A-92</w:t>
            </w:r>
          </w:p>
        </w:tc>
      </w:tr>
      <w:tr>
        <w:trPr/>
        <w:tc>
          <w:tcPr>
            <w:tcW w:w="7353" w:type="dxa"/>
            <w:gridSpan w:val="3"/>
            <w:tcBorders/>
            <w:vAlign w:val="center"/>
          </w:tcPr>
          <w:p>
            <w:pPr>
              <w:pStyle w:val="TableContents"/>
              <w:bidi w:val="0"/>
              <w:spacing w:before="0" w:after="283"/>
              <w:jc w:val="left"/>
              <w:rPr>
                <w:b/>
              </w:rPr>
            </w:pPr>
            <w:r>
              <w:rPr>
                <w:b/>
              </w:rPr>
              <w:t>Exhibits</w:t>
            </w:r>
          </w:p>
        </w:tc>
        <w:tc>
          <w:tcPr>
            <w:tcW w:w="515"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175" w:type="dxa"/>
            <w:tcBorders/>
            <w:vAlign w:val="center"/>
          </w:tcPr>
          <w:p>
            <w:pPr>
              <w:pStyle w:val="TableContents"/>
              <w:bidi w:val="0"/>
              <w:spacing w:before="0" w:after="283"/>
              <w:jc w:val="left"/>
              <w:rPr>
                <w:b/>
              </w:rPr>
            </w:pPr>
            <w:r>
              <w:rPr>
                <w:b/>
              </w:rPr>
              <w:t>Exhibit A</w:t>
            </w:r>
          </w:p>
        </w:tc>
        <w:tc>
          <w:tcPr>
            <w:tcW w:w="6155" w:type="dxa"/>
            <w:tcBorders/>
            <w:vAlign w:val="center"/>
          </w:tcPr>
          <w:p>
            <w:pPr>
              <w:pStyle w:val="TableContents"/>
              <w:bidi w:val="0"/>
              <w:spacing w:before="0" w:after="283"/>
              <w:jc w:val="left"/>
              <w:rPr/>
            </w:pPr>
            <w:hyperlink w:anchor="BJGKB1_1762026921575">
              <w:r>
                <w:rPr>
                  <w:rStyle w:val="InternetLink"/>
                </w:rPr>
                <w:t>Definitions</w:t>
              </w:r>
            </w:hyperlink>
          </w:p>
        </w:tc>
        <w:tc>
          <w:tcPr>
            <w:tcW w:w="515" w:type="dxa"/>
            <w:tcBorders/>
            <w:vAlign w:val="center"/>
          </w:tcPr>
          <w:p>
            <w:pPr>
              <w:pStyle w:val="TableContents"/>
              <w:bidi w:val="0"/>
              <w:spacing w:before="0" w:after="283"/>
              <w:jc w:val="right"/>
              <w:rPr/>
            </w:pPr>
            <w:r>
              <w:rPr/>
              <w:t>A-77</w:t>
            </w:r>
          </w:p>
        </w:tc>
      </w:tr>
    </w:tbl>
    <w:p>
      <w:pPr>
        <w:pStyle w:val="TextBody"/>
        <w:bidi w:val="0"/>
        <w:spacing w:before="0" w:after="0"/>
        <w:ind w:left="0" w:right="0" w:hanging="0"/>
        <w:jc w:val="left"/>
        <w:rPr/>
      </w:pPr>
      <w:r>
        <w:rPr/>
      </w:r>
    </w:p>
    <w:tbl>
      <w:tblPr>
        <w:tblW w:w="331" w:type="dxa"/>
        <w:jc w:val="left"/>
        <w:tblInd w:w="0" w:type="dxa"/>
        <w:tblLayout w:type="fixed"/>
        <w:tblCellMar>
          <w:top w:w="0" w:type="dxa"/>
          <w:left w:w="0" w:type="dxa"/>
          <w:bottom w:w="0" w:type="dxa"/>
          <w:right w:w="0" w:type="dxa"/>
        </w:tblCellMar>
      </w:tblPr>
      <w:tblGrid>
        <w:gridCol w:w="331"/>
      </w:tblGrid>
      <w:tr>
        <w:trPr/>
        <w:tc>
          <w:tcPr>
            <w:tcW w:w="331" w:type="dxa"/>
            <w:tcBorders/>
            <w:vAlign w:val="center"/>
          </w:tcPr>
          <w:p>
            <w:pPr>
              <w:pStyle w:val="TableContents"/>
              <w:bidi w:val="0"/>
              <w:spacing w:before="0" w:after="283"/>
              <w:jc w:val="center"/>
              <w:rPr>
                <w:sz w:val="20"/>
              </w:rPr>
            </w:pPr>
            <w:r>
              <w:rPr>
                <w:sz w:val="20"/>
              </w:rPr>
              <w:t>iv</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keepNext w:val="true"/>
        <w:keepLines/>
        <w:bidi w:val="0"/>
        <w:spacing w:lineRule="auto" w:line="288" w:before="0" w:after="240"/>
        <w:ind w:left="0" w:right="0" w:hanging="0"/>
        <w:jc w:val="center"/>
        <w:rPr>
          <w:rFonts w:ascii="Times New Roman" w:hAnsi="Times New Roman"/>
          <w:b/>
          <w:sz w:val="20"/>
        </w:rPr>
      </w:pPr>
      <w:r>
        <w:rPr>
          <w:rFonts w:ascii="Times New Roman" w:hAnsi="Times New Roman"/>
          <w:b/>
          <w:sz w:val="20"/>
        </w:rPr>
        <w:t>AGREEMENT AND PLAN OF MERGER</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b/>
          <w:sz w:val="20"/>
        </w:rPr>
        <w:t xml:space="preserve">THIS AGREEMENT AND PLAN OF MERGER </w:t>
      </w:r>
      <w:r>
        <w:rPr>
          <w:rFonts w:ascii="Times New Roman" w:hAnsi="Times New Roman"/>
          <w:sz w:val="20"/>
        </w:rPr>
        <w:t xml:space="preserve">(this </w:t>
      </w:r>
      <w:r>
        <w:rPr>
          <w:rFonts w:ascii="times new roman;times" w:hAnsi="times new roman;times"/>
          <w:sz w:val="20"/>
        </w:rPr>
        <w:t>“</w:t>
      </w:r>
      <w:r>
        <w:rPr>
          <w:rFonts w:ascii="Times New Roman" w:hAnsi="Times New Roman"/>
          <w:b/>
          <w:i/>
          <w:sz w:val="20"/>
        </w:rPr>
        <w:t>Agreement</w:t>
      </w:r>
      <w:r>
        <w:rPr>
          <w:rFonts w:ascii="times new roman;times" w:hAnsi="times new roman;times"/>
          <w:sz w:val="20"/>
        </w:rPr>
        <w:t>”</w:t>
      </w:r>
      <w:r>
        <w:rPr>
          <w:rFonts w:ascii="Times New Roman" w:hAnsi="Times New Roman"/>
          <w:sz w:val="20"/>
        </w:rPr>
        <w:t xml:space="preserve">) is made and entered into as of July 1, 2026, by and among </w:t>
      </w:r>
      <w:r>
        <w:rPr>
          <w:rFonts w:ascii="Times New Roman" w:hAnsi="Times New Roman"/>
          <w:b/>
          <w:sz w:val="20"/>
        </w:rPr>
        <w:t>CLEARONE, INC.</w:t>
      </w:r>
      <w:r>
        <w:rPr>
          <w:rFonts w:ascii="Times New Roman" w:hAnsi="Times New Roman"/>
          <w:sz w:val="20"/>
        </w:rPr>
        <w:t>, a Nevada corporation (</w:t>
      </w:r>
      <w:r>
        <w:rPr>
          <w:rFonts w:ascii="times new roman;times" w:hAnsi="times new roman;times"/>
          <w:sz w:val="20"/>
        </w:rPr>
        <w:t>“</w:t>
      </w:r>
      <w:r>
        <w:rPr>
          <w:rFonts w:ascii="Times New Roman" w:hAnsi="Times New Roman"/>
          <w:b/>
          <w:i/>
          <w:sz w:val="20"/>
        </w:rPr>
        <w:t>Parent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b/>
          <w:sz w:val="20"/>
        </w:rPr>
        <w:t>CLRO MERGER SUB, INC.</w:t>
      </w:r>
      <w:r>
        <w:rPr>
          <w:rFonts w:ascii="Times New Roman" w:hAnsi="Times New Roman"/>
          <w:sz w:val="20"/>
        </w:rPr>
        <w:t>, a Delaware</w:t>
      </w:r>
      <w:r>
        <w:rPr>
          <w:rFonts w:ascii="times new roman;times" w:hAnsi="times new roman;times"/>
          <w:sz w:val="20"/>
        </w:rPr>
        <w:t xml:space="preserve"> </w:t>
      </w:r>
      <w:r>
        <w:rPr>
          <w:rFonts w:ascii="Times New Roman" w:hAnsi="Times New Roman"/>
          <w:sz w:val="20"/>
        </w:rPr>
        <w:t>corporation incorporated as a</w:t>
      </w:r>
      <w:r>
        <w:rPr>
          <w:rFonts w:ascii="times new roman;times" w:hAnsi="times new roman;times"/>
          <w:sz w:val="20"/>
        </w:rPr>
        <w:t xml:space="preserve"> </w:t>
      </w:r>
      <w:r>
        <w:rPr>
          <w:rFonts w:ascii="Times New Roman" w:hAnsi="Times New Roman"/>
          <w:sz w:val="20"/>
        </w:rPr>
        <w:t>wholly-owned subsidiary of Parent (</w:t>
      </w:r>
      <w:r>
        <w:rPr>
          <w:rFonts w:ascii="times new roman;times" w:hAnsi="times new roman;times"/>
          <w:sz w:val="20"/>
        </w:rPr>
        <w:t>“</w:t>
      </w:r>
      <w:r>
        <w:rPr>
          <w:rFonts w:ascii="Times New Roman" w:hAnsi="Times New Roman"/>
          <w:b/>
          <w:i/>
          <w:sz w:val="20"/>
        </w:rPr>
        <w:t>Merger Sub</w:t>
      </w:r>
      <w:r>
        <w:rPr>
          <w:rFonts w:ascii="times new roman;times" w:hAnsi="times new roman;times"/>
          <w:sz w:val="20"/>
        </w:rPr>
        <w:t>”</w:t>
      </w:r>
      <w:r>
        <w:rPr>
          <w:rFonts w:ascii="Times New Roman" w:hAnsi="Times New Roman"/>
          <w:sz w:val="20"/>
        </w:rPr>
        <w:t xml:space="preserve">), </w:t>
      </w:r>
      <w:r>
        <w:rPr>
          <w:rFonts w:ascii="Times New Roman" w:hAnsi="Times New Roman"/>
          <w:b/>
          <w:sz w:val="20"/>
        </w:rPr>
        <w:t>CORTIGENT, INC.</w:t>
      </w:r>
      <w:r>
        <w:rPr>
          <w:rFonts w:ascii="Times New Roman" w:hAnsi="Times New Roman"/>
          <w:sz w:val="20"/>
        </w:rPr>
        <w:t xml:space="preserve">, a Delaware corporation (the </w:t>
      </w:r>
      <w:r>
        <w:rPr>
          <w:rFonts w:ascii="times new roman;times" w:hAnsi="times new roman;times"/>
          <w:sz w:val="20"/>
        </w:rPr>
        <w:t>“</w:t>
      </w:r>
      <w:r>
        <w:rPr>
          <w:rFonts w:ascii="Times New Roman" w:hAnsi="Times New Roman"/>
          <w:b/>
          <w:i/>
          <w:sz w:val="20"/>
        </w:rPr>
        <w:t>Company</w:t>
      </w:r>
      <w:r>
        <w:rPr>
          <w:rFonts w:ascii="times new roman;times" w:hAnsi="times new roman;times"/>
          <w:sz w:val="20"/>
        </w:rPr>
        <w:t>”</w:t>
      </w:r>
      <w:r>
        <w:rPr>
          <w:rFonts w:ascii="Times New Roman" w:hAnsi="Times New Roman"/>
          <w:sz w:val="20"/>
        </w:rPr>
        <w:t xml:space="preserve">) and </w:t>
      </w:r>
      <w:r>
        <w:rPr>
          <w:rFonts w:ascii="Times New Roman" w:hAnsi="Times New Roman"/>
          <w:b/>
          <w:sz w:val="20"/>
        </w:rPr>
        <w:t>VIVANI MEDICAL,</w:t>
      </w:r>
      <w:r>
        <w:rPr>
          <w:rFonts w:ascii="times new roman;times" w:hAnsi="times new roman;times"/>
          <w:sz w:val="20"/>
        </w:rPr>
        <w:t xml:space="preserve"> </w:t>
      </w:r>
      <w:r>
        <w:rPr>
          <w:rFonts w:ascii="Times New Roman" w:hAnsi="Times New Roman"/>
          <w:b/>
          <w:sz w:val="20"/>
        </w:rPr>
        <w:t>INC.</w:t>
      </w:r>
      <w:r>
        <w:rPr>
          <w:rFonts w:ascii="Times New Roman" w:hAnsi="Times New Roman"/>
          <w:sz w:val="20"/>
        </w:rPr>
        <w:t>, a Delaware corporation (</w:t>
      </w:r>
      <w:r>
        <w:rPr>
          <w:rFonts w:ascii="times new roman;times" w:hAnsi="times new roman;times"/>
          <w:sz w:val="20"/>
        </w:rPr>
        <w:t>“</w:t>
      </w:r>
      <w:r>
        <w:rPr>
          <w:rFonts w:ascii="Times New Roman" w:hAnsi="Times New Roman"/>
          <w:b/>
          <w:i/>
          <w:sz w:val="20"/>
        </w:rPr>
        <w:t>Seller</w:t>
      </w:r>
      <w:r>
        <w:rPr>
          <w:rFonts w:ascii="times new roman;times" w:hAnsi="times new roman;times"/>
          <w:sz w:val="20"/>
        </w:rPr>
        <w:t>”</w:t>
      </w:r>
      <w:r>
        <w:rPr>
          <w:rFonts w:ascii="Times New Roman" w:hAnsi="Times New Roman"/>
          <w:sz w:val="20"/>
        </w:rPr>
        <w:t xml:space="preserve">). Certain capitalized terms used in this Agreement are defined in </w:t>
      </w:r>
      <w:r>
        <w:rPr>
          <w:rFonts w:ascii="Times New Roman" w:hAnsi="Times New Roman"/>
          <w:sz w:val="20"/>
          <w:u w:val="single"/>
        </w:rPr>
        <w:t>Exhibit A</w:t>
      </w:r>
      <w:r>
        <w:rPr>
          <w:rFonts w:ascii="Times New Roman" w:hAnsi="Times New Roman"/>
          <w:sz w:val="20"/>
        </w:rPr>
        <w:t>.</w:t>
      </w:r>
    </w:p>
    <w:p>
      <w:pPr>
        <w:pStyle w:val="TextBody"/>
        <w:keepNext w:val="true"/>
        <w:keepLines/>
        <w:bidi w:val="0"/>
        <w:spacing w:lineRule="auto" w:line="288" w:before="0" w:after="240"/>
        <w:ind w:left="0" w:right="0" w:hanging="0"/>
        <w:jc w:val="center"/>
        <w:rPr>
          <w:rFonts w:ascii="Times New Roman" w:hAnsi="Times New Roman"/>
          <w:b/>
          <w:sz w:val="20"/>
        </w:rPr>
      </w:pPr>
      <w:r>
        <w:rPr>
          <w:rFonts w:ascii="Times New Roman" w:hAnsi="Times New Roman"/>
          <w:b/>
          <w:sz w:val="20"/>
        </w:rPr>
        <w:t>RECITALS</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 xml:space="preserve">A.Parent and the Company intend to effect a merger of Merger Sub with and into the Company (the </w:t>
      </w:r>
      <w:r>
        <w:rPr>
          <w:rFonts w:ascii="times new roman;times" w:hAnsi="times new roman;times"/>
          <w:sz w:val="20"/>
        </w:rPr>
        <w:t>“</w:t>
      </w:r>
      <w:r>
        <w:rPr>
          <w:rFonts w:ascii="Times New Roman" w:hAnsi="Times New Roman"/>
          <w:b/>
          <w:i/>
          <w:sz w:val="20"/>
        </w:rPr>
        <w:t>Merger</w:t>
      </w:r>
      <w:r>
        <w:rPr>
          <w:rFonts w:ascii="times new roman;times" w:hAnsi="times new roman;times"/>
          <w:sz w:val="20"/>
        </w:rPr>
        <w:t>”</w:t>
      </w:r>
      <w:r>
        <w:rPr>
          <w:rFonts w:ascii="Times New Roman" w:hAnsi="Times New Roman"/>
          <w:sz w:val="20"/>
        </w:rPr>
        <w:t>) in accordance with this Agreement and the DGCL. Upon consummation of the Merger, Merger Sub will cease to exist, and the Company will become a wholly-owned subsidiary of Parent.</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 xml:space="preserve">B.The Parties intend that the Merger qualify as a </w:t>
      </w:r>
      <w:r>
        <w:rPr>
          <w:rFonts w:ascii="times new roman;times" w:hAnsi="times new roman;times"/>
          <w:sz w:val="20"/>
        </w:rPr>
        <w:t>“</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 xml:space="preserve">within the meaning of Section 368(a) of the Code. By executing this Agreement, the Parties hereby adopt this Agreement as a </w:t>
      </w:r>
      <w:r>
        <w:rPr>
          <w:rFonts w:ascii="times new roman;times" w:hAnsi="times new roman;times"/>
          <w:sz w:val="20"/>
        </w:rPr>
        <w:t>“</w:t>
      </w:r>
      <w:r>
        <w:rPr>
          <w:rFonts w:ascii="Times New Roman" w:hAnsi="Times New Roman"/>
          <w:sz w:val="20"/>
        </w:rPr>
        <w:t>plan of reorganization</w:t>
      </w:r>
      <w:r>
        <w:rPr>
          <w:rFonts w:ascii="times new roman;times" w:hAnsi="times new roman;times"/>
          <w:sz w:val="20"/>
        </w:rPr>
        <w:t xml:space="preserve">” </w:t>
      </w:r>
      <w:r>
        <w:rPr>
          <w:rFonts w:ascii="Times New Roman" w:hAnsi="Times New Roman"/>
          <w:sz w:val="20"/>
        </w:rPr>
        <w:t>within the meaning of Treasury Regulations Sections 1.368-2(g) and 1.368-3, and intend to file the statement required by Treasury Regulations Section 1.368-3(a).</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C.The Parent Board of Directors has (i) determined that the Contemplated Transactions, including the Merger, the issuance of the Consideration Shares to Seller, the Financing, and the other transactions contemplated hereby, are advisable and in the best interests of Parent and its stockholders, (ii) approved this Agreement and the transactions contemplated hereby, including the Merger, the issuance of the Consideration Shares to Seller, the Financing and the other Parent Stockholder Proposals, and (iii) resolved to recommend that Parent</w:t>
      </w:r>
      <w:r>
        <w:rPr>
          <w:rFonts w:ascii="times new roman;times" w:hAnsi="times new roman;times"/>
          <w:sz w:val="20"/>
        </w:rPr>
        <w:t>’</w:t>
      </w:r>
      <w:r>
        <w:rPr>
          <w:rFonts w:ascii="Times New Roman" w:hAnsi="Times New Roman"/>
          <w:sz w:val="20"/>
        </w:rPr>
        <w:t>s stockholders approve the Parent Stockholder Proposals in accordance with this Agreement.</w:t>
      </w:r>
    </w:p>
    <w:p>
      <w:pPr>
        <w:pStyle w:val="TextBody"/>
        <w:bidi w:val="0"/>
        <w:spacing w:lineRule="auto" w:line="288" w:before="0" w:after="240"/>
        <w:ind w:left="375" w:right="0" w:firstLine="720"/>
        <w:jc w:val="left"/>
        <w:rPr>
          <w:rFonts w:ascii="Times New Roman" w:hAnsi="Times New Roman"/>
          <w:sz w:val="20"/>
        </w:rPr>
      </w:pPr>
      <w:r>
        <w:rPr>
          <w:rFonts w:ascii="Times New Roman" w:hAnsi="Times New Roman"/>
          <w:sz w:val="20"/>
        </w:rPr>
        <w:t>D.The Board of Directors of Merger Sub (i) has determined that the Contemplated Transactions, including the Merger, are fair to and in the best interests of Merger Sub and its sole shareholder, (ii) has adopted this Agreement and approved the Merger and the other transactions contemplated by this Agreement and has deemed this Agreement advisable, and (iii) has determined to recommend that the sole shareholder of Merger Sub vote to approve this Agreement and thereby approve the Merger and such other actions as contemplated by this Agreement.</w:t>
      </w:r>
    </w:p>
    <w:p>
      <w:pPr>
        <w:pStyle w:val="TextBody"/>
        <w:bidi w:val="0"/>
        <w:spacing w:lineRule="auto" w:line="288" w:before="0" w:after="240"/>
        <w:ind w:left="390" w:right="0" w:firstLine="720"/>
        <w:jc w:val="left"/>
        <w:rPr>
          <w:rFonts w:ascii="Times New Roman" w:hAnsi="Times New Roman"/>
          <w:sz w:val="20"/>
        </w:rPr>
      </w:pPr>
      <w:r>
        <w:rPr>
          <w:rFonts w:ascii="Times New Roman" w:hAnsi="Times New Roman"/>
          <w:sz w:val="20"/>
        </w:rPr>
        <w:t>E.The Company Board of Directors (i) has determined that the Contemplated Transactions, including the Merger, are fair to and in the best interests of the Company and its shareholders, (ii) has adopted this Agreement and approved the Merger and the other transactions contemplated by this Agreement and has deemed this Agreement advisable, and (iii) has determined to recommend that the shareholders of the Company vote to approve this Agreement and thereby approve the Merger and such other actions as contemplated by this Agreement.</w:t>
      </w:r>
    </w:p>
    <w:p>
      <w:pPr>
        <w:pStyle w:val="TextBody"/>
        <w:bidi w:val="0"/>
        <w:spacing w:lineRule="auto" w:line="288" w:before="0" w:after="240"/>
        <w:ind w:left="390" w:right="0" w:firstLine="720"/>
        <w:jc w:val="left"/>
        <w:rPr>
          <w:rFonts w:ascii="times new roman;times" w:hAnsi="times new roman;times"/>
          <w:sz w:val="20"/>
        </w:rPr>
      </w:pPr>
      <w:r>
        <w:rPr>
          <w:rFonts w:ascii="Times New Roman" w:hAnsi="Times New Roman"/>
          <w:sz w:val="20"/>
        </w:rPr>
        <w:t>F.In order to induce the Company and Seller to enter into this Agreement and to cause the Merger to be consummated, the stockholders of Parent listed in Parent Disclosure Schedule, who collectively own at least 50.1% of the issued and outstanding Parent Common Stock, are executing voting agreements in favor of the Company and Seller concurrently with the execution and delivery of this Agreement in a</w:t>
      </w:r>
      <w:r>
        <w:rPr>
          <w:rFonts w:ascii="times new roman;times" w:hAnsi="times new roman;times"/>
          <w:sz w:val="20"/>
        </w:rPr>
        <w:t xml:space="preserve"> </w:t>
      </w:r>
      <w:r>
        <w:rPr>
          <w:rFonts w:ascii="Times New Roman" w:hAnsi="Times New Roman"/>
          <w:sz w:val="20"/>
        </w:rPr>
        <w:t xml:space="preserve">form to be mutually agreed to by Parent and Seller (the </w:t>
      </w:r>
      <w:r>
        <w:rPr>
          <w:rFonts w:ascii="times new roman;times" w:hAnsi="times new roman;times"/>
          <w:sz w:val="20"/>
        </w:rPr>
        <w:t>“</w:t>
      </w:r>
      <w:r>
        <w:rPr>
          <w:rFonts w:ascii="Times New Roman" w:hAnsi="Times New Roman"/>
          <w:b/>
          <w:i/>
          <w:sz w:val="20"/>
        </w:rPr>
        <w:t>Parent Voting Agreements</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G.In order to induce Parent to enter into this Agreement and to cause the Merger to be consummated, Seller is executing and delivering a lock-up agreement in favor of Parent concurrently with the execution and delivery of this Agreement, in a form to be mutually agreed to by Parent and Seller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b/>
          <w:i/>
          <w:sz w:val="20"/>
        </w:rPr>
        <w:t>Lock-up Agreement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 to which 50% of the Consideration Shares will be subject to a contractual lock-up for one (1) year following the Closing Date and 50% of the Consideration Shares will be subject to a contractual lock-up for two (2) years following the Closing Date.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H.In order to induce Parent and the Pre-Closing Parent Stockholders to enter into this Agreement and to cause the Merger to be consummated, Seller is executing and delivering a voting agreement in favor of the Pre-Closing Parent Stockholders concurrently with the Closing in a</w:t>
      </w:r>
      <w:r>
        <w:rPr>
          <w:rFonts w:ascii="times new roman;times" w:hAnsi="times new roman;times"/>
          <w:sz w:val="20"/>
        </w:rPr>
        <w:t xml:space="preserve"> </w:t>
      </w:r>
      <w:r>
        <w:rPr>
          <w:rFonts w:ascii="Times New Roman" w:hAnsi="Times New Roman"/>
          <w:sz w:val="20"/>
        </w:rPr>
        <w:t>form to be mutually agreed to by Parent and Seller</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sz w:val="20"/>
        </w:rPr>
        <w:t>“</w:t>
      </w:r>
      <w:r>
        <w:rPr>
          <w:rFonts w:ascii="Times New Roman" w:hAnsi="Times New Roman"/>
          <w:b/>
          <w:i/>
          <w:sz w:val="20"/>
        </w:rPr>
        <w:t>Seller Voting Agreement</w:t>
      </w:r>
      <w:r>
        <w:rPr>
          <w:rFonts w:ascii="times new roman;times" w:hAnsi="times new roman;times"/>
          <w:sz w:val="20"/>
        </w:rPr>
        <w:t>”</w:t>
      </w:r>
      <w:r>
        <w:rPr>
          <w:rFonts w:ascii="Times New Roman" w:hAnsi="Times New Roman"/>
          <w:sz w:val="20"/>
        </w:rPr>
        <w:t>), pursuant to which Seller agrees to vote its shares of Parent Common Stock in support of the Pre-Closing Parent Stockholder Board Seat and the equity moratorium protections during the Equity Moratorium Period,</w:t>
      </w:r>
      <w:r>
        <w:rPr>
          <w:rFonts w:ascii="times new roman;times" w:hAnsi="times new roman;times"/>
          <w:sz w:val="20"/>
        </w:rPr>
        <w:t xml:space="preserve"> </w:t>
      </w:r>
      <w:r>
        <w:rPr>
          <w:rFonts w:ascii="Times New Roman" w:hAnsi="Times New Roman"/>
          <w:sz w:val="20"/>
        </w:rPr>
        <w:t>and the Pre-Closing Parent Stockholders agree to vote their shares in support of the Seller Directors during the Equity Moratorium Period.</w:t>
      </w:r>
    </w:p>
    <w:p>
      <w:pPr>
        <w:pStyle w:val="TextBody"/>
        <w:bidi w:val="0"/>
        <w:spacing w:lineRule="auto" w:line="288" w:before="0" w:after="240"/>
        <w:ind w:left="420" w:right="0" w:firstLine="720"/>
        <w:jc w:val="left"/>
        <w:rPr>
          <w:rFonts w:ascii="times new roman;times" w:hAnsi="times new roman;times"/>
          <w:sz w:val="20"/>
        </w:rPr>
      </w:pPr>
      <w:r>
        <w:rPr>
          <w:rFonts w:ascii="Times New Roman" w:hAnsi="Times New Roman"/>
          <w:sz w:val="20"/>
        </w:rPr>
        <w:t xml:space="preserve">I.Seller, in its capacity as the sole holder of all of the issued and outstanding Company Capital Stock, shall approve this Agreement and the Merger by written consent in accordance with applicable Law and </w:t>
      </w:r>
      <w:r>
        <w:rPr>
          <w:rFonts w:ascii="Times New Roman" w:hAnsi="Times New Roman"/>
          <w:sz w:val="20"/>
          <w:u w:val="single"/>
        </w:rPr>
        <w:t>Section 5.2</w:t>
      </w:r>
      <w:r>
        <w:rPr>
          <w:rFonts w:ascii="Times New Roman" w:hAnsi="Times New Roman"/>
          <w:sz w:val="20"/>
        </w:rPr>
        <w:t>.</w:t>
      </w:r>
    </w:p>
    <w:p>
      <w:pPr>
        <w:pStyle w:val="TextBody"/>
        <w:bidi w:val="0"/>
        <w:spacing w:lineRule="auto" w:line="288" w:before="0" w:after="240"/>
        <w:ind w:left="420" w:right="0" w:firstLine="720"/>
        <w:jc w:val="left"/>
        <w:rPr>
          <w:rFonts w:ascii="times new roman;times" w:hAnsi="times new roman;times"/>
          <w:sz w:val="20"/>
        </w:rPr>
      </w:pPr>
      <w:r>
        <w:rPr>
          <w:rFonts w:ascii="Times New Roman" w:hAnsi="Times New Roman"/>
          <w:sz w:val="20"/>
        </w:rPr>
        <w:t>J.</w:t>
      </w:r>
      <w:r>
        <w:rPr>
          <w:rFonts w:ascii="Times New Roman" w:hAnsi="Times New Roman"/>
          <w:spacing w:val="4"/>
          <w:sz w:val="20"/>
        </w:rPr>
        <w:t xml:space="preserve">In conjunction with and as a condition to the Closing, Parent intends to consummate a financing under a registration statement on Form S-1 for aggregate gross proceeds of not less than $10,000,000 and not more than $15,000,000 through the issuance of not less than 2,500,000 and not more than 5,000,000 units (each, a </w:t>
      </w:r>
      <w:r>
        <w:rPr>
          <w:rFonts w:ascii="times new roman;times" w:hAnsi="times new roman;times"/>
          <w:spacing w:val="4"/>
          <w:sz w:val="20"/>
        </w:rPr>
        <w:t>“</w:t>
      </w:r>
      <w:r>
        <w:rPr>
          <w:rFonts w:ascii="Times New Roman" w:hAnsi="Times New Roman"/>
          <w:b/>
          <w:i/>
          <w:spacing w:val="4"/>
          <w:sz w:val="20"/>
        </w:rPr>
        <w:t>Financing Unit</w:t>
      </w:r>
      <w:r>
        <w:rPr>
          <w:rFonts w:ascii="times new roman;times" w:hAnsi="times new roman;times"/>
          <w:spacing w:val="4"/>
          <w:sz w:val="20"/>
        </w:rPr>
        <w:t>”</w:t>
      </w:r>
      <w:r>
        <w:rPr>
          <w:rFonts w:ascii="Times New Roman" w:hAnsi="Times New Roman"/>
          <w:spacing w:val="4"/>
          <w:sz w:val="20"/>
        </w:rPr>
        <w:t xml:space="preserve">), with each Financing Unit consisting of one (1) share of Parent Common Stock (each, a </w:t>
      </w:r>
      <w:r>
        <w:rPr>
          <w:rFonts w:ascii="times new roman;times" w:hAnsi="times new roman;times"/>
          <w:spacing w:val="4"/>
          <w:sz w:val="20"/>
        </w:rPr>
        <w:t>“</w:t>
      </w:r>
      <w:r>
        <w:rPr>
          <w:rFonts w:ascii="Times New Roman" w:hAnsi="Times New Roman"/>
          <w:b/>
          <w:i/>
          <w:spacing w:val="4"/>
          <w:sz w:val="20"/>
        </w:rPr>
        <w:t>Financing Share</w:t>
      </w:r>
      <w:r>
        <w:rPr>
          <w:rFonts w:ascii="times new roman;times" w:hAnsi="times new roman;times"/>
          <w:spacing w:val="4"/>
          <w:sz w:val="20"/>
        </w:rPr>
        <w:t>”</w:t>
      </w:r>
      <w:r>
        <w:rPr>
          <w:rFonts w:ascii="Times New Roman" w:hAnsi="Times New Roman"/>
          <w:spacing w:val="4"/>
          <w:sz w:val="20"/>
        </w:rPr>
        <w:t>) and one (1) warrant</w:t>
      </w:r>
      <w:r>
        <w:rPr>
          <w:rFonts w:ascii="times new roman;times" w:hAnsi="times new roman;times"/>
          <w:sz w:val="20"/>
        </w:rPr>
        <w:t xml:space="preserve"> </w:t>
      </w:r>
      <w:r>
        <w:rPr>
          <w:rFonts w:ascii="Times New Roman" w:hAnsi="Times New Roman"/>
          <w:spacing w:val="4"/>
          <w:sz w:val="20"/>
        </w:rPr>
        <w:t>(each, a “</w:t>
      </w:r>
      <w:r>
        <w:rPr>
          <w:rFonts w:ascii="Times New Roman" w:hAnsi="Times New Roman"/>
          <w:b/>
          <w:i/>
          <w:spacing w:val="4"/>
          <w:sz w:val="20"/>
        </w:rPr>
        <w:t>Financing Warrant</w:t>
      </w:r>
      <w:r>
        <w:rPr>
          <w:rFonts w:ascii="times new roman;times" w:hAnsi="times new roman;times"/>
          <w:spacing w:val="4"/>
          <w:sz w:val="20"/>
        </w:rPr>
        <w:t>”</w:t>
      </w:r>
      <w:r>
        <w:rPr>
          <w:rFonts w:ascii="Times New Roman" w:hAnsi="Times New Roman"/>
          <w:spacing w:val="4"/>
          <w:sz w:val="20"/>
        </w:rPr>
        <w:t>)</w:t>
      </w:r>
      <w:r>
        <w:rPr>
          <w:rFonts w:ascii="times new roman;times" w:hAnsi="times new roman;times"/>
          <w:spacing w:val="4"/>
          <w:sz w:val="20"/>
        </w:rPr>
        <w:t xml:space="preserve"> </w:t>
      </w:r>
      <w:r>
        <w:rPr>
          <w:rFonts w:ascii="Times New Roman" w:hAnsi="Times New Roman"/>
          <w:spacing w:val="4"/>
          <w:sz w:val="20"/>
        </w:rPr>
        <w:t>to purchase one (1) share of Parent Common Stock (the</w:t>
      </w:r>
      <w:r>
        <w:rPr>
          <w:rFonts w:ascii="times new roman;times" w:hAnsi="times new roman;times"/>
          <w:sz w:val="20"/>
        </w:rPr>
        <w:t xml:space="preserve"> </w:t>
      </w:r>
      <w:r>
        <w:rPr>
          <w:rFonts w:ascii="times new roman;times" w:hAnsi="times new roman;times"/>
          <w:spacing w:val="4"/>
          <w:sz w:val="20"/>
        </w:rPr>
        <w:t>“</w:t>
      </w:r>
      <w:r>
        <w:rPr>
          <w:rFonts w:ascii="Times New Roman" w:hAnsi="Times New Roman"/>
          <w:b/>
          <w:i/>
          <w:spacing w:val="4"/>
          <w:sz w:val="20"/>
        </w:rPr>
        <w:t>Financing Warrant</w:t>
      </w:r>
      <w:r>
        <w:rPr>
          <w:rFonts w:ascii="times new roman;times" w:hAnsi="times new roman;times"/>
          <w:spacing w:val="4"/>
          <w:sz w:val="20"/>
        </w:rPr>
        <w:t xml:space="preserve"> </w:t>
      </w:r>
      <w:r>
        <w:rPr>
          <w:rFonts w:ascii="Times New Roman" w:hAnsi="Times New Roman"/>
          <w:b/>
          <w:i/>
          <w:spacing w:val="4"/>
          <w:sz w:val="20"/>
        </w:rPr>
        <w:t>Shares</w:t>
      </w:r>
      <w:r>
        <w:rPr>
          <w:rFonts w:ascii="times new roman;times" w:hAnsi="times new roman;times"/>
          <w:spacing w:val="4"/>
          <w:sz w:val="20"/>
        </w:rPr>
        <w:t>”</w:t>
      </w:r>
      <w:r>
        <w:rPr>
          <w:rFonts w:ascii="Times New Roman" w:hAnsi="Times New Roman"/>
          <w:spacing w:val="4"/>
          <w:sz w:val="20"/>
        </w:rPr>
        <w:t>) at an exercise price of $10.00 per share, exercisable for a period of six (6) months from the date of issuance</w:t>
      </w:r>
      <w:r>
        <w:rPr>
          <w:rFonts w:ascii="times new roman;times" w:hAnsi="times new roman;times"/>
          <w:spacing w:val="4"/>
          <w:sz w:val="20"/>
        </w:rPr>
        <w:t xml:space="preserve"> </w:t>
      </w:r>
      <w:r>
        <w:rPr>
          <w:rFonts w:ascii="Times New Roman" w:hAnsi="Times New Roman"/>
          <w:spacing w:val="4"/>
          <w:sz w:val="20"/>
        </w:rPr>
        <w:t>of the Financing Warrant</w:t>
      </w:r>
      <w:r>
        <w:rPr>
          <w:rFonts w:ascii="times new roman;times" w:hAnsi="times new roman;times"/>
          <w:spacing w:val="4"/>
          <w:sz w:val="20"/>
        </w:rPr>
        <w:t xml:space="preserve"> </w:t>
      </w:r>
      <w:r>
        <w:rPr>
          <w:rFonts w:ascii="Times New Roman" w:hAnsi="Times New Roman"/>
          <w:spacing w:val="4"/>
          <w:sz w:val="20"/>
        </w:rPr>
        <w:t xml:space="preserve">(the </w:t>
      </w:r>
      <w:r>
        <w:rPr>
          <w:rFonts w:ascii="times new roman;times" w:hAnsi="times new roman;times"/>
          <w:spacing w:val="4"/>
          <w:sz w:val="20"/>
        </w:rPr>
        <w:t>“</w:t>
      </w:r>
      <w:r>
        <w:rPr>
          <w:rFonts w:ascii="Times New Roman" w:hAnsi="Times New Roman"/>
          <w:b/>
          <w:i/>
          <w:spacing w:val="4"/>
          <w:sz w:val="20"/>
        </w:rPr>
        <w:t>Financing</w:t>
      </w:r>
      <w:r>
        <w:rPr>
          <w:rFonts w:ascii="times new roman;times" w:hAnsi="times new roman;times"/>
          <w:spacing w:val="4"/>
          <w:sz w:val="20"/>
        </w:rPr>
        <w:t>”</w:t>
      </w:r>
      <w:r>
        <w:rPr>
          <w:rFonts w:ascii="Times New Roman" w:hAnsi="Times New Roman"/>
          <w:spacing w:val="4"/>
          <w:sz w:val="20"/>
        </w:rPr>
        <w:t>).</w:t>
      </w:r>
      <w:r>
        <w:rPr>
          <w:rFonts w:ascii="times new roman;times" w:hAnsi="times new roman;times"/>
          <w:sz w:val="20"/>
        </w:rPr>
        <w:t xml:space="preserve"> </w:t>
      </w:r>
    </w:p>
    <w:p>
      <w:pPr>
        <w:pStyle w:val="TextBody"/>
        <w:bidi w:val="0"/>
        <w:spacing w:lineRule="auto" w:line="288" w:before="0" w:after="240"/>
        <w:ind w:left="375" w:right="0" w:firstLine="720"/>
        <w:jc w:val="left"/>
        <w:rPr>
          <w:rFonts w:ascii="times new roman;times" w:hAnsi="times new roman;times"/>
          <w:sz w:val="20"/>
        </w:rPr>
      </w:pPr>
      <w:r>
        <w:rPr>
          <w:rFonts w:ascii="Times New Roman" w:hAnsi="Times New Roman"/>
          <w:sz w:val="20"/>
        </w:rPr>
        <w:t>K.Upon the terms and subject to the conditions set forth herein, all of the issued and outstanding Company Equity Securities held by Seller immediately prior to the Effective Time will be converted into the right to receive 12,500,000 shares of Parent Common Stock, subject to such</w:t>
      </w:r>
      <w:r>
        <w:rPr>
          <w:rFonts w:ascii="times new roman;times" w:hAnsi="times new roman;times"/>
          <w:sz w:val="20"/>
        </w:rPr>
        <w:t xml:space="preserve"> </w:t>
      </w:r>
      <w:r>
        <w:rPr>
          <w:rFonts w:ascii="Times New Roman" w:hAnsi="Times New Roman"/>
          <w:sz w:val="20"/>
        </w:rPr>
        <w:t>adjustments expressly set forth herein.</w:t>
      </w:r>
    </w:p>
    <w:p>
      <w:pPr>
        <w:pStyle w:val="TextBody"/>
        <w:bidi w:val="0"/>
        <w:spacing w:lineRule="auto" w:line="288" w:before="0" w:after="240"/>
        <w:ind w:left="375" w:right="0" w:firstLine="720"/>
        <w:jc w:val="left"/>
        <w:rPr>
          <w:rFonts w:ascii="Times New Roman" w:hAnsi="Times New Roman"/>
          <w:sz w:val="20"/>
        </w:rPr>
      </w:pPr>
      <w:r>
        <w:rPr>
          <w:rFonts w:ascii="Times New Roman" w:hAnsi="Times New Roman"/>
          <w:sz w:val="20"/>
        </w:rPr>
        <w:t>L.ThinkEquity LLC is acting as financial advisor to Seller and the Company in connection with the transactions contemplated hereby and shall be entitled to the fee expressly set forth herein.</w:t>
      </w:r>
    </w:p>
    <w:p>
      <w:pPr>
        <w:pStyle w:val="TextBody"/>
        <w:bidi w:val="0"/>
        <w:spacing w:lineRule="auto" w:line="288" w:before="0" w:after="240"/>
        <w:ind w:left="345" w:right="0" w:firstLine="720"/>
        <w:jc w:val="left"/>
        <w:rPr>
          <w:rFonts w:ascii="times new roman;times" w:hAnsi="times new roman;times"/>
          <w:sz w:val="20"/>
        </w:rPr>
      </w:pPr>
      <w:r>
        <w:rPr>
          <w:rFonts w:ascii="Times New Roman" w:hAnsi="Times New Roman"/>
          <w:sz w:val="20"/>
        </w:rPr>
        <w:t>M.As a condition to Seller</w:t>
      </w:r>
      <w:r>
        <w:rPr>
          <w:rFonts w:ascii="times new roman;times" w:hAnsi="times new roman;times"/>
          <w:sz w:val="20"/>
        </w:rPr>
        <w:t>’</w:t>
      </w:r>
      <w:r>
        <w:rPr>
          <w:rFonts w:ascii="Times New Roman" w:hAnsi="Times New Roman"/>
          <w:sz w:val="20"/>
        </w:rPr>
        <w:t>s obligation to consummate the Closing, First Finance Ltd. shall have waived any right to receive value in respect of any warrants held by it or its Affiliates.</w:t>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Parties to this Agreement, intending to be legally bound, agree as follows:</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1</w:t>
        </w:r>
      </w:hyperlink>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bidi w:val="0"/>
        <w:spacing w:lineRule="auto" w:line="288"/>
        <w:ind w:left="0" w:right="0" w:hanging="0"/>
        <w:jc w:val="center"/>
        <w:rPr>
          <w:rFonts w:ascii="Times New Roman" w:hAnsi="Times New Roman"/>
          <w:b/>
          <w:caps/>
          <w:sz w:val="20"/>
        </w:rPr>
      </w:pPr>
      <w:r>
        <w:rPr>
          <w:rFonts w:ascii="Times New Roman" w:hAnsi="Times New Roman"/>
          <w:b/>
          <w:caps/>
          <w:sz w:val="20"/>
        </w:rPr>
        <w:t>DESCRIPTION OF TRANSACTION</w:t>
      </w:r>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1.1</w:t>
        </w:r>
      </w:hyperlink>
      <w:hyperlink w:anchor="TOC">
        <w:r>
          <w:rPr>
            <w:rStyle w:val="InternetLink"/>
            <w:rFonts w:ascii="Times New Roman" w:hAnsi="Times New Roman"/>
            <w:b/>
            <w:strike w:val="false"/>
            <w:dstrike w:val="false"/>
            <w:color w:val="000000"/>
            <w:sz w:val="20"/>
            <w:u w:val="none"/>
            <w:effect w:val="none"/>
          </w:rPr>
          <w:t>Structure of the Merger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times" w:hAnsi="times new roman;times"/>
          <w:b w:val="false"/>
          <w:sz w:val="20"/>
        </w:rPr>
        <w:t>“</w:t>
      </w:r>
      <w:r>
        <w:rPr>
          <w:rFonts w:ascii="Times New Roman" w:hAnsi="Times New Roman"/>
          <w:b/>
          <w:i/>
          <w:sz w:val="20"/>
        </w:rPr>
        <w:t>Surviving Corporation</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1.2</w:t>
        </w:r>
      </w:hyperlink>
      <w:hyperlink w:anchor="TOC">
        <w:r>
          <w:rPr>
            <w:rStyle w:val="InternetLink"/>
            <w:rFonts w:ascii="Times New Roman" w:hAnsi="Times New Roman"/>
            <w:b/>
            <w:strike w:val="false"/>
            <w:dstrike w:val="false"/>
            <w:color w:val="000000"/>
            <w:sz w:val="20"/>
            <w:u w:val="none"/>
            <w:effect w:val="none"/>
          </w:rPr>
          <w:t>Effects of the Merger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Merger shall have the effects set forth in this Agreement, the Certificate of Merger and in the applicable provisions</w:t>
      </w:r>
      <w:r>
        <w:rPr>
          <w:rFonts w:ascii="times new roman;times" w:hAnsi="times new roman;times"/>
          <w:b w:val="false"/>
          <w:sz w:val="20"/>
        </w:rPr>
        <w:t xml:space="preserve"> </w:t>
      </w:r>
      <w:r>
        <w:rPr>
          <w:rFonts w:ascii="Times New Roman" w:hAnsi="Times New Roman"/>
          <w:b w:val="false"/>
          <w:sz w:val="20"/>
        </w:rPr>
        <w:t>of the DGCL. As a result of the Merger, the Company will become a wholly owned subsidiary of Parent.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1.3</w:t>
        </w:r>
      </w:hyperlink>
      <w:hyperlink w:anchor="TOC">
        <w:r>
          <w:rPr>
            <w:rStyle w:val="InternetLink"/>
            <w:rFonts w:ascii="Times New Roman" w:hAnsi="Times New Roman"/>
            <w:b/>
            <w:strike w:val="false"/>
            <w:dstrike w:val="false"/>
            <w:color w:val="000000"/>
            <w:sz w:val="20"/>
            <w:u w:val="none"/>
            <w:effect w:val="none"/>
          </w:rPr>
          <w:t>Closing; Effective Time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Unless this Agreement is earlier terminated pursuant to the provisions of </w:t>
      </w:r>
      <w:r>
        <w:rPr>
          <w:rFonts w:ascii="Times New Roman" w:hAnsi="Times New Roman"/>
          <w:b w:val="false"/>
          <w:sz w:val="20"/>
          <w:u w:val="single"/>
        </w:rPr>
        <w:t>Section 9.1</w:t>
      </w:r>
      <w:r>
        <w:rPr>
          <w:rFonts w:ascii="Times New Roman" w:hAnsi="Times New Roman"/>
          <w:b w:val="false"/>
          <w:sz w:val="20"/>
        </w:rPr>
        <w:t xml:space="preserve">, and subject to the satisfaction or waiver of the conditions set forth in </w:t>
      </w:r>
      <w:r>
        <w:rPr>
          <w:rFonts w:ascii="Times New Roman" w:hAnsi="Times New Roman"/>
          <w:b w:val="false"/>
          <w:sz w:val="20"/>
          <w:u w:val="single"/>
        </w:rPr>
        <w:t>Articles 6, 7 and 8</w:t>
      </w:r>
      <w:r>
        <w:rPr>
          <w:rFonts w:ascii="Times New Roman" w:hAnsi="Times New Roman"/>
          <w:b w:val="false"/>
          <w:sz w:val="20"/>
        </w:rPr>
        <w:t xml:space="preserve">, the consummation of the Merger (the </w:t>
      </w:r>
      <w:r>
        <w:rPr>
          <w:rFonts w:ascii="times new roman;times" w:hAnsi="times new roman;times"/>
          <w:b w:val="false"/>
          <w:sz w:val="20"/>
        </w:rPr>
        <w:t>“</w:t>
      </w:r>
      <w:r>
        <w:rPr>
          <w:rFonts w:ascii="Times New Roman" w:hAnsi="Times New Roman"/>
          <w:b/>
          <w:i/>
          <w:sz w:val="20"/>
        </w:rPr>
        <w:t>Closing</w:t>
      </w:r>
      <w:r>
        <w:rPr>
          <w:rFonts w:ascii="times new roman;times" w:hAnsi="times new roman;times"/>
          <w:b w:val="false"/>
          <w:sz w:val="20"/>
        </w:rPr>
        <w:t>”</w:t>
      </w:r>
      <w:r>
        <w:rPr>
          <w:rFonts w:ascii="Times New Roman" w:hAnsi="Times New Roman"/>
          <w:b w:val="false"/>
          <w:sz w:val="20"/>
        </w:rPr>
        <w:t xml:space="preserve">) shall take place remotely by electronic exchange of documents and signatures, as promptly as practicable (but in no event later than the second Business Day following the satisfaction or waiver of the last to be satisfied or waived of the conditions set forth in </w:t>
      </w:r>
      <w:r>
        <w:rPr>
          <w:rFonts w:ascii="Times New Roman" w:hAnsi="Times New Roman"/>
          <w:b w:val="false"/>
          <w:sz w:val="20"/>
          <w:u w:val="single"/>
        </w:rPr>
        <w:t>Articles 6, 7 and 8</w:t>
      </w:r>
      <w:r>
        <w:rPr>
          <w:rFonts w:ascii="Times New Roman" w:hAnsi="Times New Roman"/>
          <w:b w:val="false"/>
          <w:sz w:val="20"/>
        </w:rPr>
        <w:t xml:space="preserve">, other than those conditions that by their nature are to be satisfied at the Closing, but subject to the satisfaction or waiver of each of such conditions), or at such other time, date and place as Parent, the Company and Seller may mutually agree in writing. The date on which the Closing actually takes place is referred to as the </w:t>
      </w:r>
      <w:r>
        <w:rPr>
          <w:rFonts w:ascii="times new roman;times" w:hAnsi="times new roman;times"/>
          <w:b w:val="false"/>
          <w:sz w:val="20"/>
        </w:rPr>
        <w:t>“</w:t>
      </w:r>
      <w:r>
        <w:rPr>
          <w:rFonts w:ascii="Times New Roman" w:hAnsi="Times New Roman"/>
          <w:b/>
          <w:i/>
          <w:sz w:val="20"/>
        </w:rPr>
        <w:t>Closing Date.</w:t>
      </w:r>
      <w:r>
        <w:rPr>
          <w:rFonts w:ascii="times new roman;times" w:hAnsi="times new roman;times"/>
          <w:b w:val="false"/>
          <w:sz w:val="20"/>
        </w:rPr>
        <w:t xml:space="preserve">” </w:t>
      </w:r>
      <w:r>
        <w:rPr>
          <w:rFonts w:ascii="Times New Roman" w:hAnsi="Times New Roman"/>
          <w:b w:val="false"/>
          <w:sz w:val="20"/>
        </w:rPr>
        <w:t xml:space="preserve">At the Closing, the Parties hereto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times new roman;times" w:hAnsi="times new roman;times"/>
          <w:b w:val="false"/>
          <w:sz w:val="20"/>
        </w:rPr>
        <w:t>“</w:t>
      </w:r>
      <w:r>
        <w:rPr>
          <w:rFonts w:ascii="Times New Roman" w:hAnsi="Times New Roman"/>
          <w:b/>
          <w:i/>
          <w:sz w:val="20"/>
        </w:rPr>
        <w:t>Certificate of Merger</w:t>
      </w:r>
      <w:r>
        <w:rPr>
          <w:rFonts w:ascii="times new roman;times" w:hAnsi="times new roman;times"/>
          <w:b w:val="false"/>
          <w:sz w:val="20"/>
        </w:rPr>
        <w:t>”</w:t>
      </w:r>
      <w:r>
        <w:rPr>
          <w:rFonts w:ascii="Times New Roman" w:hAnsi="Times New Roman"/>
          <w:b w:val="false"/>
          <w:sz w:val="20"/>
        </w:rPr>
        <w:t xml:space="preserve">). The Merger shall become effective at the time specified in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times" w:hAnsi="times new roman;times"/>
          <w:b w:val="false"/>
          <w:sz w:val="20"/>
        </w:rPr>
        <w:t>“</w:t>
      </w:r>
      <w:r>
        <w:rPr>
          <w:rFonts w:ascii="Times New Roman" w:hAnsi="Times New Roman"/>
          <w:b/>
          <w:i/>
          <w:sz w:val="20"/>
        </w:rPr>
        <w:t>Effective Time</w:t>
      </w:r>
      <w:r>
        <w:rPr>
          <w:rFonts w:ascii="times new roman;times" w:hAnsi="times new roman;times"/>
          <w:b w:val="false"/>
          <w:sz w:val="20"/>
        </w:rPr>
        <w:t>”</w:t>
      </w:r>
      <w:r>
        <w:rPr>
          <w:rFonts w:ascii="Times New Roman" w:hAnsi="Times New Roman"/>
          <w:b w:val="false"/>
          <w:sz w:val="20"/>
        </w:rPr>
        <w:t>). For the avoidance of doubt, the Financing may be consummated immediately prior to, or substantially concurrently with, the Closing.</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1.4</w:t>
        </w:r>
      </w:hyperlink>
      <w:hyperlink w:anchor="TOC">
        <w:r>
          <w:rPr>
            <w:rStyle w:val="InternetLink"/>
            <w:rFonts w:ascii="Times New Roman" w:hAnsi="Times New Roman"/>
            <w:b/>
            <w:strike w:val="false"/>
            <w:dstrike w:val="false"/>
            <w:color w:val="000000"/>
            <w:sz w:val="20"/>
            <w:u w:val="none"/>
            <w:effect w:val="none"/>
          </w:rPr>
          <w:t>Certificate of Incorporation and Bylaws; Directors and Officers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certificate of incorporation of the Surviving Corporation shall be amended and restated in its entirety to read identically to the certificate of incorporation of Merger Sub as in effect immediately prior to the Effective Time other than the fact that the name of the Surviving Corporation shall be </w:t>
      </w:r>
      <w:r>
        <w:rPr>
          <w:rFonts w:ascii="times new roman;times" w:hAnsi="times new roman;times"/>
          <w:b w:val="false"/>
          <w:sz w:val="20"/>
        </w:rPr>
        <w:t>“</w:t>
      </w:r>
      <w:r>
        <w:rPr>
          <w:rFonts w:ascii="Times New Roman" w:hAnsi="Times New Roman"/>
          <w:b w:val="false"/>
          <w:sz w:val="20"/>
        </w:rPr>
        <w:t>Cortigent, Inc.</w:t>
      </w:r>
      <w:r>
        <w:rPr>
          <w:rFonts w:ascii="times new roman;times" w:hAnsi="times new roman;times"/>
          <w:b w:val="false"/>
          <w:sz w:val="20"/>
        </w:rPr>
        <w:t xml:space="preserve">” </w:t>
      </w:r>
      <w:r>
        <w:rPr>
          <w:rFonts w:ascii="Times New Roman" w:hAnsi="Times New Roman"/>
          <w:b w:val="false"/>
          <w:sz w:val="20"/>
        </w:rPr>
        <w:t>(or such other name as Parent and Seller may mutually agree upon), until thereafter amended as provided by the DGCL and such certificate of incorporation;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the articles of incorporation of Parent shall be identical to the articles of incorporation of Parent as in effect immediately prior to the Effective Time, until thereafter amended as provided by applicable Nevada law and such articles of incorporation;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that at the Effective Time, Parent may</w:t>
      </w:r>
      <w:r>
        <w:rPr>
          <w:rFonts w:ascii="times new roman;times" w:hAnsi="times new roman;times"/>
          <w:b w:val="false"/>
          <w:sz w:val="20"/>
        </w:rPr>
        <w:t xml:space="preserve"> </w:t>
      </w:r>
      <w:r>
        <w:rPr>
          <w:rFonts w:ascii="Times New Roman" w:hAnsi="Times New Roman"/>
          <w:b w:val="false"/>
          <w:sz w:val="20"/>
        </w:rPr>
        <w:t xml:space="preserve">file one or more amendments to its articles of incorporation to make such other changes as are mutually agreeable to Parent and Seller, and, if required, have been approved by the requisite holders of Parent Common Stock;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Parent Board of Directors shall include one (1) seat designated as the Pre-Closing Parent Stockholder Board Seat, which seat shall be filled exclusively by a person designated by the holders of a majority of the shares of Parent Common Stock held by Pre-Closing Parent Stockholders, voting as a separate group, and the holder of such seat may not be removed during the Equity Moratorium Period;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 Pre-Closing Parent Stockholder Board Seat shall not be subject to elimination, reduction or modification by the Parent Board of Directors acting alone during the Equity Moratorium Period;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the bylaws of the Surviving Corporation shall be amended and restated to be identical to the bylaws of Merger Sub as in effect immediately prior to the Effective Time, until thereafter amended as provided by the DGCL and such bylaws; and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the directors and officers of the Surviving Corporation, each to hold office in accordance with the certificate of incorporation and bylaws of the Surviving Corporation, shall be the directors and officers as specified by the Company, after giving effect to the provisions of </w:t>
      </w:r>
      <w:r>
        <w:rPr>
          <w:rFonts w:ascii="Times New Roman" w:hAnsi="Times New Roman"/>
          <w:b w:val="false"/>
          <w:sz w:val="20"/>
          <w:u w:val="single"/>
        </w:rPr>
        <w:t>Section 5.13</w:t>
      </w:r>
      <w:r>
        <w:rPr>
          <w:rFonts w:ascii="Times New Roman" w:hAnsi="Times New Roman"/>
          <w:b w:val="false"/>
          <w:sz w:val="20"/>
        </w:rPr>
        <w: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A-3</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200" w:after="200"/>
        <w:ind w:left="600" w:right="0" w:firstLine="720"/>
        <w:jc w:val="left"/>
        <w:rPr/>
      </w:pPr>
      <w:hyperlink w:anchor="TOC">
        <w:r>
          <w:rPr>
            <w:rStyle w:val="InternetLink"/>
            <w:rFonts w:ascii="Times New Roman" w:hAnsi="Times New Roman"/>
            <w:b/>
            <w:strike w:val="false"/>
            <w:dstrike w:val="false"/>
            <w:color w:val="000000"/>
            <w:sz w:val="20"/>
            <w:u w:val="none"/>
            <w:effect w:val="none"/>
          </w:rPr>
          <w:t>1.5Conversion of Company Shares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At the Effective Time, by virtue of the Merger and without any further action on the part of Parent, Merger Sub, the Company, Seller or any stockholder of Parent or stockholder of the Company:</w:t>
      </w:r>
    </w:p>
    <w:p>
      <w:pPr>
        <w:pStyle w:val="TextBody"/>
        <w:bidi w:val="0"/>
        <w:spacing w:lineRule="auto" w:line="288" w:before="0" w:after="240"/>
        <w:ind w:left="6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any Company Capital Stock held as treasury stock or held or owned by the Company, Merger Sub or any Subsidiary of the Company immediately prior to the Effective Time shall be canceled and retired and shall cease to exist, and no consideration shall be delivered in exchange therefor; and</w:t>
      </w:r>
    </w:p>
    <w:p>
      <w:pPr>
        <w:pStyle w:val="TextBody"/>
        <w:bidi w:val="0"/>
        <w:spacing w:lineRule="auto" w:line="288" w:before="0" w:after="240"/>
        <w:ind w:left="56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subject to </w:t>
      </w:r>
      <w:r>
        <w:rPr>
          <w:rFonts w:ascii="Times New Roman" w:hAnsi="Times New Roman"/>
          <w:b w:val="false"/>
          <w:sz w:val="20"/>
          <w:u w:val="single"/>
        </w:rPr>
        <w:t>Section 1.5(b)</w:t>
      </w:r>
      <w:r>
        <w:rPr>
          <w:rFonts w:ascii="Times New Roman" w:hAnsi="Times New Roman"/>
          <w:b w:val="false"/>
          <w:sz w:val="20"/>
        </w:rPr>
        <w:t xml:space="preserve">, all issued and outstanding Company Equity Securities of Company held by Seller immediately prior to the Effective Time shall automatically be converted into the right to receive 12,500,000 duly authorized, validly issued, fully paid and nonassessable shares of Parent Common Stock (the </w:t>
      </w:r>
      <w:r>
        <w:rPr>
          <w:rFonts w:ascii="times new roman;times" w:hAnsi="times new roman;times"/>
          <w:b w:val="false"/>
          <w:sz w:val="20"/>
        </w:rPr>
        <w:t>“</w:t>
      </w:r>
      <w:r>
        <w:rPr>
          <w:rFonts w:ascii="Times New Roman" w:hAnsi="Times New Roman"/>
          <w:b/>
          <w:i/>
          <w:sz w:val="20"/>
        </w:rPr>
        <w:t>Consideration Shares</w:t>
      </w:r>
      <w:r>
        <w:rPr>
          <w:rFonts w:ascii="times new roman;times" w:hAnsi="times new roman;times"/>
          <w:b w:val="false"/>
          <w:sz w:val="20"/>
        </w:rPr>
        <w:t>”</w:t>
      </w:r>
      <w:r>
        <w:rPr>
          <w:rFonts w:ascii="Times New Roman" w:hAnsi="Times New Roman"/>
          <w:b w:val="false"/>
          <w:sz w:val="20"/>
        </w:rPr>
        <w:t>), subject to adjustment only as expressly set forth in this Agreement, including pursuant to any stock split, stock dividend, combination, recapitalization or similar event affecting Parent Common Stock.</w:t>
      </w:r>
      <w:r>
        <w:rPr>
          <w:rFonts w:ascii="times new roman;times" w:hAnsi="times new roman;times"/>
          <w:b w:val="false"/>
          <w:sz w:val="20"/>
        </w:rPr>
        <w:t xml:space="preserve"> </w:t>
      </w:r>
      <w:r>
        <w:rPr>
          <w:rFonts w:ascii="Times New Roman" w:hAnsi="Times New Roman"/>
          <w:b w:val="false"/>
          <w:sz w:val="20"/>
        </w:rPr>
        <w:t>For the avoidance of doubt, the Financing Warrant Shares issuable upon exercise of the Financing Warrants shall not, unless and until actually issued upon exercise thereof, be deemed outstanding for purposes of calculating the number of Consideration Shares, except as otherwise expressly provided herein.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No fractional shares of Parent Common Stock shall be issued in connection with the Merger, and no certificates or scrip for any such fractional shares shall be issued. If Seller would otherwise be entitled to receive a fraction of a share of Parent Common Stock, Seller shall receive from Parent, in lieu of such fractional share: (i) one share of Parent Common Stock if the amount of fractional shares of Parent Common Stock Seller would otherwise be entitled to is equal to or exceeds 0.50; or (ii) no shares of Parent Common Stock if the amount of fractional shares of Parent Common Stock Seller would otherwise be entitled to is less than 0.50, with no cash being paid for any fractional share eliminated by such rounding.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share of common stock, $0.0001 par value per share, of Merger Sub issued and outstanding immediately prior to the Effective Time shall be converted into and exchanged for one validly issued, fully paid and nonassessable share of common stock, $0.0001</w:t>
      </w:r>
      <w:r>
        <w:rPr>
          <w:rFonts w:ascii="times new roman;times" w:hAnsi="times new roman;times"/>
          <w:b w:val="false"/>
          <w:sz w:val="20"/>
        </w:rPr>
        <w:t xml:space="preserve"> </w:t>
      </w:r>
      <w:r>
        <w:rPr>
          <w:rFonts w:ascii="Times New Roman" w:hAnsi="Times New Roman"/>
          <w:b w:val="false"/>
          <w:sz w:val="20"/>
        </w:rPr>
        <w:t>par value per share, of the Surviving Corporation. Each stock certificate of Merger Sub evidencing ownership of</w:t>
      </w:r>
      <w:r>
        <w:rPr>
          <w:rFonts w:ascii="times new roman;times" w:hAnsi="times new roman;times"/>
          <w:b w:val="false"/>
          <w:sz w:val="20"/>
        </w:rPr>
        <w:t xml:space="preserve"> </w:t>
      </w:r>
      <w:r>
        <w:rPr>
          <w:rFonts w:ascii="Times New Roman" w:hAnsi="Times New Roman"/>
          <w:b w:val="false"/>
          <w:sz w:val="20"/>
        </w:rPr>
        <w:t>any such shares shall, as of the Effective Time, evidence ownership of such shares of Common Stock of the Surviving Corporation.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If, during the period between the date of this Agreement and the Effective Time, the outstanding shares of Parent Common Stock shall have been changed into a different number of shares or a different class of securities by reason of any stock split, stock dividend, reverse split, recapitalization, reclassification, combination, exchange of shares or similar transaction, then the number of Consideration Shares shall be equitably adjusted to preserve the intended economic effect of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1.6</w:t>
        </w:r>
      </w:hyperlink>
      <w:hyperlink w:anchor="TOC">
        <w:r>
          <w:rPr>
            <w:rStyle w:val="InternetLink"/>
            <w:rFonts w:ascii="Times New Roman" w:hAnsi="Times New Roman"/>
            <w:b/>
            <w:strike w:val="false"/>
            <w:dstrike w:val="false"/>
            <w:color w:val="000000"/>
            <w:sz w:val="20"/>
            <w:u w:val="none"/>
            <w:effect w:val="none"/>
          </w:rPr>
          <w:t>Closing of the Company</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Transfer Books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Effective Time, the stock transfer books of Company shall be closed, and no transfer of Company Equity Securities of Company outstanding immediately prior to the Effective Time shall thereafter be made on such books. If, after the Effective Time, any certificate or instrument formerly representing any such Company Equity Securities is presented to Parent or the Surviving Corporation, it shall be cancelled and exchanged only in accordance with </w:t>
      </w:r>
      <w:r>
        <w:rPr>
          <w:rFonts w:ascii="Times New Roman" w:hAnsi="Times New Roman"/>
          <w:b w:val="false"/>
          <w:sz w:val="20"/>
          <w:u w:val="single"/>
        </w:rPr>
        <w:t>Section 1.7</w:t>
      </w:r>
      <w:r>
        <w:rPr>
          <w:rFonts w:ascii="Times New Roman" w:hAnsi="Times New Roman"/>
          <w:b w:val="false"/>
          <w:sz w:val="20"/>
        </w:rPr>
        <w: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1.7Surrender of Certificates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At or prior to the Closing, Seller shall deliver to Parent for cancellation each certificate, if any, representing any Company Capital Stock held by Seller (the </w:t>
      </w:r>
      <w:r>
        <w:rPr>
          <w:rFonts w:ascii="times new roman;times" w:hAnsi="times new roman;times"/>
          <w:b w:val="false"/>
          <w:sz w:val="20"/>
        </w:rPr>
        <w:t>“</w:t>
      </w:r>
      <w:r>
        <w:rPr>
          <w:rFonts w:ascii="Times New Roman" w:hAnsi="Times New Roman"/>
          <w:b/>
          <w:i/>
          <w:sz w:val="20"/>
        </w:rPr>
        <w:t>Company Share Certificates</w:t>
      </w:r>
      <w:r>
        <w:rPr>
          <w:rFonts w:ascii="times new roman;times" w:hAnsi="times new roman;times"/>
          <w:b w:val="false"/>
          <w:sz w:val="20"/>
        </w:rPr>
        <w:t>”</w:t>
      </w:r>
      <w:r>
        <w:rPr>
          <w:rFonts w:ascii="Times New Roman" w:hAnsi="Times New Roman"/>
          <w:b w:val="false"/>
          <w:sz w:val="20"/>
        </w:rPr>
        <w:t>), together with such stock powers, instruments of transfer and other customary documents as Parent may reasonably request to evidence Seller</w:t>
      </w:r>
      <w:r>
        <w:rPr>
          <w:rFonts w:ascii="times new roman;times" w:hAnsi="times new roman;times"/>
          <w:b w:val="false"/>
          <w:sz w:val="20"/>
        </w:rPr>
        <w:t>’</w:t>
      </w:r>
      <w:r>
        <w:rPr>
          <w:rFonts w:ascii="Times New Roman" w:hAnsi="Times New Roman"/>
          <w:b w:val="false"/>
          <w:sz w:val="20"/>
        </w:rPr>
        <w:t>s ownership of all of the issued and outstanding Company Capital Stock and to facilitate the cancellation and conversion thereof in accordance with this Agreement. If any Company Capital Stock is uncertificated, Seller shall deliver such customary evidence of ownership and transfer authority as Parent may reasonably request.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At the Effective Time, upon surrender of the Company Share Certificates, if any, and delivery of the documents contemplated by </w:t>
      </w:r>
      <w:r>
        <w:rPr>
          <w:rFonts w:ascii="Times New Roman" w:hAnsi="Times New Roman"/>
          <w:b w:val="false"/>
          <w:sz w:val="20"/>
          <w:u w:val="single"/>
        </w:rPr>
        <w:t>Section 1.7(a)</w:t>
      </w:r>
      <w:r>
        <w:rPr>
          <w:rFonts w:ascii="Times New Roman" w:hAnsi="Times New Roman"/>
          <w:b w:val="false"/>
          <w:sz w:val="20"/>
        </w:rPr>
        <w:t>, Parent shall issue to Seller, in book-entry form, the Consideration Shares, rounded</w:t>
      </w:r>
      <w:r>
        <w:rPr>
          <w:rFonts w:ascii="times new roman;times" w:hAnsi="times new roman;times"/>
          <w:b w:val="false"/>
          <w:sz w:val="20"/>
        </w:rPr>
        <w:t xml:space="preserve"> </w:t>
      </w:r>
      <w:r>
        <w:rPr>
          <w:rFonts w:ascii="Times New Roman" w:hAnsi="Times New Roman"/>
          <w:b w:val="false"/>
          <w:sz w:val="20"/>
        </w:rPr>
        <w:t xml:space="preserve">to the nearest whole share in accordance with </w:t>
      </w:r>
      <w:r>
        <w:rPr>
          <w:rFonts w:ascii="Times New Roman" w:hAnsi="Times New Roman"/>
          <w:b w:val="false"/>
          <w:sz w:val="20"/>
          <w:u w:val="single"/>
        </w:rPr>
        <w:t>Section 1.5(b)</w:t>
      </w:r>
      <w:r>
        <w:rPr>
          <w:rFonts w:ascii="Times New Roman" w:hAnsi="Times New Roman"/>
          <w:b w:val="false"/>
          <w:sz w:val="20"/>
        </w:rPr>
        <w:t xml:space="preserve">. From and after the Effective Time, all Company Share Certificates and all uncertificated Company Capital Stock shall represent only the right to receive the Consideration Shares pursuant to </w:t>
      </w:r>
      <w:r>
        <w:rPr>
          <w:rFonts w:ascii="Times New Roman" w:hAnsi="Times New Roman"/>
          <w:b w:val="false"/>
          <w:sz w:val="20"/>
          <w:u w:val="single"/>
        </w:rPr>
        <w:t>Section 1.5(a)</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If any Company Share Certificate shall have been lost, stolen or destroyed, Parent may, as a condition precedent to the issuance of the Consideration Shares otherwise issuable in respect thereof, require Seller to deliver to Parent an affidavit of loss and, if reasonably requested by Parent, an indemnity agreement in form and substance reasonably satisfactory to Parent; provided, however, that if Seller delivers a certificate of an executive officer confirming that Seller is the sole record and beneficial owner of all issued and outstanding Company Capital Stock and that no other Person has any right, title or interest in or to such lost, stolen or destroyed Company Share Certificate, Parent shall not unreasonably withhold, condition or delay the issuance of the Consideration Shares.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Notwithstanding anything to the contrary contained in this Agreement, because Seller is the sole holder of all Company Capital Stock as of immediately prior to the Effective Time, no exchange agent, exchange fund, letter of transmittal mailing procedure or other post-Closing holder exchange procedure shall be required in connection with the issuance of the Consideration Shares, except to the extent Parent and Seller otherwise agree in writing prior to the Closing.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Parent, the Surviving Corporation and Seller shall each be entitled to deduct and withhold from any consideration payable pursuant to this Agreement such amounts as are required to be deducted or withheld under the Code or any other applicable Law. Parent may request from Seller such reasonably appropriate Tax forms as Parent may determine are necessary or advisable, including an IRS Form W-9 or the appropriate IRS Form W-8, as applicable. To the extent such amounts are so deducted or withheld and remitted to the appropriate taxing authority in accordance with applicable Law, such amounts shall be treated for all purposes of this Agreement as having been paid to Seller.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Following the Effective Time, there shall be no further registration of transfers on the stock transfer books of the Company of any shares of Company Capital Stock that were outstanding immediately prior to the Effective Time. If, after the Effective Time, any Company Share Certificate is presented to Parent or the Surviving Corporation, it shall be cancelled and exchanged only in accordance with this </w:t>
      </w:r>
      <w:r>
        <w:rPr>
          <w:rFonts w:ascii="Times New Roman" w:hAnsi="Times New Roman"/>
          <w:b w:val="false"/>
          <w:sz w:val="20"/>
          <w:u w:val="single"/>
        </w:rPr>
        <w:t>Section 1.7</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1.8</w:t>
        </w:r>
      </w:hyperlink>
      <w:hyperlink w:anchor="TOC">
        <w:r>
          <w:rPr>
            <w:rStyle w:val="InternetLink"/>
            <w:rFonts w:ascii="Times New Roman" w:hAnsi="Times New Roman"/>
            <w:b/>
            <w:strike w:val="false"/>
            <w:dstrike w:val="false"/>
            <w:color w:val="000000"/>
            <w:sz w:val="20"/>
            <w:u w:val="none"/>
            <w:effect w:val="none"/>
          </w:rPr>
          <w:t>Dissenters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Rights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Parties acknowledge that, as of the date hereof and immediately prior to the Effective Time, all of the outstanding equity interests of the Company are owned by Seller, which is a Party to this Agreement, and no other holder of capital stock or other equity securities of the Company is entitled to appraisal rights under Section 262 of the DGCL in connection with the Merger; provided, however, that if any purported demand for appraisal is made, the Surviving Corporation shall promptly notify Parent and shall not settle, compromise or make any payment with respect to such demand without Parent</w:t>
      </w:r>
      <w:r>
        <w:rPr>
          <w:rFonts w:ascii="times new roman;times" w:hAnsi="times new roman;times"/>
          <w:b w:val="false"/>
          <w:sz w:val="20"/>
        </w:rPr>
        <w:t>’</w:t>
      </w:r>
      <w:r>
        <w:rPr>
          <w:rFonts w:ascii="Times New Roman" w:hAnsi="Times New Roman"/>
          <w:b w:val="false"/>
          <w:sz w:val="20"/>
        </w:rPr>
        <w:t>s prior written consent.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1.9</w:t>
        </w:r>
      </w:hyperlink>
      <w:hyperlink w:anchor="TOC">
        <w:r>
          <w:rPr>
            <w:rStyle w:val="InternetLink"/>
            <w:rFonts w:ascii="Times New Roman" w:hAnsi="Times New Roman"/>
            <w:b/>
            <w:strike w:val="false"/>
            <w:dstrike w:val="false"/>
            <w:color w:val="000000"/>
            <w:sz w:val="20"/>
            <w:u w:val="none"/>
            <w:effect w:val="none"/>
          </w:rPr>
          <w:t>Further Action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commercially reasonable efforts (in the name of the Company, Merger Sub and otherwise) to take such action.</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1.10</w:t>
        </w:r>
      </w:hyperlink>
      <w:hyperlink w:anchor="TOC">
        <w:r>
          <w:rPr>
            <w:rStyle w:val="InternetLink"/>
            <w:rFonts w:ascii="Times New Roman" w:hAnsi="Times New Roman"/>
            <w:b/>
            <w:strike w:val="false"/>
            <w:dstrike w:val="false"/>
            <w:color w:val="000000"/>
            <w:sz w:val="20"/>
            <w:u w:val="none"/>
            <w:effect w:val="none"/>
          </w:rPr>
          <w:t>Tax Consequences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For U.S. federal income Tax purposes, the Merger is intended to constitute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 and the Treasury Regulations promulgated thereunder. The Parties</w:t>
      </w:r>
      <w:r>
        <w:rPr>
          <w:rFonts w:ascii="times new roman;times" w:hAnsi="times new roman;times"/>
          <w:b w:val="false"/>
          <w:sz w:val="20"/>
        </w:rPr>
        <w:t xml:space="preserve"> </w:t>
      </w:r>
      <w:r>
        <w:rPr>
          <w:rFonts w:ascii="Times New Roman" w:hAnsi="Times New Roman"/>
          <w:b w:val="false"/>
          <w:sz w:val="20"/>
        </w:rPr>
        <w:t xml:space="preserve">adopt this Agreement as a </w:t>
      </w:r>
      <w:r>
        <w:rPr>
          <w:rFonts w:ascii="times new roman;times" w:hAnsi="times new roman;times"/>
          <w:b w:val="false"/>
          <w:sz w:val="20"/>
        </w:rPr>
        <w:t>“</w:t>
      </w:r>
      <w:r>
        <w:rPr>
          <w:rFonts w:ascii="Times New Roman" w:hAnsi="Times New Roman"/>
          <w:b/>
          <w:i/>
          <w:sz w:val="20"/>
        </w:rPr>
        <w:t>plan of reorganization</w:t>
      </w:r>
      <w:r>
        <w:rPr>
          <w:rFonts w:ascii="times new roman;times" w:hAnsi="times new roman;times"/>
          <w:b w:val="false"/>
          <w:sz w:val="20"/>
        </w:rPr>
        <w:t xml:space="preserve">” </w:t>
      </w:r>
      <w:r>
        <w:rPr>
          <w:rFonts w:ascii="Times New Roman" w:hAnsi="Times New Roman"/>
          <w:b w:val="false"/>
          <w:sz w:val="20"/>
        </w:rPr>
        <w:t>for purposes of Section 354 and 361 of the Code and Treasury Regulations</w:t>
      </w:r>
      <w:r>
        <w:rPr>
          <w:rFonts w:ascii="times new roman;times" w:hAnsi="times new roman;times"/>
          <w:b w:val="false"/>
          <w:sz w:val="20"/>
        </w:rPr>
        <w:t xml:space="preserve"> </w:t>
      </w:r>
      <w:r>
        <w:rPr>
          <w:rFonts w:ascii="Times New Roman" w:hAnsi="Times New Roman"/>
          <w:b w:val="false"/>
          <w:sz w:val="20"/>
        </w:rPr>
        <w:t>Section 1.368-2(g) and 1.368-3(a), to which Parent, Merger Sub and the Company are parties under Section 368(b) of the Code.</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2</w:t>
        </w:r>
      </w:hyperlink>
    </w:p>
    <w:p>
      <w:pPr>
        <w:pStyle w:val="TextBody"/>
        <w:bidi w:val="0"/>
        <w:spacing w:lineRule="auto" w:line="288" w:before="0" w:after="0"/>
        <w:ind w:left="0" w:right="0" w:hanging="0"/>
        <w:jc w:val="center"/>
        <w:rPr>
          <w:rFonts w:ascii="Times New Roman" w:hAnsi="Times New Roman"/>
          <w:b/>
          <w:caps/>
          <w:strike w:val="false"/>
          <w:dstrike w:val="false"/>
          <w:sz w:val="20"/>
          <w:u w:val="none"/>
          <w:effect w:val="none"/>
        </w:rPr>
      </w:pPr>
      <w:r>
        <w:rPr>
          <w:rFonts w:ascii="Times New Roman" w:hAnsi="Times New Roman"/>
          <w:b/>
          <w:caps/>
          <w:strike w:val="false"/>
          <w:dstrike w:val="false"/>
          <w:sz w:val="20"/>
          <w:u w:val="none"/>
          <w:effect w:val="none"/>
        </w:rPr>
      </w:r>
    </w:p>
    <w:p>
      <w:pPr>
        <w:pStyle w:val="TextBody"/>
        <w:bidi w:val="0"/>
        <w:spacing w:lineRule="auto" w:line="288"/>
        <w:ind w:left="0" w:right="0" w:hanging="0"/>
        <w:jc w:val="center"/>
        <w:rPr/>
      </w:pPr>
      <w:hyperlink w:anchor="TOC">
        <w:r>
          <w:rPr>
            <w:rStyle w:val="InternetLink"/>
            <w:rFonts w:ascii="Times New Roman" w:hAnsi="Times New Roman"/>
            <w:b/>
            <w:caps/>
            <w:strike w:val="false"/>
            <w:dstrike w:val="false"/>
            <w:color w:val="000000"/>
            <w:sz w:val="20"/>
            <w:u w:val="none"/>
            <w:effect w:val="none"/>
          </w:rPr>
          <w:t>REPRESENTATIONS AND WARRANTIES OF THE COMPANY AND SELLER</w:t>
        </w:r>
      </w:hyperlink>
    </w:p>
    <w:p>
      <w:pPr>
        <w:pStyle w:val="TextBody"/>
        <w:bidi w:val="0"/>
        <w:spacing w:lineRule="auto" w:line="288" w:before="0" w:after="0"/>
        <w:ind w:left="0" w:right="0" w:hanging="0"/>
        <w:jc w:val="center"/>
        <w:rPr>
          <w:rFonts w:ascii="Times New Roman" w:hAnsi="Times New Roman"/>
          <w:b/>
          <w:caps/>
          <w:sz w:val="20"/>
        </w:rPr>
      </w:pPr>
      <w:r>
        <w:rPr>
          <w:rFonts w:ascii="Times New Roman" w:hAnsi="Times New Roman"/>
          <w:b/>
          <w:caps/>
          <w:sz w:val="20"/>
        </w:rPr>
      </w:r>
    </w:p>
    <w:p>
      <w:pPr>
        <w:pStyle w:val="TextBody"/>
        <w:keepNext w:val="true"/>
        <w:bidi w:val="0"/>
        <w:spacing w:lineRule="auto" w:line="288" w:before="0" w:after="240"/>
        <w:ind w:left="0" w:right="0" w:firstLine="720"/>
        <w:jc w:val="left"/>
        <w:rPr>
          <w:rFonts w:ascii="times new roman;times" w:hAnsi="times new roman;times"/>
          <w:b w:val="false"/>
          <w:sz w:val="20"/>
        </w:rPr>
      </w:pPr>
      <w:r>
        <w:rPr>
          <w:rFonts w:ascii="Times New Roman" w:hAnsi="Times New Roman"/>
          <w:b w:val="false"/>
          <w:sz w:val="20"/>
        </w:rPr>
        <w:t xml:space="preserve">The Company and Seller represent and warrant to Parent and Merger Sub as follows, except as set forth in the written disclosure schedule delivered by the Company to Parent concurrently with the execution of this Agreement (the </w:t>
      </w:r>
      <w:r>
        <w:rPr>
          <w:rFonts w:ascii="times new roman;times" w:hAnsi="times new roman;times"/>
          <w:b w:val="false"/>
          <w:sz w:val="20"/>
        </w:rPr>
        <w:t>“</w:t>
      </w:r>
      <w:r>
        <w:rPr>
          <w:rFonts w:ascii="Times New Roman" w:hAnsi="Times New Roman"/>
          <w:b/>
          <w:i/>
          <w:sz w:val="20"/>
        </w:rPr>
        <w:t>Company Disclosure Schedule</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The Company Disclosure Schedule shall be arranged in sections and subsections corresponding to the numbered and lettered sections and subsections contained in this </w:t>
      </w:r>
      <w:r>
        <w:rPr>
          <w:rFonts w:ascii="Times New Roman" w:hAnsi="Times New Roman"/>
          <w:b w:val="false"/>
          <w:sz w:val="20"/>
          <w:u w:val="single"/>
        </w:rPr>
        <w:t>Article 2</w:t>
      </w:r>
      <w:r>
        <w:rPr>
          <w:rFonts w:ascii="Times New Roman" w:hAnsi="Times New Roman"/>
          <w:b w:val="false"/>
          <w:sz w:val="20"/>
        </w:rPr>
        <w:t xml:space="preserve">. The disclosures in any section or subsection of the Company Disclosure Schedule shall qualify other sections and subsections in this </w:t>
      </w:r>
      <w:r>
        <w:rPr>
          <w:rFonts w:ascii="Times New Roman" w:hAnsi="Times New Roman"/>
          <w:b w:val="false"/>
          <w:sz w:val="20"/>
          <w:u w:val="single"/>
        </w:rPr>
        <w:t>Article 2</w:t>
      </w:r>
      <w:r>
        <w:rPr>
          <w:rFonts w:ascii="times new roman;times" w:hAnsi="times new roman;times"/>
          <w:b w:val="false"/>
          <w:sz w:val="20"/>
        </w:rPr>
        <w:t xml:space="preserve"> </w:t>
      </w:r>
      <w:r>
        <w:rPr>
          <w:rFonts w:ascii="Times New Roman" w:hAnsi="Times New Roman"/>
          <w:b w:val="false"/>
          <w:sz w:val="20"/>
        </w:rPr>
        <w:t>only to the extent it is reasonably apparent on its face that such disclosure is applicable to such other sections and subsections. The inclusion of any information in the Company Disclosure Schedule shall not be deemed to be an admission or acknowledgment, in and of itself, that such information is required to be disclosed hereunder, is material, has resulted in or would reasonably be expected to result in a Company Material Adverse Effect, or is outside the Ordinary Course of Business.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2.1Subsidiaries; Due Organization;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has no Subsidiaries, except for the Entities identified in Part 2.1(a) of the Company Disclosure Schedule (the </w:t>
      </w:r>
      <w:r>
        <w:rPr>
          <w:rFonts w:ascii="times new roman;times" w:hAnsi="times new roman;times"/>
          <w:b w:val="false"/>
          <w:sz w:val="20"/>
        </w:rPr>
        <w:t>“</w:t>
      </w:r>
      <w:r>
        <w:rPr>
          <w:rFonts w:ascii="Times New Roman" w:hAnsi="Times New Roman"/>
          <w:b/>
          <w:i/>
          <w:sz w:val="20"/>
        </w:rPr>
        <w:t>Company Subsidiaries</w:t>
      </w:r>
      <w:r>
        <w:rPr>
          <w:rFonts w:ascii="times new roman;times" w:hAnsi="times new roman;times"/>
          <w:b w:val="false"/>
          <w:sz w:val="20"/>
        </w:rPr>
        <w:t>”</w:t>
      </w:r>
      <w:r>
        <w:rPr>
          <w:rFonts w:ascii="Times New Roman" w:hAnsi="Times New Roman"/>
          <w:b w:val="false"/>
          <w:sz w:val="20"/>
        </w:rPr>
        <w:t>); and neither the Company nor any of the other Entities identified in Part 2.1(a) of the Company Disclosure Schedule owns any capital stock of, or any equity interest of any nature in, any other Entity, other than the Entities identified in Part 2.1(a) of the Company Disclosure Schedule. The Company has not agreed nor is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Except as set forth in Part 2.1(a) of the Company Disclosure Schedule, neither the Company nor any Company Subsidiary owns, directly or indirectly, any equity interest in any other Person, and there are no outstanding obligations of the Company or any Company Subsidiary to contribute capital to, or guarantee the obligations of, any other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the Company and its Subsidiaries is a corporation or limited liability company, as applicable,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of the Company and its Subsidiaries is qualified to do business as a foreign corporation or limited liability company, as applicable, and is in good standing, under the laws of all jurisdictions where the nature of its business requires such qualification other than in jurisdictions where the failure to be so qualified individually or in the aggregate would not be reasonably expected to have a Company Material Adverse Effect.</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w:t>
        </w:r>
      </w:hyperlink>
      <w:hyperlink w:anchor="TOC">
        <w:r>
          <w:rPr>
            <w:rStyle w:val="InternetLink"/>
            <w:rFonts w:ascii="Times New Roman" w:hAnsi="Times New Roman"/>
            <w:b/>
            <w:strike w:val="false"/>
            <w:dstrike w:val="false"/>
            <w:color w:val="000000"/>
            <w:sz w:val="20"/>
            <w:u w:val="none"/>
            <w:effect w:val="none"/>
          </w:rPr>
          <w:t>Certificate of Incorporation; Bylaws; Charters and Codes of Conduct</w:t>
        </w:r>
      </w:hyperlink>
      <w:r>
        <w:rPr>
          <w:rFonts w:ascii="Times New Roman" w:hAnsi="Times New Roman"/>
          <w:b w:val="false"/>
          <w:sz w:val="20"/>
        </w:rPr>
        <w:t>. The Company has made available to Parent accurate and complete copies of the certificate of incorporation, bylaws and other charter and organizational documents, including all amendments thereto, for the Company and each Company Subsidiary. Neither the Company nor any Company Subsidiary has taken any action in breach or violation in any material respect of any of the material provisions of its certificate of incorporation, bylaws and other charter and organizational documents nor is in breach or violation in any material respect of any of the material provisions of its certificate of incorporation, bylaws and other charter and organizational documents.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2.3Capitalization,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authorized capital stock of the Company consists of (i) 100,000,000 shares of Company Common Stock, par value $0.001 per share, of which 5,000,000 shares are issued and outstanding, all of which are</w:t>
      </w:r>
      <w:r>
        <w:rPr>
          <w:rFonts w:ascii="times new roman;times" w:hAnsi="times new roman;times"/>
          <w:b w:val="false"/>
          <w:sz w:val="20"/>
        </w:rPr>
        <w:t xml:space="preserve"> </w:t>
      </w:r>
      <w:r>
        <w:rPr>
          <w:rFonts w:ascii="Times New Roman" w:hAnsi="Times New Roman"/>
          <w:b w:val="false"/>
          <w:sz w:val="20"/>
        </w:rPr>
        <w:t>owned beneficially and of record by Seller, and (ii) 10,000,000 shares of preferred stock, par value $0.001 per share, of which no shares are issued or outstanding. Part 2.3(a) of the Company Disclosure Schedule sets forth a true, correct and complete capitalization table of the Company as of the date of this Agreement and as of immediately prior to the Effective Time, including all issued and outstanding Company Capital Stock, all shares reserved for issuance, all Company Equity Securities, all options, warrants, restricted stock units, phantom equity, convertible or exchangeable securities, preemptive rights, rights of first refusal, participation rights, anti-dilution rights, registration rights, and any commitments or understandings, whether written or oral, relating to the issuance, sale, redemption, repurchase or other acquisition of any Company Equity Securities.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As or before Closing, the Company</w:t>
      </w:r>
      <w:r>
        <w:rPr>
          <w:rFonts w:ascii="times new roman;times" w:hAnsi="times new roman;times"/>
          <w:b w:val="false"/>
          <w:sz w:val="20"/>
        </w:rPr>
        <w:t xml:space="preserve"> </w:t>
      </w:r>
      <w:r>
        <w:rPr>
          <w:rFonts w:ascii="Times New Roman" w:hAnsi="Times New Roman"/>
          <w:b w:val="false"/>
          <w:sz w:val="20"/>
        </w:rPr>
        <w:t>shall have terminated its 2023 Equity Incentive Plan.</w:t>
      </w:r>
      <w:r>
        <w:rPr>
          <w:rFonts w:ascii="times new roman;times" w:hAnsi="times new roman;times"/>
          <w:b w:val="false"/>
          <w:sz w:val="20"/>
        </w:rPr>
        <w:t xml:space="preserve"> </w:t>
      </w:r>
      <w:r>
        <w:rPr>
          <w:rFonts w:ascii="Times New Roman" w:hAnsi="Times New Roman"/>
          <w:b w:val="false"/>
          <w:sz w:val="20"/>
        </w:rPr>
        <w:t>As of the date hereof, no options, restricted stock units, deferred stock units</w:t>
      </w:r>
      <w:r>
        <w:rPr>
          <w:rFonts w:ascii="times new roman;times" w:hAnsi="times new roman;times"/>
          <w:b w:val="false"/>
          <w:sz w:val="20"/>
        </w:rPr>
        <w:t xml:space="preserve"> </w:t>
      </w:r>
      <w:r>
        <w:rPr>
          <w:rFonts w:ascii="Times New Roman" w:hAnsi="Times New Roman"/>
          <w:b w:val="false"/>
          <w:sz w:val="20"/>
        </w:rPr>
        <w:t>or other equity awards have been granted,</w:t>
      </w:r>
      <w:r>
        <w:rPr>
          <w:rFonts w:ascii="times new roman;times" w:hAnsi="times new roman;times"/>
          <w:b w:val="false"/>
          <w:sz w:val="20"/>
        </w:rPr>
        <w:t xml:space="preserve"> </w:t>
      </w:r>
      <w:r>
        <w:rPr>
          <w:rFonts w:ascii="Times New Roman" w:hAnsi="Times New Roman"/>
          <w:b w:val="false"/>
          <w:sz w:val="20"/>
        </w:rPr>
        <w:t>are</w:t>
      </w:r>
      <w:r>
        <w:rPr>
          <w:rFonts w:ascii="times new roman;times" w:hAnsi="times new roman;times"/>
          <w:b w:val="false"/>
          <w:sz w:val="20"/>
        </w:rPr>
        <w:t xml:space="preserve"> </w:t>
      </w:r>
      <w:r>
        <w:rPr>
          <w:rFonts w:ascii="Times New Roman" w:hAnsi="Times New Roman"/>
          <w:b w:val="false"/>
          <w:sz w:val="20"/>
        </w:rPr>
        <w:t>outstanding under the Equity Incentive Plan</w:t>
      </w:r>
      <w:r>
        <w:rPr>
          <w:rFonts w:ascii="times new roman;times" w:hAnsi="times new roman;times"/>
          <w:b w:val="false"/>
          <w:sz w:val="20"/>
        </w:rPr>
        <w:t xml:space="preserve"> </w:t>
      </w:r>
      <w:r>
        <w:rPr>
          <w:rFonts w:ascii="Times New Roman" w:hAnsi="Times New Roman"/>
          <w:b w:val="false"/>
          <w:sz w:val="20"/>
        </w:rPr>
        <w:t>or any other plan or equity grant.</w:t>
      </w:r>
      <w:r>
        <w:rPr>
          <w:rFonts w:ascii="times new roman;times" w:hAnsi="times new roman;times"/>
          <w:b w:val="false"/>
          <w:sz w:val="20"/>
        </w:rPr>
        <w:t xml:space="preserve"> </w:t>
      </w:r>
      <w:r>
        <w:rPr>
          <w:rFonts w:ascii="Times New Roman" w:hAnsi="Times New Roman"/>
          <w:b w:val="false"/>
          <w:sz w:val="20"/>
        </w:rPr>
        <w:t>For the avoidance of doubt, neither the Company nor any Company Subsidiary has granted, issued or committed to grant or issue any</w:t>
      </w:r>
      <w:r>
        <w:rPr>
          <w:rFonts w:ascii="times new roman;times" w:hAnsi="times new roman;times"/>
          <w:b w:val="false"/>
          <w:sz w:val="20"/>
        </w:rPr>
        <w:t xml:space="preserve"> </w:t>
      </w:r>
      <w:r>
        <w:rPr>
          <w:rFonts w:ascii="Times New Roman" w:hAnsi="Times New Roman"/>
          <w:b w:val="false"/>
          <w:sz w:val="20"/>
        </w:rPr>
        <w:t>restricted stock units or deferred stock units under the Equity Incentive Plan or otherwise, and no restricted stock units</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 xml:space="preserve">deferred stock units shall be outstanding as of the date hereof or at any time prior to the Effective Time.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w:t>
      </w:r>
      <w:r>
        <w:rPr>
          <w:rFonts w:ascii="times new roman;times" w:hAnsi="times new roman;times"/>
          <w:b w:val="false"/>
          <w:sz w:val="20"/>
        </w:rPr>
        <w:t xml:space="preserve"> </w:t>
      </w:r>
      <w:r>
        <w:rPr>
          <w:rFonts w:ascii="Times New Roman" w:hAnsi="Times New Roman"/>
          <w:b w:val="false"/>
          <w:sz w:val="20"/>
        </w:rPr>
        <w:t>no: (i) outstanding subscription, option, call, warrant or other right, whether or not currently exercisable, to acquire any shares of capital stock or other securities of the Company or any of its Subsidiaries; (ii) outstanding security, instrument or obligation that is or may become convertible into or exchangeable for any shares of capital stock or other securities of the Company or any of its Subsidiaries; (iii) Contract, commitment, arrangement or understanding, whether written or oral, under which the Company or any of its Subsidiaries is or may become obligated to issue, sell, redeem, repurchase or otherwise acquire any shares of capital stock or other securities of the Company or any of its Subsidiaries;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rights, phantom equity rights, profit participation rights, restricted stock units or other similar rights with respect to the Company or any of its Subsidiaries. Except for the reservation of shares under the Equity Incentive Plan, no shares of Company Capital Stock or other Company Equity Securities are reserved for issuance. Neither the Company nor any of its Subsidiaries has any obligation, whether absolute, contingent or otherwise, to issue, sell, redeem, repurchase or otherwise acquire any Company Capital Stock or other Company Equity Securities. The Company has not made any commitment, whether written or oral, to grant any option, restricted stock unit or other equity award under the Equity Incentive Plan.</w:t>
      </w:r>
      <w:r>
        <w:rPr>
          <w:rFonts w:ascii="times new roman;times" w:hAnsi="times new roman;times"/>
          <w:b w:val="false"/>
          <w:sz w:val="20"/>
        </w:rPr>
        <w:t xml:space="preserve"> </w:t>
      </w:r>
      <w:r>
        <w:rPr>
          <w:rFonts w:ascii="Times New Roman" w:hAnsi="Times New Roman"/>
          <w:b w:val="false"/>
          <w:sz w:val="20"/>
        </w:rPr>
        <w:t>No Person other than Seller has any right, title or interest in or to any Company Capital Stock, other Company Equity Securities or any right to acquire the same.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w:t>
      </w:r>
      <w:r>
        <w:rPr>
          <w:rFonts w:ascii="times new roman;times" w:hAnsi="times new roman;times"/>
          <w:b w:val="false"/>
          <w:sz w:val="20"/>
        </w:rPr>
        <w:t xml:space="preserve"> </w:t>
      </w:r>
      <w:r>
        <w:rPr>
          <w:rFonts w:ascii="Times New Roman" w:hAnsi="Times New Roman"/>
          <w:b w:val="false"/>
          <w:sz w:val="20"/>
        </w:rPr>
        <w:t>are no outstanding options, warrants, stock appreciation rights, phantom equity rights, restricted stock units, convertible securities, preemptive rights, rights of first refusal, rights of participation, rights of maintenance or similar rights with respect to any Company Capital Stock or other Company Equity Securities, and neither the Company nor any Company Subsidiary has any obligation to issue, sell, redeem, repurchase or otherwise acquire any Company Capital Stock or other Company Equity Securities.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outstanding shares of Company Capital Stock, have been issued and granted in material compliance with (i) all applicable securities laws and other applicable Legal Requirements and (ii) all requirements set forth in applicable Contracts. There</w:t>
      </w:r>
      <w:r>
        <w:rPr>
          <w:rFonts w:ascii="times new roman;times" w:hAnsi="times new roman;times"/>
          <w:b w:val="false"/>
          <w:sz w:val="20"/>
        </w:rPr>
        <w:t xml:space="preserve"> </w:t>
      </w:r>
      <w:r>
        <w:rPr>
          <w:rFonts w:ascii="Times New Roman" w:hAnsi="Times New Roman"/>
          <w:b w:val="false"/>
          <w:sz w:val="20"/>
        </w:rPr>
        <w:t>are no warrants to purchase capital stock of the Company outstanding on the date of this Agreement.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As of immediately prior to the Effective Time, the representations in this </w:t>
      </w:r>
      <w:r>
        <w:rPr>
          <w:rFonts w:ascii="Times New Roman" w:hAnsi="Times New Roman"/>
          <w:b w:val="false"/>
          <w:sz w:val="20"/>
          <w:u w:val="single"/>
        </w:rPr>
        <w:t>Section 2.3</w:t>
      </w:r>
      <w:r>
        <w:rPr>
          <w:rFonts w:ascii="times new roman;times" w:hAnsi="times new roman;times"/>
          <w:b w:val="false"/>
          <w:sz w:val="20"/>
        </w:rPr>
        <w:t xml:space="preserve"> </w:t>
      </w:r>
      <w:r>
        <w:rPr>
          <w:rFonts w:ascii="Times New Roman" w:hAnsi="Times New Roman"/>
          <w:b w:val="false"/>
          <w:sz w:val="20"/>
        </w:rPr>
        <w:t>shall remain true, correct and complete in all respects, and no Company Equity Securities shall have been issued, granted, reserved, amended, accelerated, repriced or redeemed following the date of this Agreement except as expressly permitted by this Agreement and set forth in an updated Part 2.3 of the Company Disclosure Schedule delivered no later than two (2) Business Days prior to Closing.</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2.4Financial Statements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2.4(a) of the Company Disclosure Schedule includes true and complete copies of the audited and unaudited financial statements of the Company and its Subsidiaries required to be delivered pursuant to this Agreement and to be included in the Registration Statement and related SEC filings in connection with the Contemplated Transactions (collectively, the </w:t>
      </w:r>
      <w:r>
        <w:rPr>
          <w:rFonts w:ascii="times new roman;times" w:hAnsi="times new roman;times"/>
          <w:b w:val="false"/>
          <w:sz w:val="20"/>
        </w:rPr>
        <w:t>“</w:t>
      </w:r>
      <w:r>
        <w:rPr>
          <w:rFonts w:ascii="Times New Roman" w:hAnsi="Times New Roman"/>
          <w:b/>
          <w:i/>
          <w:sz w:val="20"/>
        </w:rPr>
        <w:t>Company Financials</w:t>
      </w:r>
      <w:r>
        <w:rPr>
          <w:rFonts w:ascii="times new roman;times" w:hAnsi="times new roman;times"/>
          <w:b w:val="false"/>
          <w:sz w:val="20"/>
        </w:rPr>
        <w:t>”</w:t>
      </w:r>
      <w:r>
        <w:rPr>
          <w:rFonts w:ascii="Times New Roman" w:hAnsi="Times New Roman"/>
          <w:b w:val="false"/>
          <w:sz w:val="20"/>
        </w:rPr>
        <w:t>). The Company Financials (i) were prepared in accordance with United States generally accepted accounting principles (</w:t>
      </w:r>
      <w:r>
        <w:rPr>
          <w:rFonts w:ascii="times new roman;times" w:hAnsi="times new roman;times"/>
          <w:b w:val="false"/>
          <w:sz w:val="20"/>
        </w:rPr>
        <w:t>“</w:t>
      </w:r>
      <w:r>
        <w:rPr>
          <w:rFonts w:ascii="Times New Roman" w:hAnsi="Times New Roman"/>
          <w:b/>
          <w:i/>
          <w:sz w:val="20"/>
        </w:rPr>
        <w:t>GAAP</w:t>
      </w:r>
      <w:r>
        <w:rPr>
          <w:rFonts w:ascii="times new roman;times" w:hAnsi="times new roman;times"/>
          <w:b w:val="false"/>
          <w:sz w:val="20"/>
        </w:rPr>
        <w:t>”</w:t>
      </w:r>
      <w:r>
        <w:rPr>
          <w:rFonts w:ascii="Times New Roman" w:hAnsi="Times New Roman"/>
          <w:b w:val="false"/>
          <w:sz w:val="20"/>
        </w:rPr>
        <w:t>) (except as may be indicated in the footnotes to such Company Financials and that unaudited financial statements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with the Company</w:t>
      </w:r>
      <w:r>
        <w:rPr>
          <w:rFonts w:ascii="times new roman;times" w:hAnsi="times new roman;times"/>
          <w:b w:val="false"/>
          <w:sz w:val="20"/>
        </w:rPr>
        <w:t>’</w:t>
      </w:r>
      <w:r>
        <w:rPr>
          <w:rFonts w:ascii="Times New Roman" w:hAnsi="Times New Roman"/>
          <w:b w:val="false"/>
          <w:sz w:val="20"/>
        </w:rPr>
        <w:t>s past practice unless otherwise noted therein throughout the periods indicated and (ii) fairly present in all material respects the financial condition and operating results of the Company and its consolidated Subsidiaries as of the dates and for the periods indicated therein. The Company Financials include, or will include prior to the filing of the Registration Statement or such earlier date as Parent may reasonably require, such audited financial statements, interim financial statements and related disclosures as are required under Regulation S-X, the Securities Act, the Exchange Act, Nasdaq rules and any applicable accounting or auditing standards required to consummate the Contemplated Transactions. Neither the Seller nor the</w:t>
      </w:r>
      <w:r>
        <w:rPr>
          <w:rFonts w:ascii="times new roman;times" w:hAnsi="times new roman;times"/>
          <w:b w:val="false"/>
          <w:sz w:val="20"/>
        </w:rPr>
        <w:t xml:space="preserve"> </w:t>
      </w:r>
      <w:r>
        <w:rPr>
          <w:rFonts w:ascii="Times New Roman" w:hAnsi="Times New Roman"/>
          <w:b w:val="false"/>
          <w:sz w:val="20"/>
        </w:rPr>
        <w:t>Company has Knowledge of any fact, circumstance or condition that would reasonably be expected to materially delay or prevent the completion of any audit, review or financial statement preparation required for the Registration Statement or the consummation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the Company and its Subsidiaries maintains a system of internal accounting controls designed to provide reasonable assurance that: (i) transactions are executed in accordance with management</w:t>
      </w:r>
      <w:r>
        <w:rPr>
          <w:rFonts w:ascii="times new roman;times" w:hAnsi="times new roman;times"/>
          <w:b w:val="false"/>
          <w:sz w:val="20"/>
        </w:rPr>
        <w:t>’</w:t>
      </w:r>
      <w:r>
        <w:rPr>
          <w:rFonts w:ascii="Times New Roman" w:hAnsi="Times New Roman"/>
          <w:b w:val="false"/>
          <w:sz w:val="20"/>
        </w:rPr>
        <w:t>s general or specific authorizations; (ii) transactions are recorded as necessary to permit preparation of financial statements in conformity with GAAP and to maintain asset accountability; (iii) access to assets is permitted only in accordance with management</w:t>
      </w:r>
      <w:r>
        <w:rPr>
          <w:rFonts w:ascii="times new roman;times" w:hAnsi="times new roman;times"/>
          <w:b w:val="false"/>
          <w:sz w:val="20"/>
        </w:rPr>
        <w:t>’</w:t>
      </w:r>
      <w:r>
        <w:rPr>
          <w:rFonts w:ascii="Times New Roman" w:hAnsi="Times New Roman"/>
          <w:b w:val="false"/>
          <w:sz w:val="20"/>
        </w:rPr>
        <w:t>s general or specific authorization; and (iv) the recorded accountability for assets is compared with the existing assets at reasonable intervals and appropriate action is taken with respect to any differences. The</w:t>
      </w:r>
      <w:r>
        <w:rPr>
          <w:rFonts w:ascii="times new roman;times" w:hAnsi="times new roman;times"/>
          <w:b w:val="false"/>
          <w:sz w:val="20"/>
        </w:rPr>
        <w:t xml:space="preserve"> </w:t>
      </w:r>
      <w:r>
        <w:rPr>
          <w:rFonts w:ascii="Times New Roman" w:hAnsi="Times New Roman"/>
          <w:b w:val="false"/>
          <w:sz w:val="20"/>
        </w:rPr>
        <w:t>Company and each of its Subsidiaries maintains internal control over financial reporting that provides reasonable assurance regarding the reliability of financial reporting and the preparation of financial statements for external purposes in accordance with GAAP.</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Part 2.4(c) of the Company Disclosure Schedule lists, and the Company has made available to Parent accurate and complete copies of the documentation creating or governing, all securitization transactions and </w:t>
      </w:r>
      <w:r>
        <w:rPr>
          <w:rFonts w:ascii="times new roman;times" w:hAnsi="times new roman;times"/>
          <w:b w:val="false"/>
          <w:sz w:val="20"/>
        </w:rPr>
        <w:t>“</w:t>
      </w:r>
      <w:r>
        <w:rPr>
          <w:rFonts w:ascii="Times New Roman" w:hAnsi="Times New Roman"/>
          <w:b w:val="false"/>
          <w:sz w:val="20"/>
        </w:rPr>
        <w:t>off-balance sheet arrangements</w:t>
      </w:r>
      <w:r>
        <w:rPr>
          <w:rFonts w:ascii="times new roman;times" w:hAnsi="times new roman;times"/>
          <w:b w:val="false"/>
          <w:sz w:val="20"/>
        </w:rPr>
        <w:t xml:space="preserve">” </w:t>
      </w:r>
      <w:r>
        <w:rPr>
          <w:rFonts w:ascii="Times New Roman" w:hAnsi="Times New Roman"/>
          <w:b w:val="false"/>
          <w:sz w:val="20"/>
        </w:rPr>
        <w:t>(as defined in Item 303(c) of Regulation S-K under the Exchange Act) effected by the Company or any of its Subsidiaries since January 1, 2024.</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Since January 1, 2024, there have been no formal internal investigations regarding financial reporting or accounting policies and practices discussed with, reviewed by or initiated at the direction of the chief executive officer, president or general counsel of the Company, the Company, the Company Board of Directors or any committee thereof. Since January 1, 2024, the Company has not identified, nor have the Company</w:t>
      </w:r>
      <w:r>
        <w:rPr>
          <w:rFonts w:ascii="times new roman;times" w:hAnsi="times new roman;times"/>
          <w:b w:val="false"/>
          <w:sz w:val="20"/>
        </w:rPr>
        <w:t>’</w:t>
      </w:r>
      <w:r>
        <w:rPr>
          <w:rFonts w:ascii="Times New Roman" w:hAnsi="Times New Roman"/>
          <w:b w:val="false"/>
          <w:sz w:val="20"/>
        </w:rPr>
        <w:t>s independent auditors identified to the Company, (i) any significant deficiency or material weakness in the system of internal accounting controls utilized by the Company and its Subsidiaries, (ii) any fraud, whether or not material, that involves the Company</w:t>
      </w:r>
      <w:r>
        <w:rPr>
          <w:rFonts w:ascii="times new roman;times" w:hAnsi="times new roman;times"/>
          <w:b w:val="false"/>
          <w:sz w:val="20"/>
        </w:rPr>
        <w:t>’</w:t>
      </w:r>
      <w:r>
        <w:rPr>
          <w:rFonts w:ascii="Times New Roman" w:hAnsi="Times New Roman"/>
          <w:b w:val="false"/>
          <w:sz w:val="20"/>
        </w:rPr>
        <w:t>s management or other employees who have a role in the preparation of financial statements or the internal accounting controls utilized by the Company and its Subsidiaries or (iii) any written claim or allegation regarding any of the foregoing.</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Part 2.4(e) of the Company Disclosure Schedule sets forth all facts, circumstances and conditions known to the Company or Seller that have formed the basis for any going concern qualification, explanatory paragraph, substantial doubt disclosure or similar statement in the Company Financials or any registration statement, offering document or SEC filing of the Company. Since the date of the most recent balance sheet included in the Company Financials, there has not been any material deterioration in the liquidity, cash runway, working capital position or funding condition of the Company or any Company Subsidiary, except as expressly set forth in Part 2.4(e) of the Company Disclosure Schedule.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Part 2.4(f) of the Company Disclosure Schedule sets forth all debt, notes payable, loans, advances, guarantees, support arrangements, services agreements, reimbursement arrangements, intercompany balances, distributions, capital contributions and other funding arrangements between or among the Company or any Company Subsidiary, on the one hand, and Seller or any Affiliate of Seller, on the other hand, including the current outstanding balance, maturity, prepayment rights, default provisions, termination rights and any change of control consequences with respect thereto. Except as set forth in Part 2.4(f), no such arrangement exists.</w:t>
      </w:r>
      <w:r>
        <w:rPr>
          <w:rFonts w:ascii="times new roman;times" w:hAnsi="times new roman;times"/>
          <w:b w:val="false"/>
          <w:sz w:val="20"/>
        </w:rPr>
        <w:t xml:space="preserve"> </w:t>
      </w:r>
      <w:r>
        <w:rPr>
          <w:rFonts w:ascii="Times New Roman" w:hAnsi="Times New Roman"/>
          <w:b w:val="false"/>
          <w:sz w:val="20"/>
        </w:rPr>
        <w:t>Part 2.4(f) of the Company Disclosure Schedule shall separately identify each item of Seller Debt and, with respect to each such item, shall specify whether such Seller Debt will be irrevocably forgiven and canceled or contributed to the capital of the Company prior to the Effective Time. No Seller Debt may remain outstanding following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Neither Seller nor any of its Affiliates has notified the Company, orally or in writing, of any intention to terminate, not renew, accelerate, demand repayment under, or otherwise materially modify any funding, service, guarantee, support or other arrangement with the Company or any Company Subsidiary, except as set forth in Part 2.4(f) of the Company Disclosure Schedule.</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2.5Absence of Changes</w:t>
        </w:r>
      </w:hyperlink>
      <w:r>
        <w:rPr>
          <w:rFonts w:ascii="Times New Roman" w:hAnsi="Times New Roman"/>
          <w:b w:val="false"/>
          <w:sz w:val="20"/>
        </w:rPr>
        <w:t xml:space="preserve">. Except as set forth in Part 2.5 of the Company Disclosure Schedule, between January 1, 2026 and the date of this Agreement and except as otherwise expressly contemplated by this Agreement, the Company has conducted its business only in the Ordinary Course of Business (except for the execution and performance of this Agreement and the discussions, negotiations and transactions related thereto) and there has not been (a) any material loss, damage or destruction to, or any material interruption in the use of, any of the material assets or business of the Company or any Company Subsidiary (whether or not covered by insurance), (b) any Company Material Adverse Effect or an event or development that would, individually or in the aggregate, reasonably be expected to have a Company Material Adverse Effect, or (c) any event or development that would, if occurring following the execution of this Agreement, require the consent of Parent pursuant to </w:t>
      </w:r>
      <w:r>
        <w:rPr>
          <w:rFonts w:ascii="Times New Roman" w:hAnsi="Times New Roman"/>
          <w:b w:val="false"/>
          <w:sz w:val="20"/>
          <w:u w:val="single"/>
        </w:rPr>
        <w:t>Section 4.4(b)</w:t>
      </w:r>
      <w:r>
        <w:rPr>
          <w:rFonts w:ascii="Times New Roman" w:hAnsi="Times New Roman"/>
          <w:b w:val="false"/>
          <w:sz w:val="20"/>
        </w:rPr>
        <w:t>. Since the date of the most recent balance sheet included in the Company Financials, neither the Company nor any Company Subsidiary has incurred any material Liability outside the Ordinary Course of Business, entered into any interim financing, or taken any action that would reasonably be expected to be inconsistent with the terms of the LOI or to prevent, materially delay or materially impair the consummation of the Contemplated Transactions.</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2.6</w:t>
        </w:r>
      </w:hyperlink>
      <w:hyperlink w:anchor="TOC">
        <w:r>
          <w:rPr>
            <w:rStyle w:val="InternetLink"/>
            <w:rFonts w:ascii="Times New Roman" w:hAnsi="Times New Roman"/>
            <w:b/>
            <w:strike w:val="false"/>
            <w:dstrike w:val="false"/>
            <w:color w:val="000000"/>
            <w:sz w:val="20"/>
            <w:u w:val="none"/>
            <w:effect w:val="none"/>
          </w:rPr>
          <w:t>Title to Assets</w:t>
        </w:r>
      </w:hyperlink>
      <w:r>
        <w:rPr>
          <w:rFonts w:ascii="Times New Roman" w:hAnsi="Times New Roman"/>
          <w:b/>
          <w:sz w:val="20"/>
        </w:rPr>
        <w:t xml:space="preserve">. </w:t>
      </w:r>
      <w:r>
        <w:rPr>
          <w:rFonts w:ascii="Times New Roman" w:hAnsi="Times New Roman"/>
          <w:b w:val="false"/>
          <w:sz w:val="20"/>
        </w:rPr>
        <w:t>Each of the Company and its Subsidiaries owns, and has good and valid title to, or, in the case of leased properties and assets, valid leasehold interests in, all material tangible properties or assets and equipment used or held for use in its business or operations or purported to be owned by it. All such assets are owned by the Company or a Company Subsidiary free and clear of any Encumbrances, except for: (i) any lien for current Taxes not yet due and payable or for Taxes that are being contested in good faith and for which adequate reserves have been made on the Company Unaudited Interim Balance Sheet; (ii) minor liens that have arisen in the Ordinary Course of Business and that do not (in any case or in the aggregate) materially detract from the value of the assets subject thereto or materially impair the operations of the Company or any Company Subsidiary; and (iii) liens listed in Part 2.6 of the Company Disclosure Schedule.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2.7</w:t>
        </w:r>
      </w:hyperlink>
      <w:hyperlink w:anchor="TOC">
        <w:r>
          <w:rPr>
            <w:rStyle w:val="InternetLink"/>
            <w:rFonts w:ascii="Times New Roman" w:hAnsi="Times New Roman"/>
            <w:b/>
            <w:strike w:val="false"/>
            <w:dstrike w:val="false"/>
            <w:color w:val="000000"/>
            <w:sz w:val="20"/>
            <w:u w:val="none"/>
            <w:effect w:val="none"/>
          </w:rPr>
          <w:t>Real Property; Leasehold</w:t>
        </w:r>
      </w:hyperlink>
      <w:r>
        <w:rPr>
          <w:rFonts w:ascii="Times New Roman" w:hAnsi="Times New Roman"/>
          <w:b w:val="false"/>
          <w:sz w:val="20"/>
        </w:rPr>
        <w:t>. Neither the Company nor any Company Subsidiary owns any real property or any interest in real property, except for the leaseholds created under the real property leases identified in Part 2.7 of the Company Disclosure Schedule which are in full force and effect</w:t>
      </w:r>
      <w:r>
        <w:rPr>
          <w:rFonts w:ascii="times new roman;times" w:hAnsi="times new roman;times"/>
          <w:b w:val="false"/>
          <w:sz w:val="20"/>
        </w:rPr>
        <w:t xml:space="preserve"> </w:t>
      </w:r>
      <w:r>
        <w:rPr>
          <w:rFonts w:ascii="Times New Roman" w:hAnsi="Times New Roman"/>
          <w:b w:val="false"/>
          <w:sz w:val="20"/>
        </w:rPr>
        <w:t>and with no existing default thereunder.</w:t>
      </w:r>
    </w:p>
    <w:p>
      <w:pPr>
        <w:pStyle w:val="TextBody"/>
        <w:keepNext w:val="true"/>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2.8</w:t>
        </w:r>
      </w:hyperlink>
      <w:hyperlink w:anchor="TOC">
        <w:r>
          <w:rPr>
            <w:rStyle w:val="InternetLink"/>
            <w:rFonts w:ascii="Times New Roman" w:hAnsi="Times New Roman"/>
            <w:b/>
            <w:strike w:val="false"/>
            <w:dstrike w:val="false"/>
            <w:color w:val="000000"/>
            <w:sz w:val="20"/>
            <w:u w:val="none"/>
            <w:effect w:val="none"/>
          </w:rPr>
          <w:t>Intellectual Property</w:t>
        </w:r>
      </w:hyperlink>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Part 2.8(a) of the Company Disclosure Schedule sets forth a true, correct and complete list of all Registered Intellectual Property, all material unregistered Intellectual Property owned or purported to be owned by the Company or</w:t>
      </w:r>
      <w:r>
        <w:rPr>
          <w:rFonts w:ascii="times new roman;times" w:hAnsi="times new roman;times"/>
          <w:b w:val="false"/>
          <w:sz w:val="20"/>
        </w:rPr>
        <w:t xml:space="preserve"> </w:t>
      </w:r>
      <w:r>
        <w:rPr>
          <w:rFonts w:ascii="Times New Roman" w:hAnsi="Times New Roman"/>
          <w:b w:val="false"/>
          <w:sz w:val="20"/>
        </w:rPr>
        <w:t>any Company Subsidiary, and all material Intellectual Property licensed to, from or used by the Company or any Company Subsidiary, including all co-owned Intellectual Property, all university, hospital or Governmental Body-related Intellectual Property, all license agreements, royalty obligations, milestone obligations, field restrictions, sublicensing limitations, consent requirements, termination rights and expiration dates applicable thereto. The Company has taken reasonable actions to maintain and protect such Company-Owned IP Rights.</w:t>
      </w:r>
      <w:r>
        <w:rPr>
          <w:rFonts w:ascii="times new roman;times" w:hAnsi="times new roman;times"/>
          <w:b w:val="false"/>
          <w:sz w:val="20"/>
        </w:rPr>
        <w:t xml:space="preserve"> </w:t>
      </w:r>
      <w:r>
        <w:rPr>
          <w:rFonts w:ascii="Times New Roman" w:hAnsi="Times New Roman"/>
          <w:b w:val="false"/>
          <w:sz w:val="20"/>
        </w:rPr>
        <w:t>As of the date hereof, all registration, maintenance and renewal fees currently due in connection with such Company Registered Intellectual Property have been paid and all documents, recordations</w:t>
      </w:r>
      <w:r>
        <w:rPr>
          <w:rFonts w:ascii="times new roman;times" w:hAnsi="times new roman;times"/>
          <w:b w:val="false"/>
          <w:sz w:val="20"/>
        </w:rPr>
        <w:t xml:space="preserve"> </w:t>
      </w:r>
      <w:r>
        <w:rPr>
          <w:rFonts w:ascii="Times New Roman" w:hAnsi="Times New Roman"/>
          <w:b w:val="false"/>
          <w:sz w:val="20"/>
        </w:rPr>
        <w:t>and certificates in connection with such Company Registered Intellectual Property currently required to be filed have been filed with the relevant patent, copyright, trademark or other authorities in the United States or foreign jurisdictions, as the case may be, for the purposes of prosecuting, maintaining and perfecting such Company Registered Intellectual Property and recording the Company</w:t>
      </w:r>
      <w:r>
        <w:rPr>
          <w:rFonts w:ascii="times new roman;times" w:hAnsi="times new roman;times"/>
          <w:b w:val="false"/>
          <w:sz w:val="20"/>
        </w:rPr>
        <w:t>’</w:t>
      </w:r>
      <w:r>
        <w:rPr>
          <w:rFonts w:ascii="Times New Roman" w:hAnsi="Times New Roman"/>
          <w:b w:val="false"/>
          <w:sz w:val="20"/>
        </w:rPr>
        <w:t>s ownership interests therein.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and its Subsidiaries own each item of Company-Owned IP Rights, free and clear of any Encumbrances.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to the</w:t>
      </w:r>
      <w:r>
        <w:rPr>
          <w:rFonts w:ascii="times new roman;times" w:hAnsi="times new roman;times"/>
          <w:b w:val="false"/>
          <w:sz w:val="20"/>
        </w:rPr>
        <w:t xml:space="preserve"> </w:t>
      </w:r>
      <w:r>
        <w:rPr>
          <w:rFonts w:ascii="Times New Roman" w:hAnsi="Times New Roman"/>
          <w:b w:val="false"/>
          <w:sz w:val="20"/>
        </w:rPr>
        <w:t>Knowledge of the Seller, the Company IP Rights are valid and enforceable. Company has not misrepresented, or failed to disclose, any facts or circumstances in any application for any Company Registered Intellectual Property that would constitute fraud with respect to such application.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 operation of the business of the Company and its Subsidiaries as such business is currently conducted, and as has been conducted since January 1, 2018, does not infringe, misappropriate, or violate any Third-Party IP Rights. As of the date hereof, the Company has not received any written notice, which involves a claim of infringement, misappropriation or violation of any Third-Party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there is no unauthorized use, unauthorized disclosure, infringement or misappropriation of any material Company-Owned IP Rights, by any third party. As of the date hereof, the Company has not instituted any Legal Proceedings for infringement or misappropriation of any Company-Owned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consultant and employee involved in the creation of any material Company-Owned IP Rights for the Company has executed proprietary information, confidentiality and assignment agreements that, to extent permitted by Law, assign to the Company and/or a Company Subsidiary (or otherwise grant sufficient rights in) all Intellectual Property that are developed by the employees in the course of their employment and contain confidentiality provisions</w:t>
      </w:r>
      <w:r>
        <w:rPr>
          <w:rFonts w:ascii="times new roman;times" w:hAnsi="times new roman;times"/>
          <w:b w:val="false"/>
          <w:sz w:val="20"/>
        </w:rPr>
        <w:t xml:space="preserve"> </w:t>
      </w:r>
      <w:r>
        <w:rPr>
          <w:rFonts w:ascii="Times New Roman" w:hAnsi="Times New Roman"/>
          <w:b w:val="false"/>
          <w:sz w:val="20"/>
        </w:rPr>
        <w:t>protecting confidential information of the Company, and, with respect to consultants, all Intellectual Property that are developed by such consultants in the course of performing services for the Company or any Company Subsidiaries. The Company has provided to Parent copies of all such forms currently used by the Company.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No (i) government funding or (ii) facilities of a university, college, other educational institution or research center were used in the development of the Company-Owned IP Rights or any other Company Registered Intellectual Property.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no current or former employee, consultant or independent contractor of the Company, who was involved in, or who contributed to, the creation or development of any Company-Owned IP Rights or any other Company Registered Intellectual Property, has performed services for any government, university, college or other educational institution or research center during a period of time during which such employee, consultant or independent contractor was also performing services for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execution and delivery or effectiveness of this Agreement nor the performance of the Company</w:t>
      </w:r>
      <w:r>
        <w:rPr>
          <w:rFonts w:ascii="times new roman;times" w:hAnsi="times new roman;times"/>
          <w:b w:val="false"/>
          <w:sz w:val="20"/>
        </w:rPr>
        <w:t>’</w:t>
      </w:r>
      <w:r>
        <w:rPr>
          <w:rFonts w:ascii="Times New Roman" w:hAnsi="Times New Roman"/>
          <w:b w:val="false"/>
          <w:sz w:val="20"/>
        </w:rPr>
        <w:t>s obligations under this Agreement will cause (a) the forfeiture or termination of, or give rise to a right of forfeiture or termination of any material Company IP Right or any other Company-Owned IP Rights, or (b) additional payment obligations by the Company in order to use or exploit material Company IP Rights or any other Company-Owned IP Rights to the same extent as the Company was permitted before the date hereof.</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 Company has taken commercially reasonable efforts to protect and preserve the confidentiality of all confidential or non-public information included in the Company-Owned IP Rights that the Company intends to retain as confidential (</w:t>
      </w:r>
      <w:r>
        <w:rPr>
          <w:rFonts w:ascii="times new roman;times" w:hAnsi="times new roman;times"/>
          <w:b w:val="false"/>
          <w:sz w:val="20"/>
        </w:rPr>
        <w:t>“</w:t>
      </w:r>
      <w:r>
        <w:rPr>
          <w:rFonts w:ascii="Times New Roman" w:hAnsi="Times New Roman"/>
          <w:b/>
          <w:i/>
          <w:sz w:val="20"/>
        </w:rPr>
        <w:t>Company Confidential Information</w:t>
      </w:r>
      <w:r>
        <w:rPr>
          <w:rFonts w:ascii="times new roman;times" w:hAnsi="times new roman;times"/>
          <w:b w:val="false"/>
          <w:sz w:val="20"/>
        </w:rPr>
        <w:t>”</w:t>
      </w:r>
      <w:r>
        <w:rPr>
          <w:rFonts w:ascii="Times New Roman" w:hAnsi="Times New Roman"/>
          <w:b w:val="false"/>
          <w:sz w:val="20"/>
        </w:rPr>
        <w:t>).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all use and/or disclosure of Company Confidential Information by or to a third party has been pursuant to the terms of a written Contract between the Company or its Subsidiaries and such third party. To the Knowledge of the Company</w:t>
      </w:r>
      <w:r>
        <w:rPr>
          <w:rFonts w:ascii="times new roman;times" w:hAnsi="times new roman;times"/>
          <w:b w:val="false"/>
          <w:sz w:val="20"/>
        </w:rPr>
        <w:t xml:space="preserve"> </w:t>
      </w:r>
      <w:r>
        <w:rPr>
          <w:rFonts w:ascii="Times New Roman" w:hAnsi="Times New Roman"/>
          <w:b w:val="false"/>
          <w:sz w:val="20"/>
        </w:rPr>
        <w:t>and to the Knowledge of the Seller, the Company has not experienced any breach of security or otherwise unauthorized access by third parties to Company Confidential Information and any Company Confidential Information in Company</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possession, custody or control.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Notwithstanding anything to the contrary contained herein, the representations and warranties contained in </w:t>
      </w:r>
      <w:r>
        <w:rPr>
          <w:rFonts w:ascii="Times New Roman" w:hAnsi="Times New Roman"/>
          <w:b w:val="false"/>
          <w:sz w:val="20"/>
          <w:u w:val="single"/>
        </w:rPr>
        <w:t>Section 2.8</w:t>
      </w:r>
      <w:r>
        <w:rPr>
          <w:rFonts w:ascii="times new roman;times" w:hAnsi="times new roman;times"/>
          <w:b w:val="false"/>
          <w:sz w:val="20"/>
        </w:rPr>
        <w:t xml:space="preserve"> </w:t>
      </w:r>
      <w:r>
        <w:rPr>
          <w:rFonts w:ascii="Times New Roman" w:hAnsi="Times New Roman"/>
          <w:b w:val="false"/>
          <w:sz w:val="20"/>
        </w:rPr>
        <w:t>are the only representations and warranties made by the Company that address matters relating to Intellectual Property.</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Except as set forth in Part 2.8(a) of the Company Disclosure Schedule, no Governmental Body, academic institution, hospital, research institution or other third party has any march-in right, shop right, nonexclusive license, consent right, ownership interest, reversion right or other claim in or to any Intellectual Property of the Company or any product candidate, regulatory filing, clinical data, software, firmware, trade secret or know-how used in the business of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Neither the Company nor any Company Subsidiary, and, to the Knowledge of the Company</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to the</w:t>
      </w:r>
      <w:r>
        <w:rPr>
          <w:rFonts w:ascii="times new roman;times" w:hAnsi="times new roman;times"/>
          <w:b w:val="false"/>
          <w:sz w:val="20"/>
        </w:rPr>
        <w:t xml:space="preserve"> </w:t>
      </w:r>
      <w:r>
        <w:rPr>
          <w:rFonts w:ascii="Times New Roman" w:hAnsi="Times New Roman"/>
          <w:b w:val="false"/>
          <w:sz w:val="20"/>
        </w:rPr>
        <w:t>Knowledge of the Seller, no other party to any material Intellectual Property license, has breached, defaulted under or provided notice of termination, non-renewal, challenge, dispute or reservation of rights with respect to any such license, and no event has occurred that, with or without notice or lapse of time or both, would reasonably be expected to result in the loss, impairment, narrowing or termination of any material rights thereunder, except as set forth in Part 2.8 of the Company Disclosure Schedule.</w:t>
      </w:r>
    </w:p>
    <w:p>
      <w:pPr>
        <w:pStyle w:val="TextBody"/>
        <w:bidi w:val="0"/>
        <w:spacing w:lineRule="auto" w:line="288" w:before="0" w:after="240"/>
        <w:ind w:left="52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All material clinical data, preclinical data, software, source code, firmware, algorithms, device specifications, manufacturing know-how, quality system documentation and regulatory submissions used or held for use in the conduct of the business are owned by, or validly licensed to, the Company or a Company Subsidiary free and clear of all Encumbrances other than Permitted Encumbrances, and the Company has not granted any third party any right to access, use, disclose or exploit the same other than pursuant to written agreements listed in Part 2.8 of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2.9Agreements, Contracts and Commitments</w:t>
        </w:r>
      </w:hyperlink>
      <w:hyperlink w:anchor="TOC">
        <w:r>
          <w:rPr>
            <w:rStyle w:val="InternetLink"/>
            <w:rFonts w:ascii="Times New Roman" w:hAnsi="Times New Roman"/>
            <w:b w:val="false"/>
            <w:strike w:val="false"/>
            <w:dstrike w:val="false"/>
            <w:color w:val="000000"/>
            <w:sz w:val="20"/>
            <w:u w:val="none"/>
            <w:effect w:val="none"/>
          </w:rPr>
          <w:t>. Part 2.9 of the Company Disclosure Schedule identifies:</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each Company Contract relating to any bonus, deferred compensation, severance, incentive compensation, pension, profit-sharing or retirement plans, or any other employee benefit plans or arrangements, other than Company Contracts on the Company</w:t>
      </w:r>
      <w:r>
        <w:rPr>
          <w:rFonts w:ascii="times new roman;times" w:hAnsi="times new roman;times"/>
          <w:b w:val="false"/>
          <w:sz w:val="20"/>
        </w:rPr>
        <w:t>’</w:t>
      </w:r>
      <w:r>
        <w:rPr>
          <w:rFonts w:ascii="Times New Roman" w:hAnsi="Times New Roman"/>
          <w:b w:val="false"/>
          <w:sz w:val="20"/>
        </w:rPr>
        <w:t>s standard form offer letter entered into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Company Contract relating to the employment of, or the performance of employment-related services by, any Person, including any employee, consultant or independent contractor, not terminable at will by the Company or its Subsidiaries, except to the extent general principles of wrongful termination law may limit the Company</w:t>
      </w:r>
      <w:r>
        <w:rPr>
          <w:rFonts w:ascii="times new roman;times" w:hAnsi="times new roman;times"/>
          <w:b w:val="false"/>
          <w:sz w:val="20"/>
        </w:rPr>
        <w:t>’</w:t>
      </w:r>
      <w:r>
        <w:rPr>
          <w:rFonts w:ascii="Times New Roman" w:hAnsi="Times New Roman"/>
          <w:b w:val="false"/>
          <w:sz w:val="20"/>
        </w:rPr>
        <w:t>s, the Company</w:t>
      </w:r>
      <w:r>
        <w:rPr>
          <w:rFonts w:ascii="times new roman;times" w:hAnsi="times new roman;times"/>
          <w:b w:val="false"/>
          <w:sz w:val="20"/>
        </w:rPr>
        <w:t>’</w:t>
      </w:r>
      <w:r>
        <w:rPr>
          <w:rFonts w:ascii="Times New Roman" w:hAnsi="Times New Roman"/>
          <w:b w:val="false"/>
          <w:sz w:val="20"/>
        </w:rPr>
        <w:t>s Subsidiaries</w:t>
      </w:r>
      <w:r>
        <w:rPr>
          <w:rFonts w:ascii="times new roman;times" w:hAnsi="times new roman;times"/>
          <w:b w:val="false"/>
          <w:sz w:val="20"/>
        </w:rPr>
        <w:t xml:space="preserve">’ </w:t>
      </w:r>
      <w:r>
        <w:rPr>
          <w:rFonts w:ascii="Times New Roman" w:hAnsi="Times New Roman"/>
          <w:b w:val="false"/>
          <w:sz w:val="20"/>
        </w:rPr>
        <w:t>or such successor</w:t>
      </w:r>
      <w:r>
        <w:rPr>
          <w:rFonts w:ascii="times new roman;times" w:hAnsi="times new roman;times"/>
          <w:b w:val="false"/>
          <w:sz w:val="20"/>
        </w:rPr>
        <w:t>’</w:t>
      </w:r>
      <w:r>
        <w:rPr>
          <w:rFonts w:ascii="Times New Roman" w:hAnsi="Times New Roman"/>
          <w:b w:val="false"/>
          <w:sz w:val="20"/>
        </w:rPr>
        <w:t>s ability to terminate employees at will;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each Company Contract relating to any agreement of indemnification or guaranty not entered into in the Ordinary Course of Business other than indemnification agreements between the Company and any of its officers or directors;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each Company Contract containing any covenant limiting the freedom of the Company, its Subsidiaries or the Surviving Corporation to engage in any line of business or compete with any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Company Contract relating to capital expenditures and requiring payments after the date of this Agreement in excess of $50,000 and not cancelable without penalty;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Company Contract relating to the disposition or acquisition of material assets or any ownership interest in any Entity;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Company Contract relating to any mortgages, indentures, loans, notes or credit agreements, security agreements or other agreements or instruments relating to the borrowing of money or extension of credit in excess of $50,000 or creating any material Encumbrances with respect to any assets of the Company or any Company Subsidiary or any loans or debt obligations with officers or directors of the Company;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material Contracts pursuant to which the Company or a Company Subsidiary grants any Person a license under any Company IP Rights, other than software licensed to customers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other than </w:t>
      </w:r>
      <w:r>
        <w:rPr>
          <w:rFonts w:ascii="times new roman;times" w:hAnsi="times new roman;times"/>
          <w:b w:val="false"/>
          <w:sz w:val="20"/>
        </w:rPr>
        <w:t>“</w:t>
      </w:r>
      <w:r>
        <w:rPr>
          <w:rFonts w:ascii="Times New Roman" w:hAnsi="Times New Roman"/>
          <w:b w:val="false"/>
          <w:sz w:val="20"/>
        </w:rPr>
        <w:t>shrink wrap</w:t>
      </w:r>
      <w:r>
        <w:rPr>
          <w:rFonts w:ascii="times new roman;times" w:hAnsi="times new roman;times"/>
          <w:b w:val="false"/>
          <w:sz w:val="20"/>
        </w:rPr>
        <w:t xml:space="preserve">” </w:t>
      </w:r>
      <w:r>
        <w:rPr>
          <w:rFonts w:ascii="Times New Roman" w:hAnsi="Times New Roman"/>
          <w:b w:val="false"/>
          <w:sz w:val="20"/>
        </w:rPr>
        <w:t>and similar generally available commercial end-user licenses to software, all Contracts pursuant to which the Company or a Company Subsidiary is licensed to use any Third-Party IP Rights outside the Ordinary Course of Business;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each Company Contract (i) appointing a third party to distribute any Company product, service or technology (identifying any that contain exclusivity provisions); (ii) for a third party to provide services or products with respect to any pre-clinical or clinical development activities of the Company;</w:t>
      </w:r>
      <w:r>
        <w:rPr>
          <w:rFonts w:ascii="times new roman;times" w:hAnsi="times new roman;times"/>
          <w:b w:val="false"/>
          <w:sz w:val="20"/>
        </w:rPr>
        <w:t xml:space="preserve"> </w:t>
      </w:r>
      <w:r>
        <w:rPr>
          <w:rFonts w:ascii="Times New Roman" w:hAnsi="Times New Roman"/>
          <w:b w:val="false"/>
          <w:sz w:val="20"/>
        </w:rPr>
        <w:t>(iii) under which the Company or its Subsidiaries has continuing obligations to develop or market any product, technology or service, or any agreement pursuant to which the Company or its Subsidiaries has continuing obligations to develop any Intellectual Property that will not be owned, in whole or in part, by the Company or such Company Subsidiary; or (iv) to license any third party to manufacture or produce any Company product, service or technology or any Contract to sell, distribute or commercialize any Company products or service except agreements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each Company Contract with any financial advisor, broker, finder, investment banker or other Person providing advisory services to the Company in connection with the Contemplated Transactions;</w:t>
      </w:r>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each Contract with ThinkEquity LLC</w:t>
      </w:r>
      <w:r>
        <w:rPr>
          <w:rFonts w:ascii="times new roman;times" w:hAnsi="times new roman;times"/>
          <w:b w:val="false"/>
          <w:sz w:val="20"/>
        </w:rPr>
        <w:t xml:space="preserve"> </w:t>
      </w:r>
      <w:r>
        <w:rPr>
          <w:rFonts w:ascii="Times New Roman" w:hAnsi="Times New Roman"/>
          <w:b w:val="false"/>
          <w:sz w:val="20"/>
        </w:rPr>
        <w:t>or any other financial advisor, finder, placement agent, consultant or other Person that is entitled to any fee, commission, equity issuance, warrant</w:t>
      </w:r>
      <w:r>
        <w:rPr>
          <w:rFonts w:ascii="times new roman;times" w:hAnsi="times new roman;times"/>
          <w:b w:val="false"/>
          <w:sz w:val="20"/>
        </w:rPr>
        <w:t xml:space="preserve"> </w:t>
      </w:r>
      <w:r>
        <w:rPr>
          <w:rFonts w:ascii="Times New Roman" w:hAnsi="Times New Roman"/>
          <w:b w:val="false"/>
          <w:sz w:val="20"/>
        </w:rPr>
        <w:t>value, reimbursement or other payment in connection with the Contemplated Transactions;</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each Contract pursuant to which the consummation of the Contemplated Transactions, the issuance of the Consideration</w:t>
      </w:r>
      <w:r>
        <w:rPr>
          <w:rFonts w:ascii="times new roman;times" w:hAnsi="times new roman;times"/>
          <w:b w:val="false"/>
          <w:sz w:val="20"/>
        </w:rPr>
        <w:t xml:space="preserve"> </w:t>
      </w:r>
      <w:r>
        <w:rPr>
          <w:rFonts w:ascii="Times New Roman" w:hAnsi="Times New Roman"/>
          <w:b w:val="false"/>
          <w:sz w:val="20"/>
        </w:rPr>
        <w:t xml:space="preserve">Shares, the Financing, the lock-up contemplated hereby or the change in control of Parent or the Company would give rise to any payment, acceleration, vesting, consent right, termination right, penalty or similar consequence; </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each Contract that restricts</w:t>
      </w:r>
      <w:r>
        <w:rPr>
          <w:rFonts w:ascii="times new roman;times" w:hAnsi="times new roman;times"/>
          <w:b w:val="false"/>
          <w:sz w:val="20"/>
        </w:rPr>
        <w:t xml:space="preserve"> </w:t>
      </w:r>
      <w:r>
        <w:rPr>
          <w:rFonts w:ascii="Times New Roman" w:hAnsi="Times New Roman"/>
          <w:b w:val="false"/>
          <w:sz w:val="20"/>
        </w:rPr>
        <w:t>the Company</w:t>
      </w:r>
      <w:r>
        <w:rPr>
          <w:rFonts w:ascii="times new roman;times" w:hAnsi="times new roman;times"/>
          <w:b w:val="false"/>
          <w:sz w:val="20"/>
        </w:rPr>
        <w:t>’</w:t>
      </w:r>
      <w:r>
        <w:rPr>
          <w:rFonts w:ascii="Times New Roman" w:hAnsi="Times New Roman"/>
          <w:b w:val="false"/>
          <w:sz w:val="20"/>
        </w:rPr>
        <w:t>s ability, or would reasonably be expected to restrict Parent</w:t>
      </w:r>
      <w:r>
        <w:rPr>
          <w:rFonts w:ascii="times new roman;times" w:hAnsi="times new roman;times"/>
          <w:b w:val="false"/>
          <w:sz w:val="20"/>
        </w:rPr>
        <w:t>’</w:t>
      </w:r>
      <w:r>
        <w:rPr>
          <w:rFonts w:ascii="Times New Roman" w:hAnsi="Times New Roman"/>
          <w:b w:val="false"/>
          <w:sz w:val="20"/>
        </w:rPr>
        <w:t>s ability after the Effective Time, to operate the business of the Company as currently conducted;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any Contract between the Company or any Company Subsidiary, on the one hand, and Seller or any Affiliate, officer, director or other Related Party of Seller or the Company, on the other hand, including any funding arrangement, services agreement, reimbursement arrangement, lease, sublicense, indemnification agreement, separation agreement, transition services agreement, tax sharing arrangement, employee secondment arrangement, guarantee or consent right; and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(q)</w:t>
      </w:r>
      <w:r>
        <w:rPr>
          <w:rFonts w:ascii="Times New Roman" w:hAnsi="Times New Roman"/>
          <w:b w:val="false"/>
          <w:sz w:val="20"/>
        </w:rPr>
        <w:t>any other agreement, contract or commitment which is not terminable at will (with no penalty or payment) by the Company which involves payment or receipt by the Company or its Subsidiaries under any such agreement, contract or commitment of $25,000 or more in the aggregate or obligations after the date of this Agreement in excess of $25,000 in the aggregate. The Company has made available to Parent accurate and complete (except for applicable redactions thereto) copies of all Company Material Contracts, including all amendments thereto. There are no Company Material Contracts that are not in written form. Except as set forth in Part 2.9 of the Company Disclosure Schedule, neither the Company nor any of its Subsidiaries has, nor to the Company</w:t>
      </w:r>
      <w:r>
        <w:rPr>
          <w:rFonts w:ascii="times new roman;times" w:hAnsi="times new roman;times"/>
          <w:b w:val="false"/>
          <w:sz w:val="20"/>
        </w:rPr>
        <w:t>’</w:t>
      </w:r>
      <w:r>
        <w:rPr>
          <w:rFonts w:ascii="Times New Roman" w:hAnsi="Times New Roman"/>
          <w:b w:val="false"/>
          <w:sz w:val="20"/>
        </w:rPr>
        <w:t>s Knowledge</w:t>
      </w:r>
      <w:r>
        <w:rPr>
          <w:rFonts w:ascii="times new roman;times" w:hAnsi="times new roman;times"/>
          <w:b w:val="false"/>
          <w:sz w:val="20"/>
        </w:rPr>
        <w:t xml:space="preserve"> </w:t>
      </w:r>
      <w:r>
        <w:rPr>
          <w:rFonts w:ascii="Times New Roman" w:hAnsi="Times New Roman"/>
          <w:b w:val="false"/>
          <w:sz w:val="20"/>
        </w:rPr>
        <w:t>or to</w:t>
      </w:r>
      <w:r>
        <w:rPr>
          <w:rFonts w:ascii="times new roman;times" w:hAnsi="times new roman;times"/>
          <w:b w:val="false"/>
          <w:sz w:val="20"/>
        </w:rPr>
        <w:t xml:space="preserve"> </w:t>
      </w:r>
      <w:r>
        <w:rPr>
          <w:rFonts w:ascii="Times New Roman" w:hAnsi="Times New Roman"/>
          <w:b w:val="false"/>
          <w:sz w:val="20"/>
        </w:rPr>
        <w:t xml:space="preserve">the Seller’s Knowledge, as of the date of this Agreement has any other party to a Company Material Contract, breached, violated or defaulted under, or received written notice that it has breached, violated or defaulted under, any of the terms or conditions of any of the agreements, contracts or commitments to which the Company or its Subsidiaries is a party or by which it is bound of the type described in clauses (a) through (q) above (any such agreement, contract or commitment, a </w:t>
      </w:r>
      <w:r>
        <w:rPr>
          <w:rFonts w:ascii="times new roman;times" w:hAnsi="times new roman;times"/>
          <w:b w:val="false"/>
          <w:sz w:val="20"/>
        </w:rPr>
        <w:t>“</w:t>
      </w:r>
      <w:r>
        <w:rPr>
          <w:rFonts w:ascii="Times New Roman" w:hAnsi="Times New Roman"/>
          <w:b/>
          <w:i/>
          <w:sz w:val="20"/>
        </w:rPr>
        <w:t>Company Material Contract</w:t>
      </w:r>
      <w:r>
        <w:rPr>
          <w:rFonts w:ascii="times new roman;times" w:hAnsi="times new roman;times"/>
          <w:b w:val="false"/>
          <w:sz w:val="20"/>
        </w:rPr>
        <w:t>”</w:t>
      </w:r>
      <w:r>
        <w:rPr>
          <w:rFonts w:ascii="Times New Roman" w:hAnsi="Times New Roman"/>
          <w:b w:val="false"/>
          <w:sz w:val="20"/>
        </w:rPr>
        <w:t>) in such manner as would permit any party to cancel or terminate any Company Material Contract, or would permit any other party to seek damages which would reasonably be expected to be material. The consummation of the Contemplated Transactions shall not (either alone or upon the occurrence of additional acts or events) result in any material payment or payments becoming due from the Company, any Company Subsidiary or the Surviving Corporation to any Person under any Company Contract.</w:t>
      </w:r>
    </w:p>
    <w:p>
      <w:pPr>
        <w:pStyle w:val="TextBody"/>
        <w:bidi w:val="0"/>
        <w:spacing w:lineRule="auto" w:line="288" w:before="0" w:after="220"/>
        <w:ind w:left="0" w:right="0" w:firstLine="720"/>
        <w:jc w:val="left"/>
        <w:rPr>
          <w:rFonts w:ascii="Times New Roman" w:hAnsi="Times New Roman"/>
          <w:sz w:val="20"/>
        </w:rPr>
      </w:pPr>
      <w:r>
        <w:rPr>
          <w:rFonts w:ascii="Times New Roman" w:hAnsi="Times New Roman"/>
          <w:sz w:val="20"/>
        </w:rPr>
        <w:t>Except as set forth in Part 2.9 of the Company Disclosure Schedule, no Contract to which the Company or any Company Subsidiary is a party grants Seller or any of its Affiliates any consent, veto, control, approval, information, economic participation, use restriction, exclusivity, non-compete, standstill or similar right that would bind, burden or restrict the Company, the Surviving Corporation or Parent following the Effective Time.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2.10</w:t>
        </w:r>
      </w:hyperlink>
      <w:hyperlink w:anchor="TOC">
        <w:r>
          <w:rPr>
            <w:rStyle w:val="InternetLink"/>
            <w:rFonts w:ascii="Times New Roman" w:hAnsi="Times New Roman"/>
            <w:b/>
            <w:strike w:val="false"/>
            <w:dstrike w:val="false"/>
            <w:color w:val="000000"/>
            <w:sz w:val="20"/>
            <w:u w:val="none"/>
            <w:effect w:val="none"/>
          </w:rPr>
          <w:t>Liabilities.</w:t>
        </w:r>
      </w:hyperlink>
      <w:r>
        <w:rPr>
          <w:rFonts w:ascii="times new roman;times" w:hAnsi="times new roman;times"/>
          <w:b w:val="false"/>
          <w:sz w:val="20"/>
        </w:rPr>
        <w:t xml:space="preserve"> </w:t>
      </w:r>
      <w:r>
        <w:rPr>
          <w:rFonts w:ascii="Times New Roman" w:hAnsi="Times New Roman"/>
          <w:b w:val="false"/>
          <w:sz w:val="20"/>
        </w:rPr>
        <w:t xml:space="preserve">As of the date hereof, neither the Company nor any Company Subsidiary has any liability, indebtedness, obligation, expense, claim, deficiency, guaranty or endorsement of any kind, whether accrued, absolute, contingent, matured, unmatured or other (required to be reflected in the financial statements in accordance with GAAP) (each a </w:t>
      </w:r>
      <w:r>
        <w:rPr>
          <w:rFonts w:ascii="times new roman;times" w:hAnsi="times new roman;times"/>
          <w:b w:val="false"/>
          <w:sz w:val="20"/>
        </w:rPr>
        <w:t>“</w:t>
      </w:r>
      <w:r>
        <w:rPr>
          <w:rFonts w:ascii="Times New Roman" w:hAnsi="Times New Roman"/>
          <w:b/>
          <w:i/>
          <w:sz w:val="20"/>
        </w:rPr>
        <w:t>Liability</w:t>
      </w:r>
      <w:r>
        <w:rPr>
          <w:rFonts w:ascii="times new roman;times" w:hAnsi="times new roman;times"/>
          <w:b w:val="false"/>
          <w:sz w:val="20"/>
        </w:rPr>
        <w:t>”</w:t>
      </w:r>
      <w:r>
        <w:rPr>
          <w:rFonts w:ascii="Times New Roman" w:hAnsi="Times New Roman"/>
          <w:b w:val="false"/>
          <w:sz w:val="20"/>
        </w:rPr>
        <w:t>), except for: (a) Liabilities identified as such in the Company Unaudited Interim Balance Sheet; (b) normal and recurring current Liabilities that have been incurred by the Company or its Subsidiaries since the date of the Company Unaudited Interim Balance Sheet in the Ordinary Course of Business; (c) Liabilities for performance in the Ordinary Course of Business of obligations of the Company or any Company Subsidiary under Company Contracts, including the reasonably expected performance of such Company Contracts in accordance with their terms (which would not include, for example, any instances of breach or indemnification); (d) Liabilities incurred in connection with the Contemplated Transactions; and (e) Liabilities described in Part 2.10 of the Company Disclosure Schedule. Without limiting the foregoing, as of immediately prior to the Effective Time, neither the Company nor any Company Subsidiary shall have any indebtedness for borrowed money, notes payable, loans, advances or other similar obligations. As of immediately prior to the Effective Time, the only Liabilities of the Company and the Company Subsidiaries permitted to remain outstanding shall be ordinary course accounts payable and accrued operating expenses, in each case (i) incurred in the Ordinary Course of Business consistent with past practice, (ii) not owing to Seller or any Affiliate of Seller and (iii) set forth on the final Closing schedules delivered to Parent.</w:t>
      </w:r>
      <w:r>
        <w:rPr>
          <w:rFonts w:ascii="times new roman;times" w:hAnsi="times new roman;times"/>
          <w:b w:val="false"/>
          <w:sz w:val="20"/>
        </w:rPr>
        <w:t xml:space="preserve"> </w:t>
      </w:r>
      <w:r>
        <w:rPr>
          <w:rFonts w:ascii="Times New Roman" w:hAnsi="Times New Roman"/>
          <w:b w:val="false"/>
          <w:sz w:val="20"/>
        </w:rPr>
        <w:t>Notwithstanding anything to the contrary in this Agreement or in any Company Disclosure Schedule, all Seller Debt shall be, at Seller</w:t>
      </w:r>
      <w:r>
        <w:rPr>
          <w:rFonts w:ascii="times new roman;times" w:hAnsi="times new roman;times"/>
          <w:b w:val="false"/>
          <w:sz w:val="20"/>
        </w:rPr>
        <w:t>’</w:t>
      </w:r>
      <w:r>
        <w:rPr>
          <w:rFonts w:ascii="Times New Roman" w:hAnsi="Times New Roman"/>
          <w:b w:val="false"/>
          <w:sz w:val="20"/>
        </w:rPr>
        <w:t>s election as set forth on Part 2.4(f) of the Company Disclosure Schedule, either (x) irrevocably forgiven, canceled and released in full without any payment by the Company, Parent, Merger Sub or the Surviving Corporation, or (y) contributed to the capital of the Company, in each case effective immediately prior to the Effective Time. From and after the Effective Time, neither Seller nor any Affiliate of Seller shall have any right to repayment, reimbursement, contribution, indemnification, setoff, subrogation or other recovery from the Company, any Company Subsidiary, Parent, Merger Sub or the Surviving Corporation in respect of any Seller Debt.</w:t>
      </w:r>
      <w:r>
        <w:rPr>
          <w:rFonts w:ascii="times new roman;times" w:hAnsi="times new roman;times"/>
          <w:b w:val="false"/>
          <w:sz w:val="20"/>
        </w:rPr>
        <w:t xml:space="preserve"> </w:t>
      </w:r>
      <w:r>
        <w:rPr>
          <w:rFonts w:ascii="Times New Roman" w:hAnsi="Times New Roman"/>
          <w:b w:val="false"/>
          <w:sz w:val="20"/>
        </w:rPr>
        <w:t>Without limiting the generality of the foregoing, except as set forth in Part 2.10 of the Company Disclosure Schedule:</w:t>
      </w:r>
    </w:p>
    <w:p>
      <w:pPr>
        <w:pStyle w:val="TextBody"/>
        <w:bidi w:val="0"/>
        <w:spacing w:lineRule="auto" w:line="288" w:before="0" w:after="240"/>
        <w:ind w:left="6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the Company nor any Company Subsidiary (other than Second Sight to the extent expressly disclosed) has any Liability arising out of or relating to any business, operation, product, service, employee, contractor, license, clinical activity or regulatory matter of Second Sight or Seller prior to the separation of the Company from Seller;</w:t>
      </w:r>
    </w:p>
    <w:p>
      <w:pPr>
        <w:pStyle w:val="TextBody"/>
        <w:bidi w:val="0"/>
        <w:spacing w:lineRule="auto" w:line="288" w:before="0" w:after="240"/>
        <w:ind w:left="54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all Liabilities of Second Sight have been or will be retained by, satisfied by or discharged through the liquidation of Second Sight, except as expressly set forth in Part 2.10 of the Company Disclosure Schedule;</w:t>
      </w:r>
    </w:p>
    <w:p>
      <w:pPr>
        <w:pStyle w:val="TextBody"/>
        <w:bidi w:val="0"/>
        <w:spacing w:lineRule="auto" w:line="288" w:before="0" w:after="240"/>
        <w:ind w:left="50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no creditor, counterparty or other Person has asserted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to assert that the Company or any Company Subsidiary is liable for any Liability of Second Sight;</w:t>
      </w:r>
    </w:p>
    <w:p>
      <w:pPr>
        <w:pStyle w:val="TextBody"/>
        <w:bidi w:val="0"/>
        <w:spacing w:lineRule="auto" w:line="288" w:before="0" w:after="240"/>
        <w:ind w:left="52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neither the Company nor any Company Subsidiary has assumed, guaranteed or otherwise become responsible for any Liability of Second Sight, except as expressly set forth in Part 2.10 of the Company Disclosure Schedule; and</w:t>
      </w:r>
    </w:p>
    <w:p>
      <w:pPr>
        <w:pStyle w:val="TextBody"/>
        <w:bidi w:val="0"/>
        <w:spacing w:lineRule="auto" w:line="288" w:before="0" w:after="240"/>
        <w:ind w:left="560" w:right="0" w:firstLine="240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there are no indemnification, contribution, reimbursement or similar obligations, whether written or oral, between the Company or any Company Subsidiary, on the one hand, and Seller or any of its Affiliates (including Second Sight), on the other hand, that would reasonably be expected to result in any Liability being imposed on the Company or any Company Subsidiary following the Effective Time, except as set forth in Part 2.10 of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2.11Compliance; Permits; Restrictions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Company and each Company Subsidiary are, and since January 1, 2024 have been, in compliance in all material respects with all applicable Legal Requirements. No investigation, claim, suit, proceeding, audit, action or other Legal Proceeding by any Governmental Body is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against the Company or any Company Subsidiary. There is no agreement, judgment, injunction, order or decree binding upon the Company or any Company Subsidiary which (i) has or would reasonably be expected to have the effect of prohibiting or materially impairing any business practice of the Company or any Company Subsidiary, any acquisition of material property by the Company or any Company Subsidiary or the conduct of business by the Company or any Company Subsidiary as currently conducted, (ii) is reasonably likely to have a material adverse effect on the Company</w:t>
      </w:r>
      <w:r>
        <w:rPr>
          <w:rFonts w:ascii="times new roman;times" w:hAnsi="times new roman;times"/>
          <w:b w:val="false"/>
          <w:sz w:val="20"/>
        </w:rPr>
        <w:t>’</w:t>
      </w:r>
      <w:r>
        <w:rPr>
          <w:rFonts w:ascii="Times New Roman" w:hAnsi="Times New Roman"/>
          <w:b w:val="false"/>
          <w:sz w:val="20"/>
        </w:rPr>
        <w:t>s ability to comply with or perform any covenant or obligation under this Agreement, or (iii) is reasonably likely to have the effect of preventing, delaying, making illegal or otherwise interfering with the Contemplated Transactions. Neither the Company nor any Company Subsidiary has received any written notice from any Governmental Body or self-regulatory organization that would reasonably be expected to prevent, materially delay or materially impair the filing or effectiveness of the Registration Statement, the listing of the Parent Common Stock to be issued in the Contemplated Transactions on Nasdaq, or the consummation of the Financing.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Except for matters regarding the U.S. Food and Drug Administration (or any successor agency thereto) (</w:t>
      </w:r>
      <w:r>
        <w:rPr>
          <w:rFonts w:ascii="times new roman;times" w:hAnsi="times new roman;times"/>
          <w:b w:val="false"/>
          <w:sz w:val="20"/>
        </w:rPr>
        <w:t>“</w:t>
      </w:r>
      <w:r>
        <w:rPr>
          <w:rFonts w:ascii="Times New Roman" w:hAnsi="Times New Roman"/>
          <w:b/>
          <w:i/>
          <w:sz w:val="20"/>
        </w:rPr>
        <w:t>FDA</w:t>
      </w:r>
      <w:r>
        <w:rPr>
          <w:rFonts w:ascii="times new roman;times" w:hAnsi="times new roman;times"/>
          <w:b w:val="false"/>
          <w:sz w:val="20"/>
        </w:rPr>
        <w:t>”</w:t>
      </w:r>
      <w:r>
        <w:rPr>
          <w:rFonts w:ascii="Times New Roman" w:hAnsi="Times New Roman"/>
          <w:b w:val="false"/>
          <w:sz w:val="20"/>
        </w:rPr>
        <w:t xml:space="preserve">), the Company and its Subsidiaries hold all required Governmental Authorizations which are material to the operation of the business of the Company (the </w:t>
      </w:r>
      <w:r>
        <w:rPr>
          <w:rFonts w:ascii="times new roman;times" w:hAnsi="times new roman;times"/>
          <w:b w:val="false"/>
          <w:sz w:val="20"/>
        </w:rPr>
        <w:t>“</w:t>
      </w:r>
      <w:r>
        <w:rPr>
          <w:rFonts w:ascii="Times New Roman" w:hAnsi="Times New Roman"/>
          <w:b/>
          <w:i/>
          <w:sz w:val="20"/>
        </w:rPr>
        <w:t>Company Permits</w:t>
      </w:r>
      <w:r>
        <w:rPr>
          <w:rFonts w:ascii="times new roman;times" w:hAnsi="times new roman;times"/>
          <w:b w:val="false"/>
          <w:sz w:val="20"/>
        </w:rPr>
        <w:t>”</w:t>
      </w:r>
      <w:r>
        <w:rPr>
          <w:rFonts w:ascii="Times New Roman" w:hAnsi="Times New Roman"/>
          <w:b w:val="false"/>
          <w:sz w:val="20"/>
        </w:rPr>
        <w:t>) as currently conducted. Part 2.11(b) of the Company Disclosure Schedule identifies each Company Permit. Each of the Company and each Company Subsidiary is in material compliance with the terms of the Company Permits. No action, proceeding, revocation proceeding, amendment procedure, writ, injunction or claim is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in writing, which seeks to revoke, substantially limit, suspend, or materially modify any Company Permit. The rights and benefits of each material Company Permit will be available to the Surviving Corporation immediately after the Effective Time on terms substantially identical to those enjoyed by the Company and its Subsidiaries as of the date of this Agreement and immediately prior to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 no proceedings pending or, to the Knowledge of the Company</w:t>
      </w:r>
      <w:r>
        <w:rPr>
          <w:rFonts w:ascii="times new roman;times" w:hAnsi="times new roman;times"/>
          <w:b w:val="false"/>
          <w:sz w:val="20"/>
        </w:rPr>
        <w:t xml:space="preserve"> </w:t>
      </w:r>
      <w:r>
        <w:rPr>
          <w:rFonts w:ascii="Times New Roman" w:hAnsi="Times New Roman"/>
          <w:b w:val="false"/>
          <w:sz w:val="20"/>
        </w:rPr>
        <w:t xml:space="preserve">or to the Knowledge of the Seller, threatened in writing with respect to an alleged material violation by the Company or any of its Subsidiaries of the Federal Food, Drug, and Cosmetic Act (as amended, the </w:t>
      </w:r>
      <w:r>
        <w:rPr>
          <w:rFonts w:ascii="times new roman;times" w:hAnsi="times new roman;times"/>
          <w:b w:val="false"/>
          <w:sz w:val="20"/>
        </w:rPr>
        <w:t>“</w:t>
      </w:r>
      <w:r>
        <w:rPr>
          <w:rFonts w:ascii="Times New Roman" w:hAnsi="Times New Roman"/>
          <w:b/>
          <w:i/>
          <w:sz w:val="20"/>
        </w:rPr>
        <w:t>FDCA</w:t>
      </w:r>
      <w:r>
        <w:rPr>
          <w:rFonts w:ascii="times new roman;times" w:hAnsi="times new roman;times"/>
          <w:b w:val="false"/>
          <w:sz w:val="20"/>
        </w:rPr>
        <w:t>”</w:t>
      </w:r>
      <w:r>
        <w:rPr>
          <w:rFonts w:ascii="Times New Roman" w:hAnsi="Times New Roman"/>
          <w:b w:val="false"/>
          <w:sz w:val="20"/>
        </w:rPr>
        <w:t>), FDA regulations adopted thereunder, the Controlled Substance Act or any other similar Legal Requirements promulgated by the FDA or other comparable Governmental Body responsible for regulation of the development, clinical testing, manufacturing, sale, marketing, distribution and importation or exportation of drug or medical device products (</w:t>
      </w:r>
      <w:r>
        <w:rPr>
          <w:rFonts w:ascii="times new roman;times" w:hAnsi="times new roman;times"/>
          <w:b w:val="false"/>
          <w:sz w:val="20"/>
        </w:rPr>
        <w:t>“</w:t>
      </w:r>
      <w:r>
        <w:rPr>
          <w:rFonts w:ascii="Times New Roman" w:hAnsi="Times New Roman"/>
          <w:b/>
          <w:i/>
          <w:sz w:val="20"/>
        </w:rPr>
        <w:t>Drug/Device Regulatory Agency</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The Company and each of its Subsidiaries holds all required Governmental Authorizations issuable by any Drug/Device Regulatory Agency necessary for the conduct of the business of the Company or such Subsidiary as currently conducted, and, as applicable, development, clinical testing and manufacturing as currently conducted, of any of its product candidates (the </w:t>
      </w:r>
      <w:r>
        <w:rPr>
          <w:rFonts w:ascii="times new roman;times" w:hAnsi="times new roman;times"/>
          <w:b w:val="false"/>
          <w:sz w:val="20"/>
        </w:rPr>
        <w:t>“</w:t>
      </w:r>
      <w:r>
        <w:rPr>
          <w:rFonts w:ascii="Times New Roman" w:hAnsi="Times New Roman"/>
          <w:b/>
          <w:i/>
          <w:sz w:val="20"/>
        </w:rPr>
        <w:t>Company Product Candidates</w:t>
      </w:r>
      <w:r>
        <w:rPr>
          <w:rFonts w:ascii="times new roman;times" w:hAnsi="times new roman;times"/>
          <w:b w:val="false"/>
          <w:sz w:val="20"/>
        </w:rPr>
        <w:t>”</w:t>
      </w:r>
      <w:r>
        <w:rPr>
          <w:rFonts w:ascii="Times New Roman" w:hAnsi="Times New Roman"/>
          <w:b w:val="false"/>
          <w:sz w:val="20"/>
        </w:rPr>
        <w:t xml:space="preserve">) (collectively, the </w:t>
      </w:r>
      <w:r>
        <w:rPr>
          <w:rFonts w:ascii="times new roman;times" w:hAnsi="times new roman;times"/>
          <w:b w:val="false"/>
          <w:sz w:val="20"/>
        </w:rPr>
        <w:t>“</w:t>
      </w:r>
      <w:r>
        <w:rPr>
          <w:rFonts w:ascii="Times New Roman" w:hAnsi="Times New Roman"/>
          <w:b/>
          <w:i/>
          <w:sz w:val="20"/>
        </w:rPr>
        <w:t>Company Regulatory Permits</w:t>
      </w:r>
      <w:r>
        <w:rPr>
          <w:rFonts w:ascii="times new roman;times" w:hAnsi="times new roman;times"/>
          <w:b w:val="false"/>
          <w:sz w:val="20"/>
        </w:rPr>
        <w:t>”</w:t>
      </w:r>
      <w:r>
        <w:rPr>
          <w:rFonts w:ascii="Times New Roman" w:hAnsi="Times New Roman"/>
          <w:b w:val="false"/>
          <w:sz w:val="20"/>
        </w:rPr>
        <w:t>), and no such Company Regulatory Permit has been (i) revoked, withdrawn, suspended, cancelled or terminated or (ii) modified in any materially adverse manner. The Company and each Company Subsidiary is in compliance in all material respects with the Company Regulatory Permits and has not received any written notice or other communication (in writing or otherwise)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with the applicable regulations of the Drug/Device Regulatory Agencies and other applicable Legal Requirements, including 21 C.F.R. Parts 11, 50, 54, 56, 58, 312 and 812.</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Neither the Company nor any of the Company Subsidiaries is the subject of any pending, or to the Knowledge of the Company or the Company Subsidiaries</w:t>
      </w:r>
      <w:r>
        <w:rPr>
          <w:rFonts w:ascii="times new roman;times" w:hAnsi="times new roman;times"/>
          <w:b w:val="false"/>
          <w:sz w:val="20"/>
        </w:rPr>
        <w:t xml:space="preserve"> </w:t>
      </w:r>
      <w:r>
        <w:rPr>
          <w:rFonts w:ascii="Times New Roman" w:hAnsi="Times New Roman"/>
          <w:b w:val="false"/>
          <w:sz w:val="20"/>
        </w:rPr>
        <w:t xml:space="preserve">or to the Knowledge of the Seller, threatened in writing investigation in respect of its business or products by the FDA pursuant to its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set forth in 56 Fed. Reg. 46191 (September 10, 1991) and any amendments thereto. To the Knowledge of the Company or any of the Company Subsidiaries</w:t>
      </w:r>
      <w:r>
        <w:rPr>
          <w:rFonts w:ascii="times new roman;times" w:hAnsi="times new roman;times"/>
          <w:b w:val="false"/>
          <w:sz w:val="20"/>
        </w:rPr>
        <w:t xml:space="preserve"> </w:t>
      </w:r>
      <w:r>
        <w:rPr>
          <w:rFonts w:ascii="Times New Roman" w:hAnsi="Times New Roman"/>
          <w:b w:val="false"/>
          <w:sz w:val="20"/>
        </w:rPr>
        <w:t>or to the Knowledge of the Seller, neither the Company nor any of the Company Subsidiaries has committed any acts, made any statement, or failed to make any statement, in each case in respect of its business or products that would violate the FDA</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and any amendments thereto. None of the Company, any of its Subsidiaries or any of their respective officers, employees or agents has been debarred or convicted of any crime or engaged in any conduct that could result in a debarment or exclusion (i) under 21 U.S.C. Section 335a or (ii) any similar applicable Legal Requirement.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debarment or exclusionary claims, actions, proceedings or investigations in respect of their business or products are pending or threatened against the Company, any Company Subsidiary or any of their respective officers, employees or agents.</w:t>
      </w:r>
      <w:r>
        <w:rPr>
          <w:rFonts w:ascii="times new roman;times" w:hAnsi="times new roman;times"/>
          <w:b w:val="false"/>
          <w:sz w:val="20"/>
        </w:rPr>
        <w:t xml:space="preserve"> </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Without limiting the generality of the foregoing, the Company and each Company Subsidiary are, and since January 1, 2024 have been, in material compliance with all Legal Requirements applicable to the research, design, development, manufacture, testing, storage, labeling, promotion, clinical investigation, import, export and regulatory submission of medical devices, including all requirements administered by the FDA and any comparable foreign regulatory authority. Part 2.11 of the Company Disclosure Schedule sets forth all material permits, approvals, clearances, exemptions, IDEs, IRB approvals, quality system authorizations and similar regulatory authorizations held or required by the Company and each Company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Part 2.11 of the Company Disclosure Schedule sets forth all material written or oral communications since January 1, 2024 between the Company or any Company Subsidiary, on the one hand, and the FDA or any other Governmental Body regulating the products or product candidates of the Company, on the other hand, including all notices of inspectional observations, warning letters, untitled letters, clinical holds, requests for information, deficiency letters, comments on trial design, refusals, denials, safety notifications and correspondence relating to Breakthrough Device designation, PMA strategy, feasibility studies, pivotal study design or manufacturing compliance.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material regulatory filings, applications, notices, reports, submissions and correspondence made by or on behalf of the Company or any Company Subsidiary to any Governmental Body, and all material clinical and preclinical data contained therein or furnished in connection therewith, were true, correct and complete in all material respects as of the date submitted, and the Company has not omitted to state any material fact necessary to make any such submission not misleading in light of the circumstances under which it was made.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2.12Anti-Corruption Compliance; Trade Control Laws and Sanctions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For the past three years, Company, and its directors, officers and employees, and, to the knowledge of Company</w:t>
      </w:r>
      <w:r>
        <w:rPr>
          <w:rFonts w:ascii="times new roman;times" w:hAnsi="times new roman;times"/>
          <w:b w:val="false"/>
          <w:sz w:val="20"/>
        </w:rPr>
        <w:t xml:space="preserve"> </w:t>
      </w:r>
      <w:r>
        <w:rPr>
          <w:rFonts w:ascii="Times New Roman" w:hAnsi="Times New Roman"/>
          <w:b w:val="false"/>
          <w:sz w:val="20"/>
        </w:rPr>
        <w:t>or to the Knowledge of the Seller, its distributors, agents, representatives, sales intermediaries and or other Persons acting on behalf of Company have been in compliance in all material respects with all applicable Anti-Corruption Laws and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For the past three years, Company has had in place policies, procedures, controls and systems reasonably designed to ensure compliance with all applicable Anti-Corruption Laws and Trade Control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None of Company, or any director, officer, employee or, to Company</w:t>
      </w:r>
      <w:r>
        <w:rPr>
          <w:rFonts w:ascii="times new roman;times" w:hAnsi="times new roman;times"/>
          <w:b w:val="false"/>
          <w:sz w:val="20"/>
        </w:rPr>
        <w:t>’</w:t>
      </w:r>
      <w:r>
        <w:rPr>
          <w:rFonts w:ascii="Times New Roman" w:hAnsi="Times New Roman"/>
          <w:b w:val="false"/>
          <w:sz w:val="20"/>
        </w:rPr>
        <w:t>s Knowledge, agent of Company is a Sanctioned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pending, or, to the knowledge of Company, threatened, actions, suits, proceedings, inquiries or investigations by any Governmental Body against Company with respect to any Anti-Corruption Laws or Trade Control Laws. In the past three years, Company has not been subject to any such actions, suits, proceedings, inquiries or investigations or made, nor, as of the date hereof, is aware of any reason to or intends to make any disclosure (voluntary or otherwise) to any Governmental Body with respect to any violation, potential violation, or Liability arising under or relating to any Anti-Corruption Laws or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For the past three years, Company has maintained and currently maintains (i) books, records and accounts which, in reasonable detail, accurately and fairly reflect the transactions and dispositions of the assets of Company, and (ii) internal accounting controls sufficient to provide reasonable assurances that all transactions and access to assets of Company were, have been and are executed only in accordance with management</w:t>
      </w:r>
      <w:r>
        <w:rPr>
          <w:rFonts w:ascii="times new roman;times" w:hAnsi="times new roman;times"/>
          <w:b w:val="false"/>
          <w:sz w:val="20"/>
        </w:rPr>
        <w:t>’</w:t>
      </w:r>
      <w:r>
        <w:rPr>
          <w:rFonts w:ascii="Times New Roman" w:hAnsi="Times New Roman"/>
          <w:b w:val="false"/>
          <w:sz w:val="20"/>
        </w:rPr>
        <w:t>s general or specific authorization.</w:t>
      </w:r>
    </w:p>
    <w:p>
      <w:pPr>
        <w:pStyle w:val="TextBody"/>
        <w:bidi w:val="0"/>
        <w:spacing w:lineRule="auto" w:line="288" w:before="0" w:after="240"/>
        <w:ind w:left="480" w:right="0" w:firstLine="720"/>
        <w:jc w:val="left"/>
        <w:rPr/>
      </w:pPr>
      <w:hyperlink w:anchor="TOC">
        <w:r>
          <w:rPr>
            <w:rStyle w:val="InternetLink"/>
            <w:rFonts w:ascii="Times New Roman" w:hAnsi="Times New Roman"/>
            <w:b/>
            <w:strike w:val="false"/>
            <w:dstrike w:val="false"/>
            <w:color w:val="000000"/>
            <w:sz w:val="20"/>
            <w:u w:val="none"/>
            <w:effect w:val="none"/>
          </w:rPr>
          <w:t>2.13Tax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All income and other material Tax Returns required to have been filed by the Company and each Company Subsidiary have been timely filed (taking into account any extension of time within which to file) with the applicable Governmental Body. All such Tax Returns were correct and complete in all material respects and have been prepared in material compliance with all applicable Legal Requirements. No claim has ever been made by any Governmental Body in a jurisdiction where the Company or any Company Subsidiary does not file Tax Returns that it is subject to taxation by that jurisdiction.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All material Taxes due and owing by the Company or any Company Subsidiary (whether or not shown on any Tax Return) have been paid. The unpaid Taxes of the Company and any Company Subsidiary have been reserved</w:t>
      </w:r>
      <w:r>
        <w:rPr>
          <w:rFonts w:ascii="times new roman;times" w:hAnsi="times new roman;times"/>
          <w:b w:val="false"/>
          <w:sz w:val="20"/>
        </w:rPr>
        <w:t xml:space="preserve"> </w:t>
      </w:r>
      <w:r>
        <w:rPr>
          <w:rFonts w:ascii="Times New Roman" w:hAnsi="Times New Roman"/>
          <w:b w:val="false"/>
          <w:sz w:val="20"/>
        </w:rPr>
        <w:t>for on the Company Unaudited Interim Balance Sheet in accordance with GAAP. Since the date of the Company Unaudited Interim Balance Sheet, neither the Company nor any Company Subsidiary has incurred any material Liability for Taxes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Company and each Company Subsidiary have withheld and paid all material Taxes required to have been withheld and paid in connection with any amounts paid or owing to any employee, independent contractor, creditor, shareholder or other third party and all Forms W-2 and 1099 required with respect thereto have been properly completed and timely filed.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Encumbrances for Taxes</w:t>
      </w:r>
      <w:r>
        <w:rPr>
          <w:rFonts w:ascii="times new roman;times" w:hAnsi="times new roman;times"/>
          <w:b w:val="false"/>
          <w:sz w:val="20"/>
        </w:rPr>
        <w:t xml:space="preserve"> </w:t>
      </w:r>
      <w:r>
        <w:rPr>
          <w:rFonts w:ascii="Times New Roman" w:hAnsi="Times New Roman"/>
          <w:b w:val="false"/>
          <w:sz w:val="20"/>
        </w:rPr>
        <w:t>(other than Taxes not yet due and payable or Taxes that are being contested in good faith and for which adequate reserves have been made on Company</w:t>
      </w:r>
      <w:r>
        <w:rPr>
          <w:rFonts w:ascii="times new roman;times" w:hAnsi="times new roman;times"/>
          <w:b w:val="false"/>
          <w:sz w:val="20"/>
        </w:rPr>
        <w:t>’</w:t>
      </w:r>
      <w:r>
        <w:rPr>
          <w:rFonts w:ascii="Times New Roman" w:hAnsi="Times New Roman"/>
          <w:b w:val="false"/>
          <w:sz w:val="20"/>
        </w:rPr>
        <w:t>s Unaudited Interim Balance Sheet) upon any of the assets of the Company or any Company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No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corresponding or similar provision of state, local or non-U.S. income Tax Law), private letter rulings, technical advice memoranda or similar agreements or rulings have been entered into or issued by any Governmental Body with respect to the Company or any Company Subsidiary which agreement or ruling would be effective after the Closing Date.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No material deficiencies for Taxes with respect to the Company or any Company Subsidiary have been claimed, proposed or assessed by any Governmental Body in writing. There are no pending (or, based on written notice, threatened) audits, assessments or other Legal Proceedings for or relating to any liability in respect of Taxes of the Company or any Company Subsidiary. Neither the Company nor any Company Subsidiary has waived any statute of limitations in respect of Taxes, agreed to any extension of time with respect to a Tax assessment or deficiency or for filing any Tax Return, or consented to extend the period in which Tax may be assessed or collected by any Tax authority.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The Company has never been a United States real property holding corporation within the meaning of Section 897(c)(2) of the Code during the applicable period specified in Section 897(c)(1)(A)(ii)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Company nor any Company Subsidiary is a party to any Tax allocation agreement, Tax sharing agreement, Tax indemnity agreement, or other similar agreement or arrangement</w:t>
      </w:r>
      <w:r>
        <w:rPr>
          <w:rFonts w:ascii="times new roman;times" w:hAnsi="times new roman;times"/>
          <w:b w:val="false"/>
          <w:sz w:val="20"/>
        </w:rPr>
        <w:t xml:space="preserve"> </w:t>
      </w:r>
      <w:r>
        <w:rPr>
          <w:rFonts w:ascii="Times New Roman" w:hAnsi="Times New Roman"/>
          <w:b w:val="false"/>
          <w:sz w:val="20"/>
        </w:rPr>
        <w:t>(other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the Company nor any Company Subsidiary has ever been a member of an affiliated group filing a consolidated, combined or unitary Tax Return (other than a group the common parent of which is the Company</w:t>
      </w:r>
      <w:r>
        <w:rPr>
          <w:rFonts w:ascii="times new roman;times" w:hAnsi="times new roman;times"/>
          <w:b w:val="false"/>
          <w:sz w:val="20"/>
        </w:rPr>
        <w:t xml:space="preserve"> </w:t>
      </w:r>
      <w:r>
        <w:rPr>
          <w:rFonts w:ascii="Times New Roman" w:hAnsi="Times New Roman"/>
          <w:b w:val="false"/>
          <w:sz w:val="20"/>
        </w:rPr>
        <w:t>or the Seller).</w:t>
      </w:r>
      <w:r>
        <w:rPr>
          <w:rFonts w:ascii="times new roman;times" w:hAnsi="times new roman;times"/>
          <w:b w:val="false"/>
          <w:sz w:val="20"/>
        </w:rPr>
        <w:t xml:space="preserve"> </w:t>
      </w:r>
      <w:r>
        <w:rPr>
          <w:rFonts w:ascii="Times New Roman" w:hAnsi="Times New Roman"/>
          <w:b w:val="false"/>
          <w:sz w:val="20"/>
        </w:rPr>
        <w:t>Neither the Company nor any Company Subsidiary has any Liability for the Taxes of any Person (other than the Company and any Company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Neither the Company nor any Company Subsidiary has distributed stock of another Person, or had its stock distributed by another Person, in a transaction that was purported or intended to be governed in whole or in part by Section 355 of the Code or Section 361 of the Code (or any similar provision of state, local, or non-U.S.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 xml:space="preserve">Neither the Company nor any Company Subsidiary has entered into any transaction identified as a </w:t>
      </w:r>
      <w:r>
        <w:rPr>
          <w:rFonts w:ascii="times new roman;times" w:hAnsi="times new roman;times"/>
          <w:b w:val="false"/>
          <w:sz w:val="20"/>
        </w:rPr>
        <w:t>“</w:t>
      </w:r>
      <w:r>
        <w:rPr>
          <w:rFonts w:ascii="Times New Roman" w:hAnsi="Times New Roman"/>
          <w:b w:val="false"/>
          <w:sz w:val="20"/>
        </w:rPr>
        <w:t>listed transaction</w:t>
      </w:r>
      <w:r>
        <w:rPr>
          <w:rFonts w:ascii="times new roman;times" w:hAnsi="times new roman;times"/>
          <w:b w:val="false"/>
          <w:sz w:val="20"/>
        </w:rPr>
        <w:t xml:space="preserve">” </w:t>
      </w:r>
      <w:r>
        <w:rPr>
          <w:rFonts w:ascii="Times New Roman" w:hAnsi="Times New Roman"/>
          <w:b w:val="false"/>
          <w:sz w:val="20"/>
        </w:rPr>
        <w:t>for purposes of Treasury Regulations Sections 1.6011-4(b)(2).</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 xml:space="preserve">Neither the Company nor any Company Subsidiary (i) is a </w:t>
      </w:r>
      <w:r>
        <w:rPr>
          <w:rFonts w:ascii="times new roman;times" w:hAnsi="times new roman;times"/>
          <w:b w:val="false"/>
          <w:sz w:val="20"/>
        </w:rPr>
        <w:t>“</w:t>
      </w:r>
      <w:r>
        <w:rPr>
          <w:rFonts w:ascii="Times New Roman" w:hAnsi="Times New Roman"/>
          <w:b w:val="false"/>
          <w:sz w:val="20"/>
        </w:rPr>
        <w:t>controlled foreign corporation</w:t>
      </w:r>
      <w:r>
        <w:rPr>
          <w:rFonts w:ascii="times new roman;times" w:hAnsi="times new roman;times"/>
          <w:b w:val="false"/>
          <w:sz w:val="20"/>
        </w:rPr>
        <w:t xml:space="preserve">” </w:t>
      </w:r>
      <w:r>
        <w:rPr>
          <w:rFonts w:ascii="Times New Roman" w:hAnsi="Times New Roman"/>
          <w:b w:val="false"/>
          <w:sz w:val="20"/>
        </w:rPr>
        <w:t xml:space="preserve">as defined in Section 957 of the Code, (ii) is a </w:t>
      </w:r>
      <w:r>
        <w:rPr>
          <w:rFonts w:ascii="times new roman;times" w:hAnsi="times new roman;times"/>
          <w:b w:val="false"/>
          <w:sz w:val="20"/>
        </w:rPr>
        <w:t>“</w:t>
      </w:r>
      <w:r>
        <w:rPr>
          <w:rFonts w:ascii="Times New Roman" w:hAnsi="Times New Roman"/>
          <w:b w:val="false"/>
          <w:sz w:val="20"/>
        </w:rPr>
        <w:t>passive foreign investment company</w:t>
      </w:r>
      <w:r>
        <w:rPr>
          <w:rFonts w:ascii="times new roman;times" w:hAnsi="times new roman;times"/>
          <w:b w:val="false"/>
          <w:sz w:val="20"/>
        </w:rPr>
        <w:t xml:space="preserve">” </w:t>
      </w:r>
      <w:r>
        <w:rPr>
          <w:rFonts w:ascii="Times New Roman" w:hAnsi="Times New Roman"/>
          <w:b w:val="false"/>
          <w:sz w:val="20"/>
        </w:rPr>
        <w:t xml:space="preserve">within the meaning of Section 1297 of the Code, (iii) has ever been subject to Tax in any country other than its country of incorporation or formation by virtue of having a permanent establishment (within the meaning of an applicable Tax treaty) or other place of business in such other country, or (iv) is or was a </w:t>
      </w:r>
      <w:r>
        <w:rPr>
          <w:rFonts w:ascii="times new roman;times" w:hAnsi="times new roman;times"/>
          <w:b w:val="false"/>
          <w:sz w:val="20"/>
        </w:rPr>
        <w:t>“</w:t>
      </w:r>
      <w:r>
        <w:rPr>
          <w:rFonts w:ascii="Times New Roman" w:hAnsi="Times New Roman"/>
          <w:b w:val="false"/>
          <w:sz w:val="20"/>
        </w:rPr>
        <w:t>surrogate foreign corporation</w:t>
      </w:r>
      <w:r>
        <w:rPr>
          <w:rFonts w:ascii="times new roman;times" w:hAnsi="times new roman;times"/>
          <w:b w:val="false"/>
          <w:sz w:val="20"/>
        </w:rPr>
        <w:t xml:space="preserve">” </w:t>
      </w:r>
      <w:r>
        <w:rPr>
          <w:rFonts w:ascii="Times New Roman" w:hAnsi="Times New Roman"/>
          <w:b w:val="false"/>
          <w:sz w:val="20"/>
        </w:rPr>
        <w:t>within the meaning of Section 7874(a)(2)(B) or is treated as a U.S. corporation under Section 7874(b) of the Code.</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 xml:space="preserve">Neither the Company nor any Company Subsidiary will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consummated on or prior to the Closing Date; (v) installment sale or open transaction disposition made on or prior to the Closing Date; (vi) prepaid amount received or deferred revenue accrued on or prior to the Closing Date; or (vii) election under Section 108(i) of the Code (or any similar provision of state, local or foreign Law). The Company has not made any election under Section 965(h)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Neither the Company nor any Company Subsidiary has taken or agreed to take any action, or has any knowledge of any fact or circumstance, that could reasonably be expected to prevent the Merger from qualifying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Neither the Company nor any Company Subsidiary has deferred the payment of any employer payroll Taxes pursuant to the CARES Act.</w:t>
      </w:r>
    </w:p>
    <w:p>
      <w:pPr>
        <w:pStyle w:val="TextBody"/>
        <w:bidi w:val="0"/>
        <w:spacing w:lineRule="auto" w:line="288" w:before="0" w:after="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 xml:space="preserve">The Company has not taken, and since the date of the LOI has not agreed to take, any action that would reasonably be expected to materially increase the risk that the Merger will fail to qualify for the intended tax treatment described in </w:t>
      </w:r>
      <w:r>
        <w:rPr>
          <w:rFonts w:ascii="Times New Roman" w:hAnsi="Times New Roman"/>
          <w:b w:val="false"/>
          <w:sz w:val="20"/>
          <w:u w:val="single"/>
        </w:rPr>
        <w:t>Section 1.10</w:t>
      </w:r>
      <w:r>
        <w:rPr>
          <w:rFonts w:ascii="Times New Roman" w:hAnsi="Times New Roman"/>
          <w:b w:val="false"/>
          <w:sz w:val="20"/>
        </w:rPr>
        <w: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2.14Employee Benefit Plans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2.14(a) of the Company Disclosure Schedule lists all material Company Employee Plans. </w:t>
      </w:r>
      <w:r>
        <w:rPr>
          <w:rFonts w:ascii="times new roman;times" w:hAnsi="times new roman;times"/>
          <w:b w:val="false"/>
          <w:sz w:val="20"/>
        </w:rPr>
        <w:t>“</w:t>
      </w:r>
      <w:r>
        <w:rPr>
          <w:rFonts w:ascii="Times New Roman" w:hAnsi="Times New Roman"/>
          <w:b/>
          <w:i/>
          <w:sz w:val="20"/>
        </w:rPr>
        <w:t>Company Employee Plans</w:t>
      </w:r>
      <w:r>
        <w:rPr>
          <w:rFonts w:ascii="times new roman;times" w:hAnsi="times new roman;times"/>
          <w:b w:val="false"/>
          <w:sz w:val="20"/>
        </w:rPr>
        <w:t xml:space="preserve">” </w:t>
      </w:r>
      <w:r>
        <w:rPr>
          <w:rFonts w:ascii="Times New Roman" w:hAnsi="Times New Roman"/>
          <w:b w:val="false"/>
          <w:sz w:val="20"/>
        </w:rPr>
        <w:t>shall mean: (i) all employee benefit plans (as defined in Section 3(3) of ERISA whether or not subject to ERISA) and all bonus, stock option, stock purchase, restricted stock, incentive, deferred compensation, retiree medical or life insurance, supplemental retirement, severance or other material benefit plans, programs or arrangements, and all employment, termination or severance Contracts to which the Company or any of its Subsidiaries is a party (except for offer letters or employment agreements that provide for employment that is terminable at will and without material cost or liability to the Company or its Subsidiaries), with respect to which the Company or any of its Subsidiaries has or could reasonably be expected to have any obligation or that are maintained, contributed to or sponsored by the Company or any Company Affiliate for the benefit of any current or former employee, officer or director of the Company or any Company Affiliate and (ii) any material consulting contracts, arrangements or understandings between the Company or any Company Affiliate and any natural person consultant of the Company or any Company Affiliate.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 true and complete copy of each material Company Employee Plan and has made available to Parent a true and complete copy of each material plan document (or, for any unwritten Company Employee Plan, a written description of the material terms of such Company Employee Plan) (except for individual written Company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Company Employee Plan, (v) the most recently prepared actuarial report and financial statement in connection with each such Company Employee Plan for each of the prior three (3) years, and (vi) any material non-routine correspondence received or submitted to any Governmental Body within the prior three (3) years. Neither the Company nor any Company Subsidiary has any express or implied commitment (i) to create, enter into, incur liability with respect to or cause to exist any other material employee benefit plan, program or arrangement, (ii) to enter into any Contract to provide compensation or benefits to any individual other than in the Ordinary Course of Business, or (iii) to modify, change or terminate any Company Employee Plan, other than with respect to a modification, change or termination required by ERISA, the Code or other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No Company Employee Plan is, and neither the Company nor any of its Subsidiaries or Company Affiliates has ever maintained, contributed to, or had any liability or obligation to contribute to, (i) a multiemployer plan (within the meaning of Section 3(37) or 4001(a)(3) of ERISA) (a </w:t>
      </w:r>
      <w:r>
        <w:rPr>
          <w:rFonts w:ascii="times new roman;times" w:hAnsi="times new roman;times"/>
          <w:b w:val="false"/>
          <w:sz w:val="20"/>
        </w:rPr>
        <w:t>“</w:t>
      </w:r>
      <w:r>
        <w:rPr>
          <w:rFonts w:ascii="Times New Roman" w:hAnsi="Times New Roman"/>
          <w:b/>
          <w:i/>
          <w:sz w:val="20"/>
        </w:rPr>
        <w:t>Multiemployer Plan</w:t>
      </w:r>
      <w:r>
        <w:rPr>
          <w:rFonts w:ascii="times new roman;times" w:hAnsi="times new roman;times"/>
          <w:b w:val="false"/>
          <w:sz w:val="20"/>
        </w:rPr>
        <w:t>”</w:t>
      </w:r>
      <w:r>
        <w:rPr>
          <w:rFonts w:ascii="Times New Roman" w:hAnsi="Times New Roman"/>
          <w:b w:val="false"/>
          <w:sz w:val="20"/>
        </w:rPr>
        <w:t xml:space="preserve">), (ii) a </w:t>
      </w:r>
      <w:r>
        <w:rPr>
          <w:rFonts w:ascii="times new roman;times" w:hAnsi="times new roman;times"/>
          <w:b w:val="false"/>
          <w:sz w:val="20"/>
        </w:rPr>
        <w:t>“</w:t>
      </w:r>
      <w:r>
        <w:rPr>
          <w:rFonts w:ascii="Times New Roman" w:hAnsi="Times New Roman"/>
          <w:b w:val="false"/>
          <w:sz w:val="20"/>
        </w:rPr>
        <w:t>multiple employer plan</w:t>
      </w:r>
      <w:r>
        <w:rPr>
          <w:rFonts w:ascii="times new roman;times" w:hAnsi="times new roman;times"/>
          <w:b w:val="false"/>
          <w:sz w:val="20"/>
        </w:rPr>
        <w:t xml:space="preserve">” </w:t>
      </w:r>
      <w:r>
        <w:rPr>
          <w:rFonts w:ascii="Times New Roman" w:hAnsi="Times New Roman"/>
          <w:b w:val="false"/>
          <w:sz w:val="20"/>
        </w:rPr>
        <w:t xml:space="preserve">(within the meaning of Section 413(c) of the Code) (a </w:t>
      </w:r>
      <w:r>
        <w:rPr>
          <w:rFonts w:ascii="times new roman;times" w:hAnsi="times new roman;times"/>
          <w:b w:val="false"/>
          <w:sz w:val="20"/>
        </w:rPr>
        <w:t>“</w:t>
      </w:r>
      <w:r>
        <w:rPr>
          <w:rFonts w:ascii="Times New Roman" w:hAnsi="Times New Roman"/>
          <w:b/>
          <w:i/>
          <w:sz w:val="20"/>
        </w:rPr>
        <w:t>Multiple Employer Plan</w:t>
      </w:r>
      <w:r>
        <w:rPr>
          <w:rFonts w:ascii="times new roman;times" w:hAnsi="times new roman;times"/>
          <w:b w:val="false"/>
          <w:sz w:val="20"/>
        </w:rPr>
        <w:t>”</w:t>
      </w:r>
      <w:r>
        <w:rPr>
          <w:rFonts w:ascii="Times New Roman" w:hAnsi="Times New Roman"/>
          <w:b w:val="false"/>
          <w:sz w:val="20"/>
        </w:rPr>
        <w:t xml:space="preserve">), (iii) a </w:t>
      </w:r>
      <w:r>
        <w:rPr>
          <w:rFonts w:ascii="times new roman;times" w:hAnsi="times new roman;times"/>
          <w:b w:val="false"/>
          <w:sz w:val="20"/>
        </w:rPr>
        <w:t>“</w:t>
      </w:r>
      <w:r>
        <w:rPr>
          <w:rFonts w:ascii="Times New Roman" w:hAnsi="Times New Roman"/>
          <w:b w:val="false"/>
          <w:sz w:val="20"/>
        </w:rPr>
        <w:t>multiple employer welfare arrangement</w:t>
      </w:r>
      <w:r>
        <w:rPr>
          <w:rFonts w:ascii="times new roman;times" w:hAnsi="times new roman;times"/>
          <w:b w:val="false"/>
          <w:sz w:val="20"/>
        </w:rPr>
        <w:t xml:space="preserve">” </w:t>
      </w:r>
      <w:r>
        <w:rPr>
          <w:rFonts w:ascii="Times New Roman" w:hAnsi="Times New Roman"/>
          <w:b w:val="false"/>
          <w:sz w:val="20"/>
        </w:rPr>
        <w:t xml:space="preserve">(within the meaning of Section 3(40) of ERISA), (iv) a funded welfare benefit plan (within the meaning of Section 210 of ERISA or Section 413(c) of the Code) (a </w:t>
      </w:r>
      <w:r>
        <w:rPr>
          <w:rFonts w:ascii="times new roman;times" w:hAnsi="times new roman;times"/>
          <w:b w:val="false"/>
          <w:sz w:val="20"/>
        </w:rPr>
        <w:t>“</w:t>
      </w:r>
      <w:r>
        <w:rPr>
          <w:rFonts w:ascii="Times New Roman" w:hAnsi="Times New Roman"/>
          <w:b/>
          <w:i/>
          <w:sz w:val="20"/>
        </w:rPr>
        <w:t>Funded Welfare Plan</w:t>
      </w:r>
      <w:r>
        <w:rPr>
          <w:rFonts w:ascii="times new roman;times" w:hAnsi="times new roman;times"/>
          <w:b w:val="false"/>
          <w:sz w:val="20"/>
        </w:rPr>
        <w:t>”</w:t>
      </w:r>
      <w:r>
        <w:rPr>
          <w:rFonts w:ascii="Times New Roman" w:hAnsi="Times New Roman"/>
          <w:b w:val="false"/>
          <w:sz w:val="20"/>
        </w:rPr>
        <w:t>), or (v) any plan that is subject to Title IV of ERISA or Section 412 of the Code or Section 302 of ERISA.</w:t>
      </w:r>
    </w:p>
    <w:p>
      <w:pPr>
        <w:pStyle w:val="TextBody"/>
        <w:bidi w:val="0"/>
        <w:spacing w:lineRule="auto" w:line="288" w:before="0" w:after="20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None of the Company Employee Plans provides for or promises retiree medical, disability or life insurance benefits to any current or former employee, officer or director of the Company or any Company Subsidiary, except as required by Section 4980B of the Code, Part 6 of Title I of ERISA or similar applicable law.</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A-19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Except as provided in this Agreement or as set forth in Part 2.14(e) of the Company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Company Employee Plan, (ii) otherwise trigger any acceleration (of vesting or payment of benefits or otherwise) under or with respect to any Company Employee Plan, (iii) trigger any obligation to fund any Company Employee Plan, (iv) limit the right to merge, amend or terminate any Company Employee Plan or (v) result in the receipt or retention by any person who is a </w:t>
      </w:r>
      <w:r>
        <w:rPr>
          <w:rFonts w:ascii="times new roman;times" w:hAnsi="times new roman;times"/>
          <w:b w:val="false"/>
          <w:sz w:val="20"/>
        </w:rPr>
        <w:t>“</w:t>
      </w:r>
      <w:r>
        <w:rPr>
          <w:rFonts w:ascii="Times New Roman" w:hAnsi="Times New Roman"/>
          <w:b w:val="false"/>
          <w:sz w:val="20"/>
        </w:rPr>
        <w:t>disqualified individual</w:t>
      </w:r>
      <w:r>
        <w:rPr>
          <w:rFonts w:ascii="times new roman;times" w:hAnsi="times new roman;times"/>
          <w:b w:val="false"/>
          <w:sz w:val="20"/>
        </w:rPr>
        <w:t xml:space="preserve">” </w:t>
      </w:r>
      <w:r>
        <w:rPr>
          <w:rFonts w:ascii="Times New Roman" w:hAnsi="Times New Roman"/>
          <w:b w:val="false"/>
          <w:sz w:val="20"/>
        </w:rPr>
        <w:t xml:space="preserve">(within the meaning of Code Section 280G) with respect to the Company and its Subsidiaries of any payment or benefit that is or could be characterized as a </w:t>
      </w:r>
      <w:r>
        <w:rPr>
          <w:rFonts w:ascii="times new roman;times" w:hAnsi="times new roman;times"/>
          <w:b w:val="false"/>
          <w:sz w:val="20"/>
        </w:rPr>
        <w:t>“</w:t>
      </w:r>
      <w:r>
        <w:rPr>
          <w:rFonts w:ascii="Times New Roman" w:hAnsi="Times New Roman"/>
          <w:b w:val="false"/>
          <w:sz w:val="20"/>
        </w:rPr>
        <w:t>parachute payment</w:t>
      </w:r>
      <w:r>
        <w:rPr>
          <w:rFonts w:ascii="times new roman;times" w:hAnsi="times new roman;times"/>
          <w:b w:val="false"/>
          <w:sz w:val="20"/>
        </w:rPr>
        <w:t xml:space="preserve">” </w:t>
      </w:r>
      <w:r>
        <w:rPr>
          <w:rFonts w:ascii="Times New Roman" w:hAnsi="Times New Roman"/>
          <w:b w:val="false"/>
          <w:sz w:val="20"/>
        </w:rPr>
        <w:t>(within the meaning of Section 280G of the Code), determined without regard to the application of Section 280G(b)(5) of the Code. Except as expressly set forth in Part 2.14(e) of the Company Disclosure Schedule and as otherwise expressly provided in this Agreement, neither Parent nor the Surviving Corporation will assume any Company Employee Plan or any Company severance, retention, bonus or change-in-control obligation.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No current or former director, employee, or consultant of the Company is entitled to receive a tax gross-up or </w:t>
      </w:r>
      <w:r>
        <w:rPr>
          <w:rFonts w:ascii="times new roman;times" w:hAnsi="times new roman;times"/>
          <w:b w:val="false"/>
          <w:sz w:val="20"/>
        </w:rPr>
        <w:t>“</w:t>
      </w:r>
      <w:r>
        <w:rPr>
          <w:rFonts w:ascii="Times New Roman" w:hAnsi="Times New Roman"/>
          <w:b w:val="false"/>
          <w:sz w:val="20"/>
        </w:rPr>
        <w:t>make-whole</w:t>
      </w:r>
      <w:r>
        <w:rPr>
          <w:rFonts w:ascii="times new roman;times" w:hAnsi="times new roman;times"/>
          <w:b w:val="false"/>
          <w:sz w:val="20"/>
        </w:rPr>
        <w:t xml:space="preserve">” </w:t>
      </w:r>
      <w:r>
        <w:rPr>
          <w:rFonts w:ascii="Times New Roman" w:hAnsi="Times New Roman"/>
          <w:b w:val="false"/>
          <w:sz w:val="20"/>
        </w:rPr>
        <w:t>payment from the Company with respect to any taxes that may be imposed upon such individual pursuant to Section 409A of the Code, Section 4999 of the Code, or otherwise.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Company Employee Plan has been established and operated in all material respects in accordance with its terms and the requirements of all applicable Laws including ERISA and the Code. The Company and Company</w:t>
      </w:r>
      <w:r>
        <w:rPr>
          <w:rFonts w:ascii="times new roman;times" w:hAnsi="times new roman;times"/>
          <w:b w:val="false"/>
          <w:sz w:val="20"/>
        </w:rPr>
        <w:t>’</w:t>
      </w:r>
      <w:r>
        <w:rPr>
          <w:rFonts w:ascii="Times New Roman" w:hAnsi="Times New Roman"/>
          <w:b w:val="false"/>
          <w:sz w:val="20"/>
        </w:rPr>
        <w:t>s Subsidiaries have performed all material obligations required to be performed by them under and are not in material default under or in material violation of,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is no material default or material violation by any party to, any Company Employee Plan. No Legal Proceeding is pending or threatened with respect to any Company Employee Plan (other than routine claims for benefits in the Ordinary Course of Business),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there is no reasonable basis for any such Legal Proceeding.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Company Employee Plan that is intended to be qualified under Section 401(a) of the Code has received a favorable determination, notification or advisory letter with respect to such qualification, or may rely upon an opinion letter or advisory letter for a pre-approved plan, and no event or omission has occurred that would cause any Company Employee Plan to lose such qualification or require corrective action to the IRS Employee Plans Compliance Resolution System to maintain such qualification.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There has not been any prohibited transaction (within the meaning of Section 406 of ERISA or Section 4975 of the Code and not otherwise exempt under Section 408 of ERISA) with respect to any Company Employee Plan that would reasonably be expected to result in liability to the Company or any of its Subsidiaries. All contributions, premiums or payments required to be made with respect to any Company Employee Plan have been made on or before their due dates, except as would not result in material liability to the Company or its Subsidiaries. There are no claims pending or threatened, other than routine claims for benefits. All reports, returns and similar documents required to be filed with any Governmental Body or distributed to any participant or beneficiary in any Company Employee Plan have been timely filed or distributed.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Each Company Employee Plan that is in any part a </w:t>
      </w:r>
      <w:r>
        <w:rPr>
          <w:rFonts w:ascii="times new roman;times" w:hAnsi="times new roman;times"/>
          <w:b w:val="false"/>
          <w:sz w:val="20"/>
        </w:rPr>
        <w:t>“</w:t>
      </w:r>
      <w:r>
        <w:rPr>
          <w:rFonts w:ascii="Times New Roman" w:hAnsi="Times New Roman"/>
          <w:b w:val="false"/>
          <w:sz w:val="20"/>
        </w:rPr>
        <w:t>nonqualified deferred compensation plan</w:t>
      </w:r>
      <w:r>
        <w:rPr>
          <w:rFonts w:ascii="times new roman;times" w:hAnsi="times new roman;times"/>
          <w:b w:val="false"/>
          <w:sz w:val="20"/>
        </w:rPr>
        <w:t xml:space="preserve">” </w:t>
      </w:r>
      <w:r>
        <w:rPr>
          <w:rFonts w:ascii="Times New Roman" w:hAnsi="Times New Roman"/>
          <w:b w:val="false"/>
          <w:sz w:val="20"/>
        </w:rPr>
        <w:t>(as defined for purposes of Section 409A(d)(1) of the Code) subject to Section 409A of the Code has been operated and maintained in all material respects in operational and documentary compliance with Section 409A of the Code and applicable guidance thereunder. No Company Employee Plan or Company Option (whether currently outstanding or previously exercised) is, has been or would be, as applicable, subject to any tax, penalty or interest under Section 409A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No Company Employee Plan is subject to the laws of any jurisdiction outside the United States.</w:t>
      </w:r>
      <w:r>
        <w:rPr>
          <w:rFonts w:ascii="times new roman;times" w:hAnsi="times new roman;times"/>
          <w:b w:val="false"/>
          <w:sz w:val="20"/>
        </w:rPr>
        <w:t xml:space="preserve">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A-20</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ind w:left="500" w:right="0" w:firstLine="720"/>
        <w:jc w:val="left"/>
        <w:rPr/>
      </w:pPr>
      <w:hyperlink w:anchor="TOC">
        <w:r>
          <w:rPr>
            <w:rStyle w:val="InternetLink"/>
            <w:rFonts w:ascii="Times New Roman" w:hAnsi="Times New Roman"/>
            <w:b/>
            <w:strike w:val="false"/>
            <w:dstrike w:val="false"/>
            <w:color w:val="000000"/>
            <w:sz w:val="20"/>
            <w:u w:val="none"/>
            <w:effect w:val="none"/>
          </w:rPr>
          <w:t>2.15Labor and Employment</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and its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 There is no charge or other Legal Proceeding pending or, to the Knowledge of the Company, threatened or reasonably anticipated before the U.S. Equal Employment Opportunity Commission (the </w:t>
      </w:r>
      <w:r>
        <w:rPr>
          <w:rFonts w:ascii="times new roman;times" w:hAnsi="times new roman;times"/>
          <w:b w:val="false"/>
          <w:sz w:val="20"/>
        </w:rPr>
        <w:t>“</w:t>
      </w:r>
      <w:r>
        <w:rPr>
          <w:rFonts w:ascii="Times New Roman" w:hAnsi="Times New Roman"/>
          <w:b/>
          <w:i/>
          <w:sz w:val="20"/>
        </w:rPr>
        <w:t>EEOC</w:t>
      </w:r>
      <w:r>
        <w:rPr>
          <w:rFonts w:ascii="times new roman;times" w:hAnsi="times new roman;times"/>
          <w:b w:val="false"/>
          <w:sz w:val="20"/>
        </w:rPr>
        <w:t>”</w:t>
      </w:r>
      <w:r>
        <w:rPr>
          <w:rFonts w:ascii="Times New Roman" w:hAnsi="Times New Roman"/>
          <w:b w:val="false"/>
          <w:sz w:val="20"/>
        </w:rPr>
        <w:t>), any court, or any other Governmental Authority of competent jurisdiction with respect to the employment practices of the Company or any Company Subsidiary, except as described on Part 2.15(a) of the Company Disclosure Schedule. Neither the Company nor any Company Subsidiary is a party to, or otherwise bound by, any consent decree with, or citation by, the EEOC or any other Governmental Authority of competent jurisdiction relating to employees or employment practices. Neither the Company nor any Company Subsidiary has received any notice of intent by the EEOC or any other Governmental Authority of competent jurisdiction responsible for the enforcement of labor or employment Laws to conduct an investigation or inquiry relating to the Company or any Company Subsidiary,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such investigation or inquiry is in progress. The employment of all employees of the Company and its Subsidiaries is terminable at will without cost or liability to the Company or its Subsidiaries, except for amounts earned prior to the time of termination and except as set forth in Part 2.15(a) of the Company Disclosure Schedule.</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 list of each employee and consultant that provides services to the Company or any Company Subsidiary and the location in which each such employee and consultant is based and primarily performs his or her duties or services.</w:t>
      </w:r>
      <w:r>
        <w:rPr>
          <w:rFonts w:ascii="times new roman;times" w:hAnsi="times new roman;times"/>
          <w:b w:val="false"/>
          <w:sz w:val="20"/>
        </w:rPr>
        <w:t xml:space="preserve"> </w:t>
      </w:r>
      <w:r>
        <w:rPr>
          <w:rFonts w:ascii="Times New Roman" w:hAnsi="Times New Roman"/>
          <w:b w:val="false"/>
          <w:sz w:val="20"/>
        </w:rPr>
        <w:t>No Key Employee has advised the Company or any Company Subsidiary in writing of his or her intention to terminate his or her relationship as an employee of the Company or such Subsidiary for any reason, including because of the consummation of the Contemplated Transactions and, except as set forth in Part 2.15(b) of the Company Disclosure Schedule, the Company and the Subsidiary have no plans or intentions to terminate any such Key Employee. Part 2.15(b) of the Company Disclosure Schedule sets forth a complete and accurate list of all offers of employment that are outstanding to any person from the Company or any Company Subsidiary.</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employee, officer or director of the Company or any Company Subsidiary is a party to, or is otherwise bound by, any Contract with a former employer, including any confidentiality, non-competition or proprietary rights agreement, that affects (i) the performance of his or her duties as an employee, officer or director of the Company or the Company Subsidiary, or (ii) the ability of the Company or any Company Subsidiary to conduct its business, in each case in any manner that would have a Company Material Adverse Effect.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 employee, officer or director of the Company is in violation, in any material respect, of any term of any employment agreement, nondisclosure agreement, common law nondisclosure obligation, fiduciary duty, non-competition agreement or restrictive covenant to a former employer, which violation would have a Company Material Adverse Effect.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controversies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between the Company or any Company Subsidiary and any of their respective present or former employees or independent contractors.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Neither the Company nor any Company Subsidiary is a party to any collective bargaining agreement, work council agreement, work force agreement or any other labor union Contract applicable to persons employed by the Company or any Company Subsidiary;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none of the employees or independent contractors of the Company or any Company Subsidiary is represented by any union, works council, or any other labor organization;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are no activities or proceedings of any labor union to organize any such employees or independent contractors.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There are no grievances filed pursuant to any collective bargaining agreement, work council agreement or other labor contract currently pending against the Company or any Company Subsidiary. There are no unfair labor practice complaints pending, or, to the Knowledge of Company</w:t>
      </w:r>
      <w:r>
        <w:rPr>
          <w:rFonts w:ascii="times new roman;times" w:hAnsi="times new roman;times"/>
          <w:b w:val="false"/>
          <w:sz w:val="20"/>
        </w:rPr>
        <w:t xml:space="preserve"> </w:t>
      </w:r>
      <w:r>
        <w:rPr>
          <w:rFonts w:ascii="Times New Roman" w:hAnsi="Times New Roman"/>
          <w:b w:val="false"/>
          <w:sz w:val="20"/>
        </w:rPr>
        <w:t>or to the Knowledge of the Seller, threatened, against the Company or any Company Subsidiary before the National Labor Relations Board or any court, tribunal or other Governmental Authority of competent jurisdiction, or any current union representation questions involving employees of the Company or any Company Subsidiary. There is no strike, slowdown, work stoppage lockout, or similar labor disputes,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 thereof, by or with respect to any employees of the Company or any Company Subsidiary.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Except as would not result in material liability to the Company, all individuals who are or were performing consulting or other services for the Company or any Company Subsidiary have been correctly classified by the Company or the Company Subsidiary in all material respects as either </w:t>
      </w:r>
      <w:r>
        <w:rPr>
          <w:rFonts w:ascii="times new roman;times" w:hAnsi="times new roman;times"/>
          <w:b w:val="false"/>
          <w:sz w:val="20"/>
        </w:rPr>
        <w:t>“</w:t>
      </w:r>
      <w:r>
        <w:rPr>
          <w:rFonts w:ascii="Times New Roman" w:hAnsi="Times New Roman"/>
          <w:b w:val="false"/>
          <w:sz w:val="20"/>
        </w:rPr>
        <w:t>independent contractors</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xml:space="preserve">as the case may be. Except as would not result in material liability to the Company or its Subsidiaries, all individuals who are classified as exempt and are or were performing services for the Company or any Company Subsidiary have been correctly classified by the Company or the Company Subsidiary in all material respects as </w:t>
      </w:r>
      <w:r>
        <w:rPr>
          <w:rFonts w:ascii="times new roman;times" w:hAnsi="times new roman;times"/>
          <w:b w:val="false"/>
          <w:sz w:val="20"/>
        </w:rPr>
        <w:t>“</w:t>
      </w:r>
      <w:r>
        <w:rPr>
          <w:rFonts w:ascii="Times New Roman" w:hAnsi="Times New Roman"/>
          <w:b w:val="false"/>
          <w:sz w:val="20"/>
        </w:rPr>
        <w:t>exempt</w:t>
      </w:r>
      <w:r>
        <w:rPr>
          <w:rFonts w:ascii="times new roman;times" w:hAnsi="times new roman;times"/>
          <w:b w:val="false"/>
          <w:sz w:val="20"/>
        </w:rPr>
        <w:t xml:space="preserve">” </w:t>
      </w:r>
      <w:r>
        <w:rPr>
          <w:rFonts w:ascii="Times New Roman" w:hAnsi="Times New Roman"/>
          <w:b w:val="false"/>
          <w:sz w:val="20"/>
        </w:rPr>
        <w:t>from all applicable wage and hour Laws, including but not limited to Laws governing minimum wage, overtime compensation, meal periods and rest breaks.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The Company and each Company Subsidiary is in compliance with all Laws applicable to employment and employment practices, including all Laws respecting terms and conditions of employment, wages, hours, equal employment opportunity, employment discrimination, worker classification (including the proper classification of workers as independent contractors and consultants and exempt or non-exempt), immigration, work authorization, occupational health and safety, workers</w:t>
      </w:r>
      <w:r>
        <w:rPr>
          <w:rFonts w:ascii="times new roman;times" w:hAnsi="times new roman;times"/>
          <w:b w:val="false"/>
          <w:sz w:val="20"/>
        </w:rPr>
        <w:t xml:space="preserve">’ </w:t>
      </w:r>
      <w:r>
        <w:rPr>
          <w:rFonts w:ascii="Times New Roman" w:hAnsi="Times New Roman"/>
          <w:b w:val="false"/>
          <w:sz w:val="20"/>
        </w:rPr>
        <w:t>compensation, the payment of social security and other employment taxes, disability rights or benefits, plant closures and layoffs, affirmative action and affirmative action plans, labor relations, employee leave issues and unemployment insurance.</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2.16</w:t>
        </w:r>
      </w:hyperlink>
      <w:hyperlink w:anchor="TOC">
        <w:r>
          <w:rPr>
            <w:rStyle w:val="InternetLink"/>
            <w:rFonts w:ascii="Times New Roman" w:hAnsi="Times New Roman"/>
            <w:b/>
            <w:strike w:val="false"/>
            <w:dstrike w:val="false"/>
            <w:color w:val="000000"/>
            <w:sz w:val="20"/>
            <w:u w:val="none"/>
            <w:effect w:val="none"/>
          </w:rPr>
          <w:t>Environmental Matters</w:t>
        </w:r>
      </w:hyperlink>
      <w:r>
        <w:rPr>
          <w:rFonts w:ascii="Times New Roman" w:hAnsi="Times New Roman"/>
          <w:b w:val="false"/>
          <w:sz w:val="20"/>
        </w:rPr>
        <w:t>. Except as would not reasonably be expected to have a Company Material Adverse Effect, the Company and each Company Subsidiary is in compliance in all material respects with all applicable Environmental Laws, which compliance includes the possession by the Company of all permits and other Governmental Authorizations required under applicable Environmental Laws and compliance with the terms and conditions thereof. Neither the Company nor any Company Subsidiary has received since January 1, 2024 any written notice or other communication (in writing or otherwise), whether from a Governmental Body or employee, that alleges that the Company or any Company Subsidiary is not in compliance with any Environmental Law, and, to the Knowledge of the Company</w:t>
      </w:r>
      <w:r>
        <w:rPr>
          <w:rFonts w:ascii="times new roman;times" w:hAnsi="times new roman;times"/>
          <w:b w:val="false"/>
          <w:sz w:val="20"/>
        </w:rPr>
        <w:t xml:space="preserve"> </w:t>
      </w:r>
      <w:r>
        <w:rPr>
          <w:rFonts w:ascii="Times New Roman" w:hAnsi="Times New Roman"/>
          <w:b w:val="false"/>
          <w:sz w:val="20"/>
        </w:rPr>
        <w:t>or</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the Knowledge of the Seller, there are no circumstances that may prevent or interfere with the Company</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compliance with any Environmental Law in the future.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(i) no current or prior owner of any property currently or then leased or controlled by the Company or any of its Subsidiaries has received since January 1, 2024 any written notice or other communication (in writing or otherwise) relating to property owned or leased by the Company or any of its Subsidiaries, whether from a Governmental Body or employee, that alleges that such current or prior owner or the Company or any of its Subsidiaries is not in compliance with or has violated any Environmental Law relating to such property and (ii) neither the Company nor any of its Subsidiaries has any material liability under any Environmental Law that would reasonably be expected to have a Company Material Adverse Effect.</w:t>
      </w:r>
    </w:p>
    <w:p>
      <w:pPr>
        <w:pStyle w:val="TextBody"/>
        <w:bidi w:val="0"/>
        <w:spacing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2.17Insurance</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Company has made available to Parent accurate and complete copies of all material insurance policies and all material self-insurance programs and arrangements relating to the business, assets, liabilities and operations of the Company and each Company Subsidiary.</w:t>
      </w:r>
      <w:r>
        <w:rPr>
          <w:rFonts w:ascii="times new roman;times" w:hAnsi="times new roman;times"/>
          <w:b w:val="false"/>
          <w:sz w:val="20"/>
        </w:rPr>
        <w:t xml:space="preserve"> </w:t>
      </w:r>
      <w:r>
        <w:rPr>
          <w:rFonts w:ascii="Times New Roman" w:hAnsi="Times New Roman"/>
          <w:b w:val="false"/>
          <w:sz w:val="20"/>
        </w:rPr>
        <w:t>Each of the insurance policies is in full force and effect and the Company and each Company Subsidiary are in material compliance with the terms thereof. Other than customary end of policy notifications from insurance carriers, since January 1, 2024, neither the Company nor any Company Subsidiary has received any written notice or other written communication regarding any actual or possible: (i) cancellation or invalidation of any insurance policy; (ii) refusal or denial of any coverage, reservation of rights or rejection of any material claim under any insurance policy; or (iii) material adjustment in the amount of the premiums payable with respect to any insurance policy.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there is no pending workers</w:t>
      </w:r>
      <w:r>
        <w:rPr>
          <w:rFonts w:ascii="times new roman;times" w:hAnsi="times new roman;times"/>
          <w:b w:val="false"/>
          <w:sz w:val="20"/>
        </w:rPr>
        <w:t xml:space="preserve">’ </w:t>
      </w:r>
      <w:r>
        <w:rPr>
          <w:rFonts w:ascii="Times New Roman" w:hAnsi="Times New Roman"/>
          <w:b w:val="false"/>
          <w:sz w:val="20"/>
        </w:rPr>
        <w:t>compensation or other claim under or based upon any insurance policy of the Company or any Company Subsidiary. All information provided to insurance carriers (in applications and otherwise) on behalf of the Company and each Company Subsidiary is accurate and complete in all material respects. The Company and each Company Subsidiary have provided timely written notice to the appropriate insurance carrier(s) of each Legal Proceeding pending or threatened in writing against the Company or any Company Subsidiary, and no such carrier has issued a denial of coverage or a reservation of rights with respect to any such Legal Proceeding,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informed the Company or any Company Subsidiary of its intent to do so.</w:t>
      </w:r>
    </w:p>
    <w:p>
      <w:pPr>
        <w:pStyle w:val="TextBody"/>
        <w:bidi w:val="0"/>
        <w:spacing w:before="0" w:after="20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has made available to Parent accurate and complete copies of the existing policies (primary and excess) of directors</w:t>
      </w:r>
      <w:r>
        <w:rPr>
          <w:rFonts w:ascii="times new roman;times" w:hAnsi="times new roman;times"/>
          <w:b w:val="false"/>
          <w:sz w:val="20"/>
        </w:rPr>
        <w:t xml:space="preserve">’ </w:t>
      </w:r>
      <w:r>
        <w:rPr>
          <w:rFonts w:ascii="Times New Roman" w:hAnsi="Times New Roman"/>
          <w:b w:val="false"/>
          <w:sz w:val="20"/>
        </w:rPr>
        <w:t>and officers</w:t>
      </w:r>
      <w:r>
        <w:rPr>
          <w:rFonts w:ascii="times new roman;times" w:hAnsi="times new roman;times"/>
          <w:b w:val="false"/>
          <w:sz w:val="20"/>
        </w:rPr>
        <w:t xml:space="preserve">’ </w:t>
      </w:r>
      <w:r>
        <w:rPr>
          <w:rFonts w:ascii="Times New Roman" w:hAnsi="Times New Roman"/>
          <w:b w:val="false"/>
          <w:sz w:val="20"/>
        </w:rPr>
        <w:t xml:space="preserve">liability insurance maintained by the Company and each Company Subsidiary as of the date of this Agreement (the </w:t>
      </w:r>
      <w:r>
        <w:rPr>
          <w:rFonts w:ascii="times new roman;times" w:hAnsi="times new roman;times"/>
          <w:b w:val="false"/>
          <w:sz w:val="20"/>
        </w:rPr>
        <w:t>“</w:t>
      </w:r>
      <w:r>
        <w:rPr>
          <w:rFonts w:ascii="Times New Roman" w:hAnsi="Times New Roman"/>
          <w:b/>
          <w:i/>
          <w:sz w:val="20"/>
        </w:rPr>
        <w:t>Existing Company D&amp;O Policies</w:t>
      </w:r>
      <w:r>
        <w:rPr>
          <w:rFonts w:ascii="times new roman;times" w:hAnsi="times new roman;times"/>
          <w:b w:val="false"/>
          <w:sz w:val="20"/>
        </w:rPr>
        <w:t>”</w:t>
      </w:r>
      <w:r>
        <w:rPr>
          <w:rFonts w:ascii="Times New Roman" w:hAnsi="Times New Roman"/>
          <w:b w:val="false"/>
          <w:sz w:val="20"/>
        </w:rPr>
        <w:t>). Part 2.17(b) of the Company Disclosure Schedule accurately sets forth the most recent annual premiums paid by the Company and each Company Subsidiary with respect to the Existing Company D&amp;O Policies.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r>
    </w:p>
    <w:p>
      <w:pPr>
        <w:pStyle w:val="TextBody"/>
        <w:bidi w:val="0"/>
        <w:spacing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2.18Legal Proceedings; Orders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2.18(a) of the Company Disclosure Schedule, there is no pending Legal Proceeding, and,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 the Financing, the listing of the Parent Common Stock to be issued in connection therewith on Nasdaq, or the post-Closing governance arrangements expressly contemplated hereby.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event has occurred, and no claim, dispute or other condition or circumstance exists, that will give rise to or serve as the basis for the commencement of any meritorious Legal Proceeding.</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There is no order, writ, injunction, judgment or decree to which the Company or any Company Subsidiary, or any of the material assets owned or used by the Company or any Company Subsidiary, is subject.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no officer or other Key Employee of the Company or any Company Subsidiary is subject to any order, writ, injunction, judgment or decree that prohibits such officer or other employee from engaging in or continuing any conduct, activity or practice relating to the business of the Company or any Company Subsidiary or to any material assets owned or used by the Company or any Company Subsidiary.</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Without limiting the foregoing, except as set forth in Part 2.18 of the Company Disclosure Schedule, there is no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Action against the Company, any Company Subsidiary, or any present or former officer, director, employee or consultant thereof</w:t>
      </w:r>
      <w:r>
        <w:rPr>
          <w:rFonts w:ascii="times new roman;times" w:hAnsi="times new roman;times"/>
          <w:b w:val="false"/>
          <w:sz w:val="20"/>
        </w:rPr>
        <w:t xml:space="preserve"> </w:t>
      </w:r>
      <w:r>
        <w:rPr>
          <w:rFonts w:ascii="Times New Roman" w:hAnsi="Times New Roman"/>
          <w:b w:val="false"/>
          <w:sz w:val="20"/>
        </w:rPr>
        <w:t>that would reasonably be expected to have Company</w:t>
      </w:r>
      <w:r>
        <w:rPr>
          <w:rFonts w:ascii="times new roman;times" w:hAnsi="times new roman;times"/>
          <w:b w:val="false"/>
          <w:sz w:val="20"/>
        </w:rPr>
        <w:t xml:space="preserve"> </w:t>
      </w:r>
      <w:r>
        <w:rPr>
          <w:rFonts w:ascii="Times New Roman" w:hAnsi="Times New Roman"/>
          <w:b w:val="false"/>
          <w:sz w:val="20"/>
        </w:rPr>
        <w:t>Material Adverse Effect, arising out of or relating to (i) any Intellectual Property used in the business, (ii) any clinical study, regulatory submission, product candidate, adverse event or quality issue, (iii) any separation, carve-out, indemnity or related-party arrangement with Seller or any of its Affiliates, or (iv) any claim that any asset, data set, submission, license, invention, software or know-how used in the business is not owned by or validly licensed to the Company. Except as set forth in Part 2.18 of the Company Disclosure Schedule, there is no pending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threatened investigation, inquiry, audit, inspection, subpoena, civil investigative demand or similar proceeding by any Governmental Body relating to the Company, any Company Subsidiary, any product candidate, any clinical study or any related-party arrangement.</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2.19</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r>
        <w:rPr>
          <w:rFonts w:ascii="Times New Roman" w:hAnsi="Times New Roman"/>
          <w:b w:val="false"/>
          <w:sz w:val="20"/>
        </w:rPr>
        <w:t>. The Company and each Company Subsidiary have all necessary corporate power and authority to enter into and to perform its obligations under this Agreement. The Company Board of Directors (at one or more meetings duly called and held) has: (a) determined that the Contemplated Transactions are advisable and fair to and in the best interests of the Company and its shareholders; (b) duly authorized and approved by all necessary corporate action, the execution, delivery and performance of this Agreement and the transactions contemplated hereby, including the Contemplated Transactions, subject to the Required Company Shareholder Vote; and (c) recommended the adoption and approval of this Agreement by the holders of Company Capital Stock. This Agreement has been duly executed and delivered by the Company and, assuming the due authorization, execution and delivery by Parent,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 Prior to the execution of this Agreement, the Company Board of Directors approved the execution and delivery by Seller, in its capacity as the sole holder of the outstanding Company Capital Stock, of the written consent and lock-up agreement contemplated by this Agreement.</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2.20</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approval of Seller, in its capacity as the sole holder of all of the issued and outstanding Company Capital Stock entitled to vote on the adoption of this Agreement and the approval of the Merger, is the only vote of any class or series of Company Capital Stock necessary to adopt this Agreement, approve the Merger and approve the Contemplated Transactions</w:t>
      </w:r>
      <w:r>
        <w:rPr>
          <w:rFonts w:ascii="times new roman;times" w:hAnsi="times new roman;times"/>
          <w:b w:val="false"/>
          <w:sz w:val="20"/>
        </w:rPr>
        <w:t xml:space="preserve"> </w:t>
      </w:r>
      <w:r>
        <w:rPr>
          <w:rFonts w:ascii="Times New Roman" w:hAnsi="Times New Roman"/>
          <w:b w:val="false"/>
          <w:sz w:val="20"/>
        </w:rPr>
        <w:t xml:space="preserve">(the </w:t>
      </w:r>
      <w:r>
        <w:rPr>
          <w:rFonts w:ascii="times new roman;times" w:hAnsi="times new roman;times"/>
          <w:b w:val="false"/>
          <w:sz w:val="20"/>
        </w:rPr>
        <w:t>“</w:t>
      </w:r>
      <w:r>
        <w:rPr>
          <w:rFonts w:ascii="Times New Roman" w:hAnsi="Times New Roman"/>
          <w:b/>
          <w:i/>
          <w:sz w:val="20"/>
        </w:rPr>
        <w:t>Required Company Shareholder Vote</w:t>
      </w:r>
      <w:r>
        <w:rPr>
          <w:rFonts w:ascii="times new roman;times" w:hAnsi="times new roman;times"/>
          <w:b w:val="false"/>
          <w:sz w:val="20"/>
        </w:rPr>
        <w:t>”</w:t>
      </w:r>
      <w:r>
        <w:rPr>
          <w:rFonts w:ascii="Times New Roman" w:hAnsi="Times New Roman"/>
          <w:b w:val="false"/>
          <w:sz w:val="20"/>
        </w:rPr>
        <w:t>).</w:t>
      </w:r>
    </w:p>
    <w:p>
      <w:pPr>
        <w:pStyle w:val="TextBody"/>
        <w:bidi w:val="0"/>
        <w:spacing w:before="0" w:after="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2.21</w:t>
        </w:r>
      </w:hyperlink>
      <w:hyperlink w:anchor="TOC">
        <w:r>
          <w:rPr>
            <w:rStyle w:val="InternetLink"/>
            <w:rFonts w:ascii="Times New Roman" w:hAnsi="Times New Roman"/>
            <w:b/>
            <w:strike w:val="false"/>
            <w:dstrike w:val="false"/>
            <w:color w:val="000000"/>
            <w:sz w:val="20"/>
            <w:u w:val="none"/>
            <w:effect w:val="none"/>
          </w:rPr>
          <w:t>Non-Contravention; Consents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Part 2.21 of the Company Disclosure Schedule, and subject to obtaining the Required Company Shareholder Vote, the filing of the Certificate of Merger required by the DGCL and any filings or notifications that may be required in connection with the Contemplated Transactions under any US or non-US antitrust, merger control, or competition laws, neither (x) the execution, delivery or performance of this Agreement by the Company, nor (y) the consummation of the Contemplated Transactions, will directly or indirectly (with or without notice or lapse of time):</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contravene, conflict with or result in a violation of (i) any of the provisions of the certificate of incorporation, bylaws or other charter or organizational documents of the Company or (ii) any resolution adopted by the Company shareholders, the Company Board of Directors or any committee of the Company Board of Directors;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contravene, conflict with or result in a material violation of, or give any Governmental Body or, to the Knowledge of the Company</w:t>
      </w:r>
      <w:r>
        <w:rPr>
          <w:rFonts w:ascii="times new roman;times" w:hAnsi="times new roman;times"/>
          <w:b w:val="false"/>
          <w:sz w:val="20"/>
        </w:rPr>
        <w:t xml:space="preserve"> </w:t>
      </w:r>
      <w:r>
        <w:rPr>
          <w:rFonts w:ascii="Times New Roman" w:hAnsi="Times New Roman"/>
          <w:b w:val="false"/>
          <w:sz w:val="20"/>
        </w:rPr>
        <w:t>or to the Knowledge of the Seller, other Person the right to challenge the Contemplated Transactions or to exercise any remedy or obtain any relief under, any Legal Requirement or any order, writ, injunction, judgment or decree to which the Company or its Subsidiaries, or any of the assets owned or used by the Company or its Subsidiaries, is subject;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contravene, conflict with or result in a material violation of any of the terms or requirements of, or give any Governmental Body the right to revoke, withdraw, suspend, cancel, terminate or modify, any Governmental Authorization that is held by the Company or its Subsidiaries or that otherwise relates to the business of the Company or its Subsidiaries or to any of the material assets owned or used by the Company or its Subsidiaries;</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contravene, conflict with or result in a violation or breach of, or result in a default under, any provision of any Company Contract, or give any Person the right to: (i) declare a default or exercise any remedy under any Company Contract; (ii) a rebate, chargeback, penalty or change in delivery schedule under any such Company Contract; (iii) accelerate the maturity or performance of any Company Contract; or (iv) cancel, terminate or modify any term of any Company Contract, except, in the case of any Company Material Contract, any non-material breach, default, penalty or modification and, in the case of all other Company Contracts, any breach, default, penalty or modification that would not result in a Company Material Adverse Effect;</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result in the imposition or creation of any Encumbrance upon or with respect to any material asset owned or used by the Company or its Subsidiaries (except for minor liens that will not, in any case or in the aggregate, materially detract from the value of the assets subject thereto or materially impair the operations of the Company); or</w:t>
      </w:r>
    </w:p>
    <w:p>
      <w:pPr>
        <w:pStyle w:val="TextBody"/>
        <w:bidi w:val="0"/>
        <w:spacing w:before="0" w:after="20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result in the transfer of any material asset of the Company or its Subsidiaries to any Person. Except (i) for any Consent set forth in Part 2.21 of the Company Disclosure Schedule under any Company Contract, (ii) the filing of the Certificate of Merger with the Secretary of State of the State of Delaware pursuant to the DGCL, and (iii)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before="0" w:after="200"/>
        <w:ind w:left="0" w:right="0" w:hanging="0"/>
        <w:jc w:val="left"/>
        <w:rPr>
          <w:rFonts w:ascii="times new roman;times" w:hAnsi="times new roman;times"/>
          <w:b w:val="false"/>
          <w:sz w:val="20"/>
        </w:rPr>
      </w:pPr>
      <w:r>
        <w:rPr>
          <w:rFonts w:ascii="Times New Roman" w:hAnsi="Times New Roman"/>
          <w:b w:val="false"/>
          <w:sz w:val="20"/>
        </w:rPr>
        <w:t>Part 2.21 of the Company Disclosure Schedule also identifies all Consents required in connection with the ThinkEquity</w:t>
      </w:r>
      <w:r>
        <w:rPr>
          <w:rFonts w:ascii="times new roman;times" w:hAnsi="times new roman;times"/>
          <w:b w:val="false"/>
          <w:sz w:val="20"/>
        </w:rPr>
        <w:t xml:space="preserve"> </w:t>
      </w:r>
      <w:r>
        <w:rPr>
          <w:rFonts w:ascii="Times New Roman" w:hAnsi="Times New Roman"/>
          <w:b w:val="false"/>
          <w:sz w:val="20"/>
        </w:rPr>
        <w:t>LLC</w:t>
      </w:r>
      <w:r>
        <w:rPr>
          <w:rFonts w:ascii="times new roman;times" w:hAnsi="times new roman;times"/>
          <w:b w:val="false"/>
          <w:sz w:val="20"/>
        </w:rPr>
        <w:t xml:space="preserve"> </w:t>
      </w:r>
      <w:r>
        <w:rPr>
          <w:rFonts w:ascii="Times New Roman" w:hAnsi="Times New Roman"/>
          <w:b w:val="false"/>
          <w:sz w:val="20"/>
        </w:rPr>
        <w:t>engagement, the First Finance Waiver, any Company Equity Securities outstanding</w:t>
      </w:r>
      <w:r>
        <w:rPr>
          <w:rFonts w:ascii="times new roman;times" w:hAnsi="times new roman;times"/>
          <w:b w:val="false"/>
          <w:sz w:val="20"/>
        </w:rPr>
        <w:t xml:space="preserve"> </w:t>
      </w:r>
      <w:r>
        <w:rPr>
          <w:rFonts w:ascii="Times New Roman" w:hAnsi="Times New Roman"/>
          <w:b w:val="false"/>
          <w:sz w:val="20"/>
        </w:rPr>
        <w:t>immediately prior to the Effective</w:t>
      </w:r>
      <w:r>
        <w:rPr>
          <w:rFonts w:ascii="times new roman;times" w:hAnsi="times new roman;times"/>
          <w:b w:val="false"/>
          <w:sz w:val="20"/>
        </w:rPr>
        <w:t xml:space="preserve"> </w:t>
      </w:r>
      <w:r>
        <w:rPr>
          <w:rFonts w:ascii="Times New Roman" w:hAnsi="Times New Roman"/>
          <w:b w:val="false"/>
          <w:sz w:val="20"/>
        </w:rPr>
        <w:t>Time, and any other matter that would reasonably be expected to</w:t>
      </w:r>
      <w:r>
        <w:rPr>
          <w:rFonts w:ascii="times new roman;times" w:hAnsi="times new roman;times"/>
          <w:b w:val="false"/>
          <w:sz w:val="20"/>
        </w:rPr>
        <w:t xml:space="preserve"> </w:t>
      </w:r>
      <w:r>
        <w:rPr>
          <w:rFonts w:ascii="Times New Roman" w:hAnsi="Times New Roman"/>
          <w:b w:val="false"/>
          <w:sz w:val="20"/>
        </w:rPr>
        <w:t>prevent, materially delay or materially impair the consummation of the Contemplated Transactions.</w:t>
      </w:r>
    </w:p>
    <w:p>
      <w:pPr>
        <w:pStyle w:val="TextBody"/>
        <w:bidi w:val="0"/>
        <w:spacing w:before="0" w:after="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2.22</w:t>
        </w:r>
      </w:hyperlink>
      <w:hyperlink w:anchor="TOC">
        <w:r>
          <w:rPr>
            <w:rStyle w:val="InternetLink"/>
            <w:rFonts w:ascii="Times New Roman" w:hAnsi="Times New Roman"/>
            <w:b/>
            <w:strike w:val="false"/>
            <w:dstrike w:val="false"/>
            <w:color w:val="000000"/>
            <w:sz w:val="20"/>
            <w:u w:val="none"/>
            <w:effect w:val="none"/>
          </w:rPr>
          <w:t>No Financial Advisor.</w:t>
        </w:r>
      </w:hyperlink>
      <w:r>
        <w:rPr>
          <w:rFonts w:ascii="times new roman;times" w:hAnsi="times new roman;times"/>
          <w:b w:val="false"/>
          <w:sz w:val="20"/>
        </w:rPr>
        <w:t xml:space="preserve"> </w:t>
      </w:r>
      <w:r>
        <w:rPr>
          <w:rFonts w:ascii="Times New Roman" w:hAnsi="Times New Roman"/>
          <w:b w:val="false"/>
          <w:sz w:val="20"/>
        </w:rPr>
        <w:t>Except as set forth in Part 2.22 of the Company Disclosure Schedule, including the engagement of ThinkEquity LLC and the fees payable to ThinkEquity LLC expressly contemplated by this Agreement, no broker, finder, investment banker, financial advisor or other Person is entitled to any brokerage fee, finder</w:t>
      </w:r>
      <w:r>
        <w:rPr>
          <w:rFonts w:ascii="times new roman;times" w:hAnsi="times new roman;times"/>
          <w:b w:val="false"/>
          <w:sz w:val="20"/>
        </w:rPr>
        <w:t>’</w:t>
      </w:r>
      <w:r>
        <w:rPr>
          <w:rFonts w:ascii="Times New Roman" w:hAnsi="Times New Roman"/>
          <w:b w:val="false"/>
          <w:sz w:val="20"/>
        </w:rPr>
        <w:t>s fee, opinion fee, success fee, transaction fee, equity issuance or other fee or commission in connection with the Contemplated Transactions based upon arrangements made by or on behalf of the Company, Seller or any of their respective Affiliates.</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2.23</w:t>
        </w:r>
      </w:hyperlink>
      <w:hyperlink w:anchor="TOC">
        <w:r>
          <w:rPr>
            <w:rStyle w:val="InternetLink"/>
            <w:rFonts w:ascii="Times New Roman" w:hAnsi="Times New Roman"/>
            <w:b/>
            <w:strike w:val="false"/>
            <w:dstrike w:val="false"/>
            <w:color w:val="000000"/>
            <w:sz w:val="20"/>
            <w:u w:val="none"/>
            <w:effect w:val="none"/>
          </w:rPr>
          <w:t>Privacy</w:t>
        </w:r>
      </w:hyperlink>
      <w:r>
        <w:rPr>
          <w:rFonts w:ascii="Times New Roman" w:hAnsi="Times New Roman"/>
          <w:b w:val="false"/>
          <w:sz w:val="20"/>
        </w:rPr>
        <w:t>. The Company has complied in all material respects with all Privacy Obligations and its respective internal and external privacy policies relating to the use, collection, storage, disclosure and transfer of any Personal Information collected by the Company or by third parties having authorized access to the records of the Company. The execution, delivery and performance of this Agreement will comply in all material respects with all Privacy Obligations and with the Company</w:t>
      </w:r>
      <w:r>
        <w:rPr>
          <w:rFonts w:ascii="times new roman;times" w:hAnsi="times new roman;times"/>
          <w:b w:val="false"/>
          <w:sz w:val="20"/>
        </w:rPr>
        <w:t>’</w:t>
      </w:r>
      <w:r>
        <w:rPr>
          <w:rFonts w:ascii="Times New Roman" w:hAnsi="Times New Roman"/>
          <w:b w:val="false"/>
          <w:sz w:val="20"/>
        </w:rPr>
        <w:t>s privacy policies. The Company has not received a written complaint regarding the Company</w:t>
      </w:r>
      <w:r>
        <w:rPr>
          <w:rFonts w:ascii="times new roman;times" w:hAnsi="times new roman;times"/>
          <w:b w:val="false"/>
          <w:sz w:val="20"/>
        </w:rPr>
        <w:t>’</w:t>
      </w:r>
      <w:r>
        <w:rPr>
          <w:rFonts w:ascii="Times New Roman" w:hAnsi="Times New Roman"/>
          <w:b w:val="false"/>
          <w:sz w:val="20"/>
        </w:rPr>
        <w:t>s collection, use or disclosure of Personal Information. There has been no (i) unauthorized acquisition of, access to, loss of, misuse (by any means) of any Sensitive Data, or (ii) unauthorized or unlawful processing of any Sensitive Data or Personal Information, in each case, used or held for use by or on behalf of the Company. No Person has, in the last three (3) years, threatened to bring any proceeding pursuant to any written notice, or commenced any proceeding with respect to the Company</w:t>
      </w:r>
      <w:r>
        <w:rPr>
          <w:rFonts w:ascii="times new roman;times" w:hAnsi="times new roman;times"/>
          <w:b w:val="false"/>
          <w:sz w:val="20"/>
        </w:rPr>
        <w:t>’</w:t>
      </w:r>
      <w:r>
        <w:rPr>
          <w:rFonts w:ascii="Times New Roman" w:hAnsi="Times New Roman"/>
          <w:b w:val="false"/>
          <w:sz w:val="20"/>
        </w:rPr>
        <w:t>s privacy, security or data protection practices, including any loss, damage or unauthorized access, use, disclosure, modification or other misuse of any Personal Information maintained by, or on behalf of, the Company and, to the Company</w:t>
      </w:r>
      <w:r>
        <w:rPr>
          <w:rFonts w:ascii="times new roman;times" w:hAnsi="times new roman;times"/>
          <w:b w:val="false"/>
          <w:sz w:val="20"/>
        </w:rPr>
        <w:t>’</w:t>
      </w:r>
      <w:r>
        <w:rPr>
          <w:rFonts w:ascii="Times New Roman" w:hAnsi="Times New Roman"/>
          <w:b w:val="false"/>
          <w:sz w:val="20"/>
        </w:rPr>
        <w:t>s Knowledge</w:t>
      </w:r>
      <w:r>
        <w:rPr>
          <w:rFonts w:ascii="times new roman;times" w:hAnsi="times new roman;times"/>
          <w:b w:val="false"/>
          <w:sz w:val="20"/>
        </w:rPr>
        <w:t xml:space="preserve"> </w:t>
      </w:r>
      <w:r>
        <w:rPr>
          <w:rFonts w:ascii="Times New Roman" w:hAnsi="Times New Roman"/>
          <w:b w:val="false"/>
          <w:sz w:val="20"/>
        </w:rPr>
        <w:t>or to the Seller’s Knowledge, there is no reasonable basis for such proceeding.</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2.24</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information supplied by the Company and each Company Subsidiary for inclusion in the Form S-1 (or such other form as may be appropriate), the Parent Schedule 14C, and any other disclosure document required to be filed with the SEC in connection with the Contemplated Transactions</w:t>
      </w:r>
      <w:r>
        <w:rPr>
          <w:rFonts w:ascii="times new roman;times" w:hAnsi="times new roman;times"/>
          <w:b w:val="false"/>
          <w:sz w:val="20"/>
        </w:rPr>
        <w:t xml:space="preserve"> </w:t>
      </w:r>
      <w:r>
        <w:rPr>
          <w:rFonts w:ascii="Times New Roman" w:hAnsi="Times New Roman"/>
          <w:b w:val="false"/>
          <w:sz w:val="20"/>
        </w:rPr>
        <w:t xml:space="preserve">(including any Company Financials and the Required Company Financials when delivered pursuant to </w:t>
      </w:r>
      <w:r>
        <w:rPr>
          <w:rFonts w:ascii="Times New Roman" w:hAnsi="Times New Roman"/>
          <w:b w:val="false"/>
          <w:sz w:val="20"/>
          <w:u w:val="single"/>
        </w:rPr>
        <w:t>Section 5.1(a)</w:t>
      </w:r>
      <w:r>
        <w:rPr>
          <w:rFonts w:ascii="Times New Roman" w:hAnsi="Times New Roman"/>
          <w:b w:val="false"/>
          <w:sz w:val="20"/>
        </w:rPr>
        <w:t>) will not, as of the date such information is prepared, the date the Registration Statement becomes effective or the date of the definitive Parent Schedule 14C, as applicable, (i) contain any statement that is inaccurate or misleading with respect to any material facts or (ii) omit to state any material fact necessary in order to make such information, in the light of the circumstances under which such information is provided, not false or misleading. No representation, warranty, schedule, exhibit, certificate or other document furnished by or on behalf of the Company or Seller to Parent in connection with this Agreement contains any untrue statement of a material fact or omits to state a material fact necessary to make the statements contained therein, in light of the circumstances under which they were made, not misleading.</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2.25</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for the representations and warranties expressly set forth in this Agreement, neither the Company nor any other Person on behalf of the Company makes any express or implied representation or warranty with respect to the Company or with respect to any other information provided to Parent or Merger Sub in connection with the Contemplated Transactions.</w:t>
      </w:r>
    </w:p>
    <w:p>
      <w:pPr>
        <w:pStyle w:val="TextBody"/>
        <w:bidi w:val="0"/>
        <w:spacing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2.26</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acknowledges and agrees that, except for the representations and warranties expressly set forth in this Agreement (a) each of Parent and Merger Sub is not making and has not made any representations or warranties relating to itself or its business or otherwise in connection with the transactions contemplated by this Agreement, including the Merger, and none of the Company or its Representatives is relying on any representation or warranty of Parent or Merger Sub except for those expressly set forth in this Agreement, (b) no Person has been authorized by Parent or Merger Sub to make any representation or warranty relating to Parent or Merger Sub or their respective businesses, and if made, such representation or warranty must not be relied upon by the Company as having been authorized by Parent or Merger Sub and (c) any estimates, projections, forecasts,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are the subject of any express representation or warranty set forth in this Agreement.</w:t>
      </w: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2A</w:t>
        </w:r>
      </w:hyperlink>
      <w:r>
        <w:rPr>
          <w:rFonts w:ascii="Times New Roman" w:hAnsi="Times New Roman"/>
          <w:b/>
          <w:caps/>
          <w:strike w:val="false"/>
          <w:dstrike w:val="false"/>
          <w:sz w:val="20"/>
          <w:u w:val="none"/>
          <w:effect w:val="none"/>
        </w:rPr>
        <w:t> </w:t>
      </w:r>
    </w:p>
    <w:p>
      <w:pPr>
        <w:pStyle w:val="TextBody"/>
        <w:bidi w:val="0"/>
        <w:spacing w:lineRule="auto" w:line="288"/>
        <w:ind w:left="0" w:right="0" w:hanging="0"/>
        <w:jc w:val="center"/>
        <w:rPr>
          <w:rFonts w:ascii="times new roman;times" w:hAnsi="times new roman;times"/>
          <w:sz w:val="20"/>
        </w:rPr>
      </w:pPr>
      <w:r>
        <w:rPr>
          <w:rFonts w:ascii="Times New Roman" w:hAnsi="Times New Roman"/>
          <w:b/>
          <w:caps/>
          <w:strike w:val="false"/>
          <w:dstrike w:val="false"/>
          <w:sz w:val="20"/>
          <w:u w:val="none"/>
          <w:effect w:val="none"/>
        </w:rPr>
        <w:br/>
      </w:r>
      <w:r>
        <w:rPr>
          <w:rFonts w:ascii="Times New Roman" w:hAnsi="Times New Roman"/>
          <w:b/>
          <w:sz w:val="20"/>
        </w:rPr>
        <w:t>REPRESENTATIONS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WARRANTIES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SELLER</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sz w:val="20"/>
        </w:rPr>
        <w:t>Seller represents and warrants to Parent and Merger Sub as follows, except as set forth in the Company Disclosure Schedule. The Company Disclosure Schedule shall be arranged in sections and subsections corresponding to the numbered</w:t>
      </w:r>
      <w:r>
        <w:rPr>
          <w:rFonts w:ascii="times new roman;times" w:hAnsi="times new roman;times"/>
          <w:sz w:val="20"/>
        </w:rPr>
        <w:t xml:space="preserve"> </w:t>
      </w:r>
      <w:r>
        <w:rPr>
          <w:rFonts w:ascii="Times New Roman" w:hAnsi="Times New Roman"/>
          <w:sz w:val="20"/>
        </w:rPr>
        <w:t xml:space="preserve">and lettered sections and subsections contained in this </w:t>
      </w:r>
      <w:r>
        <w:rPr>
          <w:rFonts w:ascii="Times New Roman" w:hAnsi="Times New Roman"/>
          <w:sz w:val="20"/>
          <w:u w:val="single"/>
        </w:rPr>
        <w:t>Article</w:t>
      </w:r>
      <w:r>
        <w:rPr>
          <w:rFonts w:ascii="times new roman;times" w:hAnsi="times new roman;times"/>
          <w:sz w:val="20"/>
          <w:u w:val="single"/>
        </w:rPr>
        <w:t> </w:t>
      </w:r>
      <w:r>
        <w:rPr>
          <w:rFonts w:ascii="Times New Roman" w:hAnsi="Times New Roman"/>
          <w:sz w:val="20"/>
          <w:u w:val="single"/>
        </w:rPr>
        <w:t>2A</w:t>
      </w:r>
      <w:r>
        <w:rPr>
          <w:rFonts w:ascii="Times New Roman" w:hAnsi="Times New Roman"/>
          <w:sz w:val="20"/>
        </w:rPr>
        <w:t xml:space="preserve">. The disclosures in any section or subsection of the Company Disclosure Schedule shall qualify other sections and subsections in this </w:t>
      </w:r>
      <w:r>
        <w:rPr>
          <w:rFonts w:ascii="Times New Roman" w:hAnsi="Times New Roman"/>
          <w:sz w:val="20"/>
          <w:u w:val="single"/>
        </w:rPr>
        <w:t>Article 2A</w:t>
      </w:r>
      <w:r>
        <w:rPr>
          <w:rFonts w:ascii="times new roman;times" w:hAnsi="times new roman;times"/>
          <w:sz w:val="20"/>
        </w:rPr>
        <w:t xml:space="preserve"> </w:t>
      </w:r>
      <w:r>
        <w:rPr>
          <w:rFonts w:ascii="Times New Roman" w:hAnsi="Times New Roman"/>
          <w:sz w:val="20"/>
        </w:rPr>
        <w:t>only to the extent it is reasonably apparent on its face that such disclosure is applicable to such other sections and subsections.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2A.1</w:t>
        </w:r>
      </w:hyperlink>
      <w:hyperlink w:anchor="TOC">
        <w:r>
          <w:rPr>
            <w:rStyle w:val="InternetLink"/>
            <w:rFonts w:ascii="Times New Roman" w:hAnsi="Times New Roman"/>
            <w:b/>
            <w:strike w:val="false"/>
            <w:dstrike w:val="false"/>
            <w:color w:val="000000"/>
            <w:sz w:val="20"/>
            <w:u w:val="none"/>
            <w:effect w:val="none"/>
          </w:rPr>
          <w:t>Due Organization; Authority</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Seller is a corporation duly organized, validly existing and in good standing under the laws of the State of Delaware and has all necessary corporate power and authority to own, lease and operate its assets and to carry on its business as presently conducted. Seller has all necessary corporate power and authority to execute and deliver this Agreement, the Lock-Up Agreement and each other agreement, document and instrument contemplated hereby to be executed and delivered by Seller, to perform its obligations hereunder and thereunder, and to consummate the Contemplated Transactions to which Seller is a party.</w:t>
      </w:r>
    </w:p>
    <w:p>
      <w:pPr>
        <w:pStyle w:val="TextBody"/>
        <w:bidi w:val="0"/>
        <w:spacing w:lineRule="auto" w:line="288" w:before="0" w:after="20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2A.2</w:t>
        </w:r>
      </w:hyperlink>
      <w:hyperlink w:anchor="TOC">
        <w:r>
          <w:rPr>
            <w:rStyle w:val="InternetLink"/>
            <w:rFonts w:ascii="Times New Roman" w:hAnsi="Times New Roman"/>
            <w:b/>
            <w:strike w:val="false"/>
            <w:dstrike w:val="false"/>
            <w:color w:val="000000"/>
            <w:sz w:val="20"/>
            <w:u w:val="none"/>
            <w:effect w:val="none"/>
          </w:rPr>
          <w:t>Authorization; Binding Nature of Agreement</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sz w:val="20"/>
        </w:rPr>
        <w:t>The execution, delivery and performance by Seller of this Agreement, the Lock-Up Agreement and each other agreement, document and instrument contemplated hereby to be executed and delivered by Seller, and the consummation by Seller of the Contemplated Transactions to which Seller is a party, have been duly authorized by all necessary corporate action on the part of Seller. This Agreement has been duly executed and delivered by Seller and, assuming the due authorization, execution and delivery by Parent, Merger Sub and the Company, constitutes the legal, valid and binding obligation of Seller, enforceable against Seller in accordance with its terms, subject to: (a) applicable bankruptcy, insolvency, reorganization, moratorium and similar Laws affecting creditors</w:t>
      </w:r>
      <w:r>
        <w:rPr>
          <w:rFonts w:ascii="times new roman;times" w:hAnsi="times new roman;times"/>
          <w:sz w:val="20"/>
        </w:rPr>
        <w:t xml:space="preserve">’ </w:t>
      </w:r>
      <w:r>
        <w:rPr>
          <w:rFonts w:ascii="Times New Roman" w:hAnsi="Times New Roman"/>
          <w:sz w:val="20"/>
        </w:rPr>
        <w:t>rights generally; and (b) general equitable principles governing the availability of specific performance, injunctive relief and other equitable remedies.</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2A.3Ownership of Company Securities</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 xml:space="preserve">As of the date of this Agreement and immediately prior to the Effective Time, Seller is the sole record and beneficial owner of all of the issued and outstanding Company Capital Stock and other Company Equity Securities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All of the Company Capital Stock and other Company Equity Securities owned by Seller are owned by Seller free and clear of all Encumbrances, other than: (i) restrictions arising under applicable securities Laws; and (ii) such Encumbrances as are set forth in Part 2A.3 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 xml:space="preserve">Except as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 no Person other than Seller has any right, title or interest in or to any Company Capital Stock, any other Company Equity Securities, or any rights to</w:t>
      </w:r>
      <w:r>
        <w:rPr>
          <w:rFonts w:ascii="times new roman;times" w:hAnsi="times new roman;times"/>
          <w:sz w:val="20"/>
        </w:rPr>
        <w:t xml:space="preserve"> </w:t>
      </w:r>
      <w:r>
        <w:rPr>
          <w:rFonts w:ascii="Times New Roman" w:hAnsi="Times New Roman"/>
          <w:sz w:val="20"/>
        </w:rPr>
        <w:t>receive any portion of the Consideration Shares. Without limiting the foregoing, no Affiliate of Seller or any other Person has any economic participation right, profit-sharing right, contingent value right, royalty right or similar arrangement with respect to the Company or any Company Equity Securities, except as expressly set forth in Part 2A.3 of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 xml:space="preserve">Except as set forth in </w:t>
      </w:r>
      <w:r>
        <w:rPr>
          <w:rFonts w:ascii="Times New Roman" w:hAnsi="Times New Roman"/>
          <w:sz w:val="20"/>
          <w:u w:val="single"/>
        </w:rPr>
        <w:t>Part 2A.3</w:t>
      </w:r>
      <w:r>
        <w:rPr>
          <w:rFonts w:ascii="times new roman;times" w:hAnsi="times new roman;times"/>
          <w:sz w:val="20"/>
        </w:rPr>
        <w:t xml:space="preserve"> </w:t>
      </w:r>
      <w:r>
        <w:rPr>
          <w:rFonts w:ascii="Times New Roman" w:hAnsi="Times New Roman"/>
          <w:sz w:val="20"/>
        </w:rPr>
        <w:t>of the Company Disclosure Schedule, there are no voting trusts, proxies, stockholders</w:t>
      </w:r>
      <w:r>
        <w:rPr>
          <w:rFonts w:ascii="times new roman;times" w:hAnsi="times new roman;times"/>
          <w:sz w:val="20"/>
        </w:rPr>
        <w:t xml:space="preserve"> </w:t>
      </w:r>
      <w:r>
        <w:rPr>
          <w:rFonts w:ascii="Times New Roman" w:hAnsi="Times New Roman"/>
          <w:sz w:val="20"/>
        </w:rPr>
        <w:t>agreements, transfer restrictions, registration rights agreements, co-sale agreements, drag-along agreements, tag-along agreements, rights of first refusal, rights of first offer, preemptive rights, rights of participation, rights of maintenance or similar Contracts to which Seller is a party or by which any Company Capital Stock or other Company Equity Securities are bound. Nor are there any side letters, oral agreements or undisclosed understandings affecting Seller</w:t>
      </w:r>
      <w:r>
        <w:rPr>
          <w:rFonts w:ascii="times new roman;times" w:hAnsi="times new roman;times"/>
          <w:sz w:val="20"/>
        </w:rPr>
        <w:t>’</w:t>
      </w:r>
      <w:r>
        <w:rPr>
          <w:rFonts w:ascii="Times New Roman" w:hAnsi="Times New Roman"/>
          <w:sz w:val="20"/>
        </w:rPr>
        <w:t>s ownership of, or right to transfer, the Company Capital Stock or to receive the Consideration Shares.</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sz w:val="20"/>
          <w:u w:val="single"/>
        </w:rPr>
        <w:t>Part 2A.3(e)</w:t>
      </w:r>
      <w:r>
        <w:rPr>
          <w:rFonts w:ascii="times new roman;times" w:hAnsi="times new roman;times"/>
          <w:sz w:val="20"/>
        </w:rPr>
        <w:t xml:space="preserve"> </w:t>
      </w:r>
      <w:r>
        <w:rPr>
          <w:rFonts w:ascii="Times New Roman" w:hAnsi="Times New Roman"/>
          <w:sz w:val="20"/>
        </w:rPr>
        <w:t>of the Company Disclosure Schedule sets forth a true, correct and complete list of all Contracts, arrangements, liabilities, obligations and commitments, whether written or oral, between or among Seller or any of its Affiliates, on the one hand, and the Company or any Company Subsidiary, on the other hand, including any funding arrangement, note, services agreement, transition services agreement, lease, guarantee, sublicense, indemnification agreement, separation agreement, tax-sharing arrangement, employee or consultant sharing arrangement or any other related-party transaction. Except as set forth in Part 2A.3(e), no such arrangement exists.</w:t>
      </w:r>
    </w:p>
    <w:p>
      <w:pPr>
        <w:pStyle w:val="TextBody"/>
        <w:bidi w:val="0"/>
        <w:spacing w:lineRule="auto" w:line="288" w:before="0" w:after="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2A.4</w:t>
        </w:r>
      </w:hyperlink>
      <w:hyperlink w:anchor="TOC">
        <w:r>
          <w:rPr>
            <w:rStyle w:val="InternetLink"/>
            <w:rFonts w:ascii="Times New Roman" w:hAnsi="Times New Roman"/>
            <w:b/>
            <w:strike w:val="false"/>
            <w:dstrike w:val="false"/>
            <w:color w:val="000000"/>
            <w:sz w:val="20"/>
            <w:u w:val="none"/>
            <w:effect w:val="none"/>
          </w:rPr>
          <w:t>No Conflicts; Consents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 xml:space="preserve">Part 2A.4 </w:t>
      </w:r>
      <w:r>
        <w:rPr>
          <w:rFonts w:ascii="Times New Roman" w:hAnsi="Times New Roman"/>
          <w:sz w:val="20"/>
        </w:rPr>
        <w:t>of the Company Disclosure Schedule, neither the execution, delivery or performance by Seller of this Agreement, the Lock-Up Agreement or any other agreement, document or instrument contemplated hereby to which Seller is a party, nor the consummation by Seller of the Contemplated Transactions to which Seller is a party, will directly or indirectly, with or without notice or lapse of time:</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contravene, conflict</w:t>
      </w:r>
      <w:r>
        <w:rPr>
          <w:rFonts w:ascii="times new roman;times" w:hAnsi="times new roman;times"/>
          <w:sz w:val="20"/>
        </w:rPr>
        <w:t xml:space="preserve"> </w:t>
      </w:r>
      <w:r>
        <w:rPr>
          <w:rFonts w:ascii="Times New Roman" w:hAnsi="Times New Roman"/>
          <w:sz w:val="20"/>
        </w:rPr>
        <w:t>with or result in a violation of any provision of the certificate of incorporation, bylaws or other organizational documents of Seller;</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contravene, conflict with or result in a material violation of any applicable Law or any Order to which Seller or any of its material assets is subject;</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contravene, conflict with or result in a material breach of, or constitute a material default under, any Contract to which</w:t>
      </w:r>
      <w:r>
        <w:rPr>
          <w:rFonts w:ascii="times new roman;times" w:hAnsi="times new roman;times"/>
          <w:sz w:val="20"/>
        </w:rPr>
        <w:t xml:space="preserve"> </w:t>
      </w:r>
      <w:r>
        <w:rPr>
          <w:rFonts w:ascii="Times New Roman" w:hAnsi="Times New Roman"/>
          <w:sz w:val="20"/>
        </w:rPr>
        <w:t>Seller is a party or by which Seller or any of its material assets is bound;</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give any Person the right to prevent, delay, impair, terminate, modify or accelerate any obligation or right of Seller</w:t>
      </w:r>
      <w:r>
        <w:rPr>
          <w:rFonts w:ascii="times new roman;times" w:hAnsi="times new roman;times"/>
          <w:sz w:val="20"/>
        </w:rPr>
        <w:t xml:space="preserve"> </w:t>
      </w:r>
      <w:r>
        <w:rPr>
          <w:rFonts w:ascii="Times New Roman" w:hAnsi="Times New Roman"/>
          <w:sz w:val="20"/>
        </w:rPr>
        <w:t>under any such Contract in any manner that would reasonably be expected to prevent, materially delay or materially impair the consummation of the Contemplated Transactions; or</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sz w:val="20"/>
        </w:rPr>
        <w:t>result in the creation of any Encumbrance upon any Company Capital Stock, other Company Equity Securities or, to the Knowledge of Seller,</w:t>
      </w:r>
      <w:r>
        <w:rPr>
          <w:rFonts w:ascii="times new roman;times" w:hAnsi="times new roman;times"/>
          <w:sz w:val="20"/>
        </w:rPr>
        <w:t xml:space="preserve"> </w:t>
      </w:r>
      <w:r>
        <w:rPr>
          <w:rFonts w:ascii="Times New Roman" w:hAnsi="Times New Roman"/>
          <w:sz w:val="20"/>
        </w:rPr>
        <w:t>any portion of the Consideration Shares.</w:t>
      </w:r>
    </w:p>
    <w:p>
      <w:pPr>
        <w:pStyle w:val="TextBody"/>
        <w:bidi w:val="0"/>
        <w:spacing w:lineRule="auto" w:line="288" w:before="0" w:after="200"/>
        <w:ind w:left="0" w:right="0" w:hanging="0"/>
        <w:jc w:val="left"/>
        <w:rPr>
          <w:rFonts w:ascii="Times New Roman" w:hAnsi="Times New Roman"/>
          <w:sz w:val="20"/>
        </w:rPr>
      </w:pPr>
      <w:r>
        <w:rPr>
          <w:rFonts w:ascii="Times New Roman" w:hAnsi="Times New Roman"/>
          <w:sz w:val="20"/>
        </w:rPr>
        <w:t>Except as set forth in Part 2A.4 of the Company Disclosure Schedule, to the Knowledge of Seller, no Consent of any Governmental Body or other Person is required to be obtained by Seller in connection with the execution, delivery or performance of this Agreement, the Lock-Up Agreement or any other agreement, document or instrument contemplated hereby to which Seller is a party, or the consummation by Seller of the Contemplated Transactions to which Seller is a party.</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2A.5Litigation</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There is no pending Legal Proceeding, and, to the Knowledge of Seller, no Person has threatened in writing to commence any Legal Proceeding, against Seller that would reasonably be expected to: (a) prevent, materially delay or materially impair Seller</w:t>
      </w:r>
      <w:r>
        <w:rPr>
          <w:rFonts w:ascii="times new roman;times" w:hAnsi="times new roman;times"/>
          <w:sz w:val="20"/>
        </w:rPr>
        <w:t>’</w:t>
      </w:r>
      <w:r>
        <w:rPr>
          <w:rFonts w:ascii="Times New Roman" w:hAnsi="Times New Roman"/>
          <w:sz w:val="20"/>
        </w:rPr>
        <w:t>s ability to consummate the Contemplated Transactions; (b) adversely affect Seller</w:t>
      </w:r>
      <w:r>
        <w:rPr>
          <w:rFonts w:ascii="times new roman;times" w:hAnsi="times new roman;times"/>
          <w:sz w:val="20"/>
        </w:rPr>
        <w:t>’</w:t>
      </w:r>
      <w:r>
        <w:rPr>
          <w:rFonts w:ascii="Times New Roman" w:hAnsi="Times New Roman"/>
          <w:sz w:val="20"/>
        </w:rPr>
        <w:t>s ownership of the Company Capital Stock or other Company Equity Securities; or (c) challenge Seller</w:t>
      </w:r>
      <w:r>
        <w:rPr>
          <w:rFonts w:ascii="times new roman;times" w:hAnsi="times new roman;times"/>
          <w:sz w:val="20"/>
        </w:rPr>
        <w:t>’</w:t>
      </w:r>
      <w:r>
        <w:rPr>
          <w:rFonts w:ascii="Times New Roman" w:hAnsi="Times New Roman"/>
          <w:sz w:val="20"/>
        </w:rPr>
        <w:t>s right to receive the Consideration Shares. Without limiting the foregoing, there is no pending or, to the Knowledge of Seller, threatened Legal Proceeding arising out of or relating to (i) any relationship, arrangement or transaction between Seller and the Company or any Company Subsidiary, (ii) any separation, carve-out or reorganization involving the Company, (iii) any funding, indemnification or support arrangement, or (iv) any claim that any Liability of Seller or its Affiliates should be borne by the Company or any Company Subsidiary.</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 xml:space="preserve">Except as set forth in </w:t>
      </w:r>
      <w:r>
        <w:rPr>
          <w:rFonts w:ascii="Times New Roman" w:hAnsi="Times New Roman"/>
          <w:sz w:val="20"/>
          <w:u w:val="single"/>
        </w:rPr>
        <w:t>Part 2A.5(b)</w:t>
      </w:r>
      <w:r>
        <w:rPr>
          <w:rFonts w:ascii="times new roman;times" w:hAnsi="times new roman;times"/>
          <w:sz w:val="20"/>
        </w:rPr>
        <w:t xml:space="preserve"> </w:t>
      </w:r>
      <w:r>
        <w:rPr>
          <w:rFonts w:ascii="Times New Roman" w:hAnsi="Times New Roman"/>
          <w:sz w:val="20"/>
        </w:rPr>
        <w:t>of the Company Disclosure Schedule, to the Knowledge of Seller, no Affiliate of Seller has any claim, cause of action, right of reimbursement, right of indemnification, right of setoff, ownership claim, license claim or other right, contingent or otherwise, against the Company, any Company Subsidiary, or any of their respective assets</w:t>
      </w:r>
    </w:p>
    <w:p>
      <w:pPr>
        <w:pStyle w:val="TextBody"/>
        <w:bidi w:val="0"/>
        <w:spacing w:lineRule="auto" w:line="288" w:before="0" w:after="200"/>
        <w:ind w:left="500" w:right="0" w:firstLine="68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2A.6</w:t>
        </w:r>
      </w:hyperlink>
      <w:hyperlink w:anchor="TOC">
        <w:r>
          <w:rPr>
            <w:rStyle w:val="InternetLink"/>
            <w:rFonts w:ascii="Times New Roman" w:hAnsi="Times New Roman"/>
            <w:b/>
            <w:strike w:val="false"/>
            <w:dstrike w:val="false"/>
            <w:color w:val="000000"/>
            <w:sz w:val="20"/>
            <w:u w:val="none"/>
            <w:effect w:val="none"/>
          </w:rPr>
          <w:t>Brokers; Financial Advisors; Fees</w:t>
        </w:r>
      </w:hyperlink>
      <w:hyperlink w:anchor="TOC">
        <w:r>
          <w:rPr>
            <w:rStyle w:val="InternetLink"/>
            <w:rFonts w:ascii="Times New Roman" w:hAnsi="Times New Roman"/>
            <w:strike w:val="false"/>
            <w:dstrike w:val="false"/>
            <w:color w:val="000000"/>
            <w:sz w:val="20"/>
            <w:u w:val="none"/>
            <w:effect w:val="none"/>
          </w:rPr>
          <w:t>.</w:t>
        </w:r>
      </w:hyperlink>
      <w:r>
        <w:rPr>
          <w:rFonts w:ascii="Times New Roman" w:hAnsi="Times New Roman"/>
          <w:sz w:val="20"/>
        </w:rPr>
        <w:t xml:space="preserve"> Except as set forth in </w:t>
      </w:r>
      <w:r>
        <w:rPr>
          <w:rFonts w:ascii="Times New Roman" w:hAnsi="Times New Roman"/>
          <w:sz w:val="20"/>
          <w:u w:val="single"/>
        </w:rPr>
        <w:t>Part 2A.6</w:t>
      </w:r>
      <w:r>
        <w:rPr>
          <w:rFonts w:ascii="times new roman;times" w:hAnsi="times new roman;times"/>
          <w:sz w:val="20"/>
        </w:rPr>
        <w:t xml:space="preserve"> </w:t>
      </w:r>
      <w:r>
        <w:rPr>
          <w:rFonts w:ascii="Times New Roman" w:hAnsi="Times New Roman"/>
          <w:sz w:val="20"/>
        </w:rPr>
        <w:t>of the Company Disclosure Schedule, including the engagement of ThinkEquity LLC and any fees or other compensation expressly contemplated by this Agreement, no broker, finder, investment banker, financial advisor, consultant or other Person is entitled to any brokerage fee, finder</w:t>
      </w:r>
      <w:r>
        <w:rPr>
          <w:rFonts w:ascii="times new roman;times" w:hAnsi="times new roman;times"/>
          <w:sz w:val="20"/>
        </w:rPr>
        <w:t>’</w:t>
      </w:r>
      <w:r>
        <w:rPr>
          <w:rFonts w:ascii="Times New Roman" w:hAnsi="Times New Roman"/>
          <w:sz w:val="20"/>
        </w:rPr>
        <w:t>s fee, opinion fee, success fee, transaction fee, equity issuance, warrant value, reimbursement or other fee or commission in connection with the Contemplated Transactions based upon arrangements made by or on behalf of Seller or any of its Affiliates.</w:t>
      </w:r>
    </w:p>
    <w:p>
      <w:pPr>
        <w:pStyle w:val="TextBody"/>
        <w:bidi w:val="0"/>
        <w:spacing w:lineRule="auto" w:line="288" w:before="0" w:after="200"/>
        <w:ind w:left="500" w:right="0" w:firstLine="680"/>
        <w:jc w:val="left"/>
        <w:rPr/>
      </w:pPr>
      <w:hyperlink w:anchor="TOC">
        <w:r>
          <w:rPr>
            <w:rStyle w:val="InternetLink"/>
            <w:rFonts w:ascii="Times New Roman" w:hAnsi="Times New Roman"/>
            <w:b/>
            <w:strike w:val="false"/>
            <w:dstrike w:val="false"/>
            <w:color w:val="000000"/>
            <w:sz w:val="20"/>
            <w:u w:val="none"/>
            <w:effect w:val="none"/>
          </w:rPr>
          <w:t>2A.7ThinkEquity</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LLC</w:t>
        </w:r>
      </w:hyperlink>
      <w:hyperlink w:anchor="TOC">
        <w:r>
          <w:rPr>
            <w:rStyle w:val="InternetLink"/>
            <w:rFonts w:ascii="Times New Roman" w:hAnsi="Times New Roman"/>
            <w:strike w:val="false"/>
            <w:dstrike w:val="false"/>
            <w:color w:val="000000"/>
            <w:sz w:val="20"/>
            <w:u w:val="none"/>
            <w:effect w:val="none"/>
          </w:rPr>
          <w:t>.</w:t>
        </w:r>
      </w:hyperlink>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u w:val="single"/>
        </w:rPr>
        <w:t>Part 2A.7(a)</w:t>
      </w:r>
      <w:r>
        <w:rPr>
          <w:rFonts w:ascii="times new roman;times" w:hAnsi="times new roman;times"/>
          <w:sz w:val="20"/>
        </w:rPr>
        <w:t xml:space="preserve"> </w:t>
      </w:r>
      <w:r>
        <w:rPr>
          <w:rFonts w:ascii="Times New Roman" w:hAnsi="Times New Roman"/>
          <w:sz w:val="20"/>
        </w:rPr>
        <w:t>of the Company Disclosure Schedule sets forth a true, correct and complete description of all Contracts, understandings and arrangements between Seller</w:t>
      </w:r>
      <w:r>
        <w:rPr>
          <w:rFonts w:ascii="times new roman;times" w:hAnsi="times new roman;times"/>
          <w:sz w:val="20"/>
        </w:rPr>
        <w:t xml:space="preserve"> </w:t>
      </w:r>
      <w:r>
        <w:rPr>
          <w:rFonts w:ascii="Times New Roman" w:hAnsi="Times New Roman"/>
          <w:sz w:val="20"/>
        </w:rPr>
        <w:t>and the Company, on the one hand, and ThinkEquity LLC, on the other hand, relating to the Contemplated Transactions.</w:t>
      </w:r>
    </w:p>
    <w:p>
      <w:pPr>
        <w:pStyle w:val="TextBody"/>
        <w:bidi w:val="0"/>
        <w:spacing w:lineRule="auto" w:line="288" w:before="0" w:after="200"/>
        <w:ind w:left="450" w:right="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Except as set forth in</w:t>
      </w:r>
      <w:r>
        <w:rPr>
          <w:rFonts w:ascii="times new roman;times" w:hAnsi="times new roman;times"/>
          <w:sz w:val="20"/>
        </w:rPr>
        <w:t xml:space="preserve"> </w:t>
      </w:r>
      <w:r>
        <w:rPr>
          <w:rFonts w:ascii="Times New Roman" w:hAnsi="Times New Roman"/>
          <w:sz w:val="20"/>
          <w:u w:val="single"/>
        </w:rPr>
        <w:t>Part 2A.7</w:t>
      </w:r>
      <w:r>
        <w:rPr>
          <w:rFonts w:ascii="times new roman;times" w:hAnsi="times new roman;times"/>
          <w:sz w:val="20"/>
        </w:rPr>
        <w:t xml:space="preserve"> </w:t>
      </w:r>
      <w:r>
        <w:rPr>
          <w:rFonts w:ascii="Times New Roman" w:hAnsi="Times New Roman"/>
          <w:sz w:val="20"/>
        </w:rPr>
        <w:t>of the Company Disclosure Schedule, neither ThinkEquity LLC nor any of its</w:t>
      </w:r>
      <w:r>
        <w:rPr>
          <w:rFonts w:ascii="times new roman;times" w:hAnsi="times new roman;times"/>
          <w:sz w:val="20"/>
        </w:rPr>
        <w:t xml:space="preserve"> </w:t>
      </w:r>
      <w:r>
        <w:rPr>
          <w:rFonts w:ascii="Times New Roman" w:hAnsi="Times New Roman"/>
          <w:sz w:val="20"/>
        </w:rPr>
        <w:t>Affiliates has any right to receive any payment, fee, reimbursement, equity interest, warrant value or other consideration in connection with the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5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2A.8</w:t>
      </w:r>
      <w:r>
        <w:rPr>
          <w:rFonts w:ascii="Times New Roman" w:hAnsi="Times New Roman"/>
          <w:b/>
          <w:sz w:val="20"/>
        </w:rPr>
        <w:t>Lock-Up Agreement</w:t>
      </w:r>
      <w:r>
        <w:rPr>
          <w:rFonts w:ascii="Times New Roman" w:hAnsi="Times New Roman"/>
          <w:sz w:val="20"/>
        </w:rPr>
        <w:t>. Concurrently with the execution and delivery of this Agreement, Seller has executed and delivered the Lock-Up Agreement, and the Lock-Up Agreement constitutes the legal, valid and binding obligation of Seller, enforceable against Seller in accordance with its terms, subject to: (a) applicable bankruptcy, insolvency, reorganization, moratorium and similar Laws affecting creditors</w:t>
      </w:r>
      <w:r>
        <w:rPr>
          <w:rFonts w:ascii="times new roman;times" w:hAnsi="times new roman;times"/>
          <w:sz w:val="20"/>
        </w:rPr>
        <w:t xml:space="preserve">’ </w:t>
      </w:r>
      <w:r>
        <w:rPr>
          <w:rFonts w:ascii="Times New Roman" w:hAnsi="Times New Roman"/>
          <w:sz w:val="20"/>
        </w:rPr>
        <w:t>rights generally; and (b) general equitable principles governing the availability of specific performance, injunctive relief and other equitable remedies.</w:t>
      </w:r>
    </w:p>
    <w:p>
      <w:pPr>
        <w:pStyle w:val="TextBody"/>
        <w:bidi w:val="0"/>
        <w:spacing w:lineRule="auto" w:line="288" w:before="0" w:after="200"/>
        <w:ind w:left="5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2A.9</w:t>
      </w:r>
      <w:r>
        <w:rPr>
          <w:rFonts w:ascii="Times New Roman" w:hAnsi="Times New Roman"/>
          <w:b/>
          <w:sz w:val="20"/>
        </w:rPr>
        <w:t>Company Shareholder Approval</w:t>
      </w:r>
      <w:r>
        <w:rPr>
          <w:rFonts w:ascii="Times New Roman" w:hAnsi="Times New Roman"/>
          <w:sz w:val="20"/>
        </w:rPr>
        <w:t xml:space="preserve">. Seller, in its capacity as the sole holder of all of the issued and outstanding Company Capital Stock entitled to vote thereon, has approved, or will approve in accordance with </w:t>
      </w:r>
      <w:r>
        <w:rPr>
          <w:rFonts w:ascii="Times New Roman" w:hAnsi="Times New Roman"/>
          <w:sz w:val="20"/>
          <w:u w:val="single"/>
        </w:rPr>
        <w:t>Section 5.2</w:t>
      </w:r>
      <w:r>
        <w:rPr>
          <w:rFonts w:ascii="Times New Roman" w:hAnsi="Times New Roman"/>
          <w:sz w:val="20"/>
        </w:rPr>
        <w:t>, this Agreement, the Merger and the other Contemplated Transactions for which Company stockholder approval is required under the DGCL or the Company</w:t>
      </w:r>
      <w:r>
        <w:rPr>
          <w:rFonts w:ascii="times new roman;times" w:hAnsi="times new roman;times"/>
          <w:sz w:val="20"/>
        </w:rPr>
        <w:t>’</w:t>
      </w:r>
      <w:r>
        <w:rPr>
          <w:rFonts w:ascii="Times New Roman" w:hAnsi="Times New Roman"/>
          <w:sz w:val="20"/>
        </w:rPr>
        <w:t>s organizational documents. No vote or consent of any other holder of Company Capital Stock or other Company Equity Securities is required to adopt this Agreement, approve the Merger or approve the other Contemplated Transactions.</w:t>
      </w:r>
    </w:p>
    <w:p>
      <w:pPr>
        <w:pStyle w:val="TextBody"/>
        <w:bidi w:val="0"/>
        <w:spacing w:lineRule="auto" w:line="288" w:before="0" w:after="200"/>
        <w:ind w:left="34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 xml:space="preserve">2A.10 </w:t>
      </w:r>
      <w:r>
        <w:rPr>
          <w:rFonts w:ascii="Times New Roman" w:hAnsi="Times New Roman"/>
          <w:b/>
          <w:sz w:val="20"/>
        </w:rPr>
        <w:t>Solvency; No Distribution of Company Securities</w:t>
      </w:r>
      <w:r>
        <w:rPr>
          <w:rFonts w:ascii="Times New Roman" w:hAnsi="Times New Roman"/>
          <w:sz w:val="20"/>
        </w:rPr>
        <w:t>.</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sz w:val="20"/>
        </w:rPr>
        <w:t>Seller is not entering into this Agreement or consummating the Contemplated Transactions with the intent to hinder, delay</w:t>
      </w:r>
      <w:r>
        <w:rPr>
          <w:rFonts w:ascii="times new roman;times" w:hAnsi="times new roman;times"/>
          <w:sz w:val="20"/>
        </w:rPr>
        <w:t xml:space="preserve"> </w:t>
      </w:r>
      <w:r>
        <w:rPr>
          <w:rFonts w:ascii="Times New Roman" w:hAnsi="Times New Roman"/>
          <w:sz w:val="20"/>
        </w:rPr>
        <w:t>or defraud either present or future creditors of Seller or the Company.</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sz w:val="20"/>
        </w:rPr>
        <w:t>Except as expressly set forth in this Agreement, Seller has not distributed, and will not distribute, transfer, assign, pledge or otherwise dispose of any Company Capital Stock or other Company Equity Securities between the date of this Agreement and the Effective Time.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sz w:val="20"/>
        </w:rPr>
        <w:t>Seller is not aware of any condition, event or circumstance that would reasonably be expected to result in the Company being insolvent, unable to pay its debts as they become due, or unable to continue as a going concern immediately following the Effective Time, except as expressly disclosed in the Company Disclosure Schedule.</w:t>
      </w:r>
    </w:p>
    <w:p>
      <w:pPr>
        <w:pStyle w:val="TextBody"/>
        <w:bidi w:val="0"/>
        <w:spacing w:lineRule="auto" w:line="288" w:before="0" w:after="200"/>
        <w:ind w:left="0" w:right="450" w:firstLine="1560"/>
        <w:jc w:val="left"/>
        <w:rPr>
          <w:rFonts w:ascii="times new roman;times" w:hAnsi="times new roman;times"/>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sz w:val="20"/>
        </w:rPr>
        <w:t>Neither Seller nor any of its Affiliates has provided notice to the Company of any intention to terminate, reduce or materially modify any funding, support, services, guarantee or other arrangement with the Company or any Company Subsidiary prior to the Effective Time, except as set forth in the Company Disclosure Schedule.</w:t>
      </w:r>
    </w:p>
    <w:p>
      <w:pPr>
        <w:pStyle w:val="TextBody"/>
        <w:bidi w:val="0"/>
        <w:spacing w:lineRule="auto" w:line="288" w:before="0" w:after="0"/>
        <w:ind w:left="400" w:right="0" w:firstLine="680"/>
        <w:jc w:val="left"/>
        <w:rPr>
          <w:rFonts w:ascii="times new roman;times" w:hAnsi="times new roman;times"/>
          <w:sz w:val="20"/>
        </w:rPr>
      </w:pPr>
      <w:r>
        <w:rPr>
          <w:rFonts w:ascii="Times New Roman" w:hAnsi="Times New Roman"/>
          <w:b/>
          <w:i w:val="false"/>
          <w:caps w:val="false"/>
          <w:smallCaps w:val="false"/>
          <w:strike w:val="false"/>
          <w:dstrike w:val="false"/>
          <w:sz w:val="20"/>
          <w:u w:val="none"/>
          <w:effect w:val="none"/>
        </w:rPr>
        <w:t>2A.11</w:t>
      </w:r>
      <w:r>
        <w:rPr>
          <w:rFonts w:ascii="Times New Roman" w:hAnsi="Times New Roman"/>
          <w:b/>
          <w:sz w:val="20"/>
        </w:rPr>
        <w:t>No Other Representations or Warranties</w:t>
      </w:r>
      <w:r>
        <w:rPr>
          <w:rFonts w:ascii="Times New Roman" w:hAnsi="Times New Roman"/>
          <w:sz w:val="20"/>
        </w:rPr>
        <w:t xml:space="preserve">. Except for the representations and warranties expressly set forth in this Agreement, neither Seller nor any other Person on behalf of Seller makes any express or implied representation or warranty with respect to Seller, the Company, the Company Capital Stock, the other Company Equity Securities or otherwise in connection with the Contemplated Transactions. Notwithstanding the foregoing, nothing in this </w:t>
      </w:r>
      <w:r>
        <w:rPr>
          <w:rFonts w:ascii="Times New Roman" w:hAnsi="Times New Roman"/>
          <w:sz w:val="20"/>
          <w:u w:val="single"/>
        </w:rPr>
        <w:t>Section 2A.11</w:t>
      </w:r>
      <w:r>
        <w:rPr>
          <w:rFonts w:ascii="times new roman;times" w:hAnsi="times new roman;times"/>
          <w:sz w:val="20"/>
        </w:rPr>
        <w:t xml:space="preserve"> </w:t>
      </w:r>
      <w:r>
        <w:rPr>
          <w:rFonts w:ascii="Times New Roman" w:hAnsi="Times New Roman"/>
          <w:sz w:val="20"/>
        </w:rPr>
        <w:t xml:space="preserve">shall limit or restrict the representations and warranties of Seller expressly set forth in this </w:t>
      </w:r>
      <w:r>
        <w:rPr>
          <w:rFonts w:ascii="Times New Roman" w:hAnsi="Times New Roman"/>
          <w:sz w:val="20"/>
          <w:u w:val="single"/>
        </w:rPr>
        <w:t>Article 2A</w:t>
      </w:r>
      <w:r>
        <w:rPr>
          <w:rFonts w:ascii="times new roman;times" w:hAnsi="times new roman;times"/>
          <w:sz w:val="20"/>
        </w:rPr>
        <w:t xml:space="preserve"> </w:t>
      </w:r>
      <w:r>
        <w:rPr>
          <w:rFonts w:ascii="Times New Roman" w:hAnsi="Times New Roman"/>
          <w:sz w:val="20"/>
        </w:rPr>
        <w:t>or in any certificate delivered pursuant to this Agreement.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3</w:t>
        </w:r>
      </w:hyperlink>
    </w:p>
    <w:p>
      <w:pPr>
        <w:pStyle w:val="TextBody"/>
        <w:bidi w:val="0"/>
        <w:spacing w:lineRule="auto" w:line="288" w:before="0" w:after="0"/>
        <w:ind w:left="0" w:right="0" w:hanging="0"/>
        <w:jc w:val="center"/>
        <w:rPr/>
      </w:pPr>
      <w:hyperlink w:anchor="TOC">
        <w:r>
          <w:rPr/>
        </w:r>
      </w:hyperlink>
    </w:p>
    <w:p>
      <w:pPr>
        <w:pStyle w:val="TextBody"/>
        <w:bidi w:val="0"/>
        <w:spacing w:lineRule="auto" w:line="288"/>
        <w:ind w:left="0" w:right="0" w:hanging="0"/>
        <w:jc w:val="center"/>
        <w:rPr/>
      </w:pPr>
      <w:hyperlink w:anchor="TOC">
        <w:r>
          <w:rPr>
            <w:rStyle w:val="InternetLink"/>
            <w:rFonts w:ascii="Times New Roman" w:hAnsi="Times New Roman"/>
            <w:b/>
            <w:caps/>
            <w:strike w:val="false"/>
            <w:dstrike w:val="false"/>
            <w:color w:val="000000"/>
            <w:sz w:val="20"/>
            <w:u w:val="none"/>
            <w:effect w:val="none"/>
          </w:rPr>
          <w:t>REPRESENTATIONS AND WARRANTIES OF PARENT AND MERGER SUB</w:t>
        </w:r>
      </w:hyperlink>
    </w:p>
    <w:p>
      <w:pPr>
        <w:pStyle w:val="TextBody"/>
        <w:bidi w:val="0"/>
        <w:spacing w:lineRule="auto" w:line="288" w:before="0" w:after="0"/>
        <w:ind w:left="0" w:right="0" w:hanging="0"/>
        <w:jc w:val="left"/>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Parent and Merger Sub represent and warrant to the Company and Seller as follows, except as set forth in (a) the written disclosure schedule delivered by Parent to the Company (the </w:t>
      </w:r>
      <w:r>
        <w:rPr>
          <w:rFonts w:ascii="times new roman;times" w:hAnsi="times new roman;times"/>
          <w:sz w:val="20"/>
        </w:rPr>
        <w:t>“</w:t>
      </w:r>
      <w:r>
        <w:rPr>
          <w:rFonts w:ascii="Times New Roman" w:hAnsi="Times New Roman"/>
          <w:b/>
          <w:i/>
          <w:sz w:val="20"/>
        </w:rPr>
        <w:t>Parent Disclosure Schedule</w:t>
      </w:r>
      <w:r>
        <w:rPr>
          <w:rFonts w:ascii="times new roman;times" w:hAnsi="times new roman;times"/>
          <w:sz w:val="20"/>
        </w:rPr>
        <w:t>”</w:t>
      </w:r>
      <w:r>
        <w:rPr>
          <w:rFonts w:ascii="Times New Roman" w:hAnsi="Times New Roman"/>
          <w:sz w:val="20"/>
        </w:rPr>
        <w:t>) or (b) the Parent SEC Documents filed with or furnished to the SEC by Parent on or after January 1, 2024 and publicly available on the SEC</w:t>
      </w:r>
      <w:r>
        <w:rPr>
          <w:rFonts w:ascii="times new roman;times" w:hAnsi="times new roman;times"/>
          <w:sz w:val="20"/>
        </w:rPr>
        <w:t>’</w:t>
      </w:r>
      <w:r>
        <w:rPr>
          <w:rFonts w:ascii="Times New Roman" w:hAnsi="Times New Roman"/>
          <w:sz w:val="20"/>
        </w:rPr>
        <w:t xml:space="preserve">s EDGAR system on or before one (1) Business Day prior to the date of this Agreement; provided, however, that (i) disclosures contained under the heading </w:t>
      </w:r>
      <w:r>
        <w:rPr>
          <w:rFonts w:ascii="times new roman;times" w:hAnsi="times new roman;times"/>
          <w:sz w:val="20"/>
        </w:rPr>
        <w:t>“</w:t>
      </w:r>
      <w:r>
        <w:rPr>
          <w:rFonts w:ascii="Times New Roman" w:hAnsi="Times New Roman"/>
          <w:sz w:val="20"/>
        </w:rPr>
        <w:t>Risk Factors</w:t>
      </w:r>
      <w:r>
        <w:rPr>
          <w:rFonts w:ascii="times new roman;times" w:hAnsi="times new roman;times"/>
          <w:sz w:val="20"/>
        </w:rPr>
        <w:t xml:space="preserve">” </w:t>
      </w:r>
      <w:r>
        <w:rPr>
          <w:rFonts w:ascii="Times New Roman" w:hAnsi="Times New Roman"/>
          <w:sz w:val="20"/>
        </w:rPr>
        <w:t xml:space="preserve">or in any forward-looking statements disclaimer, and any other disclosures that are predictive, cautionary or forward-looking in nature, shall not be deemed to qualify any representation or warranty in this </w:t>
      </w:r>
      <w:r>
        <w:rPr>
          <w:rFonts w:ascii="Times New Roman" w:hAnsi="Times New Roman"/>
          <w:sz w:val="20"/>
          <w:u w:val="single"/>
        </w:rPr>
        <w:t>Article 3</w:t>
      </w:r>
      <w:r>
        <w:rPr>
          <w:rFonts w:ascii="Times New Roman" w:hAnsi="Times New Roman"/>
          <w:sz w:val="20"/>
        </w:rPr>
        <w:t xml:space="preserve">, and (ii) in the event of any inconsistency between the Parent Disclosure Schedule and the Parent SEC Documents, the Parent Disclosure Schedule shall control. The Parent Disclosure Schedule shall be arranged in sections and subsections corresponding to the numbered and lettered sections and subsections contained in this </w:t>
      </w:r>
      <w:r>
        <w:rPr>
          <w:rFonts w:ascii="Times New Roman" w:hAnsi="Times New Roman"/>
          <w:sz w:val="20"/>
          <w:u w:val="single"/>
        </w:rPr>
        <w:t>Article 3</w:t>
      </w:r>
      <w:r>
        <w:rPr>
          <w:rFonts w:ascii="Times New Roman" w:hAnsi="Times New Roman"/>
          <w:sz w:val="20"/>
        </w:rPr>
        <w:t xml:space="preserve">. The disclosures in any section or subsection of the Parent Disclosure Schedule shall qualify other sections and subsections in this </w:t>
      </w:r>
      <w:r>
        <w:rPr>
          <w:rFonts w:ascii="Times New Roman" w:hAnsi="Times New Roman"/>
          <w:sz w:val="20"/>
          <w:u w:val="single"/>
        </w:rPr>
        <w:t>Article 3</w:t>
      </w:r>
      <w:r>
        <w:rPr>
          <w:rFonts w:ascii="times new roman;times" w:hAnsi="times new roman;times"/>
          <w:sz w:val="20"/>
        </w:rPr>
        <w:t xml:space="preserve"> </w:t>
      </w:r>
      <w:r>
        <w:rPr>
          <w:rFonts w:ascii="Times New Roman" w:hAnsi="Times New Roman"/>
          <w:sz w:val="20"/>
        </w:rPr>
        <w:t>only to the extent it is reasonably apparent on its face that such disclosure is applicable to such other sections and subsections.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3.1Subsidiaries; Due Organization;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Other than Merger Sub and the Entities identified in Part 3.1(a) of the Parent Disclosure Schedule, Parent has no Subsidiaries. Parent has not agreed nor is obligated to make, nor is bound by any Contract under which it may become obligated to make, any future investment in or capital contribution to any other Entity. Parent has not, at any time, been a general partner of, or has otherwise been liable for any of the debts or other obligations of, any general partnership, limited partnership or other Entity. Merger Sub was formed solely for purposes of engaging in the transactions contemplated by this Agreement and has not engaged in any business activity other than in connection with the transactions contemplated hereby.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of Parent and the Parent Subsidiaries is a corporation or company, as applicable,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of Parent and the Parent Subsidiaries is qualified to do business as a foreign corporation or company, as applicable, and is in good standing (or the equivalent thereof, if applicable, with respect to the jurisdictions that recognize the concept of good standing or any equivalent thereof), under the laws of all jurisdictions where the nature of its business requires such qualification other than in jurisdictions where the failure to be so qualified individually or in the aggregate would not be reasonably expected to have a Parent Material Adverse Effect.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w:t>
        </w:r>
      </w:hyperlink>
      <w:hyperlink w:anchor="TOC">
        <w:r>
          <w:rPr>
            <w:rStyle w:val="InternetLink"/>
            <w:rFonts w:ascii="Times New Roman" w:hAnsi="Times New Roman"/>
            <w:b/>
            <w:strike w:val="false"/>
            <w:dstrike w:val="false"/>
            <w:color w:val="000000"/>
            <w:sz w:val="20"/>
            <w:u w:val="none"/>
            <w:effect w:val="none"/>
          </w:rPr>
          <w:t>Articles of Incorporation; Bylaws; Charters and Codes of Conduct</w:t>
        </w:r>
      </w:hyperlink>
      <w:r>
        <w:rPr>
          <w:rFonts w:ascii="Times New Roman" w:hAnsi="Times New Roman"/>
          <w:b w:val="false"/>
          <w:sz w:val="20"/>
        </w:rPr>
        <w:t>. Parent has made available to the Company true, correct and complete copies of the articles of incorporation, bylaws and other charter and organizational documents, including all amendments thereto, for Parent and each Parent Subsidiary. Neither Parent nor any Parent Subsidiary has taken any action in breach or violation in any material respect of any of the material provisions of its articles of incorporation, bylaws and other charter and organizational documents and is not in material breach thereof.</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A-29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3.3Capitalization, Etc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authorized capital stock of Parent, and the issued and outstanding shares of Parent Capital Stock as of the date of this Agreement, are set forth in Part 3.3(a) of the Parent Disclosure Schedule. All of the issued and outstanding shares of Parent Common Stock have been duly authorized and validly issued, are fully paid and nonassessable, and were issued in compliance in all material respects with applicable Law and all applicable Contracts. Parent does not hold any shares of its capital stock in treasury.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Part 3.3(b) of the Parent Disclosure Schedule sets forth a true, correct and complete list of all outstanding Parent Options, Parent RSUs, Parent Warrants and other rights to acquire Parent Capital Stock, together with the holder, the number or amount outstanding, the exercise or conversion price, if any, and the treatment of each such security in connection with the Contemplated Transactions, if applicable. Except as set forth in Part 3.3(b) of the Parent Disclosure Schedule, there is no: (i) outstanding subscription, option, call, warrant, stock appreciation right, phantom equity right, restricted stock unit, convertible security, preemptive right, right of first refusal, right of participation, anti-dilution right or other right to acquire any Parent Capital Stock or other securities of Parent or any Parent Subsidiary; (ii) outstanding security, instrument or obligation that is or may become convertible into or exchangeable for any Parent Capital Stock or other securities of Parent or any Parent Subsidiary; or (iii) Contract under which Parent or any Parent Subsidiary is or may become obligated to issue, sell, redeem, repurchase or otherwise acquire any Parent Capital Stock or other securities.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Part 3.3(c) of the Parent Disclosure Schedule sets forth a true, correct and complete capitalization table of Parent as of the date of this Agreement and, for illustrative purposes only, a pro forma capitalization table reflecting the issuance of the Consideration Shares, the shares to be issued in the Financing and any Advisor Shares contemplated hereby.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has sufficient authorized but unissued shares of Parent Common Stock, or will have such shares prior to Closing, to issue the Consideration Shares, the shares to be issued in the Financing and any Advisor Shares contemplated by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3.4SEC Filings; Financial Statements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Parent has made available to the Company accurate and complete copies of all registration statements, proxy statements, Certifications (as defined below) and other statements, reports, schedules, forms and other documents filed by Parent with the SEC since January 1, 2024 (collectively, and together with any exhibits and schedules thereto and other information incorporated therein, and as they have been supplemented, modified or amended since the time of filing, the </w:t>
      </w:r>
      <w:r>
        <w:rPr>
          <w:rFonts w:ascii="times new roman;times" w:hAnsi="times new roman;times"/>
          <w:b w:val="false"/>
          <w:sz w:val="20"/>
        </w:rPr>
        <w:t>“</w:t>
      </w:r>
      <w:r>
        <w:rPr>
          <w:rFonts w:ascii="Times New Roman" w:hAnsi="Times New Roman"/>
          <w:b/>
          <w:i/>
          <w:sz w:val="20"/>
        </w:rPr>
        <w:t>Parent SEC Documents</w:t>
      </w:r>
      <w:r>
        <w:rPr>
          <w:rFonts w:ascii="times new roman;times" w:hAnsi="times new roman;times"/>
          <w:b w:val="false"/>
          <w:sz w:val="20"/>
        </w:rPr>
        <w:t>”</w:t>
      </w:r>
      <w:r>
        <w:rPr>
          <w:rFonts w:ascii="Times New Roman" w:hAnsi="Times New Roman"/>
          <w:b w:val="false"/>
          <w:sz w:val="20"/>
        </w:rPr>
        <w:t>), other than such documents that can be obtained on the SEC</w:t>
      </w:r>
      <w:r>
        <w:rPr>
          <w:rFonts w:ascii="times new roman;times" w:hAnsi="times new roman;times"/>
          <w:b w:val="false"/>
          <w:sz w:val="20"/>
        </w:rPr>
        <w:t>’</w:t>
      </w:r>
      <w:r>
        <w:rPr>
          <w:rFonts w:ascii="Times New Roman" w:hAnsi="Times New Roman"/>
          <w:b w:val="false"/>
          <w:sz w:val="20"/>
        </w:rPr>
        <w:t>s website at</w:t>
      </w:r>
      <w:r>
        <w:rPr>
          <w:rFonts w:ascii="times new roman;times" w:hAnsi="times new roman;times"/>
          <w:b w:val="false"/>
          <w:sz w:val="20"/>
        </w:rPr>
        <w:t xml:space="preserve"> </w:t>
      </w:r>
      <w:r>
        <w:rPr>
          <w:rFonts w:ascii="Times New Roman" w:hAnsi="Times New Roman"/>
          <w:b w:val="false"/>
          <w:i/>
          <w:sz w:val="20"/>
        </w:rPr>
        <w:t>www.sec.gov</w:t>
      </w:r>
      <w:r>
        <w:rPr>
          <w:rFonts w:ascii="Times New Roman" w:hAnsi="Times New Roman"/>
          <w:b w:val="false"/>
          <w:sz w:val="20"/>
        </w:rPr>
        <w:t>. Except as set forth in Part 3.4(a) of the Parent Disclosure Schedule, all material statements, reports, schedules, forms and other documents required to have been filed by Parent or its officers with the SEC have been so filed on a timely basis. As of the time it was filed with the SEC (or, if amended or</w:t>
      </w:r>
      <w:r>
        <w:rPr>
          <w:rFonts w:ascii="times new roman;times" w:hAnsi="times new roman;times"/>
          <w:b w:val="false"/>
          <w:sz w:val="20"/>
        </w:rPr>
        <w:t xml:space="preserve"> </w:t>
      </w:r>
      <w:r>
        <w:rPr>
          <w:rFonts w:ascii="Times New Roman" w:hAnsi="Times New Roman"/>
          <w:b w:val="false"/>
          <w:sz w:val="20"/>
        </w:rPr>
        <w:t>superseded by a filing prior to the date of this Agreement, then on the date of such filing), each of the Parent SEC Documents complied in all material respects with the applicable requirements of the Securities Act or the Exchange Act (as the case may be) and, to Parent</w:t>
      </w:r>
      <w:r>
        <w:rPr>
          <w:rFonts w:ascii="times new roman;times" w:hAnsi="times new roman;times"/>
          <w:b w:val="false"/>
          <w:sz w:val="20"/>
        </w:rPr>
        <w:t>’</w:t>
      </w:r>
      <w:r>
        <w:rPr>
          <w:rFonts w:ascii="Times New Roman" w:hAnsi="Times New Roman"/>
          <w:b w:val="false"/>
          <w:sz w:val="20"/>
        </w:rPr>
        <w:t xml:space="preserve">s Knowledge, as of the time they were filed, none of the Parent SEC Documents contained any untrue statement of a material fact or omitted to state a material fact required to be stated therein or necessary in order to make the statements therein, in the light of the circumstances under which they were made, not misleading, except to the extent that the information in such Parent SEC Document has been amended or superseded by a later Parent SEC Document filed prior to the date hereof. The certifications and statements required by (A) Rule 13a-14 under the Exchange Act and (B) 18 U.S.C. §1350 (Section 906 of the Sarbanes-Oxley Act) relating to the Parent SEC Documents (collectively, the </w:t>
      </w:r>
      <w:r>
        <w:rPr>
          <w:rFonts w:ascii="times new roman;times" w:hAnsi="times new roman;times"/>
          <w:b w:val="false"/>
          <w:sz w:val="20"/>
        </w:rPr>
        <w:t>“</w:t>
      </w:r>
      <w:r>
        <w:rPr>
          <w:rFonts w:ascii="Times New Roman" w:hAnsi="Times New Roman"/>
          <w:b/>
          <w:i/>
          <w:sz w:val="20"/>
        </w:rPr>
        <w:t>Certifications</w:t>
      </w:r>
      <w:r>
        <w:rPr>
          <w:rFonts w:ascii="times new roman;times" w:hAnsi="times new roman;times"/>
          <w:b w:val="false"/>
          <w:sz w:val="20"/>
        </w:rPr>
        <w:t>”</w:t>
      </w:r>
      <w:r>
        <w:rPr>
          <w:rFonts w:ascii="Times New Roman" w:hAnsi="Times New Roman"/>
          <w:b w:val="false"/>
          <w:sz w:val="20"/>
        </w:rPr>
        <w:t xml:space="preserve">) are accurate and complete and comply as to form and content with all applicable Legal Requirements. As used in this </w:t>
      </w:r>
      <w:r>
        <w:rPr>
          <w:rFonts w:ascii="Times New Roman" w:hAnsi="Times New Roman"/>
          <w:b w:val="false"/>
          <w:sz w:val="20"/>
          <w:u w:val="single"/>
        </w:rPr>
        <w:t>Article 3</w:t>
      </w:r>
      <w:r>
        <w:rPr>
          <w:rFonts w:ascii="Times New Roman" w:hAnsi="Times New Roman"/>
          <w:b w:val="false"/>
          <w:sz w:val="20"/>
        </w:rPr>
        <w:t xml:space="preserve">, the term </w:t>
      </w:r>
      <w:r>
        <w:rPr>
          <w:rFonts w:ascii="times new roman;times" w:hAnsi="times new roman;times"/>
          <w:b w:val="false"/>
          <w:sz w:val="20"/>
        </w:rPr>
        <w:t>“</w:t>
      </w:r>
      <w:r>
        <w:rPr>
          <w:rFonts w:ascii="Times New Roman" w:hAnsi="Times New Roman"/>
          <w:b w:val="false"/>
          <w:sz w:val="20"/>
        </w:rPr>
        <w:t>file</w:t>
      </w:r>
      <w:r>
        <w:rPr>
          <w:rFonts w:ascii="times new roman;times" w:hAnsi="times new roman;times"/>
          <w:b w:val="false"/>
          <w:sz w:val="20"/>
        </w:rPr>
        <w:t xml:space="preserve">” </w:t>
      </w:r>
      <w:r>
        <w:rPr>
          <w:rFonts w:ascii="Times New Roman" w:hAnsi="Times New Roman"/>
          <w:b w:val="false"/>
          <w:sz w:val="20"/>
        </w:rPr>
        <w:t>and variations thereof shall be broadly construed to include any manner in which a document or information is furnished, supplied or otherwise made available to the SEC.</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w:t>
      </w:r>
      <w:r>
        <w:rPr>
          <w:rFonts w:ascii="times new roman;times" w:hAnsi="times new roman;times"/>
          <w:b w:val="false"/>
          <w:sz w:val="20"/>
        </w:rPr>
        <w:t>’</w:t>
      </w:r>
      <w:r>
        <w:rPr>
          <w:rFonts w:ascii="Times New Roman" w:hAnsi="Times New Roman"/>
          <w:b w:val="false"/>
          <w:sz w:val="20"/>
        </w:rPr>
        <w:t>s accounting methods or principles that would be required to be disclosed in Parent</w:t>
      </w:r>
      <w:r>
        <w:rPr>
          <w:rFonts w:ascii="times new roman;times" w:hAnsi="times new roman;times"/>
          <w:b w:val="false"/>
          <w:sz w:val="20"/>
        </w:rPr>
        <w:t>’</w:t>
      </w:r>
      <w:r>
        <w:rPr>
          <w:rFonts w:ascii="Times New Roman" w:hAnsi="Times New Roman"/>
          <w:b w:val="false"/>
          <w:sz w:val="20"/>
        </w:rPr>
        <w:t>s financial statements in accordance with GAAP. The books of account and other financial records of Parent and each of its Subsidiaries are true and complete in all material respects.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w:t>
      </w:r>
      <w:r>
        <w:rPr>
          <w:rFonts w:ascii="times new roman;times" w:hAnsi="times new roman;times"/>
          <w:b w:val="false"/>
          <w:sz w:val="20"/>
        </w:rPr>
        <w:t>’</w:t>
      </w:r>
      <w:r>
        <w:rPr>
          <w:rFonts w:ascii="Times New Roman" w:hAnsi="Times New Roman"/>
          <w:b w:val="false"/>
          <w:sz w:val="20"/>
        </w:rPr>
        <w:t xml:space="preserve">s auditor has at all times since the date of enactment of the Sarbanes-Oxley Act been: (i) a registered public accounting firm (as defined in Section 2(a)(12) of the Sarbanes-Oxley Act); (ii) to the Knowledge of Parent, </w:t>
      </w:r>
      <w:r>
        <w:rPr>
          <w:rFonts w:ascii="times new roman;times" w:hAnsi="times new roman;times"/>
          <w:b w:val="false"/>
          <w:sz w:val="20"/>
        </w:rPr>
        <w:t>“</w:t>
      </w:r>
      <w:r>
        <w:rPr>
          <w:rFonts w:ascii="Times New Roman" w:hAnsi="Times New Roman"/>
          <w:b w:val="false"/>
          <w:sz w:val="20"/>
        </w:rPr>
        <w:t>independent</w:t>
      </w:r>
      <w:r>
        <w:rPr>
          <w:rFonts w:ascii="times new roman;times" w:hAnsi="times new roman;times"/>
          <w:b w:val="false"/>
          <w:sz w:val="20"/>
        </w:rPr>
        <w:t xml:space="preserve">” </w:t>
      </w:r>
      <w:r>
        <w:rPr>
          <w:rFonts w:ascii="Times New Roman" w:hAnsi="Times New Roman"/>
          <w:b w:val="false"/>
          <w:sz w:val="20"/>
        </w:rPr>
        <w:t>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Except as set forth in Part 3.4(d) of the Parent Disclosure Schedule, from January 1, 2024, through the date hereof, Parent has not received any comment letter from the SEC or the staff thereof or any correspondence from Nasdaq or the staff thereof relating to the delisting or maintenance of listing of the Parent Common Stock on the Nasdaq Capital</w:t>
      </w:r>
      <w:r>
        <w:rPr>
          <w:rFonts w:ascii="times new roman;times" w:hAnsi="times new roman;times"/>
          <w:b w:val="false"/>
          <w:sz w:val="20"/>
        </w:rPr>
        <w:t xml:space="preserve"> </w:t>
      </w:r>
      <w:r>
        <w:rPr>
          <w:rFonts w:ascii="Times New Roman" w:hAnsi="Times New Roman"/>
          <w:b w:val="false"/>
          <w:sz w:val="20"/>
        </w:rPr>
        <w:t>Market. Parent has not disclosed any unresolved comments in its Parent SEC Documents.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Since January 1, 2024, there have been no formal internal investigations regarding financial reporting or accounting policies and practices discussed with, reviewed by or initiated at the direction of the chief executive officer or chief financial officer of Parent, the Parent Board of Directors or any committee thereof, other than ordinary course audits or reviews of accounting policies and practices or internal controls required by the Sarbanes-Oxley Act.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Except as set forth in Part 3.4(f) of the Parent Disclosure Schedule,</w:t>
      </w:r>
      <w:r>
        <w:rPr>
          <w:rFonts w:ascii="times new roman;times" w:hAnsi="times new roman;times"/>
          <w:b w:val="false"/>
          <w:sz w:val="20"/>
        </w:rPr>
        <w:t xml:space="preserve"> </w:t>
      </w:r>
      <w:r>
        <w:rPr>
          <w:rFonts w:ascii="Times New Roman" w:hAnsi="Times New Roman"/>
          <w:b w:val="false"/>
          <w:sz w:val="20"/>
        </w:rPr>
        <w:t>Parent is in compliance in all material respects with the applicable provisions of the Sarbanes-Oxley Act and the applicable listing and corporate governance rules of Nasdaq.</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w:t>
      </w:r>
      <w:r>
        <w:rPr>
          <w:rFonts w:ascii="times new roman;times" w:hAnsi="times new roman;times"/>
          <w:b w:val="false"/>
          <w:sz w:val="20"/>
        </w:rPr>
        <w:t>’</w:t>
      </w:r>
      <w:r>
        <w:rPr>
          <w:rFonts w:ascii="Times New Roman" w:hAnsi="Times New Roman"/>
          <w:b w:val="false"/>
          <w:sz w:val="20"/>
        </w:rPr>
        <w:t>s transactions and dispositions of assets, (ii) that transactions are recorded as necessary to permit preparation of financial statements in accordance with GAAP, (iii) that receipts and expenditures are made only in accordance with authorizations of management and the Parent Board of Directors, and (iv) regarding prevention or timely detection of the unauthorized acquisition, use or disposition of Parent</w:t>
      </w:r>
      <w:r>
        <w:rPr>
          <w:rFonts w:ascii="times new roman;times" w:hAnsi="times new roman;times"/>
          <w:b w:val="false"/>
          <w:sz w:val="20"/>
        </w:rPr>
        <w:t>’</w:t>
      </w:r>
      <w:r>
        <w:rPr>
          <w:rFonts w:ascii="Times New Roman" w:hAnsi="Times New Roman"/>
          <w:b w:val="false"/>
          <w:sz w:val="20"/>
        </w:rPr>
        <w:t>s assets that could have a material effect on Parent</w:t>
      </w:r>
      <w:r>
        <w:rPr>
          <w:rFonts w:ascii="times new roman;times" w:hAnsi="times new roman;times"/>
          <w:b w:val="false"/>
          <w:sz w:val="20"/>
        </w:rPr>
        <w:t>’</w:t>
      </w:r>
      <w:r>
        <w:rPr>
          <w:rFonts w:ascii="Times New Roman" w:hAnsi="Times New Roman"/>
          <w:b w:val="false"/>
          <w:sz w:val="20"/>
        </w:rPr>
        <w:t>s financial statements. Parent has evaluated the effectiveness of Parent</w:t>
      </w:r>
      <w:r>
        <w:rPr>
          <w:rFonts w:ascii="times new roman;times" w:hAnsi="times new roman;times"/>
          <w:b w:val="false"/>
          <w:sz w:val="20"/>
        </w:rPr>
        <w:t>’</w:t>
      </w:r>
      <w:r>
        <w:rPr>
          <w:rFonts w:ascii="Times New Roman" w:hAnsi="Times New Roman"/>
          <w:b w:val="false"/>
          <w:sz w:val="20"/>
        </w:rPr>
        <w: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w:t>
      </w:r>
      <w:r>
        <w:rPr>
          <w:rFonts w:ascii="times new roman;times" w:hAnsi="times new roman;times"/>
          <w:b w:val="false"/>
          <w:sz w:val="20"/>
        </w:rPr>
        <w:t>’</w:t>
      </w:r>
      <w:r>
        <w:rPr>
          <w:rFonts w:ascii="Times New Roman" w:hAnsi="Times New Roman"/>
          <w:b w:val="false"/>
          <w:sz w:val="20"/>
        </w:rPr>
        <w:t>s auditors and the Audit Committee of the Parent Board of Directors (and made available to the Company a summary of the significant aspects of such disclosure) (A) all significant deficiencies and material weaknesses in the design or operation of internal control over financial reporting that are reasonably likely to adversely affect Parent</w:t>
      </w:r>
      <w:r>
        <w:rPr>
          <w:rFonts w:ascii="times new roman;times" w:hAnsi="times new roman;times"/>
          <w:b w:val="false"/>
          <w:sz w:val="20"/>
        </w:rPr>
        <w:t>’</w:t>
      </w:r>
      <w:r>
        <w:rPr>
          <w:rFonts w:ascii="Times New Roman" w:hAnsi="Times New Roman"/>
          <w:b w:val="false"/>
          <w:sz w:val="20"/>
        </w:rPr>
        <w:t>s ability to record, process, summarize and report financial information and (B) any fraud, whether or not material, that involves management or other employees who have a significant role in Parent</w:t>
      </w:r>
      <w:r>
        <w:rPr>
          <w:rFonts w:ascii="times new roman;times" w:hAnsi="times new roman;times"/>
          <w:b w:val="false"/>
          <w:sz w:val="20"/>
        </w:rPr>
        <w:t>’</w:t>
      </w:r>
      <w:r>
        <w:rPr>
          <w:rFonts w:ascii="Times New Roman" w:hAnsi="Times New Roman"/>
          <w:b w:val="false"/>
          <w:sz w:val="20"/>
        </w:rPr>
        <w:t>s internal control over financial reporting. Except as disclosed in the Parent SEC Documents filed prior to the date hereof, Parent has not identified any material weaknesses in the design or operation of Parent</w:t>
      </w:r>
      <w:r>
        <w:rPr>
          <w:rFonts w:ascii="times new roman;times" w:hAnsi="times new roman;times"/>
          <w:b w:val="false"/>
          <w:sz w:val="20"/>
        </w:rPr>
        <w:t>’</w:t>
      </w:r>
      <w:r>
        <w:rPr>
          <w:rFonts w:ascii="Times New Roman" w:hAnsi="Times New Roman"/>
          <w:b w:val="false"/>
          <w:sz w:val="20"/>
        </w:rPr>
        <w:t>s internal control over financial reporting. Since January 1, 2024, there have been no material changes in Parent</w:t>
      </w:r>
      <w:r>
        <w:rPr>
          <w:rFonts w:ascii="times new roman;times" w:hAnsi="times new roman;times"/>
          <w:b w:val="false"/>
          <w:sz w:val="20"/>
        </w:rPr>
        <w:t>’</w:t>
      </w:r>
      <w:r>
        <w:rPr>
          <w:rFonts w:ascii="Times New Roman" w:hAnsi="Times New Roman"/>
          <w:b w:val="false"/>
          <w:sz w:val="20"/>
        </w:rPr>
        <w:t>s internal control over financial reporting.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Parent</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disclosure controls and procedures</w:t>
      </w:r>
      <w:r>
        <w:rPr>
          <w:rFonts w:ascii="times new roman;times" w:hAnsi="times new roman;times"/>
          <w:b w:val="false"/>
          <w:sz w:val="20"/>
        </w:rPr>
        <w:t xml:space="preserve">” </w:t>
      </w:r>
      <w:r>
        <w:rPr>
          <w:rFonts w:ascii="Times New Roman" w:hAnsi="Times New Roman"/>
          <w:b w:val="false"/>
          <w:sz w:val="20"/>
        </w:rPr>
        <w:t>(as defined in Rules 13a-15(e) and 15d-15(e) of the Exchange Act) are reasonably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w:t>
      </w:r>
      <w:r>
        <w:rPr>
          <w:rFonts w:ascii="times new roman;times" w:hAnsi="times new roman;times"/>
          <w:b w:val="false"/>
          <w:sz w:val="20"/>
        </w:rPr>
        <w:t>’</w:t>
      </w:r>
      <w:r>
        <w:rPr>
          <w:rFonts w:ascii="Times New Roman" w:hAnsi="Times New Roman"/>
          <w:b w:val="false"/>
          <w:sz w:val="20"/>
        </w:rPr>
        <w:t>s management as appropriate to allow timely decisions regarding required disclosure and to make the Certifications.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Since January 1, 2024, (i) Parent has not received or otherwise had or obtained knowledge of any material complaint, allegation, assertion or claim, whether written or oral, regarding the accounting or auditing practices, procedures, methodologies or methods of Parent</w:t>
      </w:r>
      <w:r>
        <w:rPr>
          <w:rFonts w:ascii="times new roman;times" w:hAnsi="times new roman;times"/>
          <w:b w:val="false"/>
          <w:sz w:val="20"/>
        </w:rPr>
        <w:t>’</w:t>
      </w:r>
      <w:r>
        <w:rPr>
          <w:rFonts w:ascii="Times New Roman" w:hAnsi="Times New Roman"/>
          <w:b w:val="false"/>
          <w:sz w:val="20"/>
        </w:rPr>
        <w:t>s internal accounting controls relating to periods after January 1, 2024, including any material complaint, allegation, assertion or claim that Parent has engaged in questionable accounting or auditing practices (except for any of the foregoing after the date of this Agreement which have no reasonable basis), and (ii) no attorney representing Parent, whether or not employed by Parent, has reported evidence of a material violation of securities Laws, breach of fiduciary duty or similar violation, relating to periods after January 1, 2024, by Parent or agents to the Parent Board of Directors or any committee thereof or, to the Knowledge of Parent, to any director or officer of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Parent has filed, or will file prior to the Closing, all SEC disclosures reasonably necessary to consummate the Financing and the issuance of the Consideration Shares in compliance with applicable securities Laws and Nasdaq rules.</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3.5</w:t>
        </w:r>
      </w:hyperlink>
      <w:hyperlink w:anchor="TOC">
        <w:r>
          <w:rPr>
            <w:rStyle w:val="InternetLink"/>
            <w:rFonts w:ascii="Times New Roman" w:hAnsi="Times New Roman"/>
            <w:b/>
            <w:strike w:val="false"/>
            <w:dstrike w:val="false"/>
            <w:color w:val="000000"/>
            <w:sz w:val="20"/>
            <w:u w:val="none"/>
            <w:effect w:val="none"/>
          </w:rPr>
          <w:t>Absence of Changes</w:t>
        </w:r>
      </w:hyperlink>
      <w:r>
        <w:rPr>
          <w:rFonts w:ascii="Times New Roman" w:hAnsi="Times New Roman"/>
          <w:b w:val="false"/>
          <w:sz w:val="20"/>
        </w:rPr>
        <w:t xml:space="preserve">. Except as set forth in Part 3.5 of the Parent Disclosure Schedule, between January 1, 2026 and the date of this Agreement and except as otherwise expressly contemplated by this Agreement, Parent has conducted its business only in the Ordinary Course of Business (except for the execution and performance of this Agreement and the discussions, negotiations and transactions related thereto) and there has not been (a) any material loss, damage or destruction to, or any material interruption in the use of, any of the material assets or business of Parent or any Parent Subsidiary (whether or not covered by insurance), (b) any Parent Material Adverse Effect or an event or development that would, individually or in the aggregate, reasonably be expected to have a Parent Material Adverse Effect, or (c) any event or development that would, if occurring following the execution of this Agreement require the consent of the Company pursuant to </w:t>
      </w:r>
      <w:r>
        <w:rPr>
          <w:rFonts w:ascii="Times New Roman" w:hAnsi="Times New Roman"/>
          <w:b w:val="false"/>
          <w:sz w:val="20"/>
          <w:u w:val="single"/>
        </w:rPr>
        <w:t>Section 4.4(a)</w:t>
      </w:r>
      <w:r>
        <w:rPr>
          <w:rFonts w:ascii="Times New Roman" w:hAnsi="Times New Roman"/>
          <w:b w:val="false"/>
          <w:sz w:val="20"/>
        </w:rPr>
        <w:t>. Since the date of the most recent balance sheet included in the Parent SEC Documents, except as expressly contemplated by this Agreement, Parent has conducted its business in the Ordinary Course of Business and has not taken any action that would reasonably be expected to prevent, materially delay or materially impair the consummation of the Contemplated Transactions or the Financing.</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3.6Intellectual Property</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Part 3.6(a) of the Parent Disclosure Schedule lists: (i) all Parent Registered Intellectual Property, including the jurisdictions in which each such item of Intellectual Property has been issued or registered, in which any application for such issuance and registration has been filed, or in which any other filing or recordation has been made and (ii) all actions that are required to be taken by Parent within 60 days of the date hereof with respect to such Parent-Owned IP Rights in order to avoid prejudice to, impairment or abandonment of such Parent-Owned IP Rights. Parent has taken commercially reasonable actions, in all material respects, to maintain and protect such Parent-Owned IP Rights. As of the date hereof, all registration, maintenance and renewal fees currently due in connection with such Parent Registered Intellectual Property have been paid and all documents, recordations</w:t>
      </w:r>
      <w:r>
        <w:rPr>
          <w:rFonts w:ascii="times new roman;times" w:hAnsi="times new roman;times"/>
          <w:b w:val="false"/>
          <w:sz w:val="20"/>
        </w:rPr>
        <w:t xml:space="preserve"> </w:t>
      </w:r>
      <w:r>
        <w:rPr>
          <w:rFonts w:ascii="Times New Roman" w:hAnsi="Times New Roman"/>
          <w:b w:val="false"/>
          <w:sz w:val="20"/>
        </w:rPr>
        <w:t>and certificates in connection with such Parent Registered Intellectual Property currently required to be filed have been filed with the relevant patent, copyright, trademark or other authorities in the United States or foreign jurisdictions, as the case may be, for the purposes of prosecuting, maintaining and perfecting such Parent Registered Intellectual Property and recording Parent</w:t>
      </w:r>
      <w:r>
        <w:rPr>
          <w:rFonts w:ascii="times new roman;times" w:hAnsi="times new roman;times"/>
          <w:b w:val="false"/>
          <w:sz w:val="20"/>
        </w:rPr>
        <w:t>’</w:t>
      </w:r>
      <w:r>
        <w:rPr>
          <w:rFonts w:ascii="Times New Roman" w:hAnsi="Times New Roman"/>
          <w:b w:val="false"/>
          <w:sz w:val="20"/>
        </w:rPr>
        <w:t>s ownership interests therein.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and the Parent Subsidiaries own each item of material Parent-Owned IP Rights, free and clear of any Encumbrances, except as set forth in the Parent Disclosure Schedule.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Parent, the Parent IP Rights are valid and enforceable. Parent has not misrepresented, or failed to disclose, any facts or circumstances in any application for any Parent Registered Intellectual Property that would constitute fraud with respect to such application.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To the Knowledge of Parent, the operation of the business of Parent and the Parent Subsidiaries as such business is currently conducted, as has been conducted since January 1, 2024, does not infringe, misappropriate, or violate any Third-Party IP Rights. As of the date hereof Parent has not received any written notice, which involves a claim of infringement or misappropriation or violation of any Third-Party IP Rights.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To the Knowledge of Parent, there is no unauthorized use, unauthorized disclosure, infringement or misappropriation of any Parent-Owned IP Rights, by any third party. As of the date hereof, Parent has not instituted any Legal Proceedings for infringement or misappropriation of any Parent-Owned IP Rights.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consultant and employee involved in the creation of any material Parent-Owned IP Rights for Parent has executed proprietary information, confidentiality and assignment agreements that, to extent permitted by Law, assign to Parent and/or a Parent Subsidiary (or otherwise grant sufficient rights in) all Intellectual Property that are developed by the employees in the course of their employment and contain confidentiality provisions protecting confidential information of the Parent, and, with respect to consultants, all Intellectual Property that are developed by such consultants in the course of performing services for Parent or any Parent Subsidiaries. Parent has provided to the Company copies of all such forms currently used by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No (i) government funding or (ii) facilities of a university, college, other educational institution or research center were used in the development of the Parent-Owned IP Rights or any other Parent Registered Intellectual Property. To the Knowledge of Parent, no current or former employee, consultant or independent contractor of Parent, who was involved in, or who contributed to, the creation or development of any Parent-Owned IP Rights or any other Parent Registered Intellectual Property, has performed services for any government, university, college or other educational institution or research center during a period of time during which such employee, consultant or independent contractor was also performing services for Parent.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the execution and delivery or effectiveness of this Agreement nor the performance of Parent</w:t>
      </w:r>
      <w:r>
        <w:rPr>
          <w:rFonts w:ascii="times new roman;times" w:hAnsi="times new roman;times"/>
          <w:b w:val="false"/>
          <w:sz w:val="20"/>
        </w:rPr>
        <w:t>’</w:t>
      </w:r>
      <w:r>
        <w:rPr>
          <w:rFonts w:ascii="Times New Roman" w:hAnsi="Times New Roman"/>
          <w:b w:val="false"/>
          <w:sz w:val="20"/>
        </w:rPr>
        <w:t>s obligations under this Agreement will cause (a) the forfeiture or termination of, or give rise to a right of forfeiture or termination of any material Parent IP Right or any other Parent-Owned IP Rights or (b) additional payment obligations by Parent in order to use or exploit material Parent IP Rights or any other Parent-Owned IP Rights to the same extent as Parent was permitted before the date hereof.</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Parent has taken commercially reasonable actions, in all material respects, to protect and preserve the confidentiality of all confidential or non-public information included in the Parent-Owned IP Rights that Parent intends to retain as confidential (</w:t>
      </w:r>
      <w:r>
        <w:rPr>
          <w:rFonts w:ascii="times new roman;times" w:hAnsi="times new roman;times"/>
          <w:b w:val="false"/>
          <w:sz w:val="20"/>
        </w:rPr>
        <w:t>“</w:t>
      </w:r>
      <w:r>
        <w:rPr>
          <w:rFonts w:ascii="Times New Roman" w:hAnsi="Times New Roman"/>
          <w:b/>
          <w:i/>
          <w:sz w:val="20"/>
        </w:rPr>
        <w:t>Parent Confidential Information</w:t>
      </w:r>
      <w:r>
        <w:rPr>
          <w:rFonts w:ascii="times new roman;times" w:hAnsi="times new roman;times"/>
          <w:b w:val="false"/>
          <w:sz w:val="20"/>
        </w:rPr>
        <w:t>”</w:t>
      </w:r>
      <w:r>
        <w:rPr>
          <w:rFonts w:ascii="Times New Roman" w:hAnsi="Times New Roman"/>
          <w:b w:val="false"/>
          <w:sz w:val="20"/>
        </w:rPr>
        <w:t>). To the Knowledge of Parent, all use and/or disclosure of Parent Confidential Information by or to a third party has been pursuant to the terms of a written Contract between Parent or the Parent Subsidiaries and such third party. Parent has not experienced any breach of security or otherwise unauthorized access by third parties to Parent Confidential Information and any confidential information in Parent</w:t>
      </w:r>
      <w:r>
        <w:rPr>
          <w:rFonts w:ascii="times new roman;times" w:hAnsi="times new roman;times"/>
          <w:b w:val="false"/>
          <w:sz w:val="20"/>
        </w:rPr>
        <w:t>’</w:t>
      </w:r>
      <w:r>
        <w:rPr>
          <w:rFonts w:ascii="Times New Roman" w:hAnsi="Times New Roman"/>
          <w:b w:val="false"/>
          <w:sz w:val="20"/>
        </w:rPr>
        <w:t>s or any of its Subsidiaries</w:t>
      </w:r>
      <w:r>
        <w:rPr>
          <w:rFonts w:ascii="times new roman;times" w:hAnsi="times new roman;times"/>
          <w:b w:val="false"/>
          <w:sz w:val="20"/>
        </w:rPr>
        <w:t xml:space="preserve">’ </w:t>
      </w:r>
      <w:r>
        <w:rPr>
          <w:rFonts w:ascii="Times New Roman" w:hAnsi="Times New Roman"/>
          <w:b w:val="false"/>
          <w:sz w:val="20"/>
        </w:rPr>
        <w:t>possession, custody or control.</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Notwithstanding anything to the contrary contained herein, the representations and warranties contained in</w:t>
      </w:r>
      <w:r>
        <w:rPr>
          <w:rFonts w:ascii="times new roman;times" w:hAnsi="times new roman;times"/>
          <w:sz w:val="20"/>
        </w:rPr>
        <w:t xml:space="preserve"> </w:t>
      </w:r>
      <w:r>
        <w:rPr>
          <w:rFonts w:ascii="Times New Roman" w:hAnsi="Times New Roman"/>
          <w:sz w:val="20"/>
          <w:u w:val="single"/>
        </w:rPr>
        <w:t>Section 3.6</w:t>
      </w:r>
      <w:r>
        <w:rPr>
          <w:rFonts w:ascii="times new roman;times" w:hAnsi="times new roman;times"/>
          <w:sz w:val="20"/>
        </w:rPr>
        <w:t xml:space="preserve"> </w:t>
      </w:r>
      <w:r>
        <w:rPr>
          <w:rFonts w:ascii="Times New Roman" w:hAnsi="Times New Roman"/>
          <w:sz w:val="20"/>
        </w:rPr>
        <w:t>are the only representations and warranties made by Parent that address matters relating to Intellectual Property.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keepNext w:val="true"/>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3.7</w:t>
        </w:r>
      </w:hyperlink>
      <w:hyperlink w:anchor="TOC">
        <w:r>
          <w:rPr>
            <w:rStyle w:val="InternetLink"/>
            <w:rFonts w:ascii="Times New Roman" w:hAnsi="Times New Roman"/>
            <w:b/>
            <w:strike w:val="false"/>
            <w:dstrike w:val="false"/>
            <w:color w:val="000000"/>
            <w:sz w:val="20"/>
            <w:u w:val="none"/>
            <w:effect w:val="none"/>
          </w:rPr>
          <w:t>Agreements, Contracts and Commitments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Part 3.7 of the Parent Disclosure Schedule identifies: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each Parent Contract relating to any bonus, deferred compensation, severance, incentive compensation, pension, profit-sharing or retirement plans, or any other employee benefit plans or arrangements, other than Parent Contracts on Parent</w:t>
      </w:r>
      <w:r>
        <w:rPr>
          <w:rFonts w:ascii="times new roman;times" w:hAnsi="times new roman;times"/>
          <w:b w:val="false"/>
          <w:sz w:val="20"/>
        </w:rPr>
        <w:t>’</w:t>
      </w:r>
      <w:r>
        <w:rPr>
          <w:rFonts w:ascii="Times New Roman" w:hAnsi="Times New Roman"/>
          <w:b w:val="false"/>
          <w:sz w:val="20"/>
        </w:rPr>
        <w:t>s standard form offer letter entered into in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each Parent Contract relating to the employment of, or the performance of employment-related services by, any Person, including any employee, consultant or independent contractor, not terminable at will by Parent or its Subsidiaries, except to the extent general principles of wrongful termination law may limit Parent</w:t>
      </w:r>
      <w:r>
        <w:rPr>
          <w:rFonts w:ascii="times new roman;times" w:hAnsi="times new roman;times"/>
          <w:b w:val="false"/>
          <w:sz w:val="20"/>
        </w:rPr>
        <w:t>’</w:t>
      </w:r>
      <w:r>
        <w:rPr>
          <w:rFonts w:ascii="Times New Roman" w:hAnsi="Times New Roman"/>
          <w:b w:val="false"/>
          <w:sz w:val="20"/>
        </w:rPr>
        <w:t>s, Parent</w:t>
      </w:r>
      <w:r>
        <w:rPr>
          <w:rFonts w:ascii="times new roman;times" w:hAnsi="times new roman;times"/>
          <w:b w:val="false"/>
          <w:sz w:val="20"/>
        </w:rPr>
        <w:t>’</w:t>
      </w:r>
      <w:r>
        <w:rPr>
          <w:rFonts w:ascii="Times New Roman" w:hAnsi="Times New Roman"/>
          <w:b w:val="false"/>
          <w:sz w:val="20"/>
        </w:rPr>
        <w:t>s Subsidiaries</w:t>
      </w:r>
      <w:r>
        <w:rPr>
          <w:rFonts w:ascii="times new roman;times" w:hAnsi="times new roman;times"/>
          <w:b w:val="false"/>
          <w:sz w:val="20"/>
        </w:rPr>
        <w:t xml:space="preserve">’ </w:t>
      </w:r>
      <w:r>
        <w:rPr>
          <w:rFonts w:ascii="Times New Roman" w:hAnsi="Times New Roman"/>
          <w:b w:val="false"/>
          <w:sz w:val="20"/>
        </w:rPr>
        <w:t>or such successor</w:t>
      </w:r>
      <w:r>
        <w:rPr>
          <w:rFonts w:ascii="times new roman;times" w:hAnsi="times new roman;times"/>
          <w:b w:val="false"/>
          <w:sz w:val="20"/>
        </w:rPr>
        <w:t>’</w:t>
      </w:r>
      <w:r>
        <w:rPr>
          <w:rFonts w:ascii="Times New Roman" w:hAnsi="Times New Roman"/>
          <w:b w:val="false"/>
          <w:sz w:val="20"/>
        </w:rPr>
        <w:t>s ability to terminate employees at will;</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Parent Contract relating to any agreement or plan, including any stock option plan, stock appreciation right plan or stock purchase plan, any of the benefits of which will be increased, or the vesting of benefits of which will be accelerated, by the occurrence of the Contemplated Transactions (either alone or in conjunction with any other event, such as termination of employment) or the value of any of the benefits of which will be calculated on the basis of the Contemplated Transactions;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each Parent Contract relating to any agreement of indemnification or guaranty not entered into in the Ordinary Course of Business other than indemnification agreements between Parent and any of its officers or directors;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each Parent Contract containing any covenant limiting the freedom of Parent or its Subsidiaries to engage in any line of business or compete with any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each Parent Contract relating to capital expenditures and requiring payments after the date of this Agreement in excess of $50,000 and not cancelable without penalty;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Parent Contract relating to the disposition or acquisition of material assets or any ownership interest in any Entity;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Parent Contract relating to any mortgages, indentures, loans, notes or credit agreements, security agreements or other agreements or instruments relating to the borrowing of money or extension of credit in excess of $50,000 or creating any material Encumbrances with respect to any assets of Parent or any Parent Subsidiary or any loans or debt obligations with officers or directors of Parent;</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all Contracts pursuant to which Parent or a Parent Subsidiary grants any Person a license under any Parent IP Rights, other than software licensed to customers in the Ordinary Course of Business;</w:t>
      </w:r>
    </w:p>
    <w:p>
      <w:pPr>
        <w:pStyle w:val="TextBody"/>
        <w:bidi w:val="0"/>
        <w:spacing w:lineRule="auto" w:line="288" w:before="0" w:after="240"/>
        <w:ind w:left="62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other than </w:t>
      </w:r>
      <w:r>
        <w:rPr>
          <w:rFonts w:ascii="times new roman;times" w:hAnsi="times new roman;times"/>
          <w:b w:val="false"/>
          <w:sz w:val="20"/>
        </w:rPr>
        <w:t>“</w:t>
      </w:r>
      <w:r>
        <w:rPr>
          <w:rFonts w:ascii="Times New Roman" w:hAnsi="Times New Roman"/>
          <w:b w:val="false"/>
          <w:sz w:val="20"/>
        </w:rPr>
        <w:t>shrink wrap</w:t>
      </w:r>
      <w:r>
        <w:rPr>
          <w:rFonts w:ascii="times new roman;times" w:hAnsi="times new roman;times"/>
          <w:b w:val="false"/>
          <w:sz w:val="20"/>
        </w:rPr>
        <w:t xml:space="preserve">” </w:t>
      </w:r>
      <w:r>
        <w:rPr>
          <w:rFonts w:ascii="Times New Roman" w:hAnsi="Times New Roman"/>
          <w:b w:val="false"/>
          <w:sz w:val="20"/>
        </w:rPr>
        <w:t>and similar generally available commercial end-user licenses to software, all Contracts pursuant to which Parent or a Parent Subsidiary is licensed to use any Third-Party IP Rights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each Parent Contract (i) appointing a third party to distribute any Parent product, service or technology (identifying any that contain exclusivity provisions); (ii) for a third party to provide services or products with respect to any pre-clinical or clinical development activities of Parent; (iii) under which Parent or the Parent Subsidiaries has continuing obligations to develop or market any product, technology or service, or any agreement pursuant to which Parent or the Parent Subsidiaries has continuing obligations to develop any Intellectual Property that will not be owned, in whole or in part, by Parent or such Parent Subsidiary; or (iv) to license any third party to manufacture or produce any Parent product, service or technology or any Contract to sell, distribute or commercialize any Parent products or service, except agreements in the Ordinary Course of Business;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each Parent Contract with any financial advisor, broker, finder, investment banker or other Person, providing advisory services to Parent in connection with the Contemplated Transactions;</w:t>
      </w:r>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each Contract pursuant to which any financial advisor, consultant, placement agent or other Person may be entitled to any cash fee, equity issuance, reimbursement or similar compensation in connection with the Contemplated Transactions or the Financing;</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each Contract pursuant to which any Person may be entitled to receive any Advisor Shares or other equity-based compensation in connection with the Contemplated Transactions; </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each Contract that would reasonably be expected to restrict, in any material respect, Parent</w:t>
      </w:r>
      <w:r>
        <w:rPr>
          <w:rFonts w:ascii="times new roman;times" w:hAnsi="times new roman;times"/>
          <w:b w:val="false"/>
          <w:sz w:val="20"/>
        </w:rPr>
        <w:t>’</w:t>
      </w:r>
      <w:r>
        <w:rPr>
          <w:rFonts w:ascii="Times New Roman" w:hAnsi="Times New Roman"/>
          <w:b w:val="false"/>
          <w:sz w:val="20"/>
        </w:rPr>
        <w:t>s ability to consummate the Financing or to implement the board and management changes contemplated by this Agreement;</w:t>
      </w:r>
      <w:r>
        <w:rPr>
          <w:rFonts w:ascii="times new roman;times" w:hAnsi="times new roman;times"/>
          <w:b w:val="false"/>
          <w:sz w:val="20"/>
        </w:rPr>
        <w:t xml:space="preserve"> </w:t>
      </w:r>
      <w:r>
        <w:rPr>
          <w:rFonts w:ascii="Times New Roman" w:hAnsi="Times New Roman"/>
          <w:b w:val="false"/>
          <w:sz w:val="20"/>
        </w:rPr>
        <w:t>and</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any other agreement, contract or commitment which is not terminable at will (with no penalty or payment) by Parent which involves payment or receipt by Parent or the Parent Subsidiaries under any such agreement, contract or commitment of $100,000 or more in the aggregate, or obligations after the date of this Agreement in excess of $100,000 in the aggregate. Parent has made available to the Company accurate and complete (except for applicable redactions thereto) copies of all Parent Material Contracts, including all amendments thereto. There are no Parent Material Contracts that are not in written form. Except as set forth in Part 3.7 of the Parent Disclosure Schedule, neither Parent nor any of the Parent Subsidiaries nor, to Parent</w:t>
      </w:r>
      <w:r>
        <w:rPr>
          <w:rFonts w:ascii="times new roman;times" w:hAnsi="times new roman;times"/>
          <w:b w:val="false"/>
          <w:sz w:val="20"/>
        </w:rPr>
        <w:t>’</w:t>
      </w:r>
      <w:r>
        <w:rPr>
          <w:rFonts w:ascii="Times New Roman" w:hAnsi="Times New Roman"/>
          <w:b w:val="false"/>
          <w:sz w:val="20"/>
        </w:rPr>
        <w:t xml:space="preserve">s Knowledge, as of the date of this Agreement, has any other party to a Parent Material Contract breached, violated or defaulted under, or received written notice that it has breached, violated or defaulted under, any of the terms or conditions of any of the agreements, contracts or commitments to which Parent or the Parent Subsidiaries is a party or by which it is bound of the type described in clauses (a) through (p) above (any such agreement, contract or commitment, a </w:t>
      </w:r>
      <w:r>
        <w:rPr>
          <w:rFonts w:ascii="times new roman;times" w:hAnsi="times new roman;times"/>
          <w:b w:val="false"/>
          <w:sz w:val="20"/>
        </w:rPr>
        <w:t>“</w:t>
      </w:r>
      <w:r>
        <w:rPr>
          <w:rFonts w:ascii="Times New Roman" w:hAnsi="Times New Roman"/>
          <w:b/>
          <w:i/>
          <w:sz w:val="20"/>
        </w:rPr>
        <w:t>Parent Material Contract</w:t>
      </w:r>
      <w:r>
        <w:rPr>
          <w:rFonts w:ascii="times new roman;times" w:hAnsi="times new roman;times"/>
          <w:b w:val="false"/>
          <w:sz w:val="20"/>
        </w:rPr>
        <w:t>”</w:t>
      </w:r>
      <w:r>
        <w:rPr>
          <w:rFonts w:ascii="Times New Roman" w:hAnsi="Times New Roman"/>
          <w:b w:val="false"/>
          <w:sz w:val="20"/>
        </w:rPr>
        <w:t>) in such manner as would permit any party to cancel or terminate any Parent Material Contract, or would permit any other party to seek damages which would reasonably be expected to be material. The consummation of the Contemplated Transactions shall not (either alone or upon the occurrence of additional acts or events) result in any material payment or payments becoming due from Parent or any Parent Subsidiary to any Person under any Parent Contract.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3.8</w:t>
        </w:r>
      </w:hyperlink>
      <w:hyperlink w:anchor="TOC">
        <w:r>
          <w:rPr>
            <w:rStyle w:val="InternetLink"/>
            <w:rFonts w:ascii="Times New Roman" w:hAnsi="Times New Roman"/>
            <w:b/>
            <w:strike w:val="false"/>
            <w:dstrike w:val="false"/>
            <w:color w:val="000000"/>
            <w:sz w:val="20"/>
            <w:u w:val="none"/>
            <w:effect w:val="none"/>
          </w:rPr>
          <w:t>Liabilities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disclosed in the Parent SEC Documents filed prior to the date of this Agreement or in Part 3.8 of the Parent Disclosure Schedule, Parent and the Parent Subsidiaries do not have any Liabilities that, individually or in the aggregate, would reasonably be expected to have a Parent Material Adverse Effect or materially impair Parent</w:t>
      </w:r>
      <w:r>
        <w:rPr>
          <w:rFonts w:ascii="times new roman;times" w:hAnsi="times new roman;times"/>
          <w:b w:val="false"/>
          <w:sz w:val="20"/>
        </w:rPr>
        <w:t>’</w:t>
      </w:r>
      <w:r>
        <w:rPr>
          <w:rFonts w:ascii="Times New Roman" w:hAnsi="Times New Roman"/>
          <w:b w:val="false"/>
          <w:sz w:val="20"/>
        </w:rPr>
        <w:t>s ability to consummate the Contemplated Transactions.</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3.9Compliance; Permits; Restrictions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and each Parent Subsidiary are, and since January 1, 2024 have been, in compliance in all material respects with all applicable Legal Requirements. No investigation, claim, suit, proceeding, audit or other Legal Proceeding by any Governmental Body is pending or, to the Knowledge of Parent, threatened in writing against Parent or any Parent Subsidiary. There is no agreement, judgment, injunction, order or decree binding upon Parent or any Parent Subsidiary which (i) has or would reasonably be expected to have the effect of prohibiting or materially impairing any business practice of Parent or any Parent Subsidiary, any acquisition of material property by Parent or any Parent Subsidiary or the conduct of business by Parent or any Parent Subsidiary as currently conducted, (ii) is reasonably likely to have a material adverse effect on Parent</w:t>
      </w:r>
      <w:r>
        <w:rPr>
          <w:rFonts w:ascii="times new roman;times" w:hAnsi="times new roman;times"/>
          <w:b w:val="false"/>
          <w:sz w:val="20"/>
        </w:rPr>
        <w:t>’</w:t>
      </w:r>
      <w:r>
        <w:rPr>
          <w:rFonts w:ascii="Times New Roman" w:hAnsi="Times New Roman"/>
          <w:b w:val="false"/>
          <w:sz w:val="20"/>
        </w:rPr>
        <w:t>s ability to comply with or perform any covenant or obligation under this Agreement or (iii) is reasonably likely to have the effect of preventing, delaying, making illegal or otherwise interfering with the Contemplated Transactions. Parent is in compliance in all material respects with the applicable continued listing requirements of Nasdaq and has not received any written notice from Nasdaq that its common stock is subject to delisting or that would reasonably be expected to prevent the listing of the Consideration Shares or the shares to be issued in the Financing, except as disclosed in the Parent SEC Documents or the Parent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Except for matters regarding the FDA, Parent and the Parent Subsidiaries hold all required Governmental Authorizations which are material to the operation of the business of Parent (collectively, the </w:t>
      </w:r>
      <w:r>
        <w:rPr>
          <w:rFonts w:ascii="times new roman;times" w:hAnsi="times new roman;times"/>
          <w:b w:val="false"/>
          <w:sz w:val="20"/>
        </w:rPr>
        <w:t>“</w:t>
      </w:r>
      <w:r>
        <w:rPr>
          <w:rFonts w:ascii="Times New Roman" w:hAnsi="Times New Roman"/>
          <w:b/>
          <w:i/>
          <w:sz w:val="20"/>
        </w:rPr>
        <w:t>Parent Permits</w:t>
      </w:r>
      <w:r>
        <w:rPr>
          <w:rFonts w:ascii="times new roman;times" w:hAnsi="times new roman;times"/>
          <w:b w:val="false"/>
          <w:sz w:val="20"/>
        </w:rPr>
        <w:t>”</w:t>
      </w:r>
      <w:r>
        <w:rPr>
          <w:rFonts w:ascii="Times New Roman" w:hAnsi="Times New Roman"/>
          <w:b w:val="false"/>
          <w:sz w:val="20"/>
        </w:rPr>
        <w:t>) as currently conducted. Part 3.9(b) of the Parent Disclosure Schedule identifies each Parent Permit. Each of Parent and each Parent Subsidiary is in material compliance with the terms of the Parent Permits. No action, proceeding, revocation proceeding, amendment procedure, writ, injunction or claim is pending or, to the Knowledge of Parent, threatened in writing, which seeks to revoke, substantially limit, suspend, or materially modify any Parent Permit. The rights and benefits of each material Parent Permit will be available to Parent and the Parent Subsidiaries</w:t>
      </w:r>
      <w:r>
        <w:rPr>
          <w:rFonts w:ascii="times new roman;times" w:hAnsi="times new roman;times"/>
          <w:b w:val="false"/>
          <w:sz w:val="20"/>
        </w:rPr>
        <w:t xml:space="preserve"> </w:t>
      </w:r>
      <w:r>
        <w:rPr>
          <w:rFonts w:ascii="Times New Roman" w:hAnsi="Times New Roman"/>
          <w:b w:val="false"/>
          <w:sz w:val="20"/>
        </w:rPr>
        <w:t>immediately after the Effective Time on terms substantially identical to those enjoyed by Parent and the Parent Subsidiaries as of the date of this Agreement and immediately prior to the Effective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There are no proceedings pending or, to the Knowledge of Parent, threatened in writing with respect to an alleged material violation by Parent or any of the Parent Subsidiaries of the FDCA, FDA regulations adopted thereunder, the Controlled Substance Act or any other similar Legal Requirements promulgated by the FDA or a Drug/Device Regulatory Agency.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Parent and each of the Parent Subsidiaries holds all required Governmental Authorizations issuable by any Drug/Device Regulatory Agency necessary for the conduct of the business of Parent or such Subsidiary as currently conducted, and, as applicable, development, clinical testing and manufacturing as currently conducted of any of its product candidates (the </w:t>
      </w:r>
      <w:r>
        <w:rPr>
          <w:rFonts w:ascii="times new roman;times" w:hAnsi="times new roman;times"/>
          <w:b w:val="false"/>
          <w:sz w:val="20"/>
        </w:rPr>
        <w:t>“</w:t>
      </w:r>
      <w:r>
        <w:rPr>
          <w:rFonts w:ascii="Times New Roman" w:hAnsi="Times New Roman"/>
          <w:b/>
          <w:i/>
          <w:sz w:val="20"/>
        </w:rPr>
        <w:t>Parent Product Candidates</w:t>
      </w:r>
      <w:r>
        <w:rPr>
          <w:rFonts w:ascii="times new roman;times" w:hAnsi="times new roman;times"/>
          <w:b w:val="false"/>
          <w:sz w:val="20"/>
        </w:rPr>
        <w:t>”</w:t>
      </w:r>
      <w:r>
        <w:rPr>
          <w:rFonts w:ascii="Times New Roman" w:hAnsi="Times New Roman"/>
          <w:b w:val="false"/>
          <w:sz w:val="20"/>
        </w:rPr>
        <w:t xml:space="preserve">) (collectively, the </w:t>
      </w:r>
      <w:r>
        <w:rPr>
          <w:rFonts w:ascii="times new roman;times" w:hAnsi="times new roman;times"/>
          <w:b w:val="false"/>
          <w:sz w:val="20"/>
        </w:rPr>
        <w:t>“</w:t>
      </w:r>
      <w:r>
        <w:rPr>
          <w:rFonts w:ascii="Times New Roman" w:hAnsi="Times New Roman"/>
          <w:b/>
          <w:i/>
          <w:sz w:val="20"/>
        </w:rPr>
        <w:t>Parent Regulatory Permits</w:t>
      </w:r>
      <w:r>
        <w:rPr>
          <w:rFonts w:ascii="times new roman;times" w:hAnsi="times new roman;times"/>
          <w:b w:val="false"/>
          <w:sz w:val="20"/>
        </w:rPr>
        <w:t>”</w:t>
      </w:r>
      <w:r>
        <w:rPr>
          <w:rFonts w:ascii="Times New Roman" w:hAnsi="Times New Roman"/>
          <w:b w:val="false"/>
          <w:sz w:val="20"/>
        </w:rPr>
        <w:t>), and no such Parent Regulatory Permit has been (i) revoked, withdrawn, suspended, cancelled or terminated or (ii) modified in any materially adverse manner. Parent and each Parent Subsidiary is in compliance in all material respects with the Parent Regulatory Permits and have not received any written notice or other written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All clinical, pre-clinical and other studies and tests conducted by or on behalf of, or sponsored by, Parent or the Parent Subsidiaries or in which Parent or its Subsidiaries or their respective current products or product candidates, including the Parent Product Candidates, have participated were, and if still pending are being, conducted in all material respects in accordance with standard medical and scientific research procedures and in compliance with the applicable regulations of the Drug/Device Regulatory Agencies and other applicable Legal Requirements, including 21 C.F.R. Parts 50, 54, 56, 58 and 312.</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Neither Parent nor any Parent Subsidiary is the subject of any pending, or to the Knowledge of Parent, threatened in writing investigation in respect of its business or products by the FDA pursuant to its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set forth in 56 Fed. Reg. 46191 (September 10, 1991) and any amendments thereto. To the Knowledge of Parent or any of the Parent Subsidiaries, neither Parent nor the Parent Subsidiaries has committed any acts, made any statement, or failed to make any statement, in each case in respect of its business or products that would violate the FDA</w:t>
      </w:r>
      <w:r>
        <w:rPr>
          <w:rFonts w:ascii="times new roman;times" w:hAnsi="times new roman;times"/>
          <w:b w:val="false"/>
          <w:sz w:val="20"/>
        </w:rPr>
        <w:t>’</w:t>
      </w:r>
      <w:r>
        <w:rPr>
          <w:rFonts w:ascii="Times New Roman" w:hAnsi="Times New Roman"/>
          <w:b w:val="false"/>
          <w:sz w:val="20"/>
        </w:rPr>
        <w:t xml:space="preserve">s </w:t>
      </w:r>
      <w:r>
        <w:rPr>
          <w:rFonts w:ascii="times new roman;times" w:hAnsi="times new roman;times"/>
          <w:b w:val="false"/>
          <w:sz w:val="20"/>
        </w:rPr>
        <w:t>“</w:t>
      </w:r>
      <w:r>
        <w:rPr>
          <w:rFonts w:ascii="Times New Roman" w:hAnsi="Times New Roman"/>
          <w:b w:val="false"/>
          <w:sz w:val="20"/>
        </w:rPr>
        <w:t>Fraud, Untrue Statements of Material Facts, Bribery, and Illegal Gratuities</w:t>
      </w:r>
      <w:r>
        <w:rPr>
          <w:rFonts w:ascii="times new roman;times" w:hAnsi="times new roman;times"/>
          <w:b w:val="false"/>
          <w:sz w:val="20"/>
        </w:rPr>
        <w:t xml:space="preserve">” </w:t>
      </w:r>
      <w:r>
        <w:rPr>
          <w:rFonts w:ascii="Times New Roman" w:hAnsi="Times New Roman"/>
          <w:b w:val="false"/>
          <w:sz w:val="20"/>
        </w:rPr>
        <w:t>Final Policy, and any amendments thereto. None of Parent or any of the Parent Subsidiaries or any of their respective officers, employees or agents has been debarred or convicted of any crime or engaged in any conduct that could result in a debarment or exclusion (i) under 21 U.S.C. Section 335a or (ii) any similar applicable Legal Requirement. To the Knowledge of Parent, no debarment or exclusionary claims, actions, proceedings or investigations in respect of their business or products are pending or threatened in writing against Parent, any Parent Subsidiary or any of their respective officers, employees or agents.</w:t>
      </w:r>
    </w:p>
    <w:p>
      <w:pPr>
        <w:pStyle w:val="TextBody"/>
        <w:bidi w:val="0"/>
        <w:spacing w:lineRule="auto" w:line="288" w:before="0" w:after="240"/>
        <w:ind w:left="520" w:right="0" w:firstLine="720"/>
        <w:jc w:val="left"/>
        <w:rPr/>
      </w:pPr>
      <w:hyperlink w:anchor="TOC">
        <w:r>
          <w:rPr>
            <w:rStyle w:val="InternetLink"/>
            <w:rFonts w:ascii="Times New Roman" w:hAnsi="Times New Roman"/>
            <w:b/>
            <w:strike w:val="false"/>
            <w:dstrike w:val="false"/>
            <w:color w:val="000000"/>
            <w:sz w:val="20"/>
            <w:u w:val="none"/>
            <w:effect w:val="none"/>
          </w:rPr>
          <w:t>3.10Anti-Corruption Compliance; Trade Control Laws and Sanctions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For the past three years, Parent and the Parent Subsidiaries, and their respective directors, officers and employees and, to the knowledge of Parent, their respective distributors, agents, representatives, sales intermediaries and other Persons acting on behalf of Parent and the Parent Subsidiaries have complied in all material respects with all applicable Anti-Corruption Laws and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For the past three years, Parent and each Parent Subsidiary had in place policies, procedures, controls and systems reasonably designed to ensure compliance with all applicable Anti-Corruption Laws and Trade Control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None of Parent or any of the Parent Subsidiaries, or any director, officer, employee or, to Parent</w:t>
      </w:r>
      <w:r>
        <w:rPr>
          <w:rFonts w:ascii="times new roman;times" w:hAnsi="times new roman;times"/>
          <w:b w:val="false"/>
          <w:sz w:val="20"/>
        </w:rPr>
        <w:t>’</w:t>
      </w:r>
      <w:r>
        <w:rPr>
          <w:rFonts w:ascii="Times New Roman" w:hAnsi="Times New Roman"/>
          <w:b w:val="false"/>
          <w:sz w:val="20"/>
        </w:rPr>
        <w:t>s Knowledge, agent of Parent or any of the Parent Subsidiaries is a Sanctioned Person.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pending, or, to the knowledge of Parent, threatened, actions, suits, proceedings, inquiries or investigations by any Governmental Body against Parent or any Parent Subsidiaries with respect to any Anti-Corruption Laws or Trade Control Laws. In the past five years, none of Parent or any Parent Subsidiaries have been subject to any such actions, suits, proceedings, inquiries or investigations or made, nor, as of the date hereof, is aware of any reason to or intends to make any disclosure (voluntary or otherwise) to any Governmental Body with respect to any violation, potential violation, or Liability arising under or relating to any Anti-Corruption Laws or Trade Control Laws.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For the past three years, Parent and the Parent Subsidiaries have maintained and currently maintain (i) books, records and accounts which, in reasonable detail, accurately and fairly reflect the transactions and dispositions of the assets of Parent and the Parent Subsidiaries, and (ii) internal accounting controls sufficient to provide reasonable assurances that all transactions and access to assets of Parent and the Parent Subsidiaries were, have been and are executed only in accordance with management</w:t>
      </w:r>
      <w:r>
        <w:rPr>
          <w:rFonts w:ascii="times new roman;times" w:hAnsi="times new roman;times"/>
          <w:b w:val="false"/>
          <w:sz w:val="20"/>
        </w:rPr>
        <w:t>’</w:t>
      </w:r>
      <w:r>
        <w:rPr>
          <w:rFonts w:ascii="Times New Roman" w:hAnsi="Times New Roman"/>
          <w:b w:val="false"/>
          <w:sz w:val="20"/>
        </w:rPr>
        <w:t>s general or specific authorization.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3.11Tax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All income and other material Tax Returns required to have been filed by Parent and each Parent Subsidiary have been timely filed (taking into account any extension of time within which to file) with the applicable Governmental Body. All such Tax Returns were correct and complete in all material respects and have been prepared in material compliance with all applicable Legal Requirements. No written claim has ever been made by any Governmental Body in a jurisdiction where Parent or any Parent Subsidiary does not file Tax Returns that it is subject to taxation by that jurisdiction.</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All material Taxes due and owing by Parent or any Parent Subsidiary (whether or not shown on any Tax Return) have been paid. The unpaid Taxes of Parent and any Parent Subsidiary have been reserved for on the Parent Unaudited Interim Balance Sheet in accordance with GAAP. Since the date of the Parent Unaudited Interim Balance Sheet, neither Parent nor any Parent Subsidiary has incurred any Liability for Taxes outside the Ordinary Course of Business.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and each Parent Subsidiary have withheld and paid all Taxes required to have been withheld and paid in connection with any amounts paid or owing to any employee, independent contractor, creditor, stockholder or other third party and all Forms W-2 and 1099 required with respect thereto have been properly completed and timely filed.</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 xml:space="preserve">No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corresponding or similar provision of state, local or non-U.S. income Tax Law), private letter rulings, technical advice memoranda or similar agreements or rulings have been entered into or issued by any Governmental Body with respect to Parent or any Parent Subsidiary which agreement or ruling would be effective after the Closing Date.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There are no material Encumbrances for Taxes (other than Taxes not yet due and payable or Taxes that are being contested in good faith and for which adequate reserves have been made on Parent Unaudited Interim Balance Sheet) upon any of the assets of Parent or any Parent Subsidiary.</w:t>
      </w:r>
    </w:p>
    <w:p>
      <w:pPr>
        <w:pStyle w:val="TextBody"/>
        <w:bidi w:val="0"/>
        <w:spacing w:lineRule="auto" w:line="288" w:before="0" w:after="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No material deficiencies for Taxes with respect to Parent or any Parent Subsidiary have been claimed, proposed or assessed by any Governmental Body in writing. There are no pending (or, based on written notice, threatened) audits, assessments or other Legal Proceedings for or relating to any liability in respect of Taxes of Parent or any Parent Subsidiary. Neither Parent nor any Parent Subsidiary has waived any statute of limitations in respect of Taxes, agreed to any extension of time with respect to a Tax assessment or deficiency or for filing any Tax Return outside the Ordinary Course of Business, or consented to extend the period in which Tax may be assessed or collected by any Tax authority.</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Parent has never been a United States real property holding corporation within the meaning of Section 897(c)(2) of the Code during the applicable period specified in Section 897(c)(1)(A)(ii)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Neither Parent nor any Parent Subsidiary is a party to any Tax allocation agreement, Tax sharing agreement, Tax indemnity agreement, or other similar agreement or arrangement,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Neither Parent nor any Parent Subsidiary has ever been a member of an affiliated group filing a consolidated, combined or unitary Tax Return (other than a group the common parent of which is Parent). Neither Parent nor any Parent Subsidiary has any Liability for the Taxes of any Person (other than Parent and any Parent Subsidiary) under Treasury Regulations section 1.1502-6 (or any similar provision of state, local, or non-U.S. law), as a transferee or successor, by Contract or otherwise (other than customary commercial Contracts the principal subject matter of which is not Taxes).</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Neither Parent nor any Parent Subsidiary has distributed stock of another Person, or had its stock distributed by another Person, in a transaction that was purported or intended to be governed in whole or in part by Section 355 of the Code or Section 361 of the Code (or any similar provision of state, local, or non-U.S.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 xml:space="preserve">Neither Parent nor any Parent Subsidiary has entered into any transaction identified as a </w:t>
      </w:r>
      <w:r>
        <w:rPr>
          <w:rFonts w:ascii="times new roman;times" w:hAnsi="times new roman;times"/>
          <w:b w:val="false"/>
          <w:sz w:val="20"/>
        </w:rPr>
        <w:t>“</w:t>
      </w:r>
      <w:r>
        <w:rPr>
          <w:rFonts w:ascii="Times New Roman" w:hAnsi="Times New Roman"/>
          <w:b w:val="false"/>
          <w:sz w:val="20"/>
        </w:rPr>
        <w:t>listed transaction</w:t>
      </w:r>
      <w:r>
        <w:rPr>
          <w:rFonts w:ascii="times new roman;times" w:hAnsi="times new roman;times"/>
          <w:b w:val="false"/>
          <w:sz w:val="20"/>
        </w:rPr>
        <w:t xml:space="preserve">” </w:t>
      </w:r>
      <w:r>
        <w:rPr>
          <w:rFonts w:ascii="Times New Roman" w:hAnsi="Times New Roman"/>
          <w:b w:val="false"/>
          <w:sz w:val="20"/>
        </w:rPr>
        <w:t>for purposes of Treasury Regulations section 1.6011-4(b)(2).</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 w:hAnsi="Times New Roman"/>
          <w:b w:val="false"/>
          <w:sz w:val="20"/>
        </w:rPr>
        <w:t xml:space="preserve">Neither Parent nor any Parent Subsidiary (i) is a </w:t>
      </w:r>
      <w:r>
        <w:rPr>
          <w:rFonts w:ascii="times new roman;times" w:hAnsi="times new roman;times"/>
          <w:b w:val="false"/>
          <w:sz w:val="20"/>
        </w:rPr>
        <w:t>“</w:t>
      </w:r>
      <w:r>
        <w:rPr>
          <w:rFonts w:ascii="Times New Roman" w:hAnsi="Times New Roman"/>
          <w:b w:val="false"/>
          <w:sz w:val="20"/>
        </w:rPr>
        <w:t>controlled foreign corporation</w:t>
      </w:r>
      <w:r>
        <w:rPr>
          <w:rFonts w:ascii="times new roman;times" w:hAnsi="times new roman;times"/>
          <w:b w:val="false"/>
          <w:sz w:val="20"/>
        </w:rPr>
        <w:t xml:space="preserve">” </w:t>
      </w:r>
      <w:r>
        <w:rPr>
          <w:rFonts w:ascii="Times New Roman" w:hAnsi="Times New Roman"/>
          <w:b w:val="false"/>
          <w:sz w:val="20"/>
        </w:rPr>
        <w:t xml:space="preserve">as defined in Section 957 of the Code, (ii) is a </w:t>
      </w:r>
      <w:r>
        <w:rPr>
          <w:rFonts w:ascii="times new roman;times" w:hAnsi="times new roman;times"/>
          <w:b w:val="false"/>
          <w:sz w:val="20"/>
        </w:rPr>
        <w:t>“</w:t>
      </w:r>
      <w:r>
        <w:rPr>
          <w:rFonts w:ascii="Times New Roman" w:hAnsi="Times New Roman"/>
          <w:b w:val="false"/>
          <w:sz w:val="20"/>
        </w:rPr>
        <w:t>passive foreign investment company</w:t>
      </w:r>
      <w:r>
        <w:rPr>
          <w:rFonts w:ascii="times new roman;times" w:hAnsi="times new roman;times"/>
          <w:b w:val="false"/>
          <w:sz w:val="20"/>
        </w:rPr>
        <w:t xml:space="preserve">” </w:t>
      </w:r>
      <w:r>
        <w:rPr>
          <w:rFonts w:ascii="Times New Roman" w:hAnsi="Times New Roman"/>
          <w:b w:val="false"/>
          <w:sz w:val="20"/>
        </w:rPr>
        <w:t xml:space="preserve">within the meaning of Section 1297 of the Code, (iii) has ever been subject to Tax in any country other than its country of incorporation or formation by virtue of having a permanent establishment (within the meaning of an applicable Tax treaty) or other place of business in such other country, or (iv) is or was a </w:t>
      </w:r>
      <w:r>
        <w:rPr>
          <w:rFonts w:ascii="times new roman;times" w:hAnsi="times new roman;times"/>
          <w:b w:val="false"/>
          <w:sz w:val="20"/>
        </w:rPr>
        <w:t>“</w:t>
      </w:r>
      <w:r>
        <w:rPr>
          <w:rFonts w:ascii="Times New Roman" w:hAnsi="Times New Roman"/>
          <w:b w:val="false"/>
          <w:sz w:val="20"/>
        </w:rPr>
        <w:t>surrogate foreign corporation</w:t>
      </w:r>
      <w:r>
        <w:rPr>
          <w:rFonts w:ascii="times new roman;times" w:hAnsi="times new roman;times"/>
          <w:b w:val="false"/>
          <w:sz w:val="20"/>
        </w:rPr>
        <w:t xml:space="preserve">” </w:t>
      </w:r>
      <w:r>
        <w:rPr>
          <w:rFonts w:ascii="Times New Roman" w:hAnsi="Times New Roman"/>
          <w:b w:val="false"/>
          <w:sz w:val="20"/>
        </w:rPr>
        <w:t>within the meaning of Section 7874(a)(2)(B) or is treated as a U.S. corporation under Section 7874(b) of the Code.</w:t>
      </w:r>
    </w:p>
    <w:p>
      <w:pPr>
        <w:pStyle w:val="TextBody"/>
        <w:bidi w:val="0"/>
        <w:spacing w:lineRule="auto" w:line="288" w:before="0" w:after="240"/>
        <w:ind w:left="56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(m)</w:t>
      </w:r>
      <w:r>
        <w:rPr>
          <w:rFonts w:ascii="Times New Roman" w:hAnsi="Times New Roman"/>
          <w:b w:val="false"/>
          <w:sz w:val="20"/>
        </w:rPr>
        <w:t xml:space="preserve">Neither Parent nor any Parent Subsidiary will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w:t>
      </w:r>
      <w:r>
        <w:rPr>
          <w:rFonts w:ascii="times new roman;times" w:hAnsi="times new roman;times"/>
          <w:b w:val="false"/>
          <w:sz w:val="20"/>
        </w:rPr>
        <w:t>“</w:t>
      </w:r>
      <w:r>
        <w:rPr>
          <w:rFonts w:ascii="Times New Roman" w:hAnsi="Times New Roman"/>
          <w:b w:val="false"/>
          <w:sz w:val="20"/>
        </w:rPr>
        <w:t>closing agreement</w:t>
      </w:r>
      <w:r>
        <w:rPr>
          <w:rFonts w:ascii="times new roman;times" w:hAnsi="times new roman;times"/>
          <w:b w:val="false"/>
          <w:sz w:val="20"/>
        </w:rPr>
        <w:t xml:space="preserve">” </w:t>
      </w:r>
      <w:r>
        <w:rPr>
          <w:rFonts w:ascii="Times New Roman" w:hAnsi="Times New Roman"/>
          <w:b w:val="false"/>
          <w:sz w:val="20"/>
        </w:rPr>
        <w:t>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consummated on or prior to the Closing Date; (v) installment sale or open transaction disposition made on or prior to the Closing Date; (vi) prepaid amount received or deferred revenue accrued on or prior to the Closing Date; or (vii) election under Section 108(i) of the Code (or any similar provision of state, local or foreign Law). Parent has not made any election under Section 965(h)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(n)</w:t>
      </w:r>
      <w:r>
        <w:rPr>
          <w:rFonts w:ascii="Times New Roman" w:hAnsi="Times New Roman"/>
          <w:b w:val="false"/>
          <w:sz w:val="20"/>
        </w:rPr>
        <w:t xml:space="preserve">Neither Parent nor any Parent Subsidiary has taken or agreed to take any action, or has any knowledge of any fact or circumstance, that could reasonably be expected to prevent the Merger from qualifying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(o)</w:t>
      </w:r>
      <w:r>
        <w:rPr>
          <w:rFonts w:ascii="Times New Roman" w:hAnsi="Times New Roman"/>
          <w:b w:val="false"/>
          <w:sz w:val="20"/>
        </w:rPr>
        <w:t>Neither Parent nor any Parent Subsidiary has deferred the payment of any employer payroll Taxes pursuant to the CARES Act.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(p)</w:t>
      </w:r>
      <w:r>
        <w:rPr>
          <w:rFonts w:ascii="Times New Roman" w:hAnsi="Times New Roman"/>
          <w:b w:val="false"/>
          <w:sz w:val="20"/>
        </w:rPr>
        <w:t xml:space="preserve">Neither Parent nor any Parent Subsidiary has taken, and since the date of the LOI has not agreed to take, any action that would reasonably be expected to materially increase the risk that the Merger will fail to qualify for the intended tax treatment described in </w:t>
      </w:r>
      <w:r>
        <w:rPr>
          <w:rFonts w:ascii="Times New Roman" w:hAnsi="Times New Roman"/>
          <w:b w:val="false"/>
          <w:sz w:val="20"/>
          <w:u w:val="single"/>
        </w:rPr>
        <w:t>Section 1.10</w:t>
      </w:r>
      <w:r>
        <w:rPr>
          <w:rFonts w:ascii="Times New Roman" w:hAnsi="Times New Roman"/>
          <w:b w:val="false"/>
          <w:sz w:val="20"/>
        </w:rPr>
        <w:t>.</w:t>
      </w:r>
      <w:r>
        <w:rPr>
          <w:rFonts w:ascii="times new roman;times" w:hAnsi="times new roman;times"/>
          <w:b w:val="false"/>
          <w:sz w:val="20"/>
        </w:rPr>
        <w:t xml:space="preserve">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3.12Employee Benefit Plans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Part 3.12(a) of the Parent Disclosure Schedule lists all material Parent Employee Plans. </w:t>
      </w:r>
      <w:r>
        <w:rPr>
          <w:rFonts w:ascii="times new roman;times" w:hAnsi="times new roman;times"/>
          <w:b w:val="false"/>
          <w:sz w:val="20"/>
        </w:rPr>
        <w:t>“</w:t>
      </w:r>
      <w:r>
        <w:rPr>
          <w:rFonts w:ascii="Times New Roman" w:hAnsi="Times New Roman"/>
          <w:b/>
          <w:i/>
          <w:sz w:val="20"/>
        </w:rPr>
        <w:t>Parent Employee Plans</w:t>
      </w:r>
      <w:r>
        <w:rPr>
          <w:rFonts w:ascii="times new roman;times" w:hAnsi="times new roman;times"/>
          <w:b w:val="false"/>
          <w:sz w:val="20"/>
        </w:rPr>
        <w:t xml:space="preserve">” </w:t>
      </w:r>
      <w:r>
        <w:rPr>
          <w:rFonts w:ascii="Times New Roman" w:hAnsi="Times New Roman"/>
          <w:b w:val="false"/>
          <w:sz w:val="20"/>
        </w:rPr>
        <w:t>shall mean: (i) all employee benefit plans (as defined in Section 3(3) of ERISA whether or not subject to ERISA) and all bonus, stock option, stock purchase, restricted stock, incentive, deferred compensation, retiree medical or life insurance, supplemental retirement, severance or other material benefit plans, programs or arrangements, and all employment, termination or severance Contracts to which Parent or any of its Subsidiaries is a party (except for offer letters or employment agreements that provide for employment that is terminable at will and without material cost or liability to Parent or its Subsidiaries), with respect to which Parent or any Parent Affiliate has or could reasonably be expected to have any obligation or that are maintained, contributed to or sponsored by Parent or any Parent Affiliate for the benefit of any current or former employee, officer or director of Parent or any Parent Affiliate and (ii) any material consulting contracts, arrangements or understandings between Parent or any Parent Affiliate and any natural person consultant of Parent or any Parent Affiliate. Except as would not reasonably be expected to result in material liability to Parent, each Parent Employee Plan has been established and operated in all material respects in accordance with its terms and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 true and complete copy of each material Parent Employee Plan and has made available to the Company a true and complete copy of each material plan document (or, for any unwritten Parent Employee Plan, a written description of the material terms of such Parent Employee Plan) (except for individual written Parent Option agreements, in which case only forms of such agreements have been made available, unless such individual agreements materially differ from such forms),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Parent Employee Plan, (v) the most recently prepared actuarial report and financial statement in connection with each such Parent Employee Plan for each of the prior three (3) years, and (vi) any material non-routine correspondence received or submitted to any Governmental Body within the prior three (3) years. Neither Parent nor any Parent Affiliate has any express or implied commitment (i) to create, enter into, incur liability with respect to or cause to exist any other material employee benefit plan, program or arrangement, (ii) to enter into any Contract to provide compensation or benefits to any individual other than in the Ordinary Course of Business, or (iii) to modify, change or terminate any Parent Employee Plan, other than with respect to a modification, change or termination required by ERISA, the Code or other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No Parent Employee Plan is, and neither Parent nor any Parent Affiliate has ever maintained, contributed or had any liability or obligation to contribute to, (i) a Multiemployer Plan, (ii) a Multiple Employer Plan, (iii) a </w:t>
      </w:r>
      <w:r>
        <w:rPr>
          <w:rFonts w:ascii="times new roman;times" w:hAnsi="times new roman;times"/>
          <w:b w:val="false"/>
          <w:sz w:val="20"/>
        </w:rPr>
        <w:t>“</w:t>
      </w:r>
      <w:r>
        <w:rPr>
          <w:rFonts w:ascii="Times New Roman" w:hAnsi="Times New Roman"/>
          <w:b w:val="false"/>
          <w:sz w:val="20"/>
        </w:rPr>
        <w:t>multiple employer welfare arrangement</w:t>
      </w:r>
      <w:r>
        <w:rPr>
          <w:rFonts w:ascii="times new roman;times" w:hAnsi="times new roman;times"/>
          <w:b w:val="false"/>
          <w:sz w:val="20"/>
        </w:rPr>
        <w:t xml:space="preserve">” </w:t>
      </w:r>
      <w:r>
        <w:rPr>
          <w:rFonts w:ascii="Times New Roman" w:hAnsi="Times New Roman"/>
          <w:b w:val="false"/>
          <w:sz w:val="20"/>
        </w:rPr>
        <w:t>(within the meaning of Section 3(40) of ERISA), (iv) a Funded Welfare Plan, or (v) any plan that is subject to Title IV of ERISA or Section 412 of the Code or Section 302 of ERISA.</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None of the Parent Employee Plans provides for or promises retiree medical, disability or life insurance benefits to any current or former employee, officer or director of Parent or any Parent Subsidiary, except as required by Section 4980B of the Code, Part 6 of Title I of ERISA or similar applicable law.</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Except as provided in this Agreement or as set forth in Part 3.12(e) of the Parent Disclosure Schedule, the execution of this Agreement and the consummation of the Contemplated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Parent Employee Plan, (ii) otherwise trigger any acceleration (of vesting or payment of benefits or otherwise) under or with respect to any Parent Employee Plan, (iii) trigger any obligation to fund any Parent Employee Plan,</w:t>
      </w:r>
      <w:r>
        <w:rPr>
          <w:rFonts w:ascii="times new roman;times" w:hAnsi="times new roman;times"/>
          <w:b w:val="false"/>
          <w:sz w:val="20"/>
        </w:rPr>
        <w:t xml:space="preserve"> </w:t>
      </w:r>
      <w:r>
        <w:rPr>
          <w:rFonts w:ascii="Times New Roman" w:hAnsi="Times New Roman"/>
          <w:b w:val="false"/>
          <w:sz w:val="20"/>
        </w:rPr>
        <w:t xml:space="preserve">(iv) limit the right to merge, amend or terminate any Parent Employee Plan or (v) result in the receipt or retention by any person who is a </w:t>
      </w:r>
      <w:r>
        <w:rPr>
          <w:rFonts w:ascii="times new roman;times" w:hAnsi="times new roman;times"/>
          <w:b w:val="false"/>
          <w:sz w:val="20"/>
        </w:rPr>
        <w:t>“</w:t>
      </w:r>
      <w:r>
        <w:rPr>
          <w:rFonts w:ascii="Times New Roman" w:hAnsi="Times New Roman"/>
          <w:b w:val="false"/>
          <w:sz w:val="20"/>
        </w:rPr>
        <w:t>disqualified individual</w:t>
      </w:r>
      <w:r>
        <w:rPr>
          <w:rFonts w:ascii="times new roman;times" w:hAnsi="times new roman;times"/>
          <w:b w:val="false"/>
          <w:sz w:val="20"/>
        </w:rPr>
        <w:t xml:space="preserve">” </w:t>
      </w:r>
      <w:r>
        <w:rPr>
          <w:rFonts w:ascii="Times New Roman" w:hAnsi="Times New Roman"/>
          <w:b w:val="false"/>
          <w:sz w:val="20"/>
        </w:rPr>
        <w:t xml:space="preserve">(within the meaning of Code Section 280G) with respect to Parent and any of its Subsidiaries of any payment or benefit that is or could be characterized as a </w:t>
      </w:r>
      <w:r>
        <w:rPr>
          <w:rFonts w:ascii="times new roman;times" w:hAnsi="times new roman;times"/>
          <w:b w:val="false"/>
          <w:sz w:val="20"/>
        </w:rPr>
        <w:t>“</w:t>
      </w:r>
      <w:r>
        <w:rPr>
          <w:rFonts w:ascii="Times New Roman" w:hAnsi="Times New Roman"/>
          <w:b w:val="false"/>
          <w:sz w:val="20"/>
        </w:rPr>
        <w:t>parachute payment</w:t>
      </w:r>
      <w:r>
        <w:rPr>
          <w:rFonts w:ascii="times new roman;times" w:hAnsi="times new roman;times"/>
          <w:b w:val="false"/>
          <w:sz w:val="20"/>
        </w:rPr>
        <w:t xml:space="preserve">” </w:t>
      </w:r>
      <w:r>
        <w:rPr>
          <w:rFonts w:ascii="Times New Roman" w:hAnsi="Times New Roman"/>
          <w:b w:val="false"/>
          <w:sz w:val="20"/>
        </w:rPr>
        <w:t>(within the meaning of Section 280G of the Code), determined without regard to the application of Section 280G(b)(5) of the Code.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A-39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No current or former director, employee, or consultant of Parent is entitled to receive a tax gross-up or </w:t>
      </w:r>
      <w:r>
        <w:rPr>
          <w:rFonts w:ascii="times new roman;times" w:hAnsi="times new roman;times"/>
          <w:b w:val="false"/>
          <w:sz w:val="20"/>
        </w:rPr>
        <w:t>“</w:t>
      </w:r>
      <w:r>
        <w:rPr>
          <w:rFonts w:ascii="Times New Roman" w:hAnsi="Times New Roman"/>
          <w:b w:val="false"/>
          <w:sz w:val="20"/>
        </w:rPr>
        <w:t>make-whole</w:t>
      </w:r>
      <w:r>
        <w:rPr>
          <w:rFonts w:ascii="times new roman;times" w:hAnsi="times new roman;times"/>
          <w:b w:val="false"/>
          <w:sz w:val="20"/>
        </w:rPr>
        <w:t xml:space="preserve">” </w:t>
      </w:r>
      <w:r>
        <w:rPr>
          <w:rFonts w:ascii="Times New Roman" w:hAnsi="Times New Roman"/>
          <w:b w:val="false"/>
          <w:sz w:val="20"/>
        </w:rPr>
        <w:t>payment from Parent with respect to any taxes that may be imposed upon such individual pursuant to Section 409A of the Code, Section 4999 of the Code, or otherwise.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Each Parent Employee Plan has been established and operated in all material respects in accordance with its terms and the requirements of all applicable Laws including ERISA and the Code. Parent and Parent</w:t>
      </w:r>
      <w:r>
        <w:rPr>
          <w:rFonts w:ascii="times new roman;times" w:hAnsi="times new roman;times"/>
          <w:b w:val="false"/>
          <w:sz w:val="20"/>
        </w:rPr>
        <w:t>’</w:t>
      </w:r>
      <w:r>
        <w:rPr>
          <w:rFonts w:ascii="Times New Roman" w:hAnsi="Times New Roman"/>
          <w:b w:val="false"/>
          <w:sz w:val="20"/>
        </w:rPr>
        <w:t>s Subsidiaries have performed all material obligations required to be performed by them under and are not in material default under or in material violation of, and, to the Knowledge of Parent, there is no material default or material violation by any party to, any Parent Employee Plan. No Legal Proceeding is pending or threatened with respect to any Parent Employee Plan (other than routine claims for benefits in the Ordinary Course of Business) and to the Knowledge of Parent, there is no reasonable basis for any such Legal Proceeding.</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Each Parent Employee Plan that is intended to be qualified under Section 401(a) of the Code has received a favorable determination, notification or advisory letter with respect to such qualification, or may rely upon an opinion letter for a prototype plan, and no event or omission has occurred that would cause any Parent Employee Plan to lose such qualification or require corrective action to the IRS Employee Plans Compliance Resolution System to maintain such qualification.</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There has not been any prohibited transaction (within the meaning of Section 406 of ERISA or Section 4975 of the Code and not otherwise exempt under Section 408 of ERISA) with respect to any Parent Employee Plan that would reasonably be expected to result in liability to Parent or any of its Subsidiaries. All contributions, premiums or payments required to be made with respect to any Parent Employee Plan have been made on or before their due dates, except as would not result in material liability to Parent or its Subsidiaries. There are no claims pending or threatened, other than routine claims for benefits. All reports, returns and similar documents required to be filed with any Governmental Body or distributed to any plan participant have been timely filed or distributed.</w:t>
      </w:r>
    </w:p>
    <w:p>
      <w:pPr>
        <w:pStyle w:val="TextBody"/>
        <w:bidi w:val="0"/>
        <w:spacing w:lineRule="auto" w:line="288" w:before="0" w:after="240"/>
        <w:ind w:left="64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 w:hAnsi="Times New Roman"/>
          <w:b w:val="false"/>
          <w:sz w:val="20"/>
        </w:rPr>
        <w:t xml:space="preserve">Each Parent Employee Plan that is in any part a </w:t>
      </w:r>
      <w:r>
        <w:rPr>
          <w:rFonts w:ascii="times new roman;times" w:hAnsi="times new roman;times"/>
          <w:b w:val="false"/>
          <w:sz w:val="20"/>
        </w:rPr>
        <w:t>“</w:t>
      </w:r>
      <w:r>
        <w:rPr>
          <w:rFonts w:ascii="Times New Roman" w:hAnsi="Times New Roman"/>
          <w:b w:val="false"/>
          <w:sz w:val="20"/>
        </w:rPr>
        <w:t>nonqualified deferred compensation plan</w:t>
      </w:r>
      <w:r>
        <w:rPr>
          <w:rFonts w:ascii="times new roman;times" w:hAnsi="times new roman;times"/>
          <w:b w:val="false"/>
          <w:sz w:val="20"/>
        </w:rPr>
        <w:t xml:space="preserve">” </w:t>
      </w:r>
      <w:r>
        <w:rPr>
          <w:rFonts w:ascii="Times New Roman" w:hAnsi="Times New Roman"/>
          <w:b w:val="false"/>
          <w:sz w:val="20"/>
        </w:rPr>
        <w:t>(as defined for purposes of Section 409A(d)(1) of the Code) subject to Section 409A of the Code has been operated and maintained in all material respects in operational and documentary compliance with Section 409A of the Code and applicable guidance thereunder. No Parent Employee Plan or Parent Option (whether currently outstanding or previously exercised) is, has been or would be, as applicable, subject to any tax, penalty or interest under Section 409A of the Code.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 w:hAnsi="Times New Roman"/>
          <w:b w:val="false"/>
          <w:sz w:val="20"/>
        </w:rPr>
        <w:t>No Parent Employee Plan is subject to the laws of any jurisdiction outside of the United States.</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Nothing in this </w:t>
      </w:r>
      <w:r>
        <w:rPr>
          <w:rFonts w:ascii="Times New Roman" w:hAnsi="Times New Roman"/>
          <w:sz w:val="20"/>
          <w:u w:val="single"/>
        </w:rPr>
        <w:t>Section 3.12</w:t>
      </w:r>
      <w:r>
        <w:rPr>
          <w:rFonts w:ascii="times new roman;times" w:hAnsi="times new roman;times"/>
          <w:sz w:val="20"/>
        </w:rPr>
        <w:t xml:space="preserve"> </w:t>
      </w:r>
      <w:r>
        <w:rPr>
          <w:rFonts w:ascii="Times New Roman" w:hAnsi="Times New Roman"/>
          <w:sz w:val="20"/>
        </w:rPr>
        <w:t>shall be construed as a representation that Parent will maintain, continue or amend any Parent Employee Plan following the Closing, except as required by applicable Law or as expressly provided in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3.13Labor and Employment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and the Parent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 except as would not reasonably be expected to result in material liability to Parent. There is no charge or other Legal Proceeding pending or, to the Knowledge of</w:t>
      </w:r>
      <w:r>
        <w:rPr>
          <w:rFonts w:ascii="times new roman;times" w:hAnsi="times new roman;times"/>
          <w:b w:val="false"/>
          <w:sz w:val="20"/>
        </w:rPr>
        <w:t xml:space="preserve"> </w:t>
      </w:r>
      <w:r>
        <w:rPr>
          <w:rFonts w:ascii="Times New Roman" w:hAnsi="Times New Roman"/>
          <w:b w:val="false"/>
          <w:sz w:val="20"/>
        </w:rPr>
        <w:t>Parent, threatened or reasonably anticipated before the EEOC, any court, or any other Governmental Authority of competent jurisdiction with respect to the employment practices of Parent or any Parent Subsidiary, except as described on Part 3.13(a) of the Parent Disclosure Schedule. Neither Parent nor any Parent Subsidiary is a party to, or otherwise bound by, any consent decree with, or citation by, the EEOC or any other Governmental Authority of competent jurisdiction relating to employees or employment practices. Neither Parent nor any Parent Subsidiary has received any notice of intent by the EEOC or any other Governmental Authority of competent jurisdiction responsible for the enforcement of labor or employment Laws to conduct an investigation or inquiry relating to Parent or any Parent Subsidiary, and to the knowledge of Parent, no such investigation or inquiry is in progress. The employment of all employees of Parent and the Parent Subsidiaries is terminable at will without cost or liability to Parent or its Subsidiaries, except for amounts earned prior to the time of termination and except as set forth in Part 3.13(a) of the Parent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 list of each employee and consultant that provides services to Parent or any Parent Subsidiary and the location in which each such employee and consultant is based and primarily performs his or her duties or services. No Key Employee has advised Parent or any Parent Subsidiary in writing of his or her intention to terminate his or her relationship as an employee of Parent or such Subsidiary for any reason, including because of the consummation of the Contemplated Transactions and, except as set forth in Part 3.13(b) of the Parent Disclosure Schedule, Parent and the Subsidiary have no plans or intentions to terminate any such Key Employee. Part 3.13(b) of the Parent Disclosure Schedule sets forth a complete and accurate list of all offers of employment that are outstanding to any person from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To the Knowledge of Parent, no employee, officer or director of Parent or any Parent Subsidiary is a party to, or is otherwise bound by, any Contract with a former employer, including any confidentiality, non-competition or proprietary rights agreement, that affects (i) the performance of his or her duties as an employee, officer or director of Parent or the Parent Subsidiary, or (ii) the ability of Parent or any Parent Subsidiary to conduct its business, in each case in any manner that would have a Parent Material Adverse Effect. To the Knowledge of Parent, no employee, officer or director of Parent is in violation, in any material respect, of any term of any employment agreement, nondisclosure agreement, common law nondisclosure obligation, fiduciary duty, non-competition agreement or restrictive covenant to a former employer, which violation would have a Parent Material Adverse Effect.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There are no material controversies pending or, to the Knowledge of Parent, threatened between Parent or any Parent Subsidiary and any of their respective present or former employees or independent contractors.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Neither Parent nor any Parent Subsidiary is a party to any collective bargaining agreement, work council agreement, work force agreement or any other labor union Contract applicable to persons employed by Parent or any Parent Subsidiary; to the Knowledge of Parent, none of the employees or independent contractors of Parent or any Parent Subsidiary is represented by any union, works council, or any other labor organization; and, to the Knowledge of Parent, there are no activities or proceedings of any labor union to organize any such employees or independent contractors.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There are no grievances filed pursuant to any collective bargaining agreement, work council agreement or other labor contract currently pending against Parent or any Parent Subsidiary. There are no unfair labor practice complaints pending, or, to the Knowledge of Parent, threatened, against Parent or any Parent Subsidiary before the National Labor Relations Board or any court, tribunal or other Governmental Authority of competent jurisdiction, or any current union representation questions involving employees of Parent or any Parent Subsidiary. There is no strike, slowdown, work stoppage, lockout, or similar labor disputes or, to the Knowledge of Parent, threat thereof, by or with respect to any employees of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Except as would not result in material liability to Parent, all individuals who are or were performing consulting or other services for Parent or any Parent Subsidiary have been correctly classified by Parent or the Parent Subsidiary in all material respects as either </w:t>
      </w:r>
      <w:r>
        <w:rPr>
          <w:rFonts w:ascii="times new roman;times" w:hAnsi="times new roman;times"/>
          <w:b w:val="false"/>
          <w:sz w:val="20"/>
        </w:rPr>
        <w:t>“</w:t>
      </w:r>
      <w:r>
        <w:rPr>
          <w:rFonts w:ascii="Times New Roman" w:hAnsi="Times New Roman"/>
          <w:b w:val="false"/>
          <w:sz w:val="20"/>
        </w:rPr>
        <w:t>independent contractors</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xml:space="preserve">as the case may be. Except as would not result in material liability to Parent or its Subsidiaries, all individuals who are classified as exempt and are or were performing services for Parent or any Parent Subsidiary have been correctly classified by Parent or the Parent Subsidiary in all material respects as </w:t>
      </w:r>
      <w:r>
        <w:rPr>
          <w:rFonts w:ascii="times new roman;times" w:hAnsi="times new roman;times"/>
          <w:b w:val="false"/>
          <w:sz w:val="20"/>
        </w:rPr>
        <w:t>“</w:t>
      </w:r>
      <w:r>
        <w:rPr>
          <w:rFonts w:ascii="Times New Roman" w:hAnsi="Times New Roman"/>
          <w:b w:val="false"/>
          <w:sz w:val="20"/>
        </w:rPr>
        <w:t>exempt</w:t>
      </w:r>
      <w:r>
        <w:rPr>
          <w:rFonts w:ascii="times new roman;times" w:hAnsi="times new roman;times"/>
          <w:b w:val="false"/>
          <w:sz w:val="20"/>
        </w:rPr>
        <w:t xml:space="preserve">” </w:t>
      </w:r>
      <w:r>
        <w:rPr>
          <w:rFonts w:ascii="Times New Roman" w:hAnsi="Times New Roman"/>
          <w:b w:val="false"/>
          <w:sz w:val="20"/>
        </w:rPr>
        <w:t>from all applicable wage and hour Laws, including but not limited to Laws governing minimum wage, overtime compensation, meal periods and rest breaks.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Parent and each Parent Subsidiary is in compliance in all material respects with all Laws applicable to employment and employment practices, including all Laws respecting terms and conditions of employment, wages, hours, equal employment opportunity, employment discrimination, worker classification (including the proper classification of workers as independent contractors and consultants and exempt or non-exempt), immigration, work authorization, occupational health and safety, workers</w:t>
      </w:r>
      <w:r>
        <w:rPr>
          <w:rFonts w:ascii="times new roman;times" w:hAnsi="times new roman;times"/>
          <w:b w:val="false"/>
          <w:sz w:val="20"/>
        </w:rPr>
        <w:t xml:space="preserve">’ </w:t>
      </w:r>
      <w:r>
        <w:rPr>
          <w:rFonts w:ascii="Times New Roman" w:hAnsi="Times New Roman"/>
          <w:b w:val="false"/>
          <w:sz w:val="20"/>
        </w:rPr>
        <w:t>compensation, the payment of social security and other employment taxes, disability rights or benefits, plant closures and layoffs, affirmative action and affirmative action plans, labor relations, employee leave issues and unemployment insurance.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3.14</w:t>
        </w:r>
      </w:hyperlink>
      <w:hyperlink w:anchor="TOC">
        <w:r>
          <w:rPr>
            <w:rStyle w:val="InternetLink"/>
            <w:rFonts w:ascii="Times New Roman" w:hAnsi="Times New Roman"/>
            <w:b/>
            <w:strike w:val="false"/>
            <w:dstrike w:val="false"/>
            <w:color w:val="000000"/>
            <w:sz w:val="20"/>
            <w:u w:val="none"/>
            <w:effect w:val="none"/>
          </w:rPr>
          <w:t>Environmental Matters</w:t>
        </w:r>
      </w:hyperlink>
      <w:r>
        <w:rPr>
          <w:rFonts w:ascii="Times New Roman" w:hAnsi="Times New Roman"/>
          <w:b w:val="false"/>
          <w:sz w:val="20"/>
        </w:rPr>
        <w:t>. Except as would not reasonably be expected to have a Parent Material Adverse Effect, Parent and each Parent Subsidiary is in compliance with all applicable Environmental Laws, which compliance includes the possession by Parent of all permits and other Governmental Authorizations required under applicable Environmental Laws and compliance with the terms and conditions thereof. Neither Parent nor any Parent Subsidiary has received since January 1, 2024 any written notice or other communication (in writing or otherwise), whether from a Governmental Body or employee, that alleges that Parent or any Parent Subsidiary is not in compliance with any Environmental Law, and, to the Knowledge of Parent, there are no circumstances that may prevent or interfere with Parent</w:t>
      </w:r>
      <w:r>
        <w:rPr>
          <w:rFonts w:ascii="times new roman;times" w:hAnsi="times new roman;times"/>
          <w:b w:val="false"/>
          <w:sz w:val="20"/>
        </w:rPr>
        <w:t>’</w:t>
      </w:r>
      <w:r>
        <w:rPr>
          <w:rFonts w:ascii="Times New Roman" w:hAnsi="Times New Roman"/>
          <w:b w:val="false"/>
          <w:sz w:val="20"/>
        </w:rPr>
        <w:t>s or any Parent Subsidiary</w:t>
      </w:r>
      <w:r>
        <w:rPr>
          <w:rFonts w:ascii="times new roman;times" w:hAnsi="times new roman;times"/>
          <w:b w:val="false"/>
          <w:sz w:val="20"/>
        </w:rPr>
        <w:t>’</w:t>
      </w:r>
      <w:r>
        <w:rPr>
          <w:rFonts w:ascii="Times New Roman" w:hAnsi="Times New Roman"/>
          <w:b w:val="false"/>
          <w:sz w:val="20"/>
        </w:rPr>
        <w:t>s compliance with any Environmental Law in the future. To the Knowledge of Parent: (i) no current or prior owner of any property currently or then leased or controlled by Parent or any Parent Subsidiaries has received since January 1, 2024 any written notice or other communication (in writing or otherwise) relating to property owned or leased by Parent or any of its Subsidiaries, whether from a Governmental Body or employee, that alleges that such current or prior owner or Parent or any of the Parent Subsidiaries is not in compliance with or violated any Environmental Law relating to such property and (ii) neither Parent nor any of its Subsidiaries has any material liability under any Environmental Law that would reasonably be expected to have a Parent Material Adverse Effect.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3.15Insurance</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has made available to the Company true, correct and complete copies of all material insurance policies and all material self-insurance programs and arrangements relating to the business, assets, liabilities and operations of Parent and each Parent Subsidiary. Each of the material insurance policies is in full force and effect and Parent and each Parent Subsidiary is in material compliance with the terms thereof. Other than customary end of policy notifications from insurance carriers, since January 1, 2024, neither Parent nor any Parent subsidiary has received any written notice or other written communication regarding any actual or possible: (i) cancellation or invalidation of any insurance policy; (ii) refusal or denial of any coverage, reservation of rights or rejection of any material claim under any insurance policy; or (iii) material adjustment in the amount of the premiums payable with respect to any insurance policy. To the Knowledge of Parent, there is no pending workers</w:t>
      </w:r>
      <w:r>
        <w:rPr>
          <w:rFonts w:ascii="times new roman;times" w:hAnsi="times new roman;times"/>
          <w:b w:val="false"/>
          <w:sz w:val="20"/>
        </w:rPr>
        <w:t xml:space="preserve">’ </w:t>
      </w:r>
      <w:r>
        <w:rPr>
          <w:rFonts w:ascii="Times New Roman" w:hAnsi="Times New Roman"/>
          <w:b w:val="false"/>
          <w:sz w:val="20"/>
        </w:rPr>
        <w:t>compensation or other claim under or based upon any insurance policy of Parent or any Parent Subsidiary. All information provided to insurance carriers (in applications and otherwise) on behalf of Parent and each Parent Subsidiary is accurate and complete in all material respects. Parent and each Parent Subsidiary have provided timely written notice to the appropriate insurance carrier(s) of each Legal Proceeding pending or threatened in writing against Parent or any Parent Subsidiary, and no such carrier has issued a denial of coverage or a reservation of rights with respect to any such Legal Proceeding, or, to the Knowledge of the Company, informed Parent or any Parent Subsidiary of its intent to do so.</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has made available to the Company accurate and complete copies of the existing policies (primary and excess) of directors</w:t>
      </w:r>
      <w:r>
        <w:rPr>
          <w:rFonts w:ascii="times new roman;times" w:hAnsi="times new roman;times"/>
          <w:b w:val="false"/>
          <w:sz w:val="20"/>
        </w:rPr>
        <w:t xml:space="preserve">’ </w:t>
      </w:r>
      <w:r>
        <w:rPr>
          <w:rFonts w:ascii="Times New Roman" w:hAnsi="Times New Roman"/>
          <w:b w:val="false"/>
          <w:sz w:val="20"/>
        </w:rPr>
        <w:t>and officers</w:t>
      </w:r>
      <w:r>
        <w:rPr>
          <w:rFonts w:ascii="times new roman;times" w:hAnsi="times new roman;times"/>
          <w:b w:val="false"/>
          <w:sz w:val="20"/>
        </w:rPr>
        <w:t xml:space="preserve">’ </w:t>
      </w:r>
      <w:r>
        <w:rPr>
          <w:rFonts w:ascii="Times New Roman" w:hAnsi="Times New Roman"/>
          <w:b w:val="false"/>
          <w:sz w:val="20"/>
        </w:rPr>
        <w:t xml:space="preserve">liability insurance maintained by Parent and each Parent Subsidiary as of the date of this Agreement (the </w:t>
      </w:r>
      <w:r>
        <w:rPr>
          <w:rFonts w:ascii="times new roman;times" w:hAnsi="times new roman;times"/>
          <w:b w:val="false"/>
          <w:sz w:val="20"/>
        </w:rPr>
        <w:t>“</w:t>
      </w:r>
      <w:r>
        <w:rPr>
          <w:rFonts w:ascii="Times New Roman" w:hAnsi="Times New Roman"/>
          <w:b/>
          <w:i/>
          <w:sz w:val="20"/>
        </w:rPr>
        <w:t>Existing Parent D&amp;O Policies</w:t>
      </w:r>
      <w:r>
        <w:rPr>
          <w:rFonts w:ascii="times new roman;times" w:hAnsi="times new roman;times"/>
          <w:b w:val="false"/>
          <w:sz w:val="20"/>
        </w:rPr>
        <w:t>”</w:t>
      </w:r>
      <w:r>
        <w:rPr>
          <w:rFonts w:ascii="Times New Roman" w:hAnsi="Times New Roman"/>
          <w:b w:val="false"/>
          <w:sz w:val="20"/>
        </w:rPr>
        <w:t>). Part 3.15(b) of the Parent Disclosure Schedule accurately sets forth the most recent annual premiums paid by Parent and each Parent Subsidiary with respect to the Existing Parent D&amp;O Policies.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3.16Legal Proceedings; Orders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disclosed in the Parent SEC Documents or in Part 3.16 of the Parent Disclosure Schedule, there is no pending Legal Proceeding, and to Parent</w:t>
      </w:r>
      <w:r>
        <w:rPr>
          <w:rFonts w:ascii="times new roman;times" w:hAnsi="times new roman;times"/>
          <w:b w:val="false"/>
          <w:sz w:val="20"/>
        </w:rPr>
        <w:t>’</w:t>
      </w:r>
      <w:r>
        <w:rPr>
          <w:rFonts w:ascii="Times New Roman" w:hAnsi="Times New Roman"/>
          <w:b w:val="false"/>
          <w:sz w:val="20"/>
        </w:rPr>
        <w:t>s Knowledge no Person has threatened in writing to commence any Legal Proceeding, that would reasonably be expected to have a Parent Material Adverse Effect or to prevent, materially delay or materially impair the consummation of the Contemplated Transactions or the Financing. To the Knowledge of Parent, no event has occurred, and no claim, dispute or other condition or circumstance exists, that will give rise to or serve as a basis for the commencement of any meritorious Legal Proceeding.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There is no order, writ, injunction, judgment or decree to which Parent or any Parent Subsidiary, or any of the material assets owned or used by Parent or any Parent Subsidiary is subject. To the Knowledge of Parent, no officer or other Key Employee of Parent is subject to any order, writ, injunction, judgment or decree that prohibits such officer or other employee from engaging in or continuing any conduct, activity or practice relating to the business of Parent or any Parent Subsidiary or to any material assets owned or used by Parent or any Parent Subsidiary.</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Without limiting the foregoing, except as set forth in Part 3.16 of the Parent Disclosure Schedule, there is no pending or, to the Knowledge of the Parent or Merger Sub, threatened Action against the Parent, any Parent</w:t>
      </w:r>
      <w:r>
        <w:rPr>
          <w:rFonts w:ascii="times new roman;times" w:hAnsi="times new roman;times"/>
          <w:b w:val="false"/>
          <w:sz w:val="20"/>
        </w:rPr>
        <w:t xml:space="preserve"> </w:t>
      </w:r>
      <w:r>
        <w:rPr>
          <w:rFonts w:ascii="Times New Roman" w:hAnsi="Times New Roman"/>
          <w:b w:val="false"/>
          <w:sz w:val="20"/>
        </w:rPr>
        <w:t>Subsidiary, or any present or former officer, director, employee or consultant thereof that would reasonably be expected to have Parent Material Adverse Effect, arising out of or relating to (i) any Intellectual Property used in the business, (ii) any clinical study, regulatory submission, product candidate, adverse event or quality issue, (iii) any separation, carve-out, indemnity or related-party arrangement with Seller or any of its Affiliates, or (iv) any claim that any asset, data set, submission, license, invention, software or know-how used in the business is not owned by or validly licensed to the Parent. Except as set forth in Part 3.16</w:t>
      </w:r>
      <w:r>
        <w:rPr>
          <w:rFonts w:ascii="times new roman;times" w:hAnsi="times new roman;times"/>
          <w:b w:val="false"/>
          <w:sz w:val="20"/>
        </w:rPr>
        <w:t xml:space="preserve"> </w:t>
      </w:r>
      <w:r>
        <w:rPr>
          <w:rFonts w:ascii="Times New Roman" w:hAnsi="Times New Roman"/>
          <w:b w:val="false"/>
          <w:sz w:val="20"/>
        </w:rPr>
        <w:t>of the Parent</w:t>
      </w:r>
      <w:r>
        <w:rPr>
          <w:rFonts w:ascii="times new roman;times" w:hAnsi="times new roman;times"/>
          <w:b w:val="false"/>
          <w:sz w:val="20"/>
        </w:rPr>
        <w:t xml:space="preserve"> </w:t>
      </w:r>
      <w:r>
        <w:rPr>
          <w:rFonts w:ascii="Times New Roman" w:hAnsi="Times New Roman"/>
          <w:b w:val="false"/>
          <w:sz w:val="20"/>
        </w:rPr>
        <w:t>Disclosure Schedule, there is no pending or, to the Knowledge of the Parent, threatened investigation, inquiry, audit, inspection, subpoena, civil investigative demand or similar proceeding by any Governmental Body relating to the Parent, any Parent</w:t>
      </w:r>
      <w:r>
        <w:rPr>
          <w:rFonts w:ascii="times new roman;times" w:hAnsi="times new roman;times"/>
          <w:b w:val="false"/>
          <w:sz w:val="20"/>
        </w:rPr>
        <w:t xml:space="preserve"> </w:t>
      </w:r>
      <w:r>
        <w:rPr>
          <w:rFonts w:ascii="Times New Roman" w:hAnsi="Times New Roman"/>
          <w:b w:val="false"/>
          <w:sz w:val="20"/>
        </w:rPr>
        <w:t>Subsidiary, any product candidate, any clinical study or any related-party arrangement.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3.17</w:t>
        </w:r>
      </w:hyperlink>
      <w:hyperlink w:anchor="TOC">
        <w:r>
          <w:rPr>
            <w:rStyle w:val="InternetLink"/>
            <w:rFonts w:ascii="Times New Roman" w:hAnsi="Times New Roman"/>
            <w:b/>
            <w:strike w:val="false"/>
            <w:dstrike w:val="false"/>
            <w:color w:val="000000"/>
            <w:sz w:val="20"/>
            <w:u w:val="none"/>
            <w:effect w:val="none"/>
          </w:rPr>
          <w:t>Authority; Binding Nature of Agreement</w:t>
        </w:r>
      </w:hyperlink>
      <w:r>
        <w:rPr>
          <w:rFonts w:ascii="Times New Roman" w:hAnsi="Times New Roman"/>
          <w:b w:val="false"/>
          <w:sz w:val="20"/>
        </w:rPr>
        <w:t>. Each of Parent and Merger Sub and each Parent Subsidiary have all necessary corporate power and authority to enter into and to perform its obligations under this Agreement. The Parent Board of Directors and the Board of Directors of Merger Sub (at meetings duly called and held) has: (a) determined that the Contemplated Transactions are advisable and fair to and in the best interests of such Party and its stockholders or shareholders, as applicable; (b) duly authorized and approved by all necessary corporate action, the execution, delivery and performance of this Agreement and the transactions contemplated hereby, including the Contemplated Transactions; and (c) recommended the adoption and approval of this Agreement by the holders of Parent Common Stock and caused this Agreement, and the issuance of shares of Parent Common Stock in the Contemplated Transactions be submitted for consideration by Parent</w:t>
      </w:r>
      <w:r>
        <w:rPr>
          <w:rFonts w:ascii="times new roman;times" w:hAnsi="times new roman;times"/>
          <w:b w:val="false"/>
          <w:sz w:val="20"/>
        </w:rPr>
        <w:t>’</w:t>
      </w:r>
      <w:r>
        <w:rPr>
          <w:rFonts w:ascii="Times New Roman" w:hAnsi="Times New Roman"/>
          <w:b w:val="false"/>
          <w:sz w:val="20"/>
        </w:rPr>
        <w:t>s stockholders in connection with the Required Parent Stockholder Consent. The Parent Board of Directors has approved the issuance of the Consideration Shares, the Financing and the other Parent Stockholder Proposals contemplated hereby. This Agreement has been duly executed and delivered by Parent and Merger Sub and, assuming the due authorization, execution and delivery by the Company, constitutes the legal, valid and binding obligation of Parent and Merger Sub (as applicable), enforceable against Parent or Merger Sub (as applicable) in accordance with its terms, subject to: (i) laws of general application relating to bankruptcy, insolvency and the relief of debtors; and (ii) rules of Law governing specific performance, injunctive relief and other equitable remedies. Prior to the execution of the Parent Voting Agreements, the Parent Board of Directors approved the Parent Voting Agreements and the transactions contemplated thereby. Merger Sub was formed solely to facilitate the Merger and has no assets, liabilities or operations except in connection therewith. Merger Sub has been formed solely for purposes of the Merger and has no material liabilities or obligations other than those incurred in connection with its formation and the transactions contemplated by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3.18</w:t>
        </w:r>
      </w:hyperlink>
      <w:hyperlink w:anchor="TOC">
        <w:r>
          <w:rPr>
            <w:rStyle w:val="InternetLink"/>
            <w:rFonts w:ascii="Times New Roman" w:hAnsi="Times New Roman"/>
            <w:b/>
            <w:strike w:val="false"/>
            <w:dstrike w:val="false"/>
            <w:color w:val="000000"/>
            <w:sz w:val="20"/>
            <w:u w:val="none"/>
            <w:effect w:val="none"/>
          </w:rPr>
          <w:t>Vote Required</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 xml:space="preserve">The only vote of the holders of Parent Capital Stock necessary to approve the Parent Stockholder Proposals is the written consent of the holders of a majority of the outstanding shares of Parent Common Stock (the </w:t>
      </w:r>
      <w:r>
        <w:rPr>
          <w:rFonts w:ascii="times new roman;times" w:hAnsi="times new roman;times"/>
          <w:b w:val="false"/>
          <w:sz w:val="20"/>
        </w:rPr>
        <w:t>“</w:t>
      </w:r>
      <w:r>
        <w:rPr>
          <w:rFonts w:ascii="Times New Roman" w:hAnsi="Times New Roman"/>
          <w:b/>
          <w:i/>
          <w:sz w:val="20"/>
        </w:rPr>
        <w:t>Required Parent Stockholder Consent</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Parent has delivered, or will deliver concurrently with the execution of this Agreement, Parent Voting Agreements from stockholders owning at least 50.1% of the issued and outstanding Parent Common Stock.</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3.19</w:t>
        </w:r>
      </w:hyperlink>
      <w:hyperlink w:anchor="TOC">
        <w:r>
          <w:rPr>
            <w:rStyle w:val="InternetLink"/>
            <w:rFonts w:ascii="Times New Roman" w:hAnsi="Times New Roman"/>
            <w:b/>
            <w:strike w:val="false"/>
            <w:dstrike w:val="false"/>
            <w:color w:val="000000"/>
            <w:sz w:val="20"/>
            <w:u w:val="none"/>
            <w:effect w:val="none"/>
          </w:rPr>
          <w:t>Non-Contravention; Consents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Part 3.19 of the Parent Disclosure Schedule, and subject to obtaining the Required Parent Stockholder Consent</w:t>
      </w:r>
      <w:r>
        <w:rPr>
          <w:rFonts w:ascii="times new roman;times" w:hAnsi="times new roman;times"/>
          <w:b w:val="false"/>
          <w:sz w:val="20"/>
        </w:rPr>
        <w:t xml:space="preserve"> </w:t>
      </w:r>
      <w:r>
        <w:rPr>
          <w:rFonts w:ascii="Times New Roman" w:hAnsi="Times New Roman"/>
          <w:b w:val="false"/>
          <w:sz w:val="20"/>
        </w:rPr>
        <w:t>for the Parent Stockholder Proposals, the filing of the Certificate of Merger required by the DGCL and any filings or notifications that may be required in connection with the Contemplated Transactions under any US or non-US antitrust, merger control, or competition laws, neither (x) the execution, delivery or performance of this Agreement by Parent or Merger Sub, nor (y) the consummation of the Contemplated Transactions, will directly or indirectly (with or without notice or lapse of time):</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contravene, conflict with or result in a violation of (i) any of the provisions of the articles of incorporation, bylaws or other charter or organizational documents of Parent or any of its Subsidiaries, or (ii) any resolution adopted by the stockholders, the Parent Board of Directors or any committee of the Parent Board of Directors or the Board of Directors of any of its Subsidiaries;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contravene, conflict with or result in a material violation of, or give any Governmental Body or, to the Knowledge of Parent, other Person the right to challenge the Contemplated Transactions or to exercise any remedy or obtain any relief under, any Legal Requirement or any order, writ, injunction, judgment or decree to which Parent or any of its Subsidiaries or any of the assets owned or used by Parent or any of its Subsidiaries is subject;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contravene, conflict with or result in a material violation of any of the terms or requirements of, or give any Governmental Body the right to revoke, withdraw, suspend, cancel, terminate or modify, any Governmental Authorization that is held by Parent or any of its Subsidiaries or that otherwise relates to the business of Parent or any of its Subsidiaries or to any of the material assets owned or used by Parent or any of its Subsidiaries;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contravene, conflict with or result in a violation or breach of, or result in a default under, any provision of any Parent Contract, or give any Person the right to: (i) declare a default or exercise any remedy under any Parent Contract; (ii) a rebate, chargeback, penalty or change in delivery schedule under any such Parent Contract; (iii) accelerate the maturity or performance of any Parent Contract; or (iv) cancel, terminate or modify any term of any Parent Contract; except, in the case of any Parent Material Contract, any non-material breach, default, penalty or modification and in the case of all other Parent Contracts, any breach, default, penalty or modification that would not result in a Parent Material Adverse Effect;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result in the imposition or creation of any Encumbrance upon or with respect to any asset owned or used by Parent (except for minor liens that will not, in any case or in the aggregate, materially detract from the value of the material assets subject thereto or materially impair the operations of Parent); or</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result in the transfer of any material asset of Parent or any Parent Subsidiaries to any Person.</w:t>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Except (i) for any Consent set forth in Part 3.19 of the Parent Disclosure Schedule under any Parent Contract, (ii) the approval of the Parent Stockholder Proposals and the issuance of shares of Parent Common Stock,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Parent was not, is not, nor will be required to make any filing with or give any notice to, or to obtain any Consent from, any Person in connection with (x) the execution, delivery or performance of this Agreement, or (y) the consummation of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3.20</w:t>
        </w:r>
      </w:hyperlink>
      <w:hyperlink w:anchor="TOC">
        <w:r>
          <w:rPr>
            <w:rStyle w:val="InternetLink"/>
            <w:rFonts w:ascii="Times New Roman" w:hAnsi="Times New Roman"/>
            <w:b/>
            <w:strike w:val="false"/>
            <w:dstrike w:val="false"/>
            <w:color w:val="000000"/>
            <w:sz w:val="20"/>
            <w:u w:val="none"/>
            <w:effect w:val="none"/>
          </w:rPr>
          <w:t>Bank Accounts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Part 3.20 of the Parent Disclosure Schedule provides accurate information with respect to each account maintained by or for the benefit of Parent or any of its Subsidiaries at any bank or other financial institution, including the name of the bank or financial institution, the account number, the balance as of June 30, 2026 and the names of all individuals authorized to draw on or make withdrawals from such accounts.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3.21</w:t>
        </w:r>
      </w:hyperlink>
      <w:hyperlink w:anchor="TOC">
        <w:r>
          <w:rPr>
            <w:rStyle w:val="InternetLink"/>
            <w:rFonts w:ascii="Times New Roman" w:hAnsi="Times New Roman"/>
            <w:b/>
            <w:strike w:val="false"/>
            <w:dstrike w:val="false"/>
            <w:color w:val="000000"/>
            <w:sz w:val="20"/>
            <w:u w:val="none"/>
            <w:effect w:val="none"/>
          </w:rPr>
          <w:t>No Financial Advisor</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set forth in Part 3.21 of the Parent Disclosure Schedule, no broker, finder, investment banker, financial advisor, consultant or other Person is entitled to any brokerage fee, finder</w:t>
      </w:r>
      <w:r>
        <w:rPr>
          <w:rFonts w:ascii="times new roman;times" w:hAnsi="times new roman;times"/>
          <w:b w:val="false"/>
          <w:sz w:val="20"/>
        </w:rPr>
        <w:t>’</w:t>
      </w:r>
      <w:r>
        <w:rPr>
          <w:rFonts w:ascii="Times New Roman" w:hAnsi="Times New Roman"/>
          <w:b w:val="false"/>
          <w:sz w:val="20"/>
        </w:rPr>
        <w:t>s fee, transaction fee, reimbursement or other compensation in connection with the Contemplated Transactions or the Financing based upon arrangements made by or on behalf of Parent or any of its Affiliates. Part 3.21 of the Parent Disclosure Schedule sets forth each Person to whom Parent is obligated or has agreed to issue any Advisor Shares or other equity-based compensation in connection with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3.22</w:t>
        </w:r>
      </w:hyperlink>
      <w:hyperlink w:anchor="TOC">
        <w:r>
          <w:rPr>
            <w:rStyle w:val="InternetLink"/>
            <w:rFonts w:ascii="Times New Roman" w:hAnsi="Times New Roman"/>
            <w:b/>
            <w:strike w:val="false"/>
            <w:dstrike w:val="false"/>
            <w:color w:val="000000"/>
            <w:sz w:val="20"/>
            <w:u w:val="none"/>
            <w:effect w:val="none"/>
          </w:rPr>
          <w:t>Title to Assets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Each of Parent and the Parent Subsidiaries owns, and has good and valid title to, or, in the case of leased properties and assets, valid leasehold interests in, all material tangible properties or assets and equipment used or held for use in its business or operations or purported to be owned by it. All such assets are owned by Parent or a Parent Subsidiary free and clear of any Encumbrances, except for: (i) any lien for current Taxes not yet due and payable or for Taxes that are being contested in good faith and for which adequate reserves have been made on the Parent Unaudited Interim Balance Sheet; (ii) minor liens that have arisen in the Ordinary Course of Business and that do not (in any case or in the aggregate) materially detract from the value of the assets subject thereto or materially impair the operations of Parent or any Parent Subsidiary; and (iii) liens listed in Part 3.22 of the Parent Disclosure Schedule.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3.23</w:t>
        </w:r>
      </w:hyperlink>
      <w:hyperlink w:anchor="TOC">
        <w:r>
          <w:rPr>
            <w:rStyle w:val="InternetLink"/>
            <w:rFonts w:ascii="Times New Roman" w:hAnsi="Times New Roman"/>
            <w:b/>
            <w:strike w:val="false"/>
            <w:dstrike w:val="false"/>
            <w:color w:val="000000"/>
            <w:sz w:val="20"/>
            <w:u w:val="none"/>
            <w:effect w:val="none"/>
          </w:rPr>
          <w:t>Real Property; Leasehold</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Neither Parent nor any Parent Subsidiary owns any real property or any interest in real property, except</w:t>
      </w:r>
      <w:r>
        <w:rPr>
          <w:rFonts w:ascii="times new roman;times" w:hAnsi="times new roman;times"/>
          <w:b w:val="false"/>
          <w:sz w:val="20"/>
        </w:rPr>
        <w:t xml:space="preserve"> </w:t>
      </w:r>
      <w:r>
        <w:rPr>
          <w:rFonts w:ascii="Times New Roman" w:hAnsi="Times New Roman"/>
          <w:b w:val="false"/>
          <w:sz w:val="20"/>
        </w:rPr>
        <w:t>for the leaseholds created under the real property leases identified in Part 3.23 of the Parent Disclosure Schedule, which are in full force and effect and with no material default thereunder, to Parent</w:t>
      </w:r>
      <w:r>
        <w:rPr>
          <w:rFonts w:ascii="times new roman;times" w:hAnsi="times new roman;times"/>
          <w:b w:val="false"/>
          <w:sz w:val="20"/>
        </w:rPr>
        <w:t>’</w:t>
      </w:r>
      <w:r>
        <w:rPr>
          <w:rFonts w:ascii="Times New Roman" w:hAnsi="Times New Roman"/>
          <w:b w:val="false"/>
          <w:sz w:val="20"/>
        </w:rPr>
        <w:t>s Knowledge.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3.24</w:t>
        </w:r>
      </w:hyperlink>
      <w:hyperlink w:anchor="TOC">
        <w:r>
          <w:rPr>
            <w:rStyle w:val="InternetLink"/>
            <w:rFonts w:ascii="Times New Roman" w:hAnsi="Times New Roman"/>
            <w:b/>
            <w:strike w:val="false"/>
            <w:dstrike w:val="false"/>
            <w:color w:val="000000"/>
            <w:sz w:val="20"/>
            <w:u w:val="none"/>
            <w:effect w:val="none"/>
          </w:rPr>
          <w:t>Valid Issuance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Consideration Shares, the Financing Units (including the Financing Shares and the Financing Warrants), the Financing Warrant Shares issuable upon exercise of the Financing Warrants, and any Advisor Shares, when issued in accordance with this Agreement and the applicable transaction documents, will be duly authorized, validly issued, fully paid and nonassessable. Parent has, or prior to Closing will have, sufficient authorized but unissued shares of Parent Common Stock to satisfy the exercise in full of all Financing Warrants.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3.25</w:t>
        </w:r>
      </w:hyperlink>
      <w:hyperlink w:anchor="TOC">
        <w:r>
          <w:rPr>
            <w:rStyle w:val="InternetLink"/>
            <w:rFonts w:ascii="Times New Roman" w:hAnsi="Times New Roman"/>
            <w:b/>
            <w:strike w:val="false"/>
            <w:dstrike w:val="false"/>
            <w:color w:val="000000"/>
            <w:sz w:val="20"/>
            <w:u w:val="none"/>
            <w:effect w:val="none"/>
          </w:rPr>
          <w:t>Privacy</w:t>
        </w:r>
      </w:hyperlink>
      <w:r>
        <w:rPr>
          <w:rFonts w:ascii="Times New Roman" w:hAnsi="Times New Roman"/>
          <w:b w:val="false"/>
          <w:sz w:val="20"/>
        </w:rPr>
        <w:t>. Parent has complied in all material respects with all Privacy Obligations and its respective internal and external privacy policies relating to the use, collection, storage, disclosure and transfer of any Personal Information collected by Parent or by third parties having authorized access to the records of Parent. The execution, delivery and performance of this Agreement will comply in all material respects with all Privacy Obligations and with Parent</w:t>
      </w:r>
      <w:r>
        <w:rPr>
          <w:rFonts w:ascii="times new roman;times" w:hAnsi="times new roman;times"/>
          <w:b w:val="false"/>
          <w:sz w:val="20"/>
        </w:rPr>
        <w:t>’</w:t>
      </w:r>
      <w:r>
        <w:rPr>
          <w:rFonts w:ascii="Times New Roman" w:hAnsi="Times New Roman"/>
          <w:b w:val="false"/>
          <w:sz w:val="20"/>
        </w:rPr>
        <w:t>s privacy policies. To Parent</w:t>
      </w:r>
      <w:r>
        <w:rPr>
          <w:rFonts w:ascii="times new roman;times" w:hAnsi="times new roman;times"/>
          <w:b w:val="false"/>
          <w:sz w:val="20"/>
        </w:rPr>
        <w:t>’</w:t>
      </w:r>
      <w:r>
        <w:rPr>
          <w:rFonts w:ascii="Times New Roman" w:hAnsi="Times New Roman"/>
          <w:b w:val="false"/>
          <w:sz w:val="20"/>
        </w:rPr>
        <w:t>s Knowledge, Parent has not received a written complaint regarding Parent</w:t>
      </w:r>
      <w:r>
        <w:rPr>
          <w:rFonts w:ascii="times new roman;times" w:hAnsi="times new roman;times"/>
          <w:b w:val="false"/>
          <w:sz w:val="20"/>
        </w:rPr>
        <w:t>’</w:t>
      </w:r>
      <w:r>
        <w:rPr>
          <w:rFonts w:ascii="Times New Roman" w:hAnsi="Times New Roman"/>
          <w:b w:val="false"/>
          <w:sz w:val="20"/>
        </w:rPr>
        <w:t>s collection, use or disclosure of Personal Information. To Parent</w:t>
      </w:r>
      <w:r>
        <w:rPr>
          <w:rFonts w:ascii="times new roman;times" w:hAnsi="times new roman;times"/>
          <w:b w:val="false"/>
          <w:sz w:val="20"/>
        </w:rPr>
        <w:t>’</w:t>
      </w:r>
      <w:r>
        <w:rPr>
          <w:rFonts w:ascii="Times New Roman" w:hAnsi="Times New Roman"/>
          <w:b w:val="false"/>
          <w:sz w:val="20"/>
        </w:rPr>
        <w:t>s Knowledge, there has been no (i) unauthorized acquisition of, access to, loss of, misuse (by any means) of any Sensitive Data, or (ii) unauthorized or unlawful processing of any Sensitive Data or Personal Information, in each case, used or held for use by or on behalf of Parent. No Person has, in the last three (3) years, to Parent</w:t>
      </w:r>
      <w:r>
        <w:rPr>
          <w:rFonts w:ascii="times new roman;times" w:hAnsi="times new roman;times"/>
          <w:b w:val="false"/>
          <w:sz w:val="20"/>
        </w:rPr>
        <w:t>’</w:t>
      </w:r>
      <w:r>
        <w:rPr>
          <w:rFonts w:ascii="Times New Roman" w:hAnsi="Times New Roman"/>
          <w:b w:val="false"/>
          <w:sz w:val="20"/>
        </w:rPr>
        <w:t>s Knowledge threatened to bring any proceeding pursuant to any written notice, or commenced any proceeding with respect to Parent</w:t>
      </w:r>
      <w:r>
        <w:rPr>
          <w:rFonts w:ascii="times new roman;times" w:hAnsi="times new roman;times"/>
          <w:b w:val="false"/>
          <w:sz w:val="20"/>
        </w:rPr>
        <w:t>’</w:t>
      </w:r>
      <w:r>
        <w:rPr>
          <w:rFonts w:ascii="Times New Roman" w:hAnsi="Times New Roman"/>
          <w:b w:val="false"/>
          <w:sz w:val="20"/>
        </w:rPr>
        <w:t>s privacy, security or data protection practices, including any loss, damage or unauthorized access, use, disclosure, modification or other misuse of any Personal Information maintained by, or on behalf of, Parent and, to Parent</w:t>
      </w:r>
      <w:r>
        <w:rPr>
          <w:rFonts w:ascii="times new roman;times" w:hAnsi="times new roman;times"/>
          <w:b w:val="false"/>
          <w:sz w:val="20"/>
        </w:rPr>
        <w:t>’</w:t>
      </w:r>
      <w:r>
        <w:rPr>
          <w:rFonts w:ascii="Times New Roman" w:hAnsi="Times New Roman"/>
          <w:b w:val="false"/>
          <w:sz w:val="20"/>
        </w:rPr>
        <w:t>s Knowledge, there is no reasonable basis for such proceeding.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3.26</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has taken, or prior to Closing will take, all actions reasonably necessary to complete the Financing under an effective registration statement. The Financing, when consummated in accordance with this Agreement, will result in aggregate gross proceeds to Parent of not less than $10,000,000</w:t>
      </w:r>
      <w:r>
        <w:rPr>
          <w:rFonts w:ascii="times new roman;times" w:hAnsi="times new roman;times"/>
          <w:b w:val="false"/>
          <w:sz w:val="20"/>
        </w:rPr>
        <w:t xml:space="preserve"> </w:t>
      </w:r>
      <w:r>
        <w:rPr>
          <w:rFonts w:ascii="Times New Roman" w:hAnsi="Times New Roman"/>
          <w:b w:val="false"/>
          <w:sz w:val="20"/>
        </w:rPr>
        <w:t>and not more than $15,000,000 from the sale of not less than 2,500,000 and not more than 5,000,000 Financing Units, each consisting of one (1) Financing Share and one (1) Financing Warrant. The Financing Warrants shall have an exercise price of $10.00 per share, subject to adjustment only as expressly set forth in this Agreement, including pursuant to any stock split, stock dividend, combination, recapitalization or similar event affecting Parent Common Stock,</w:t>
      </w:r>
      <w:r>
        <w:rPr>
          <w:rFonts w:ascii="times new roman;times" w:hAnsi="times new roman;times"/>
          <w:b w:val="false"/>
          <w:sz w:val="20"/>
        </w:rPr>
        <w:t xml:space="preserve"> </w:t>
      </w:r>
      <w:r>
        <w:rPr>
          <w:rFonts w:ascii="Times New Roman" w:hAnsi="Times New Roman"/>
          <w:b w:val="false"/>
          <w:sz w:val="20"/>
        </w:rPr>
        <w:t>and shall be exercisable for a period of six (6) months from the date of issuance</w:t>
      </w:r>
      <w:r>
        <w:rPr>
          <w:rFonts w:ascii="times new roman;times" w:hAnsi="times new roman;times"/>
          <w:b w:val="false"/>
          <w:sz w:val="20"/>
        </w:rPr>
        <w:t xml:space="preserve"> </w:t>
      </w:r>
      <w:r>
        <w:rPr>
          <w:rFonts w:ascii="Times New Roman" w:hAnsi="Times New Roman"/>
          <w:b w:val="false"/>
          <w:sz w:val="20"/>
        </w:rPr>
        <w:t>(the “</w:t>
      </w:r>
      <w:r>
        <w:rPr>
          <w:rFonts w:ascii="Times New Roman" w:hAnsi="Times New Roman"/>
          <w:b/>
          <w:i/>
          <w:sz w:val="20"/>
        </w:rPr>
        <w:t>Financing Warrants Expiration Date</w:t>
      </w:r>
      <w:r>
        <w:rPr>
          <w:rFonts w:ascii="times new roman;times" w:hAnsi="times new roman;times"/>
          <w:b w:val="false"/>
          <w:sz w:val="20"/>
        </w:rPr>
        <w:t>”</w:t>
      </w:r>
      <w:r>
        <w:rPr>
          <w:rFonts w:ascii="Times New Roman" w:hAnsi="Times New Roman"/>
          <w:b w:val="false"/>
          <w:sz w:val="20"/>
        </w:rPr>
        <w:t>). If, during the period between the date of this Agreement and the Effective Time, the outstanding shares of Parent Common Stock shall have been changed into a different number of shares or a different class of securities by reason of any stock split, stock dividend, reverse split, recapitalization, reclassification, combination, exchange of shares or similar transaction, then the exercise price of the Financing Warrants shall be equitably adjusted to preserve the intended economic effect of this Agreement.</w:t>
      </w:r>
      <w:r>
        <w:rPr>
          <w:rFonts w:ascii="times new roman;times" w:hAnsi="times new roman;times"/>
          <w:b w:val="false"/>
          <w:sz w:val="20"/>
        </w:rPr>
        <w:t xml:space="preserve"> </w:t>
      </w:r>
      <w:r>
        <w:rPr>
          <w:rFonts w:ascii="Times New Roman" w:hAnsi="Times New Roman"/>
          <w:b w:val="false"/>
          <w:sz w:val="20"/>
        </w:rPr>
        <w:t>If all Financing Warrants are exercised in full, Parent would receive additional aggregate gross proceeds of not less than $25,000,000 and not more than $50,000,000. Parent has not entered into any agreement relating to the Financing that would reasonably be expected to prevent, materially delay or materially impair the consummation of the Contemplated Transactions. Parent has not entered into any agreement relating to the Financing that would reasonably be expected to prevent, materially delay or materially impair the consummation of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3.27</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information supplied or to be supplied by Parent for inclusion in the Registration Statement</w:t>
      </w:r>
      <w:r>
        <w:rPr>
          <w:rFonts w:ascii="times new roman;times" w:hAnsi="times new roman;times"/>
          <w:b w:val="false"/>
          <w:sz w:val="20"/>
        </w:rPr>
        <w:t xml:space="preserve"> </w:t>
      </w:r>
      <w:r>
        <w:rPr>
          <w:rFonts w:ascii="Times New Roman" w:hAnsi="Times New Roman"/>
          <w:b w:val="false"/>
          <w:sz w:val="20"/>
        </w:rPr>
        <w:t>on Form S-1 (or such other form as may be appropriate), the Parent Schedule 14C, and any other disclosure document required to be filed with the SEC in connection with the Contemplated Transactions, will not, as of the date such information is prepared, the date the Registration Statement becomes effective or the date of the definitive Parent Schedule 14C, as applicable, contain any untrue statement of a material fact or omit to state a material fact necessary to make the statements therein not misleading.</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3.28</w:t>
        </w:r>
      </w:hyperlink>
      <w:hyperlink w:anchor="TOC">
        <w:r>
          <w:rPr>
            <w:rStyle w:val="InternetLink"/>
            <w:rFonts w:ascii="Times New Roman" w:hAnsi="Times New Roman"/>
            <w:b/>
            <w:strike w:val="false"/>
            <w:dstrike w:val="false"/>
            <w:color w:val="000000"/>
            <w:sz w:val="20"/>
            <w:u w:val="none"/>
            <w:effect w:val="none"/>
          </w:rPr>
          <w:t>Shell Company Status.</w:t>
        </w:r>
      </w:hyperlink>
      <w:r>
        <w:rPr>
          <w:rFonts w:ascii="times new roman;times" w:hAnsi="times new roman;times"/>
          <w:b w:val="false"/>
          <w:sz w:val="20"/>
        </w:rPr>
        <w:t xml:space="preserve">  </w:t>
      </w:r>
      <w:r>
        <w:rPr>
          <w:rFonts w:ascii="Times New Roman" w:hAnsi="Times New Roman"/>
          <w:b w:val="false"/>
          <w:sz w:val="20"/>
        </w:rPr>
        <w:t>Parent has not been and is not currently a “shell company” as defined under</w:t>
      </w:r>
      <w:r>
        <w:rPr>
          <w:rFonts w:ascii="times new roman;times" w:hAnsi="times new roman;times"/>
          <w:b w:val="false"/>
          <w:sz w:val="20"/>
        </w:rPr>
        <w:t> </w:t>
      </w:r>
      <w:r>
        <w:rPr>
          <w:rFonts w:ascii="Times New Roman" w:hAnsi="Times New Roman"/>
          <w:b w:val="false"/>
          <w:sz w:val="20"/>
        </w:rPr>
        <w:t>Section</w:t>
      </w:r>
      <w:r>
        <w:rPr>
          <w:rFonts w:ascii="times new roman;times" w:hAnsi="times new roman;times"/>
          <w:b w:val="false"/>
          <w:sz w:val="20"/>
        </w:rPr>
        <w:t> </w:t>
      </w:r>
      <w:r>
        <w:rPr>
          <w:rFonts w:ascii="Times New Roman" w:hAnsi="Times New Roman"/>
          <w:b w:val="false"/>
          <w:sz w:val="20"/>
        </w:rPr>
        <w:t>12b-2</w:t>
      </w:r>
      <w:r>
        <w:rPr>
          <w:rFonts w:ascii="times new roman;times" w:hAnsi="times new roman;times"/>
          <w:b w:val="false"/>
          <w:sz w:val="20"/>
        </w:rPr>
        <w:t> </w:t>
      </w:r>
      <w:r>
        <w:rPr>
          <w:rFonts w:ascii="Times New Roman" w:hAnsi="Times New Roman"/>
          <w:b w:val="false"/>
          <w:sz w:val="20"/>
        </w:rPr>
        <w:t>of the Exchange Act.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3.29</w:t>
        </w:r>
      </w:hyperlink>
      <w:hyperlink w:anchor="TOC">
        <w:r>
          <w:rPr>
            <w:rStyle w:val="InternetLink"/>
            <w:rFonts w:ascii="Times New Roman" w:hAnsi="Times New Roman"/>
            <w:b/>
            <w:strike w:val="false"/>
            <w:dstrike w:val="false"/>
            <w:color w:val="000000"/>
            <w:sz w:val="20"/>
            <w:u w:val="none"/>
            <w:effect w:val="none"/>
          </w:rPr>
          <w:t>No Other Representations or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for the representations and warranties expressly set forth in this Agreement, neither Parent nor Merger Sub nor any other Person on behalf of Parent or Merger Sub makes any express or implied representation or warranty with respect to Parent, Merger Sub or otherwise in connection with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3.30</w:t>
        </w:r>
      </w:hyperlink>
      <w:hyperlink w:anchor="TOC">
        <w:r>
          <w:rPr>
            <w:rStyle w:val="InternetLink"/>
            <w:rFonts w:ascii="Times New Roman" w:hAnsi="Times New Roman"/>
            <w:b/>
            <w:strike w:val="false"/>
            <w:dstrike w:val="false"/>
            <w:color w:val="000000"/>
            <w:sz w:val="20"/>
            <w:u w:val="none"/>
            <w:effect w:val="none"/>
          </w:rPr>
          <w:t>Disclaimer of Other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and Seller acknowledge and agree that, except for the representations and warranties expressly set forth in this Agreement: (a) neither Parent nor Merger Sub nor any other Person on behalf of Parent or Merger Sub makes any express or implied representation or warranty relating to Parent, Merger Sub or otherwise in connection with the Contemplated Transactions; (b) no Person has been authorized by the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to make any representation or warranty relating to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or their respective businesses, and if made, such representation or warranty must not be relied upon by the Parent</w:t>
      </w:r>
      <w:r>
        <w:rPr>
          <w:rFonts w:ascii="times new roman;times" w:hAnsi="times new roman;times"/>
          <w:b w:val="false"/>
          <w:sz w:val="20"/>
        </w:rPr>
        <w:t xml:space="preserve"> </w:t>
      </w:r>
      <w:r>
        <w:rPr>
          <w:rFonts w:ascii="Times New Roman" w:hAnsi="Times New Roman"/>
          <w:b w:val="false"/>
          <w:sz w:val="20"/>
        </w:rPr>
        <w:t>as having been authorized by Seller</w:t>
      </w:r>
      <w:r>
        <w:rPr>
          <w:rFonts w:ascii="times new roman;times" w:hAnsi="times new roman;times"/>
          <w:b w:val="false"/>
          <w:sz w:val="20"/>
        </w:rPr>
        <w:t xml:space="preserve"> </w:t>
      </w:r>
      <w:r>
        <w:rPr>
          <w:rFonts w:ascii="Times New Roman" w:hAnsi="Times New Roman"/>
          <w:b w:val="false"/>
          <w:sz w:val="20"/>
        </w:rPr>
        <w:t>or the Company</w:t>
      </w:r>
      <w:r>
        <w:rPr>
          <w:rFonts w:ascii="times new roman;times" w:hAnsi="times new roman;times"/>
          <w:b w:val="false"/>
          <w:sz w:val="20"/>
        </w:rPr>
        <w:t xml:space="preserve"> </w:t>
      </w:r>
      <w:r>
        <w:rPr>
          <w:rFonts w:ascii="Times New Roman" w:hAnsi="Times New Roman"/>
          <w:b w:val="false"/>
          <w:sz w:val="20"/>
        </w:rPr>
        <w:t>and (c) no estimates, projections, forecasts, predictions, data, financial information, memoranda, presentations or other materials or information made available to the Company, Seller or any of their respective Representatives shall be deemed to be or include representations or warranties unless expressly set forth in this Agreement.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A-46</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4 </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br/>
          <w:t>CERTAIN COVENANTS OF THE PARTIES</w:t>
        </w:r>
      </w:hyperlink>
    </w:p>
    <w:p>
      <w:pPr>
        <w:pStyle w:val="TextBody"/>
        <w:bidi w:val="0"/>
        <w:spacing w:lineRule="auto" w:line="288" w:before="0" w:after="240"/>
        <w:ind w:left="720" w:right="0" w:hanging="0"/>
        <w:jc w:val="left"/>
        <w:rPr>
          <w:rFonts w:ascii="Times New Roman" w:hAnsi="Times New Roman"/>
          <w:b w:val="false"/>
          <w:sz w:val="20"/>
        </w:rPr>
      </w:pPr>
      <w:r>
        <w:rPr>
          <w:rFonts w:ascii="Times New Roman" w:hAnsi="Times New Roman"/>
          <w:b w:val="false"/>
          <w:sz w:val="20"/>
        </w:rPr>
        <w:t>It is understood and agreed that for purposes of this Article 4, the term “Parties” and “Party” do not include Seller.</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4.1</w:t>
        </w:r>
      </w:hyperlink>
      <w:hyperlink w:anchor="TOC">
        <w:r>
          <w:rPr>
            <w:rStyle w:val="InternetLink"/>
            <w:rFonts w:ascii="Times New Roman" w:hAnsi="Times New Roman"/>
            <w:b/>
            <w:strike w:val="false"/>
            <w:dstrike w:val="false"/>
            <w:color w:val="000000"/>
            <w:sz w:val="20"/>
            <w:u w:val="none"/>
            <w:effect w:val="none"/>
          </w:rPr>
          <w:t>Access and Investigation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the terms of the Confidentiality Agreement which the Parties agree will continue in full force following the date of this Agreement, during the Pre-Closing Period, upon reasonable notice, each Party shall, and shall use commercially reasonable efforts to cause such Party</w:t>
      </w:r>
      <w:r>
        <w:rPr>
          <w:rFonts w:ascii="times new roman;times" w:hAnsi="times new roman;times"/>
          <w:b w:val="false"/>
          <w:sz w:val="20"/>
        </w:rPr>
        <w:t>’</w:t>
      </w:r>
      <w:r>
        <w:rPr>
          <w:rFonts w:ascii="Times New Roman" w:hAnsi="Times New Roman"/>
          <w:b w:val="false"/>
          <w:sz w:val="20"/>
        </w:rPr>
        <w:t>s Representatives to: (a) provide the other Party and such other Party</w:t>
      </w:r>
      <w:r>
        <w:rPr>
          <w:rFonts w:ascii="times new roman;times" w:hAnsi="times new roman;times"/>
          <w:b w:val="false"/>
          <w:sz w:val="20"/>
        </w:rPr>
        <w:t>’</w:t>
      </w:r>
      <w:r>
        <w:rPr>
          <w:rFonts w:ascii="Times New Roman" w:hAnsi="Times New Roman"/>
          <w:b w:val="false"/>
          <w:sz w:val="20"/>
        </w:rPr>
        <w:t>s Representatives with reasonable access during normal business hours to such Party</w:t>
      </w:r>
      <w:r>
        <w:rPr>
          <w:rFonts w:ascii="times new roman;times" w:hAnsi="times new roman;times"/>
          <w:b w:val="false"/>
          <w:sz w:val="20"/>
        </w:rPr>
        <w:t>’</w:t>
      </w:r>
      <w:r>
        <w:rPr>
          <w:rFonts w:ascii="Times New Roman" w:hAnsi="Times New Roman"/>
          <w:b w:val="false"/>
          <w:sz w:val="20"/>
        </w:rPr>
        <w:t>s Representatives, personnel and assets and to all existing books, records, Tax Returns, work papers and other documents and information relating to such Party and its Subsidiaries; (b) provide the other Party and such other Party</w:t>
      </w:r>
      <w:r>
        <w:rPr>
          <w:rFonts w:ascii="times new roman;times" w:hAnsi="times new roman;times"/>
          <w:b w:val="false"/>
          <w:sz w:val="20"/>
        </w:rPr>
        <w:t>’</w:t>
      </w:r>
      <w:r>
        <w:rPr>
          <w:rFonts w:ascii="Times New Roman" w:hAnsi="Times New Roman"/>
          <w:b w:val="false"/>
          <w:sz w:val="20"/>
        </w:rPr>
        <w:t>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 Party</w:t>
      </w:r>
      <w:r>
        <w:rPr>
          <w:rFonts w:ascii="times new roman;times" w:hAnsi="times new roman;times"/>
          <w:b w:val="false"/>
          <w:sz w:val="20"/>
        </w:rPr>
        <w:t>’</w:t>
      </w:r>
      <w:r>
        <w:rPr>
          <w:rFonts w:ascii="Times New Roman" w:hAnsi="Times New Roman"/>
          <w:b w:val="false"/>
          <w:sz w:val="20"/>
        </w:rPr>
        <w:t>s officers and other employees to meet, upon reasonable notice and during normal business hours, with the chief financial officer and other officers and managers of such Party responsible for such Party</w:t>
      </w:r>
      <w:r>
        <w:rPr>
          <w:rFonts w:ascii="times new roman;times" w:hAnsi="times new roman;times"/>
          <w:b w:val="false"/>
          <w:sz w:val="20"/>
        </w:rPr>
        <w:t>’</w:t>
      </w:r>
      <w:r>
        <w:rPr>
          <w:rFonts w:ascii="Times New Roman" w:hAnsi="Times New Roman"/>
          <w:b w:val="false"/>
          <w:sz w:val="20"/>
        </w:rPr>
        <w:t xml:space="preserve">s financial statements and the internal controls of such Party to discuss such matters as the other Party may deem necessary or appropriate in order to enable the other Party to satisfy its obligations under the Sarbanes-Oxley Act and the rules and regulations relating thereto. Any investigation conducted by either Parent or the Company pursuant to this </w:t>
      </w:r>
      <w:r>
        <w:rPr>
          <w:rFonts w:ascii="Times New Roman" w:hAnsi="Times New Roman"/>
          <w:b w:val="false"/>
          <w:sz w:val="20"/>
          <w:u w:val="single"/>
        </w:rPr>
        <w:t>Section 4.1</w:t>
      </w:r>
      <w:r>
        <w:rPr>
          <w:rFonts w:ascii="times new roman;times" w:hAnsi="times new roman;times"/>
          <w:b w:val="false"/>
          <w:sz w:val="20"/>
        </w:rPr>
        <w:t xml:space="preserve"> </w:t>
      </w:r>
      <w:r>
        <w:rPr>
          <w:rFonts w:ascii="Times New Roman" w:hAnsi="Times New Roman"/>
          <w:b w:val="false"/>
          <w:sz w:val="20"/>
        </w:rPr>
        <w:t>shall be conducted in such manner as not to interfere unreasonably with the conduct of the business of the other Party. Without limiting the generality of any of the foregoing, during the Pre-Closing Period, each Party shall promptly make available to the other Party copies of:</w:t>
      </w:r>
    </w:p>
    <w:p>
      <w:pPr>
        <w:pStyle w:val="TextBody"/>
        <w:bidi w:val="0"/>
        <w:spacing w:lineRule="auto" w:line="288" w:before="0" w:after="240"/>
        <w:ind w:left="500" w:right="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unaudited monthly consolidated balance sheets of such Party as of the end of each calendar month and the related unaudited monthly consolidated statements of operations, statements of stockholders</w:t>
      </w:r>
      <w:r>
        <w:rPr>
          <w:rFonts w:ascii="times new roman;times" w:hAnsi="times new roman;times"/>
          <w:b w:val="false"/>
          <w:sz w:val="20"/>
        </w:rPr>
        <w:t xml:space="preserve">’ </w:t>
      </w:r>
      <w:r>
        <w:rPr>
          <w:rFonts w:ascii="Times New Roman" w:hAnsi="Times New Roman"/>
          <w:b w:val="false"/>
          <w:sz w:val="20"/>
        </w:rPr>
        <w:t>equity and statements of cash flows for such calendar month, which shall be delivered within thirty (30) days after the end of such calendar month, or such longer periods as the Parties may agree to in writing;</w:t>
      </w:r>
    </w:p>
    <w:p>
      <w:pPr>
        <w:pStyle w:val="TextBody"/>
        <w:bidi w:val="0"/>
        <w:spacing w:lineRule="auto" w:line="288" w:before="0" w:after="240"/>
        <w:ind w:left="480" w:right="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any written materials or communications sent by or on behalf of a Party to its stockholders or shareholders, as applicable;</w:t>
      </w:r>
    </w:p>
    <w:p>
      <w:pPr>
        <w:pStyle w:val="TextBody"/>
        <w:bidi w:val="0"/>
        <w:spacing w:lineRule="auto" w:line="288" w:before="0" w:after="240"/>
        <w:ind w:left="0" w:right="405"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any material notice, document or other communication sent by or on behalf of a Party to any party to any Parent Material Contract or Company Material Contract, as applicable, or sent to a Party by any party to any Parent Material Contract or Company Material Contract, as applicable (other than any communication that relates solely to routine commercial transactions between such Party and the other party to any such Parent Material Contract or Company Material Contract, as applicable, and that is of the type sent in the Ordinary Course of Business and consistent with past practices);</w:t>
      </w:r>
    </w:p>
    <w:p>
      <w:pPr>
        <w:pStyle w:val="TextBody"/>
        <w:bidi w:val="0"/>
        <w:spacing w:lineRule="auto" w:line="288" w:before="0" w:after="240"/>
        <w:ind w:left="0" w:right="42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any notice, report or other document filed with or otherwise furnished, submitted or sent to any Governmental Body on behalf of a Party in connection with the Contemplated Transactions;</w:t>
      </w:r>
    </w:p>
    <w:p>
      <w:pPr>
        <w:pStyle w:val="TextBody"/>
        <w:bidi w:val="0"/>
        <w:spacing w:lineRule="auto" w:line="288" w:before="0" w:after="240"/>
        <w:ind w:left="0" w:right="495"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any non-privileged notice, document or other communication sent by or on behalf of, or sent to, a Party relating to any pending or threatened in writing Legal Proceeding involving or affecting such Party; and</w:t>
      </w:r>
    </w:p>
    <w:p>
      <w:pPr>
        <w:pStyle w:val="TextBody"/>
        <w:bidi w:val="0"/>
        <w:spacing w:lineRule="auto" w:line="288" w:before="0" w:after="240"/>
        <w:ind w:left="0" w:right="450" w:firstLine="21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any material notice, report or other document received by a Party from any Governmental Body.</w:t>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Notwithstanding the foregoing, any Party may restrict the foregoing access to the extent that such access would require such Party to waive the attorney-client privilege or attorney work product privilege, or violate any Legal Requirements applicable to such Party; </w:t>
      </w:r>
      <w:r>
        <w:rPr>
          <w:rFonts w:ascii="Times New Roman" w:hAnsi="Times New Roman"/>
          <w:i/>
          <w:sz w:val="20"/>
        </w:rPr>
        <w:t xml:space="preserve">provided, </w:t>
      </w:r>
      <w:r>
        <w:rPr>
          <w:rFonts w:ascii="Times New Roman" w:hAnsi="Times New Roman"/>
          <w:sz w:val="20"/>
        </w:rPr>
        <w:t>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4.2Operation of Parent</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Business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4.2(a) of the Parent Disclosure Schedule, as expressly contemplated by this Agreement, as required by applicable Law or unless the Company shall otherwise consent in writing (such consent not to be unreasonably withheld, delayed or conditioned), during the Pre-Closing Period: (i) each of Parent and the Parent Subsidiaries shall conduct its business and operations: (A) in the Ordinary Course of Business; and (B) in compliance with all applicable Legal Requirements and in material compliance with the requirements of all Contracts that constitute Parent Material Contracts; and (ii) promptly notify the Company of: (A) any notice or other communication from any Person alleging that the Consent of such Person is or may be required in connection with any of the Contemplated Transactions; (B) any Legal Proceeding against, relating to, involving or otherwise affecting Parent or any of its Subsidiaries that is commenced, or, to the Knowledge of Parent, threatened against, Parent or any of its Subsidiaries after the date of this Agreement; and (C) any written notice or, to the Knowledge of Parent, other communication from any Person alleging that any material payment or other material obligation is or will be owed to such Person at any time before or after the date of this Agreement, except for invoices or other communications related to agreements or dealings in the Ordinary Course of Business, payments or obligations related to the Contemplated Transactions or payments or obligations identified in this Agreement, including the Parent Disclosure Schedule.</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During the Pre-Closing Period, Parent shall promptly notify the Company in writing, by delivery of an updated Parent Disclosure Schedule, of: (i) the discovery by Parent of any event, condition, fact or circumstance that occurred or existed on or prior to the date of this Agreement and that caused or constitutes a material inaccuracy in any representation or warranty made by Parent in this Agreement; (ii) any event, condition, fact or circumstance that occurs, arises or exists after the date of this Agreement and that would cause or constitute a material inaccuracy in any representation or warranty made by Parent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material breach of any covenant or obligation of Parent; and (iv) any event, condition, fact or circumstance that would reasonably be expected to make the timely satisfaction of any of the conditions set forth in </w:t>
      </w:r>
      <w:r>
        <w:rPr>
          <w:rFonts w:ascii="Times New Roman" w:hAnsi="Times New Roman"/>
          <w:b w:val="false"/>
          <w:sz w:val="20"/>
          <w:u w:val="single"/>
        </w:rPr>
        <w:t>Articles 6, 7 or 8</w:t>
      </w:r>
      <w:r>
        <w:rPr>
          <w:rFonts w:ascii="times new roman;times" w:hAnsi="times new roman;times"/>
          <w:b w:val="false"/>
          <w:sz w:val="20"/>
        </w:rPr>
        <w:t xml:space="preserve"> </w:t>
      </w:r>
      <w:r>
        <w:rPr>
          <w:rFonts w:ascii="Times New Roman" w:hAnsi="Times New Roman"/>
          <w:b w:val="false"/>
          <w:sz w:val="20"/>
        </w:rPr>
        <w:t xml:space="preserve">impossible or materially less likely. Without limiting the generality of the foregoing, Parent shall promptly advise the Company in writing of any Legal Proceeding or material, written claim threatened, commenced or asserted against or with respect to, or otherwise affecting, Parent or its Subsidiaries or, to the Knowledge of Parent, any director, officer or Key Employee of Parent. No notification given to the Company pursuant to this </w:t>
      </w:r>
      <w:r>
        <w:rPr>
          <w:rFonts w:ascii="Times New Roman" w:hAnsi="Times New Roman"/>
          <w:b w:val="false"/>
          <w:sz w:val="20"/>
          <w:u w:val="single"/>
        </w:rPr>
        <w:t>Section 4.2(b)</w:t>
      </w:r>
      <w:r>
        <w:rPr>
          <w:rFonts w:ascii="times new roman;times" w:hAnsi="times new roman;times"/>
          <w:b w:val="false"/>
          <w:sz w:val="20"/>
        </w:rPr>
        <w:t xml:space="preserve"> </w:t>
      </w:r>
      <w:r>
        <w:rPr>
          <w:rFonts w:ascii="Times New Roman" w:hAnsi="Times New Roman"/>
          <w:b w:val="false"/>
          <w:sz w:val="20"/>
        </w:rPr>
        <w:t xml:space="preserve">shall change, limit or otherwise affect any of the representations, warranties, covenants or obligations of Parent or any of its Subsidiaries contained in this Agreement or the Parent Disclosure Schedule for purposes of </w:t>
      </w:r>
      <w:r>
        <w:rPr>
          <w:rFonts w:ascii="Times New Roman" w:hAnsi="Times New Roman"/>
          <w:b w:val="false"/>
          <w:sz w:val="20"/>
          <w:u w:val="single"/>
        </w:rPr>
        <w:t>Section 8.1</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4.3Operation of the Company</w:t>
        </w:r>
      </w:hyperlink>
      <w:hyperlink w:anchor="TOC">
        <w:r>
          <w:rPr>
            <w:rStyle w:val="InternetLink"/>
            <w:rFonts w:ascii="times new roman;times" w:hAnsi="times new roman;times"/>
            <w:b w:val="false"/>
            <w:strike w:val="false"/>
            <w:dstrike w:val="false"/>
            <w:color w:val="000000"/>
            <w:sz w:val="20"/>
            <w:u w:val="none"/>
            <w:effect w:val="none"/>
          </w:rPr>
          <w:t>’</w:t>
        </w:r>
      </w:hyperlink>
      <w:hyperlink w:anchor="TOC">
        <w:r>
          <w:rPr>
            <w:rStyle w:val="InternetLink"/>
            <w:rFonts w:ascii="Times New Roman" w:hAnsi="Times New Roman"/>
            <w:b/>
            <w:strike w:val="false"/>
            <w:dstrike w:val="false"/>
            <w:color w:val="000000"/>
            <w:sz w:val="20"/>
            <w:u w:val="none"/>
            <w:effect w:val="none"/>
          </w:rPr>
          <w:t>s Business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Except as set forth in Part 4.3(a) of the Company Disclosure Schedule, as expressly contemplated by this Agreement, as required by applicable Law or unless Parent shall otherwise consent in writing (such consent not to be unreasonably withheld, delayed or conditioned), during the Pre-Closing Period: (i) each of the Company and its Subsidiaries shall conduct its business and operations: (A) in the Ordinary Course of Business; and</w:t>
      </w:r>
      <w:r>
        <w:rPr>
          <w:rFonts w:ascii="times new roman;times" w:hAnsi="times new roman;times"/>
          <w:b w:val="false"/>
          <w:sz w:val="20"/>
        </w:rPr>
        <w:t xml:space="preserve"> </w:t>
      </w:r>
      <w:r>
        <w:rPr>
          <w:rFonts w:ascii="Times New Roman" w:hAnsi="Times New Roman"/>
          <w:b w:val="false"/>
          <w:sz w:val="20"/>
        </w:rPr>
        <w:t>(B)</w:t>
      </w:r>
      <w:r>
        <w:rPr>
          <w:rFonts w:ascii="times new roman;times" w:hAnsi="times new roman;times"/>
          <w:b w:val="false"/>
          <w:sz w:val="20"/>
        </w:rPr>
        <w:t xml:space="preserve"> </w:t>
      </w:r>
      <w:r>
        <w:rPr>
          <w:rFonts w:ascii="Times New Roman" w:hAnsi="Times New Roman"/>
          <w:b w:val="false"/>
          <w:sz w:val="20"/>
        </w:rPr>
        <w:t>in compliance with all applicable Legal Requirements and in material compliance with the requirements of all Contracts that constitute Company Material Contracts; (ii) each of the Company and its Subsidiaries shall use commercially reasonable efforts to keep available the services of its current Key Employees and other employees and officers and maintain its relations and goodwill with all suppliers, customers, landlords, creditors, licensors, licensees, employees and other Persons having material business relationships with the Company or its Subsidiaries; and (iii) promptly notify Parent of: (A) any notice or other communication from any Person alleging that the Consent of such Person is or may be required in connection with any of the Contemplated Transactions; (B) any Legal Proceeding against, relating to, involving or otherwise affecting the Company or any of its Subsidiaries that is commenced, or, to the Knowledge of the Company, threatened against, the Company or any of its Subsidiaries after the date of this Agreement; and any written notice or, to the Knowledge of the Company, other communication from any Person alleging that any material payment or other material obligation is or will be owed to such Person at any time before or after the date of this Agreement, except for invoices or other communications related to agreements or dealings in the Ordinary Course of Business, payments or obligations related to the Contemplated Transactions or payments or obligations identified in this Agreement, including the Company Disclosure Schedule.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During the Pre-Closing Period, the Company shall promptly notify Parent in writing, by delivery of an updated Company Disclosure Schedule, of: (i) the discovery by the Company of any event, condition, fact or circumstance that occurred or existed on or prior to the date of this Agreement and that caused or constitutes a material inaccuracy in any representation or warranty made by the Company in this Agreement; (ii) any event, condition, fact or circumstance that occurs, arises or exists after the date of this Agreement and that would cause or constitute a material inaccuracy in any representation or warranty made by the Company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material breach of any covenant or obligation of the Company; and (iv) any event, condition, fact or circumstance that would reasonably be expected to make the timely satisfaction of any of the conditions set forth in </w:t>
      </w:r>
      <w:r>
        <w:rPr>
          <w:rFonts w:ascii="Times New Roman" w:hAnsi="Times New Roman"/>
          <w:b w:val="false"/>
          <w:sz w:val="20"/>
          <w:u w:val="single"/>
        </w:rPr>
        <w:t>Articles 6, 7 or 8</w:t>
      </w:r>
      <w:r>
        <w:rPr>
          <w:rFonts w:ascii="times new roman;times" w:hAnsi="times new roman;times"/>
          <w:b w:val="false"/>
          <w:sz w:val="20"/>
        </w:rPr>
        <w:t xml:space="preserve"> </w:t>
      </w:r>
      <w:r>
        <w:rPr>
          <w:rFonts w:ascii="Times New Roman" w:hAnsi="Times New Roman"/>
          <w:b w:val="false"/>
          <w:sz w:val="20"/>
        </w:rPr>
        <w:t xml:space="preserve">impossible or materially less likely. Without limiting the generality of the foregoing, the Company shall promptly advise Parent in writing of any Legal Proceeding or material, written claim threatened in writing, commenced or asserted against or with respect to, or otherwise affecting, the Company or any of its Subsidiaries or, to the Knowledge of the Company, any director, officer or Key Employee of the Company or any of its Subsidiaries. No notification given to Parent pursuant to this </w:t>
      </w:r>
      <w:r>
        <w:rPr>
          <w:rFonts w:ascii="Times New Roman" w:hAnsi="Times New Roman"/>
          <w:b w:val="false"/>
          <w:sz w:val="20"/>
          <w:u w:val="single"/>
        </w:rPr>
        <w:t>Section 4.3(b)</w:t>
      </w:r>
      <w:r>
        <w:rPr>
          <w:rFonts w:ascii="times new roman;times" w:hAnsi="times new roman;times"/>
          <w:b w:val="false"/>
          <w:sz w:val="20"/>
        </w:rPr>
        <w:t xml:space="preserve"> </w:t>
      </w:r>
      <w:r>
        <w:rPr>
          <w:rFonts w:ascii="Times New Roman" w:hAnsi="Times New Roman"/>
          <w:b w:val="false"/>
          <w:sz w:val="20"/>
        </w:rPr>
        <w:t xml:space="preserve">shall change, limit or otherwise affect any of the representations, warranties, covenants or obligations of the Company contained in this Agreement or the Company Disclosure Schedule for purposes of </w:t>
      </w:r>
      <w:r>
        <w:rPr>
          <w:rFonts w:ascii="Times New Roman" w:hAnsi="Times New Roman"/>
          <w:b w:val="false"/>
          <w:sz w:val="20"/>
          <w:u w:val="single"/>
        </w:rPr>
        <w:t>Section 7.1</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4.4Negative Obligations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Except (i) as expressly contemplated or permitted by this Agreement, (ii) as set forth in Part 4.4(a) of the Parent Disclosure Schedule, (iii) as required by applicable Law, or (iv) with the prior written consent of the Company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b w:val="false"/>
          <w:sz w:val="20"/>
          <w:u w:val="single"/>
        </w:rPr>
        <w:t>Article 9</w:t>
      </w:r>
      <w:r>
        <w:rPr>
          <w:rFonts w:ascii="times new roman;times" w:hAnsi="times new roman;times"/>
          <w:b w:val="false"/>
          <w:sz w:val="20"/>
        </w:rPr>
        <w:t xml:space="preserve"> </w:t>
      </w:r>
      <w:r>
        <w:rPr>
          <w:rFonts w:ascii="Times New Roman" w:hAnsi="Times New Roman"/>
          <w:b w:val="false"/>
          <w:sz w:val="20"/>
        </w:rPr>
        <w:t>and the Effective Time, Parent shall not, nor shall it cause or permit any of its Subsidiaries to, do any of the following:</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declare, accrue, set aside or pay any dividend or make any other distribution in respect of any shares of its capital stock other than for shares of Parent Capital Stock issuable as a dividend that have accrued pursuant to the Parent</w:t>
      </w:r>
      <w:r>
        <w:rPr>
          <w:rFonts w:ascii="times new roman;times" w:hAnsi="times new roman;times"/>
          <w:b w:val="false"/>
          <w:sz w:val="20"/>
        </w:rPr>
        <w:t>’</w:t>
      </w:r>
      <w:r>
        <w:rPr>
          <w:rFonts w:ascii="Times New Roman" w:hAnsi="Times New Roman"/>
          <w:b w:val="false"/>
          <w:sz w:val="20"/>
        </w:rPr>
        <w:t>s articles of incorporation; or repurchase, redeem or otherwise reacquire any shares of its capital stock or other securities (except for shares of Parent Common Stock from terminated employees of Parent);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amend the articles of incorporation, bylaws or other charter or organizational documents of Parent, or effect or be a party to any merger, consolidation, share exchange, business combination, recapitalization, reclassification of shares, stock split, reverse stock split or similar transaction except as related to the Contemplated Transactions;</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except for contractual commitments in place at the time of this Agreement and disclosed in the Parent Disclosure Schedule, and other than in connection with the Contemplated Transactions or Parent</w:t>
      </w:r>
      <w:r>
        <w:rPr>
          <w:rFonts w:ascii="times new roman;times" w:hAnsi="times new roman;times"/>
          <w:b w:val="false"/>
          <w:sz w:val="20"/>
        </w:rPr>
        <w:t>’</w:t>
      </w:r>
      <w:r>
        <w:rPr>
          <w:rFonts w:ascii="Times New Roman" w:hAnsi="Times New Roman"/>
          <w:b w:val="false"/>
          <w:sz w:val="20"/>
        </w:rPr>
        <w:t>s at-the-market facility, sell, issue or grant, or authorize the issuance of (or make any commitments to do any of the foregoing): (i) any capital stock or other security (except for shares of Parent Common Stock issued (x) upon the valid exercise of Parent Options or Parent Warrants outstanding as of the date of this Agreement or (y) settlement of Parent RSUs and Parent RSAs outstanding as of the date of this Agreement or sales of shares of Parent Common Stock issued upon vesting and/or settlement of Parent RSUs and Parent RSAs outstanding as of the date of this Agreement to cover tax obligations upon such vesting and/or settlement); (ii) any option, warrant or right to acquire any capital stock or any other security; or (iii) any instrument convertible into or exchangeable for any capital stock or other security;</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form any Subsidiary or acquire or dispose of any equity interest or other interest in any other Entity;</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enter into, incur, renew, extend, amend, increase, repay, satisfy, settle, compromise or otherwise modify any Parent</w:t>
      </w:r>
      <w:r>
        <w:rPr>
          <w:rFonts w:ascii="times new roman;times" w:hAnsi="times new roman;times"/>
          <w:b w:val="false"/>
          <w:sz w:val="20"/>
        </w:rPr>
        <w:t xml:space="preserve"> </w:t>
      </w:r>
      <w:r>
        <w:rPr>
          <w:rFonts w:ascii="Times New Roman" w:hAnsi="Times New Roman"/>
          <w:b w:val="false"/>
          <w:sz w:val="20"/>
        </w:rPr>
        <w:t xml:space="preserve">Debt, other than the forgiveness, cancellation or contribution to capital expressly required by </w:t>
      </w:r>
      <w:r>
        <w:rPr>
          <w:rFonts w:ascii="Times New Roman" w:hAnsi="Times New Roman"/>
          <w:b w:val="false"/>
          <w:sz w:val="20"/>
          <w:u w:val="single"/>
        </w:rPr>
        <w:t>Section 5.17</w:t>
      </w:r>
      <w:r>
        <w:rPr>
          <w:rFonts w:ascii="Times New Roman" w:hAnsi="Times New Roman"/>
          <w:b w:val="false"/>
          <w:sz w:val="20"/>
        </w:rPr>
        <w:t>;</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lend money to any Person; incur or guarantee any indebtedness for borrowed money; issue or sell any debt securities or options, warrants, calls or other rights to acquire any debt securities; guarantee any debt securities of others; or make any capital expenditure or commitment in excess of $50,000;</w:t>
      </w:r>
    </w:p>
    <w:p>
      <w:pPr>
        <w:pStyle w:val="TextBody"/>
        <w:bidi w:val="0"/>
        <w:spacing w:lineRule="auto" w:line="288" w:before="0" w:after="240"/>
        <w:ind w:left="0" w:right="2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w:t>
      </w:r>
      <w:r>
        <w:rPr>
          <w:rFonts w:ascii="times new roman;times" w:hAnsi="times new roman;times"/>
          <w:b w:val="false"/>
          <w:caps w:val="false"/>
          <w:smallCaps w:val="false"/>
          <w:sz w:val="20"/>
        </w:rPr>
        <w:t xml:space="preserve">  </w:t>
      </w:r>
      <w:r>
        <w:rPr>
          <w:rFonts w:ascii="Times New Roman" w:hAnsi="Times New Roman"/>
          <w:b w:val="false"/>
          <w:sz w:val="20"/>
        </w:rPr>
        <w:t>other than in the Ordinary Course of Business, (w) adopt, establish or enter into any Parent Employee Plan; (x) cause or permit any Parent Employee Plan to be amended other than as required by Law or in order to make amendments for the purposes of Section 409A of the Code, subject to prior review and approval (with such approval not to be unreasonably withheld, conditioned or delayed) by the Company; (y) pay any bonus or make any profit-sharing or similar payment to, or increase the amount of the wages, salary, commissions, fringe benefits or other compensation or remuneration payable to, any of its directors, employees or consultants; or (z) increase the severance or change of control benefits offered to any current or new service providers;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A-49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40"/>
        <w:ind w:left="0" w:right="25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(viii)</w:t>
      </w:r>
      <w:r>
        <w:rPr>
          <w:rFonts w:ascii="Times New Roman" w:hAnsi="Times New Roman"/>
          <w:b w:val="false"/>
          <w:sz w:val="20"/>
        </w:rPr>
        <w:t>enter into any material transaction outside the Ordinary Course of Business;</w:t>
      </w:r>
    </w:p>
    <w:p>
      <w:pPr>
        <w:pStyle w:val="TextBody"/>
        <w:bidi w:val="0"/>
        <w:spacing w:lineRule="auto" w:line="288" w:before="0" w:after="240"/>
        <w:ind w:left="0" w:right="37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(ix)</w:t>
      </w:r>
      <w:r>
        <w:rPr>
          <w:rFonts w:ascii="Times New Roman" w:hAnsi="Times New Roman"/>
          <w:b w:val="false"/>
          <w:sz w:val="20"/>
        </w:rPr>
        <w:t>acquire any material asset nor sell, lease or otherwise irrevocably dispose of any of its material assets or properties, or grant any Encumbrance with respect to such assets or properties, except in the Ordinary Course of Business;</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w:t>
      </w:r>
      <w:r>
        <w:rPr>
          <w:rFonts w:ascii="Times New Roman" w:hAnsi="Times New Roman"/>
          <w:b w:val="false"/>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pStyle w:val="TextBody"/>
        <w:bidi w:val="0"/>
        <w:spacing w:lineRule="auto" w:line="288" w:before="0" w:after="240"/>
        <w:ind w:left="39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w:t>
      </w:r>
      <w:r>
        <w:rPr>
          <w:rFonts w:ascii="Times New Roman" w:hAnsi="Times New Roman"/>
          <w:b w:val="false"/>
          <w:sz w:val="20"/>
        </w:rPr>
        <w:t>enter into, amend or terminate any Parent Material Contract;</w:t>
      </w:r>
    </w:p>
    <w:p>
      <w:pPr>
        <w:pStyle w:val="TextBody"/>
        <w:bidi w:val="0"/>
        <w:spacing w:lineRule="auto" w:line="288" w:before="0" w:after="240"/>
        <w:ind w:left="0" w:right="25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w:t>
      </w:r>
      <w:r>
        <w:rPr>
          <w:rFonts w:ascii="times new roman;times" w:hAnsi="times new roman;times"/>
          <w:b w:val="false"/>
          <w:caps w:val="false"/>
          <w:smallCaps w:val="false"/>
          <w:sz w:val="20"/>
        </w:rPr>
        <w:t xml:space="preserve">  </w:t>
      </w:r>
      <w:r>
        <w:rPr>
          <w:rFonts w:ascii="Times New Roman" w:hAnsi="Times New Roman"/>
          <w:b w:val="false"/>
          <w:sz w:val="20"/>
        </w:rPr>
        <w:t>materially change pricing or royalties or other payments set or charged by Parent or any Parent Subsidiary to its customers or licensees; agree to materially increase pricing or royalties or other payments set or charged by persons who have licensed Intellectual Property to Parent; or materially increase pricing or royalties or other payments set or charged by persons who have licensed Intellectual Property to Parent;</w:t>
      </w:r>
    </w:p>
    <w:p>
      <w:pPr>
        <w:pStyle w:val="TextBody"/>
        <w:bidi w:val="0"/>
        <w:spacing w:lineRule="auto" w:line="288" w:before="0" w:after="240"/>
        <w:ind w:left="0" w:right="30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(xiii)</w:t>
      </w:r>
      <w:r>
        <w:rPr>
          <w:rFonts w:ascii="Times New Roman" w:hAnsi="Times New Roman"/>
          <w:b w:val="false"/>
          <w:sz w:val="20"/>
        </w:rPr>
        <w:t xml:space="preserve">take any action, or agree, resolve or commit to take any action, that would be inconsistent with, or that would reasonably be expected to impair the effectiveness of, the Equity Moratorium, or the Pre-Closing Parent Stockholder Director designation right contemplated by </w:t>
      </w:r>
      <w:r>
        <w:rPr>
          <w:rFonts w:ascii="Times New Roman" w:hAnsi="Times New Roman"/>
          <w:b w:val="false"/>
          <w:sz w:val="20"/>
          <w:u w:val="single"/>
        </w:rPr>
        <w:t>Section 5.13(d)</w:t>
      </w:r>
      <w:r>
        <w:rPr>
          <w:rFonts w:ascii="Times New Roman" w:hAnsi="Times New Roman"/>
          <w:b w:val="false"/>
          <w:sz w:val="20"/>
        </w:rPr>
        <w:t>.</w:t>
      </w:r>
    </w:p>
    <w:p>
      <w:pPr>
        <w:pStyle w:val="TextBody"/>
        <w:bidi w:val="0"/>
        <w:spacing w:lineRule="auto" w:line="288" w:before="0" w:after="240"/>
        <w:ind w:left="0" w:right="31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(xiv)</w:t>
      </w:r>
      <w:r>
        <w:rPr>
          <w:rFonts w:ascii="Times New Roman" w:hAnsi="Times New Roman"/>
          <w:b w:val="false"/>
          <w:sz w:val="20"/>
        </w:rPr>
        <w:t>settle any pending or threatened Legal Proceeding against Parent or any of its Subsidiaries;</w:t>
      </w:r>
    </w:p>
    <w:p>
      <w:pPr>
        <w:pStyle w:val="TextBody"/>
        <w:bidi w:val="0"/>
        <w:spacing w:lineRule="auto" w:line="288" w:before="0" w:after="240"/>
        <w:ind w:left="33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w:t>
      </w:r>
      <w:r>
        <w:rPr>
          <w:rFonts w:ascii="times new roman;times" w:hAnsi="times new roman;times"/>
          <w:b w:val="false"/>
          <w:caps w:val="false"/>
          <w:smallCaps w:val="false"/>
          <w:sz w:val="20"/>
        </w:rPr>
        <w:t> </w:t>
      </w:r>
      <w:r>
        <w:rPr>
          <w:rFonts w:ascii="Times New Roman" w:hAnsi="Times New Roman"/>
          <w:b w:val="false"/>
          <w:sz w:val="20"/>
        </w:rPr>
        <w:t>terminate or modify in any material respect, or fail to exercise renewal rights with respect to, any material insurance policy;</w:t>
      </w:r>
    </w:p>
    <w:p>
      <w:pPr>
        <w:pStyle w:val="TextBody"/>
        <w:bidi w:val="0"/>
        <w:spacing w:lineRule="auto" w:line="288" w:before="0" w:after="240"/>
        <w:ind w:left="33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w:t>
      </w:r>
      <w:r>
        <w:rPr>
          <w:rFonts w:ascii="Times New Roman" w:hAnsi="Times New Roman"/>
          <w:b w:val="false"/>
          <w:sz w:val="20"/>
        </w:rPr>
        <w:t>forgive any loans to any Person, including Parent</w:t>
      </w:r>
      <w:r>
        <w:rPr>
          <w:rFonts w:ascii="times new roman;times" w:hAnsi="times new roman;times"/>
          <w:b w:val="false"/>
          <w:sz w:val="20"/>
        </w:rPr>
        <w:t>’</w:t>
      </w:r>
      <w:r>
        <w:rPr>
          <w:rFonts w:ascii="Times New Roman" w:hAnsi="Times New Roman"/>
          <w:b w:val="false"/>
          <w:sz w:val="20"/>
        </w:rPr>
        <w:t>s employees, officers, directors or Affiliates;</w:t>
      </w:r>
    </w:p>
    <w:p>
      <w:pPr>
        <w:pStyle w:val="TextBody"/>
        <w:bidi w:val="0"/>
        <w:spacing w:lineRule="auto" w:line="288" w:before="0" w:after="240"/>
        <w:ind w:left="270"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(xvii)</w:t>
      </w:r>
      <w:r>
        <w:rPr>
          <w:rFonts w:ascii="Times New Roman" w:hAnsi="Times New Roman"/>
          <w:b w:val="false"/>
          <w:sz w:val="20"/>
        </w:rPr>
        <w:t>other than as required by Law or GAAP, take any action to change Parent</w:t>
      </w:r>
      <w:r>
        <w:rPr>
          <w:rFonts w:ascii="times new roman;times" w:hAnsi="times new roman;times"/>
          <w:b w:val="false"/>
          <w:sz w:val="20"/>
        </w:rPr>
        <w:t>’</w:t>
      </w:r>
      <w:r>
        <w:rPr>
          <w:rFonts w:ascii="Times New Roman" w:hAnsi="Times New Roman"/>
          <w:b w:val="false"/>
          <w:sz w:val="20"/>
        </w:rPr>
        <w:t>s accounting policies or procedures; or</w:t>
      </w:r>
    </w:p>
    <w:p>
      <w:pPr>
        <w:pStyle w:val="TextBody"/>
        <w:bidi w:val="0"/>
        <w:spacing w:lineRule="auto" w:line="288" w:before="0" w:after="240"/>
        <w:ind w:left="225" w:right="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(xviii)</w:t>
      </w:r>
      <w:r>
        <w:rPr>
          <w:rFonts w:ascii="Times New Roman" w:hAnsi="Times New Roman"/>
          <w:b w:val="false"/>
          <w:sz w:val="20"/>
        </w:rPr>
        <w:t>agree, resolve or commit to do any of the foregoing.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Except (i) as expressly contemplated or permitted by this Agreement, (ii) as set forth in Part 4.4(b) of the Company Disclosure Schedule, (iii) as required by applicable Law, or (iv) with the prior written consent of Parent (which consent shall not be unreasonably withheld, delayed or conditioned), at all times during the period commencing with the execution and delivery of this Agreement and continuing until the earlier to occur of the termination of this Agreement pursuant to </w:t>
      </w:r>
      <w:r>
        <w:rPr>
          <w:rFonts w:ascii="Times New Roman" w:hAnsi="Times New Roman"/>
          <w:b w:val="false"/>
          <w:sz w:val="20"/>
          <w:u w:val="single"/>
        </w:rPr>
        <w:t>Article 9</w:t>
      </w:r>
      <w:r>
        <w:rPr>
          <w:rFonts w:ascii="times new roman;times" w:hAnsi="times new roman;times"/>
          <w:b w:val="false"/>
          <w:sz w:val="20"/>
        </w:rPr>
        <w:t xml:space="preserve"> </w:t>
      </w:r>
      <w:r>
        <w:rPr>
          <w:rFonts w:ascii="Times New Roman" w:hAnsi="Times New Roman"/>
          <w:b w:val="false"/>
          <w:sz w:val="20"/>
        </w:rPr>
        <w:t>and the Effective Time, the Company shall not, nor shall it cause or permit any of its Subsidiaries to, do any of the following:</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(x) declare, accrue, set aside or pay any dividend or make any other distribution in respect of any shares of capital stock (other than for shares of Company Capital Stock issuable as a dividend that have accrued pursuant to the Company</w:t>
      </w:r>
      <w:r>
        <w:rPr>
          <w:rFonts w:ascii="times new roman;times" w:hAnsi="times new roman;times"/>
          <w:b w:val="false"/>
          <w:sz w:val="20"/>
        </w:rPr>
        <w:t>’</w:t>
      </w:r>
      <w:r>
        <w:rPr>
          <w:rFonts w:ascii="Times New Roman" w:hAnsi="Times New Roman"/>
          <w:b w:val="false"/>
          <w:sz w:val="20"/>
        </w:rPr>
        <w:t>s certificate of incorporation), or (y) repurchase, redeem or otherwise reacquire any shares of capital stock or other securities (except for shares of Company Common Stock from terminated employees of the Company pursuant to contracts in effect as of the date hereof and disclosed on the Company Disclosure Schedule);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amend the certificate of incorporation, bylaws or other charter or organizational documents of the Company, or effect or be a party to any merger, consolidation, share exchange, business combination, recapitalization, reclassification of shares, stock split, reverse stock split or similar transaction, except as related to the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except for contractual commitments in place at the time of this Agreement and disclosed in the Company Disclosure Schedule, and other than in connection with the Contemplated Transactions, sell, issue or grant, or authorize the issuance of (or make any commitments to do any of the foregoing): (i) any capital stock or other security (except for shares of Company Common Stock issued upon the valid exercise of Company Options or Company Warrants outstanding as of the date of this Agreement); (ii) any option, warrant or right to acquire any capital stock or any other security (other than commitments to make equity grants to current or new employees in the Ordinary Course of Business (subject in each case to the approval by Parent</w:t>
      </w:r>
      <w:r>
        <w:rPr>
          <w:rFonts w:ascii="times new roman;times" w:hAnsi="times new roman;times"/>
          <w:b w:val="false"/>
          <w:sz w:val="20"/>
        </w:rPr>
        <w:t>’</w:t>
      </w:r>
      <w:r>
        <w:rPr>
          <w:rFonts w:ascii="Times New Roman" w:hAnsi="Times New Roman"/>
          <w:b w:val="false"/>
          <w:sz w:val="20"/>
        </w:rPr>
        <w:t>s compensation committee following the Closing of any such equity grants)); or (iii) any instrument convertible into or exchangeable for any capital stock or other security;</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form any Subsidiary or acquire any equity interest or other interest in any other Entity;</w:t>
      </w:r>
    </w:p>
    <w:p>
      <w:pPr>
        <w:pStyle w:val="TextBody"/>
        <w:bidi w:val="0"/>
        <w:spacing w:lineRule="auto" w:line="288" w:before="0" w:after="240"/>
        <w:ind w:left="0" w:right="46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other than in the Ordinary Course of Business, (x) lend money to any Person; (y) incur or guarantee any indebtedness for borrowed money; (z) issue or sell any debt securities or options, warrants, calls or other rights to acquire any debt securities; (aa) guarantee any debt securities of others; or (bb) make any capital expenditure or commitment in excess of $50,000;</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other than in the Ordinary Course of Business, (x) adopt, establish or enter into any Company Employee Plan, (y) cause or permit any Company Employee Plan to be amended other than as required by law or in order to make amendments for the purposes of Section 409A of the Code, (z) pay any bonus or make any profit-sharing or similar payment to, or increase the amount of the wages, salary, commissions, fringe benefits or other compensation or remuneration payable to, any of its directors or employees, or (aa) increase the severance or change of control benefits offered to any current or new service providers;</w:t>
      </w:r>
    </w:p>
    <w:p>
      <w:pPr>
        <w:pStyle w:val="TextBody"/>
        <w:bidi w:val="0"/>
        <w:spacing w:lineRule="auto" w:line="288" w:before="0" w:after="240"/>
        <w:ind w:left="0" w:right="36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w:t>
      </w:r>
      <w:r>
        <w:rPr>
          <w:rFonts w:ascii="Times New Roman" w:hAnsi="Times New Roman"/>
          <w:b w:val="false"/>
          <w:sz w:val="20"/>
        </w:rPr>
        <w:t>enter into any material transaction outside the Ordinary Course of Business;</w:t>
      </w:r>
    </w:p>
    <w:p>
      <w:pPr>
        <w:pStyle w:val="TextBody"/>
        <w:bidi w:val="0"/>
        <w:spacing w:lineRule="auto" w:line="288" w:before="0" w:after="240"/>
        <w:ind w:left="0" w:right="30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(viii)</w:t>
      </w:r>
      <w:r>
        <w:rPr>
          <w:rFonts w:ascii="Times New Roman" w:hAnsi="Times New Roman"/>
          <w:b w:val="false"/>
          <w:sz w:val="20"/>
        </w:rPr>
        <w:t>acquire any material asset nor sell, lease or otherwise irrevocably dispose of any of its material assets or properties, or grant any Encumbrance with respect to such assets or properties, except in the Ordinary Course of Business;</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(ix)</w:t>
      </w:r>
      <w:r>
        <w:rPr>
          <w:rFonts w:ascii="Times New Roman" w:hAnsi="Times New Roman"/>
          <w:b w:val="false"/>
          <w:sz w:val="20"/>
        </w:rPr>
        <w:t>make, change or revoke any material Tax election; file any material amendment to any Tax Return; adopt or change any material accounting method in respect of Taxes; change any annual Tax accounting period; enter into any Tax allocation agreement, Tax sharing agreement or Tax indemnity agreement (other than commercial Contracts entered into in the Ordinary Course of Business the principal subject matter of which is not Taxes);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pStyle w:val="TextBody"/>
        <w:bidi w:val="0"/>
        <w:spacing w:lineRule="auto" w:line="288" w:before="0" w:after="240"/>
        <w:ind w:left="0" w:right="48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w:t>
      </w:r>
      <w:r>
        <w:rPr>
          <w:rFonts w:ascii="Times New Roman" w:hAnsi="Times New Roman"/>
          <w:b w:val="false"/>
          <w:sz w:val="20"/>
        </w:rPr>
        <w:t>enter into, amend or terminate any Company Material Contract other than in the Ordinary Course of Business with respect to the business as currently being conducted;</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w:t>
      </w:r>
      <w:r>
        <w:rPr>
          <w:rFonts w:ascii="Times New Roman" w:hAnsi="Times New Roman"/>
          <w:b w:val="false"/>
          <w:sz w:val="20"/>
        </w:rPr>
        <w:t>other than in the Ordinary Course of Business, materially change pricing or royalties or other payments set or charged by the Company or any Company Subsidiary to its customers or licensees; agree to materially increase pricing or royalties or other payments set or charged by persons who have licensed Intellectual Property to the Company or materially increase pricing or royalties or other payments set or charged by persons who have licensed Intellectual Property to the Company; or</w:t>
      </w:r>
    </w:p>
    <w:p>
      <w:pPr>
        <w:pStyle w:val="TextBody"/>
        <w:bidi w:val="0"/>
        <w:spacing w:lineRule="auto" w:line="288" w:before="0" w:after="240"/>
        <w:ind w:left="0" w:right="40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(xii)</w:t>
      </w:r>
      <w:r>
        <w:rPr>
          <w:rFonts w:ascii="Times New Roman" w:hAnsi="Times New Roman"/>
          <w:b w:val="false"/>
          <w:sz w:val="20"/>
        </w:rPr>
        <w:t>agree, resolve or commit to do any of the foregoing.</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rFonts w:ascii="times new roman;times" w:hAnsi="times new roman;times"/>
          <w:b w:val="false"/>
          <w:sz w:val="20"/>
        </w:rPr>
      </w:pPr>
      <w:r>
        <w:rPr>
          <w:rFonts w:ascii="Times New Roman" w:hAnsi="Times New Roman"/>
          <w:b/>
          <w:i w:val="false"/>
          <w:caps w:val="false"/>
          <w:smallCaps w:val="false"/>
          <w:strike w:val="false"/>
          <w:dstrike w:val="false"/>
          <w:sz w:val="20"/>
          <w:u w:val="none"/>
          <w:effect w:val="none"/>
        </w:rPr>
        <w:t>4.5</w:t>
      </w:r>
      <w:r>
        <w:rPr>
          <w:rFonts w:ascii="Times New Roman" w:hAnsi="Times New Roman"/>
          <w:b/>
          <w:sz w:val="20"/>
        </w:rPr>
        <w:t>No Solicitation</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From and after the date of this Agreement until the earlier of the Effective Time or the date, if any, on which this Agreement is terminated pursuant to </w:t>
      </w:r>
      <w:r>
        <w:rPr>
          <w:rFonts w:ascii="Times New Roman" w:hAnsi="Times New Roman"/>
          <w:b w:val="false"/>
          <w:sz w:val="20"/>
          <w:u w:val="single"/>
        </w:rPr>
        <w:t>Article 9</w:t>
      </w:r>
      <w:r>
        <w:rPr>
          <w:rFonts w:ascii="Times New Roman" w:hAnsi="Times New Roman"/>
          <w:b w:val="false"/>
          <w:sz w:val="20"/>
        </w:rPr>
        <w:t xml:space="preserve">, each Party agrees that neither it nor any of its Subsidiaries shall, and each Party will use its reasonable best efforts to cause each of its officers, directors, employees, investment bankers, attorneys, accountants, Representatives, consultants or other agents retained by it or any of its Subsidiaries not to, directly or indirectly: (i) solicit, initiate, knowingly encourage, induce or knowingly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(other than to inform any Person of the existence of the provisions contained in this </w:t>
      </w:r>
      <w:r>
        <w:rPr>
          <w:rFonts w:ascii="Times New Roman" w:hAnsi="Times New Roman"/>
          <w:b w:val="false"/>
          <w:sz w:val="20"/>
          <w:u w:val="single"/>
        </w:rPr>
        <w:t>Section 4.5</w:t>
      </w:r>
      <w:r>
        <w:rPr>
          <w:rFonts w:ascii="Times New Roman" w:hAnsi="Times New Roman"/>
          <w:b w:val="false"/>
          <w:sz w:val="20"/>
        </w:rPr>
        <w:t xml:space="preserve">) or negotiations with any Person with respect to any Acquisition Proposal or Acquisition Inquiry; (iv) approve, endorse or recommend any Acquisition Proposal (subject to </w:t>
      </w:r>
      <w:r>
        <w:rPr>
          <w:rFonts w:ascii="Times New Roman" w:hAnsi="Times New Roman"/>
          <w:b w:val="false"/>
          <w:sz w:val="20"/>
          <w:u w:val="single"/>
        </w:rPr>
        <w:t>Section 5.2</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 5.3</w:t>
      </w:r>
      <w:r>
        <w:rPr>
          <w:rFonts w:ascii="Times New Roman" w:hAnsi="Times New Roman"/>
          <w:b w:val="false"/>
          <w:sz w:val="20"/>
        </w:rPr>
        <w:t xml:space="preserve">); or (v) execute or enter into any letter of intent or similar document or any Contract contemplating or otherwise relating to any Acquisition Transaction (other than a confidentiality agreement permitted as provided below);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xml:space="preserve">, that, notwithstanding anything contained in this </w:t>
      </w:r>
      <w:r>
        <w:rPr>
          <w:rFonts w:ascii="Times New Roman" w:hAnsi="Times New Roman"/>
          <w:b w:val="false"/>
          <w:sz w:val="20"/>
          <w:u w:val="single"/>
        </w:rPr>
        <w:t>Section 4.5(a)</w:t>
      </w:r>
      <w:r>
        <w:rPr>
          <w:rFonts w:ascii="Times New Roman" w:hAnsi="Times New Roman"/>
          <w:b w:val="false"/>
          <w:sz w:val="20"/>
        </w:rPr>
        <w:t>, prior to (x) in the case of the Company, the adoption and approval of this Agreement by the Company</w:t>
      </w:r>
      <w:r>
        <w:rPr>
          <w:rFonts w:ascii="times new roman;times" w:hAnsi="times new roman;times"/>
          <w:b w:val="false"/>
          <w:sz w:val="20"/>
        </w:rPr>
        <w:t xml:space="preserve"> </w:t>
      </w:r>
      <w:r>
        <w:rPr>
          <w:rFonts w:ascii="Times New Roman" w:hAnsi="Times New Roman"/>
          <w:b w:val="false"/>
          <w:sz w:val="20"/>
        </w:rPr>
        <w:t>shareholders and (y) in the case of Parent, the Required Parent Stockholder Consent, such Party may furnish nonpublic information regarding such Party to, and enter into discussions or negotiations with, any Person in response to a bona fide written Acquisition Inquiry or Acquisition Proposal, which such Party</w:t>
      </w:r>
      <w:r>
        <w:rPr>
          <w:rFonts w:ascii="times new roman;times" w:hAnsi="times new roman;times"/>
          <w:b w:val="false"/>
          <w:sz w:val="20"/>
        </w:rPr>
        <w:t>’</w:t>
      </w:r>
      <w:r>
        <w:rPr>
          <w:rFonts w:ascii="Times New Roman" w:hAnsi="Times New Roman"/>
          <w:b w:val="false"/>
          <w:sz w:val="20"/>
        </w:rPr>
        <w:t xml:space="preserve">s Board of Directors determines in good faith, after consultation with its independent financial advisor, if any, and its outside legal counsel, constitutes, or would reasonably be expected to result in, a Superior Offer (and is not withdrawn) if: (A) neither such Party nor any Representative of such Party shall have breached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in any material respect with respect to such Acquisition Inquiry or Acquisition Proposal, (B) the Board of Directors of such Party concludes in good faith, after consulting with outside legal counsel, that the failure to take such action would reasonably be expected to be inconsistent with the fiduciary duties of the Board of Directors of such Party under applicable Legal Requirements; (C) prior to furnishing any such nonpublic information to, or entering into discussions with, such Person, such Party gives the other Party written notice of the identity of such Person and of such Party</w:t>
      </w:r>
      <w:r>
        <w:rPr>
          <w:rFonts w:ascii="times new roman;times" w:hAnsi="times new roman;times"/>
          <w:b w:val="false"/>
          <w:sz w:val="20"/>
        </w:rPr>
        <w:t>’</w:t>
      </w:r>
      <w:r>
        <w:rPr>
          <w:rFonts w:ascii="Times New Roman" w:hAnsi="Times New Roman"/>
          <w:b w:val="false"/>
          <w:sz w:val="20"/>
        </w:rPr>
        <w:t xml:space="preserve">s intention to furnish nonpublic information to, or enter into discussions with, such Person; (D) such Party receives from such Person an executed confidentiality agreement containing provisions at least as favorable to such Party (and not less restrictive in the aggregate to the counterparty thereto) as those contained in the Confidentiality Agreement; </w:t>
      </w:r>
      <w:r>
        <w:rPr>
          <w:rFonts w:ascii="Times New Roman" w:hAnsi="Times New Roman"/>
          <w:b w:val="false"/>
          <w:i/>
          <w:sz w:val="20"/>
        </w:rPr>
        <w:t xml:space="preserve">provided </w:t>
      </w:r>
      <w:r>
        <w:rPr>
          <w:rFonts w:ascii="Times New Roman" w:hAnsi="Times New Roman"/>
          <w:b w:val="false"/>
          <w:sz w:val="20"/>
        </w:rPr>
        <w:t xml:space="preserve">that a standstill provision shall be required only to the extent that the failure to include such standstill provision is likely to be inconsistent with the fiduciary duties of the Board of Directors of such Party under applicable Legal Requirements; and (E) at least two (2) Business Days prior to furnishing any such nonpublic information to such Person, such Party furnishes such nonpublic information to the other Party (to the extent such nonpublic information has not been previously furnished by such Party to the other Party).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 xml:space="preserve">by such Party, the taking of such action by such Representative shall be deemed to constitute a breach of this </w:t>
      </w:r>
      <w:r>
        <w:rPr>
          <w:rFonts w:ascii="Times New Roman" w:hAnsi="Times New Roman"/>
          <w:b w:val="false"/>
          <w:sz w:val="20"/>
          <w:u w:val="single"/>
        </w:rPr>
        <w:t>Section 4.5</w:t>
      </w:r>
      <w:r>
        <w:rPr>
          <w:rFonts w:ascii="times new roman;times" w:hAnsi="times new roman;times"/>
          <w:b w:val="false"/>
          <w:sz w:val="20"/>
        </w:rPr>
        <w:t xml:space="preserve"> </w:t>
      </w:r>
      <w:r>
        <w:rPr>
          <w:rFonts w:ascii="Times New Roman" w:hAnsi="Times New Roman"/>
          <w:b w:val="false"/>
          <w:sz w:val="20"/>
        </w:rPr>
        <w:t>by such Party for purposes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including copies of all documentation submitted to such Party reasonably relevant to evaluating such Acquisition Proposal or Acquisition Inquiry). Such Party shall keep the other Party reasonably informed on a timely basis in all material respects with respect to the status and material terms of any such Acquisition Proposal or Acquisition Inquiry and any material modification or proposed modification thereto.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Each Party shall immediately cease and cause to be terminated any existing discussions, negotiations and communications with any Person that relate to any Acquisition Proposal or Acquisition Inquiry as of the date of this Agreement and promptly following the date of this Agreement shall cause the destruction or return of any nonpublic information provided to such Person.</w:t>
      </w:r>
    </w:p>
    <w:p>
      <w:pPr>
        <w:pStyle w:val="TextBody"/>
        <w:bidi w:val="0"/>
        <w:spacing w:lineRule="auto" w:line="288" w:before="0" w:after="240"/>
        <w:ind w:left="600" w:right="0" w:firstLine="720"/>
        <w:jc w:val="left"/>
        <w:rPr>
          <w:rFonts w:ascii="Times New Roman" w:hAnsi="Times New Roman"/>
          <w:b/>
          <w:sz w:val="20"/>
        </w:rPr>
      </w:pPr>
      <w:r>
        <w:rPr>
          <w:rFonts w:ascii="Times New Roman" w:hAnsi="Times New Roman"/>
          <w:b/>
          <w:sz w:val="20"/>
        </w:rPr>
        <w:t>4.6 Breakup Fee.</w:t>
      </w:r>
    </w:p>
    <w:p>
      <w:pPr>
        <w:pStyle w:val="TextBody"/>
        <w:bidi w:val="0"/>
        <w:spacing w:lineRule="auto" w:line="288" w:before="0" w:after="240"/>
        <w:ind w:left="0" w:right="0" w:hanging="0"/>
        <w:jc w:val="left"/>
        <w:rPr>
          <w:rFonts w:ascii="times new roman;times" w:hAnsi="times new roman;times"/>
          <w:b w:val="false"/>
          <w:sz w:val="20"/>
        </w:rPr>
      </w:pPr>
      <w:r>
        <w:rPr>
          <w:rFonts w:ascii="Times New Roman" w:hAnsi="Times New Roman"/>
          <w:b w:val="false"/>
          <w:sz w:val="20"/>
        </w:rPr>
        <w:t>In the event that this Agreement is terminated pursuant to its terms, and such termination results from (i) either Party accepting or entering into a definitive agreement with respect to a Superior Offer from a third party, or (ii) a material breach by either Party of its representations, warranties, covenants, or obligations hereunder that results in the failure to consummate the transactions contemplated by this Agreement, the breaching or withdrawing Party (the</w:t>
      </w:r>
      <w:r>
        <w:rPr>
          <w:rFonts w:ascii="times new roman;times" w:hAnsi="times new roman;times"/>
          <w:b w:val="false"/>
          <w:sz w:val="20"/>
        </w:rPr>
        <w:t> “</w:t>
      </w:r>
      <w:r>
        <w:rPr>
          <w:rFonts w:ascii="Times New Roman" w:hAnsi="Times New Roman"/>
          <w:b/>
          <w:i/>
          <w:sz w:val="20"/>
        </w:rPr>
        <w:t>Paying Party</w:t>
      </w:r>
      <w:r>
        <w:rPr>
          <w:rFonts w:ascii="times new roman;times" w:hAnsi="times new roman;times"/>
          <w:b w:val="false"/>
          <w:sz w:val="20"/>
        </w:rPr>
        <w:t>”</w:t>
      </w:r>
      <w:r>
        <w:rPr>
          <w:rFonts w:ascii="Times New Roman" w:hAnsi="Times New Roman"/>
          <w:b w:val="false"/>
          <w:sz w:val="20"/>
        </w:rPr>
        <w:t>) shall pay to the other Party (the</w:t>
      </w:r>
      <w:r>
        <w:rPr>
          <w:rFonts w:ascii="times new roman;times" w:hAnsi="times new roman;times"/>
          <w:b w:val="false"/>
          <w:sz w:val="20"/>
        </w:rPr>
        <w:t> “</w:t>
      </w:r>
      <w:r>
        <w:rPr>
          <w:rFonts w:ascii="Times New Roman" w:hAnsi="Times New Roman"/>
          <w:b/>
          <w:i/>
          <w:sz w:val="20"/>
        </w:rPr>
        <w:t>Receiving Party</w:t>
      </w:r>
      <w:r>
        <w:rPr>
          <w:rFonts w:ascii="times new roman;times" w:hAnsi="times new roman;times"/>
          <w:b w:val="false"/>
          <w:sz w:val="20"/>
        </w:rPr>
        <w:t>”</w:t>
      </w:r>
      <w:r>
        <w:rPr>
          <w:rFonts w:ascii="Times New Roman" w:hAnsi="Times New Roman"/>
          <w:b w:val="false"/>
          <w:sz w:val="20"/>
        </w:rPr>
        <w:t>) a breakup fee in the amount of</w:t>
      </w:r>
      <w:r>
        <w:rPr>
          <w:rFonts w:ascii="times new roman;times" w:hAnsi="times new roman;times"/>
          <w:b w:val="false"/>
          <w:sz w:val="20"/>
        </w:rPr>
        <w:t> </w:t>
      </w:r>
      <w:r>
        <w:rPr>
          <w:rFonts w:ascii="Times New Roman" w:hAnsi="Times New Roman"/>
          <w:b w:val="false"/>
          <w:sz w:val="20"/>
        </w:rPr>
        <w:t>125%</w:t>
      </w:r>
      <w:r>
        <w:rPr>
          <w:rFonts w:ascii="times new roman;times" w:hAnsi="times new roman;times"/>
          <w:b w:val="false"/>
          <w:sz w:val="20"/>
        </w:rPr>
        <w:t> </w:t>
      </w:r>
      <w:r>
        <w:rPr>
          <w:rFonts w:ascii="Times New Roman" w:hAnsi="Times New Roman"/>
          <w:b w:val="false"/>
          <w:sz w:val="20"/>
        </w:rPr>
        <w:t>of the total direct verifiable</w:t>
      </w:r>
      <w:r>
        <w:rPr>
          <w:rFonts w:ascii="times new roman;times" w:hAnsi="times new roman;times"/>
          <w:b w:val="false"/>
          <w:sz w:val="20"/>
        </w:rPr>
        <w:t xml:space="preserve"> </w:t>
      </w:r>
      <w:r>
        <w:rPr>
          <w:rFonts w:ascii="Times New Roman" w:hAnsi="Times New Roman"/>
          <w:b w:val="false"/>
          <w:sz w:val="20"/>
        </w:rPr>
        <w:t>third-party expenses incurred</w:t>
      </w:r>
      <w:r>
        <w:rPr>
          <w:rFonts w:ascii="times new roman;times" w:hAnsi="times new roman;times"/>
          <w:b w:val="false"/>
          <w:sz w:val="20"/>
        </w:rPr>
        <w:t xml:space="preserve"> </w:t>
      </w:r>
      <w:r>
        <w:rPr>
          <w:rFonts w:ascii="Times New Roman" w:hAnsi="Times New Roman"/>
          <w:b w:val="false"/>
          <w:sz w:val="20"/>
        </w:rPr>
        <w:t>by the Receiving Party in connection with the Merger</w:t>
      </w:r>
      <w:r>
        <w:rPr>
          <w:rFonts w:ascii="times new roman;times" w:hAnsi="times new roman;times"/>
          <w:b w:val="false"/>
          <w:sz w:val="20"/>
        </w:rPr>
        <w:t xml:space="preserve"> </w:t>
      </w:r>
      <w:r>
        <w:rPr>
          <w:rFonts w:ascii="Times New Roman" w:hAnsi="Times New Roman"/>
          <w:b w:val="false"/>
          <w:sz w:val="20"/>
        </w:rPr>
        <w:t>provided that such expense is subject to a maximum amount of $250,000</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w:t>
      </w:r>
      <w:r>
        <w:rPr>
          <w:rFonts w:ascii="Times New Roman" w:hAnsi="Times New Roman"/>
          <w:b/>
          <w:i/>
          <w:sz w:val="20"/>
        </w:rPr>
        <w:t>Breakup Fee</w:t>
      </w:r>
      <w:r>
        <w:rPr>
          <w:rFonts w:ascii="times new roman;times" w:hAnsi="times new roman;times"/>
          <w:b w:val="false"/>
          <w:sz w:val="20"/>
        </w:rPr>
        <w:t>”</w:t>
      </w:r>
      <w:r>
        <w:rPr>
          <w:rFonts w:ascii="Times New Roman" w:hAnsi="Times New Roman"/>
          <w:b w:val="false"/>
          <w:sz w:val="20"/>
        </w:rPr>
        <w:t>). The Parties acknowledge and agree that the Breakup Fee constitutes liquidated damages and not a penalty, and that such amount is a reasonable estimate of the damages that would be suffered by the Receiving Party as a result of such termination, the actual amount of which would be difficult to ascertain with precision. Payment of the Breakup Fee shall be made in immediately available funds within</w:t>
      </w:r>
      <w:r>
        <w:rPr>
          <w:rFonts w:ascii="times new roman;times" w:hAnsi="times new roman;times"/>
          <w:b w:val="false"/>
          <w:sz w:val="20"/>
        </w:rPr>
        <w:t> </w:t>
      </w:r>
      <w:r>
        <w:rPr>
          <w:rFonts w:ascii="Times New Roman" w:hAnsi="Times New Roman"/>
          <w:b w:val="false"/>
          <w:sz w:val="20"/>
        </w:rPr>
        <w:t>three</w:t>
      </w:r>
      <w:r>
        <w:rPr>
          <w:rFonts w:ascii="times new roman;times" w:hAnsi="times new roman;times"/>
          <w:b w:val="false"/>
          <w:sz w:val="20"/>
        </w:rPr>
        <w:t> </w:t>
      </w:r>
      <w:r>
        <w:rPr>
          <w:rFonts w:ascii="Times New Roman" w:hAnsi="Times New Roman"/>
          <w:b w:val="false"/>
          <w:sz w:val="20"/>
        </w:rPr>
        <w:t>business days following the effective date of</w:t>
      </w:r>
      <w:r>
        <w:rPr>
          <w:rFonts w:ascii="times new roman;times" w:hAnsi="times new roman;times"/>
          <w:b w:val="false"/>
          <w:sz w:val="20"/>
        </w:rPr>
        <w:t xml:space="preserve"> </w:t>
      </w:r>
      <w:r>
        <w:rPr>
          <w:rFonts w:ascii="Times New Roman" w:hAnsi="Times New Roman"/>
          <w:b w:val="false"/>
          <w:sz w:val="20"/>
        </w:rPr>
        <w:t>such</w:t>
      </w:r>
      <w:r>
        <w:rPr>
          <w:rFonts w:ascii="times new roman;times" w:hAnsi="times new roman;times"/>
          <w:b w:val="false"/>
          <w:sz w:val="20"/>
        </w:rPr>
        <w:t xml:space="preserve"> </w:t>
      </w:r>
      <w:r>
        <w:rPr>
          <w:rFonts w:ascii="Times New Roman" w:hAnsi="Times New Roman"/>
          <w:b w:val="false"/>
          <w:sz w:val="20"/>
        </w:rPr>
        <w:t>termination.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5 </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AGREEMENTS OF THE PARTIES</w:t>
        </w:r>
      </w:hyperlink>
    </w:p>
    <w:p>
      <w:pPr>
        <w:pStyle w:val="TextBody"/>
        <w:bidi w:val="0"/>
        <w:spacing w:lineRule="auto" w:line="288" w:before="0" w:after="240"/>
        <w:ind w:left="720" w:right="0" w:hanging="0"/>
        <w:jc w:val="left"/>
        <w:rPr>
          <w:rFonts w:ascii="Times New Roman" w:hAnsi="Times New Roman"/>
          <w:b w:val="false"/>
          <w:sz w:val="20"/>
        </w:rPr>
      </w:pPr>
      <w:r>
        <w:rPr>
          <w:rFonts w:ascii="Times New Roman" w:hAnsi="Times New Roman"/>
          <w:b w:val="false"/>
          <w:sz w:val="20"/>
        </w:rPr>
        <w:t>It is understood and agreed that for purposes of this Article 5, the term “Parties” and “Party” do not include Seller.</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5.1Company Financial Statements; Registration Statement; Parent Schedule 14C</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The Company shall use commercially reasonable efforts to deliver to Parent, as promptly as practicable after the date of this Agreement, all audited and unaudited financial statements of the Company and its Subsidiaries required to be included in the Registration Statement or otherwise required under the Securities Act, the Exchange Act, Regulation S-X, Nasdaq rules or other applicable Law to consummate the Contemplated Transactions, including, if required, PCAOB-compliant audited financial statements of the Company for the most recent two (2) fiscal years and such interim financial statements and related disclosures as are required as of the applicable filing date (collectively, the </w:t>
      </w:r>
      <w:r>
        <w:rPr>
          <w:rFonts w:ascii="times new roman;times" w:hAnsi="times new roman;times"/>
          <w:b w:val="false"/>
          <w:sz w:val="20"/>
        </w:rPr>
        <w:t>“</w:t>
      </w:r>
      <w:r>
        <w:rPr>
          <w:rFonts w:ascii="Times New Roman" w:hAnsi="Times New Roman"/>
          <w:b/>
          <w:i/>
          <w:sz w:val="20"/>
        </w:rPr>
        <w:t>Required Company Financials</w:t>
      </w:r>
      <w:r>
        <w:rPr>
          <w:rFonts w:ascii="times new roman;times" w:hAnsi="times new roman;times"/>
          <w:b w:val="false"/>
          <w:sz w:val="20"/>
        </w:rPr>
        <w:t>”</w:t>
      </w:r>
      <w:r>
        <w:rPr>
          <w:rFonts w:ascii="Times New Roman" w:hAnsi="Times New Roman"/>
          <w:b w:val="false"/>
          <w:sz w:val="20"/>
        </w:rPr>
        <w:t>). The Required Company Financials shall comply in form and substance with all applicable SEC requirements and, to the extent applicable, shall be audited or reviewed by an independent registered public accounting firm reasonably acceptable to Parent.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As promptly as practicable after delivery of the Required Company Financials, but no later than fourteen (14) days thereafter, Parent shall prepare and file with the SEC a registration statement on Form S-1 (or such other form under the Securities Act as may be appropriate) registering the issuance of the Financing Units (including the Financing Shares and the Financing Warrants) and the Financing Warrant Shares issuable upon exercise of the Financing Warrants, the resale of the Advisor Shares and any other shares of Parent Common Stock that have registration rights (the </w:t>
      </w:r>
      <w:r>
        <w:rPr>
          <w:rFonts w:ascii="times new roman;times" w:hAnsi="times new roman;times"/>
          <w:b w:val="false"/>
          <w:sz w:val="20"/>
        </w:rPr>
        <w:t>“</w:t>
      </w:r>
      <w:r>
        <w:rPr>
          <w:rFonts w:ascii="Times New Roman" w:hAnsi="Times New Roman"/>
          <w:b/>
          <w:i/>
          <w:sz w:val="20"/>
        </w:rPr>
        <w:t>Registration Statement</w:t>
      </w:r>
      <w:r>
        <w:rPr>
          <w:rFonts w:ascii="times new roman;times" w:hAnsi="times new roman;times"/>
          <w:b w:val="false"/>
          <w:sz w:val="20"/>
        </w:rPr>
        <w:t>”</w:t>
      </w:r>
      <w:r>
        <w:rPr>
          <w:rFonts w:ascii="Times New Roman" w:hAnsi="Times New Roman"/>
          <w:b w:val="false"/>
          <w:sz w:val="20"/>
        </w:rPr>
        <w:t xml:space="preserve">), which shall include a prospectus meeting the requirements of the Securities Act. In addition, Parent shall prepare and file with the SEC a definitive information statement on Schedule 14C (the </w:t>
      </w:r>
      <w:r>
        <w:rPr>
          <w:rFonts w:ascii="times new roman;times" w:hAnsi="times new roman;times"/>
          <w:b w:val="false"/>
          <w:sz w:val="20"/>
        </w:rPr>
        <w:t>“</w:t>
      </w:r>
      <w:r>
        <w:rPr>
          <w:rFonts w:ascii="Times New Roman" w:hAnsi="Times New Roman"/>
          <w:b/>
          <w:i/>
          <w:sz w:val="20"/>
        </w:rPr>
        <w:t>Parent Schedule 14C</w:t>
      </w:r>
      <w:r>
        <w:rPr>
          <w:rFonts w:ascii="times new roman;times" w:hAnsi="times new roman;times"/>
          <w:b w:val="false"/>
          <w:sz w:val="20"/>
        </w:rPr>
        <w:t>”</w:t>
      </w:r>
      <w:r>
        <w:rPr>
          <w:rFonts w:ascii="Times New Roman" w:hAnsi="Times New Roman"/>
          <w:b w:val="false"/>
          <w:sz w:val="20"/>
        </w:rPr>
        <w:t xml:space="preserve">) in connection with the Required Parent Stockholder Consent, which shall include or incorporate by reference such information regarding the Company, Seller, the Contemplated Transactions and the Financing as is required by applicable Law, the Exchange Act and the rules and regulations of the SEC. For the avoidance of doubt, because Parent stockholder approval of the Parent Stockholder Proposals is being obtained by written consent in lieu of a meeting pursuant to </w:t>
      </w:r>
      <w:r>
        <w:rPr>
          <w:rFonts w:ascii="Times New Roman" w:hAnsi="Times New Roman"/>
          <w:b w:val="false"/>
          <w:sz w:val="20"/>
          <w:u w:val="single"/>
        </w:rPr>
        <w:t>Section 5.3</w:t>
      </w:r>
      <w:r>
        <w:rPr>
          <w:rFonts w:ascii="Times New Roman" w:hAnsi="Times New Roman"/>
          <w:b w:val="false"/>
          <w:sz w:val="20"/>
        </w:rPr>
        <w:t>, no proxy statement shall be required to be prepared or filed in connection with the Contemplated Transactions, and references in this Agreement to the Registration Statement shall not be deemed to require the inclusion of a proxy statement therein.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shall use commercially reasonable efforts to cause the Registration Statement on Form S-1 to comply in all material respects with the Securities Act</w:t>
      </w:r>
      <w:r>
        <w:rPr>
          <w:rFonts w:ascii="times new roman;times" w:hAnsi="times new roman;times"/>
          <w:b w:val="false"/>
          <w:sz w:val="20"/>
        </w:rPr>
        <w:t xml:space="preserve"> </w:t>
      </w:r>
      <w:r>
        <w:rPr>
          <w:rFonts w:ascii="Times New Roman" w:hAnsi="Times New Roman"/>
          <w:b w:val="false"/>
          <w:sz w:val="20"/>
        </w:rPr>
        <w:t>and to have the Registration Statement declared effective under the Securities Act as promptly as practicable after filing. Parent shall use commercially reasonable efforts to cause the Parent Schedule 14C to comply in all material respects with applicable provisions of the Exchange Act and the rules and regulations promulgated thereunder. Parent shall use commercially reasonable efforts to keep the Registration Statement effective for so long as necessary to consummate the Contemplated Transactions. Parent makes no representation or warranty with respect to any information supplied by or on behalf of the Company or Seller specifically for inclusion in (i) the Registration Statement,</w:t>
      </w:r>
      <w:r>
        <w:rPr>
          <w:rFonts w:ascii="times new roman;times" w:hAnsi="times new roman;times"/>
          <w:b w:val="false"/>
          <w:sz w:val="20"/>
        </w:rPr>
        <w:t xml:space="preserve"> </w:t>
      </w:r>
      <w:r>
        <w:rPr>
          <w:rFonts w:ascii="Times New Roman" w:hAnsi="Times New Roman"/>
          <w:b w:val="false"/>
          <w:sz w:val="20"/>
        </w:rPr>
        <w:t>or in</w:t>
      </w:r>
      <w:r>
        <w:rPr>
          <w:rFonts w:ascii="times new roman;times" w:hAnsi="times new roman;times"/>
          <w:b w:val="false"/>
          <w:sz w:val="20"/>
        </w:rPr>
        <w:t xml:space="preserve"> </w:t>
      </w:r>
      <w:r>
        <w:rPr>
          <w:rFonts w:ascii="Times New Roman" w:hAnsi="Times New Roman"/>
          <w:b w:val="false"/>
          <w:sz w:val="20"/>
        </w:rPr>
        <w:t>(ii) 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or any amendment or supplement thereto.</w:t>
      </w:r>
      <w:r>
        <w:rPr>
          <w:rFonts w:ascii="times new roman;times" w:hAnsi="times new roman;times"/>
          <w:b w:val="false"/>
          <w:sz w:val="20"/>
        </w:rPr>
        <w:t xml:space="preserve"> </w:t>
      </w:r>
      <w:r>
        <w:rPr>
          <w:rFonts w:ascii="Times New Roman" w:hAnsi="Times New Roman"/>
          <w:b w:val="false"/>
          <w:sz w:val="20"/>
        </w:rPr>
        <w:t>Seller makes no representation or warranty with respect to any information contained in such filings other than for information supplied by or on behalf of the Company or Seller specifically for inclusion in (i) the Registration Statement,</w:t>
      </w:r>
      <w:r>
        <w:rPr>
          <w:rFonts w:ascii="times new roman;times" w:hAnsi="times new roman;times"/>
          <w:b w:val="false"/>
          <w:sz w:val="20"/>
        </w:rPr>
        <w:t xml:space="preserve"> </w:t>
      </w:r>
      <w:r>
        <w:rPr>
          <w:rFonts w:ascii="Times New Roman" w:hAnsi="Times New Roman"/>
          <w:b w:val="false"/>
          <w:sz w:val="20"/>
        </w:rPr>
        <w:t>or in</w:t>
      </w:r>
      <w:r>
        <w:rPr>
          <w:rFonts w:ascii="times new roman;times" w:hAnsi="times new roman;times"/>
          <w:b w:val="false"/>
          <w:sz w:val="20"/>
        </w:rPr>
        <w:t xml:space="preserve"> </w:t>
      </w:r>
      <w:r>
        <w:rPr>
          <w:rFonts w:ascii="Times New Roman" w:hAnsi="Times New Roman"/>
          <w:b w:val="false"/>
          <w:sz w:val="20"/>
        </w:rPr>
        <w:t>(ii) 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or any amendment or supplement thereto.</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The Company and Seller shall be given a reasonable opportunity to review and comment on the portions of the Registration Statement</w:t>
      </w:r>
      <w:r>
        <w:rPr>
          <w:rFonts w:ascii="times new roman;times" w:hAnsi="times new roman;times"/>
          <w:b w:val="false"/>
          <w:sz w:val="20"/>
        </w:rPr>
        <w:t xml:space="preserve"> </w:t>
      </w:r>
      <w:r>
        <w:rPr>
          <w:rFonts w:ascii="Times New Roman" w:hAnsi="Times New Roman"/>
          <w:b w:val="false"/>
          <w:sz w:val="20"/>
        </w:rPr>
        <w:t>on Form S-1, the Parent Schedule 14C and any</w:t>
      </w:r>
      <w:r>
        <w:rPr>
          <w:rFonts w:ascii="times new roman;times" w:hAnsi="times new roman;times"/>
          <w:b w:val="false"/>
          <w:sz w:val="20"/>
        </w:rPr>
        <w:t xml:space="preserve"> </w:t>
      </w:r>
      <w:r>
        <w:rPr>
          <w:rFonts w:ascii="Times New Roman" w:hAnsi="Times New Roman"/>
          <w:b w:val="false"/>
          <w:sz w:val="20"/>
        </w:rPr>
        <w:t>SEC comment responses relating to either such filing that relate to the Company, Seller, the Required Company Financials or the Company</w:t>
      </w:r>
      <w:r>
        <w:rPr>
          <w:rFonts w:ascii="times new roman;times" w:hAnsi="times new roman;times"/>
          <w:b w:val="false"/>
          <w:sz w:val="20"/>
        </w:rPr>
        <w:t>’</w:t>
      </w:r>
      <w:r>
        <w:rPr>
          <w:rFonts w:ascii="Times New Roman" w:hAnsi="Times New Roman"/>
          <w:b w:val="false"/>
          <w:sz w:val="20"/>
        </w:rPr>
        <w:t xml:space="preserve">s business, and Parent shall consider such comments in good faith.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Prior to the Effective Time, Parent shall use commercially reasonable efforts to obtain all material state securities Law or </w:t>
      </w:r>
      <w:r>
        <w:rPr>
          <w:rFonts w:ascii="times new roman;times" w:hAnsi="times new roman;times"/>
          <w:b w:val="false"/>
          <w:sz w:val="20"/>
        </w:rPr>
        <w:t>“</w:t>
      </w:r>
      <w:r>
        <w:rPr>
          <w:rFonts w:ascii="Times New Roman" w:hAnsi="Times New Roman"/>
          <w:b w:val="false"/>
          <w:sz w:val="20"/>
        </w:rPr>
        <w:t>blue sky</w:t>
      </w:r>
      <w:r>
        <w:rPr>
          <w:rFonts w:ascii="times new roman;times" w:hAnsi="times new roman;times"/>
          <w:b w:val="false"/>
          <w:sz w:val="20"/>
        </w:rPr>
        <w:t xml:space="preserve">” </w:t>
      </w:r>
      <w:r>
        <w:rPr>
          <w:rFonts w:ascii="Times New Roman" w:hAnsi="Times New Roman"/>
          <w:b w:val="false"/>
          <w:sz w:val="20"/>
        </w:rPr>
        <w:t>qualifications, exemptions or notices reasonably necessary in connection with the issuance of the Consideration Shares to Seller and any other permitted recipient of Consideration Shares expressly contemplated by this Agreement; provided, however, that Parent shall not be required to qualify to do business as a foreign corporation in any jurisdiction in which it is not then so qualified or to file a general consent to service of process in any jurisdiction.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b w:val="false"/>
        </w:rPr>
      </w:pPr>
      <w:r>
        <w:rPr>
          <w:b w:val="false"/>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5.2Company Shareholder Written Consent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Promptly following the execution of this Agreement, and in any event no later than two (2) Business Days thereafter, Seller, in its capacity as the sole holder of all of the issued and outstanding Company Capital Stock entitled to vote thereon, shall execute and deliver a written consent adopting this Agreement, approving the Merger and approving the Contemplated Transactions to the extent required by applicable Law or the organizational documents of the Company or Seller (the </w:t>
      </w:r>
      <w:r>
        <w:rPr>
          <w:rFonts w:ascii="times new roman;times" w:hAnsi="times new roman;times"/>
          <w:b w:val="false"/>
          <w:sz w:val="20"/>
        </w:rPr>
        <w:t>“</w:t>
      </w:r>
      <w:r>
        <w:rPr>
          <w:rFonts w:ascii="Times New Roman" w:hAnsi="Times New Roman"/>
          <w:b/>
          <w:i/>
          <w:sz w:val="20"/>
        </w:rPr>
        <w:t>Company Shareholder Written Consent</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Company and Seller acknowledge and agree that the Company Shareholder Written Consent shall constitute the only stockholder approval of the Company required to approve</w:t>
      </w:r>
      <w:r>
        <w:rPr>
          <w:rFonts w:ascii="times new roman;times" w:hAnsi="times new roman;times"/>
          <w:b w:val="false"/>
          <w:sz w:val="20"/>
        </w:rPr>
        <w:t xml:space="preserve"> </w:t>
      </w:r>
      <w:r>
        <w:rPr>
          <w:rFonts w:ascii="Times New Roman" w:hAnsi="Times New Roman"/>
          <w:b w:val="false"/>
          <w:sz w:val="20"/>
        </w:rPr>
        <w:t>this Agreement, the Merger and the Contemplated Transactions.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Company shall not, and Seller shall not permit the Company to, withdraw, amend or rescind the Company Shareholder Written Consent once delivered, except with the prior written consent of Parent.</w:t>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5.3Parent Stockholders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Consent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pacing w:val="4"/>
          <w:sz w:val="20"/>
        </w:rPr>
        <w:t>Concurrent with the signing of this Agreement, Parent shall obtain the Required Parent Stockholder Consent, which</w:t>
      </w:r>
      <w:r>
        <w:rPr>
          <w:rFonts w:ascii="times new roman;times" w:hAnsi="times new roman;times"/>
          <w:b w:val="false"/>
          <w:spacing w:val="4"/>
          <w:sz w:val="20"/>
        </w:rPr>
        <w:t xml:space="preserve"> </w:t>
      </w:r>
      <w:r>
        <w:rPr>
          <w:rFonts w:ascii="Times New Roman" w:hAnsi="Times New Roman"/>
          <w:b w:val="false"/>
          <w:spacing w:val="4"/>
          <w:sz w:val="20"/>
        </w:rPr>
        <w:t>shall become effective in accordance with applicable Legal Requirements. The Parent will use commercially reasonable efforts to file the Parent</w:t>
      </w:r>
      <w:r>
        <w:rPr>
          <w:rFonts w:ascii="times new roman;times" w:hAnsi="times new roman;times"/>
          <w:b w:val="false"/>
          <w:spacing w:val="4"/>
          <w:sz w:val="20"/>
        </w:rPr>
        <w:t xml:space="preserve"> </w:t>
      </w:r>
      <w:r>
        <w:rPr>
          <w:rFonts w:ascii="Times New Roman" w:hAnsi="Times New Roman"/>
          <w:b w:val="false"/>
          <w:spacing w:val="4"/>
          <w:sz w:val="20"/>
        </w:rPr>
        <w:t>Schedule 14C</w:t>
      </w:r>
      <w:r>
        <w:rPr>
          <w:rFonts w:ascii="times new roman;times" w:hAnsi="times new roman;times"/>
          <w:b w:val="false"/>
          <w:spacing w:val="4"/>
          <w:sz w:val="20"/>
        </w:rPr>
        <w:t xml:space="preserve"> </w:t>
      </w:r>
      <w:r>
        <w:rPr>
          <w:rFonts w:ascii="Times New Roman" w:hAnsi="Times New Roman"/>
          <w:b w:val="false"/>
          <w:spacing w:val="4"/>
          <w:sz w:val="20"/>
        </w:rPr>
        <w:t>in connection with the Required Parent Stockholder Consent with the SEC in definitive form as promptly as practicable following the signing of this Agreement, but in any event no later than July 24, 2026  (or, in the event of a full SEC review of such Parent Schedule 14C, August 31,</w:t>
      </w:r>
      <w:r>
        <w:rPr>
          <w:rFonts w:ascii="times new roman;times" w:hAnsi="times new roman;times"/>
          <w:b w:val="false"/>
          <w:spacing w:val="4"/>
          <w:sz w:val="20"/>
        </w:rPr>
        <w:t xml:space="preserve"> </w:t>
      </w:r>
      <w:r>
        <w:rPr>
          <w:rFonts w:ascii="Times New Roman" w:hAnsi="Times New Roman"/>
          <w:b w:val="false"/>
          <w:spacing w:val="4"/>
          <w:sz w:val="20"/>
        </w:rPr>
        <w:t>2026).</w:t>
      </w:r>
      <w:r>
        <w:rPr>
          <w:rFonts w:ascii="times new roman;times" w:hAnsi="times new roman;times"/>
          <w:b w:val="false"/>
          <w:spacing w:val="4"/>
          <w:sz w:val="20"/>
        </w:rPr>
        <w:t xml:space="preserve"> </w:t>
      </w:r>
      <w:r>
        <w:rPr>
          <w:rFonts w:ascii="Times New Roman" w:hAnsi="Times New Roman"/>
          <w:b w:val="false"/>
          <w:spacing w:val="4"/>
          <w:sz w:val="20"/>
        </w:rPr>
        <w:t xml:space="preserve">Parent shall timely distribute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Parent Schedule 14C</w:t>
      </w:r>
      <w:r>
        <w:rPr>
          <w:rFonts w:ascii="times new roman;times" w:hAnsi="times new roman;times"/>
          <w:b w:val="false"/>
          <w:sz w:val="20"/>
        </w:rPr>
        <w:t xml:space="preserve"> </w:t>
      </w:r>
      <w:r>
        <w:rPr>
          <w:rFonts w:ascii="Times New Roman" w:hAnsi="Times New Roman"/>
          <w:b w:val="false"/>
          <w:sz w:val="20"/>
        </w:rPr>
        <w:t>to non-consenting shareholders</w:t>
      </w:r>
      <w:r>
        <w:rPr>
          <w:rFonts w:ascii="times new roman;times" w:hAnsi="times new roman;times"/>
          <w:b w:val="false"/>
          <w:sz w:val="20"/>
        </w:rPr>
        <w:t xml:space="preserve"> </w:t>
      </w:r>
      <w:r>
        <w:rPr>
          <w:rFonts w:ascii="Times New Roman" w:hAnsi="Times New Roman"/>
          <w:b w:val="false"/>
          <w:sz w:val="20"/>
        </w:rPr>
        <w:t>in accord with Securities Exchange Act Rule 14c-2(b) and other applicable Exchange Act Rules.</w:t>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agrees that: (i) the Parent Board of Directors shall recommend</w:t>
      </w:r>
      <w:r>
        <w:rPr>
          <w:rFonts w:ascii="times new roman;times" w:hAnsi="times new roman;times"/>
          <w:b w:val="false"/>
          <w:sz w:val="20"/>
        </w:rPr>
        <w:t xml:space="preserve"> </w:t>
      </w:r>
      <w:r>
        <w:rPr>
          <w:rFonts w:ascii="Times New Roman" w:hAnsi="Times New Roman"/>
          <w:b w:val="false"/>
          <w:sz w:val="20"/>
        </w:rPr>
        <w:t>that Parent</w:t>
      </w:r>
      <w:r>
        <w:rPr>
          <w:rFonts w:ascii="times new roman;times" w:hAnsi="times new roman;times"/>
          <w:b w:val="false"/>
          <w:sz w:val="20"/>
        </w:rPr>
        <w:t>’</w:t>
      </w:r>
      <w:r>
        <w:rPr>
          <w:rFonts w:ascii="Times New Roman" w:hAnsi="Times New Roman"/>
          <w:b w:val="false"/>
          <w:sz w:val="20"/>
        </w:rPr>
        <w:t>s stockholders vote to approve the Parent Stockholder Proposals (the recommendation of the Parent Board of Directors that Parent</w:t>
      </w:r>
      <w:r>
        <w:rPr>
          <w:rFonts w:ascii="times new roman;times" w:hAnsi="times new roman;times"/>
          <w:b w:val="false"/>
          <w:sz w:val="20"/>
        </w:rPr>
        <w:t>’</w:t>
      </w:r>
      <w:r>
        <w:rPr>
          <w:rFonts w:ascii="Times New Roman" w:hAnsi="Times New Roman"/>
          <w:b w:val="false"/>
          <w:sz w:val="20"/>
        </w:rPr>
        <w:t xml:space="preserve">s stockholders vote to approve the Parent Stockholder Proposals being referred to as the </w:t>
      </w:r>
      <w:r>
        <w:rPr>
          <w:rFonts w:ascii="times new roman;times" w:hAnsi="times new roman;times"/>
          <w:b w:val="false"/>
          <w:sz w:val="20"/>
        </w:rPr>
        <w:t>“</w:t>
      </w:r>
      <w:r>
        <w:rPr>
          <w:rFonts w:ascii="Times New Roman" w:hAnsi="Times New Roman"/>
          <w:b/>
          <w:i/>
          <w:sz w:val="20"/>
        </w:rPr>
        <w:t>Parent Board Recommendation</w:t>
      </w:r>
      <w:r>
        <w:rPr>
          <w:rFonts w:ascii="times new roman;times" w:hAnsi="times new roman;times"/>
          <w:b w:val="false"/>
          <w:sz w:val="20"/>
        </w:rPr>
        <w:t>”</w:t>
      </w:r>
      <w:r>
        <w:rPr>
          <w:rFonts w:ascii="Times New Roman" w:hAnsi="Times New Roman"/>
          <w:b w:val="false"/>
          <w:sz w:val="20"/>
        </w:rPr>
        <w:t xml:space="preserve">); and (ii) except as expressly permitted by </w:t>
      </w:r>
      <w:r>
        <w:rPr>
          <w:rFonts w:ascii="Times New Roman" w:hAnsi="Times New Roman"/>
          <w:b w:val="false"/>
          <w:sz w:val="20"/>
          <w:u w:val="single"/>
        </w:rPr>
        <w:t>Section 5.3(c)</w:t>
      </w:r>
      <w:r>
        <w:rPr>
          <w:rFonts w:ascii="Times New Roman" w:hAnsi="Times New Roman"/>
          <w:b w:val="false"/>
          <w:sz w:val="20"/>
        </w:rPr>
        <w:t>, the Parent Board Recommendation shall not be withdrawn, withheld, amended or modified in a manner adverse to the Company, and no resolution by the Parent Board of Directors or any committee thereof to withdraw, withhold, amend or modify the Parent Board Recommendation in a manner adverse to the Company shall be adopted or proposed.</w:t>
      </w:r>
    </w:p>
    <w:p>
      <w:pPr>
        <w:pStyle w:val="TextBody"/>
        <w:bidi w:val="0"/>
        <w:spacing w:lineRule="auto" w:line="288" w:before="0" w:after="240"/>
        <w:ind w:left="48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pacing w:val="4"/>
          <w:sz w:val="20"/>
        </w:rPr>
        <w:t xml:space="preserve">Notwithstanding </w:t>
      </w:r>
      <w:r>
        <w:rPr>
          <w:rFonts w:ascii="Times New Roman" w:hAnsi="Times New Roman"/>
          <w:b w:val="false"/>
          <w:spacing w:val="4"/>
          <w:sz w:val="20"/>
          <w:u w:val="single"/>
        </w:rPr>
        <w:t>Section 5.3(b)</w:t>
      </w:r>
      <w:r>
        <w:rPr>
          <w:rFonts w:ascii="Times New Roman" w:hAnsi="Times New Roman"/>
          <w:b w:val="false"/>
          <w:spacing w:val="4"/>
          <w:sz w:val="20"/>
        </w:rPr>
        <w:t>, at any time prior to the effectiveness</w:t>
      </w:r>
      <w:r>
        <w:rPr>
          <w:rFonts w:ascii="times new roman;times" w:hAnsi="times new roman;times"/>
          <w:b w:val="false"/>
          <w:spacing w:val="4"/>
          <w:sz w:val="20"/>
        </w:rPr>
        <w:t xml:space="preserve"> </w:t>
      </w:r>
      <w:r>
        <w:rPr>
          <w:rFonts w:ascii="Times New Roman" w:hAnsi="Times New Roman"/>
          <w:b w:val="false"/>
          <w:spacing w:val="4"/>
          <w:sz w:val="20"/>
        </w:rPr>
        <w:t xml:space="preserve">of the Parent Stockholder Proposals by the Required Parent Stockholder Consent, the Parent Board of Directors may withdraw, withhold, amend or modify the Parent Board Recommendation in a manner adverse to the Company (a </w:t>
      </w:r>
      <w:r>
        <w:rPr>
          <w:rFonts w:ascii="times new roman;times" w:hAnsi="times new roman;times"/>
          <w:b w:val="false"/>
          <w:spacing w:val="4"/>
          <w:sz w:val="20"/>
        </w:rPr>
        <w:t>“</w:t>
      </w:r>
      <w:r>
        <w:rPr>
          <w:rFonts w:ascii="Times New Roman" w:hAnsi="Times New Roman"/>
          <w:b/>
          <w:i/>
          <w:spacing w:val="4"/>
          <w:sz w:val="20"/>
        </w:rPr>
        <w:t>Parent Board Adverse Recommendation Change</w:t>
      </w:r>
      <w:r>
        <w:rPr>
          <w:rFonts w:ascii="times new roman;times" w:hAnsi="times new roman;times"/>
          <w:b w:val="false"/>
          <w:spacing w:val="4"/>
          <w:sz w:val="20"/>
        </w:rPr>
        <w:t>”</w:t>
      </w:r>
      <w:r>
        <w:rPr>
          <w:rFonts w:ascii="Times New Roman" w:hAnsi="Times New Roman"/>
          <w:b w:val="false"/>
          <w:spacing w:val="4"/>
          <w:sz w:val="20"/>
        </w:rPr>
        <w:t>) solely to the extent that the Parent Board of Directors determines in good faith, after consultation with outside legal counsel, that the failure to do so would be inconsistent with the fiduciary duties of the Parent Board of Directors under applicable Legal Requirements or would be required in order to comply with Rule 14d-9, Rule 14e-2 or other applicable Legal Requirements; provided, however, that: (i) Parent shall provide the Seller and the Company prompt written notice of any such determination and the material facts and reasons supporting it; (ii) no Parent Board Adverse Recommendation Change shall, in and of itself, amend, modify, terminate or otherwise affect the obligations of any stockholder under any Parent Voting Agreement; and (iii) Parent shall not be permitted to terminate this Agreement in order to enter into, recommend or consummate any Acquisition Proposal or other alternative transaction.</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5.4</w:t>
        </w:r>
      </w:hyperlink>
      <w:hyperlink w:anchor="TOC">
        <w:r>
          <w:rPr>
            <w:rStyle w:val="InternetLink"/>
            <w:rFonts w:ascii="Times New Roman" w:hAnsi="Times New Roman"/>
            <w:b/>
            <w:strike w:val="false"/>
            <w:dstrike w:val="false"/>
            <w:color w:val="000000"/>
            <w:sz w:val="20"/>
            <w:u w:val="none"/>
            <w:effect w:val="none"/>
          </w:rPr>
          <w:t>Regulatory Approvals</w:t>
        </w:r>
      </w:hyperlink>
      <w:r>
        <w:rPr>
          <w:rFonts w:ascii="Times New Roman" w:hAnsi="Times New Roman"/>
          <w:b w:val="false"/>
          <w:sz w:val="20"/>
        </w:rPr>
        <w:t xml:space="preserve">. Subject to the terms and conditions of this Agreement, each Party shall use commercially reasonable efforts to take, or cause to be taken, all actions, and to do, or cause to be done, all things reasonably necessary, proper or advisable under applicable Law to consummate the Contemplated Transactions, including using commercially reasonable efforts to: (i) make or cause to be made, as promptly as reasonably practicable, all filings, notices, reports, registrations and other submissions required to be made by such Party with or to any Governmental Body in connection with the Contemplated Transactions; (ii) respond as promptly as reasonably practicable to any inquiries, requests for information or requests for documentation from any Governmental Body in connection with the Contemplated Transactions; (iii) obtain all material consents, approvals, clearances, waivers, permits, authorizations and orders of any Governmental Body required to be obtained by such Party in connection with the Contemplated Transactions; and (iv) cooperate in good faith with the other Parties in connection with the foregoing. Without limiting the foregoing, Parent shall use commercially reasonable efforts to: (x) cause the Registration Statement on Form S-1 to become effective as promptly as reasonably practicable and to file the Parent Schedule 14C in definitive form as promptly as practicable in accordance with </w:t>
      </w:r>
      <w:r>
        <w:rPr>
          <w:rFonts w:ascii="Times New Roman" w:hAnsi="Times New Roman"/>
          <w:b w:val="false"/>
          <w:sz w:val="20"/>
          <w:u w:val="single"/>
        </w:rPr>
        <w:t>Section 5.3(a)</w:t>
      </w:r>
      <w:r>
        <w:rPr>
          <w:rFonts w:ascii="Times New Roman" w:hAnsi="Times New Roman"/>
          <w:b w:val="false"/>
          <w:sz w:val="20"/>
        </w:rPr>
        <w:t xml:space="preserve">; (y) obtain the Nasdaq approval contemplated by </w:t>
      </w:r>
      <w:r>
        <w:rPr>
          <w:rFonts w:ascii="Times New Roman" w:hAnsi="Times New Roman"/>
          <w:b w:val="false"/>
          <w:sz w:val="20"/>
          <w:u w:val="single"/>
        </w:rPr>
        <w:t>Section 5.9</w:t>
      </w:r>
      <w:r>
        <w:rPr>
          <w:rFonts w:ascii="Times New Roman" w:hAnsi="Times New Roman"/>
          <w:b w:val="false"/>
          <w:sz w:val="20"/>
        </w:rPr>
        <w:t xml:space="preserve">; and (z) consummate the Financing in accordance with this Agreement. Notwithstanding anything to the contrary in this Agreement, nothing in this </w:t>
      </w:r>
      <w:r>
        <w:rPr>
          <w:rFonts w:ascii="Times New Roman" w:hAnsi="Times New Roman"/>
          <w:b w:val="false"/>
          <w:sz w:val="20"/>
          <w:u w:val="single"/>
        </w:rPr>
        <w:t>Section 5.4</w:t>
      </w:r>
      <w:r>
        <w:rPr>
          <w:rFonts w:ascii="times new roman;times" w:hAnsi="times new roman;times"/>
          <w:b w:val="false"/>
          <w:sz w:val="20"/>
        </w:rPr>
        <w:t xml:space="preserve"> </w:t>
      </w:r>
      <w:r>
        <w:rPr>
          <w:rFonts w:ascii="Times New Roman" w:hAnsi="Times New Roman"/>
          <w:b w:val="false"/>
          <w:sz w:val="20"/>
        </w:rPr>
        <w:t>shall require Parent, the Company or Seller or any of their respective Affiliates to agree to any undertaking, condition, restriction, divestiture, hold separate arrangement, license, conduct remedy or other obligation that would reasonably be expected to be materially burdensome to such Party or its business, taken as a whole.</w:t>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5.5Options, RSAs, RSUs, DSUs</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and Warrants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Prior to the Effective Time, the Company and Seller shall take, or cause to be taken, all actions reasonably necessary to ensure that, as of the Effective Time, there are no outstanding Company Options, Company RSUs, Company DSUs, Company Warrants or other Company Equity Securities other than the Company Capital Stock held by Seller, except to the extent expressly set forth on in Part 5.5 of the Parent Disclosure Schedule and treated in the manner set forth therein. Without limiting the foregoing, the Company and Seller shall cause all outstanding restricted stock units,</w:t>
      </w:r>
      <w:r>
        <w:rPr>
          <w:rFonts w:ascii="times new roman;times" w:hAnsi="times new roman;times"/>
          <w:b w:val="false"/>
          <w:sz w:val="20"/>
        </w:rPr>
        <w:t xml:space="preserve"> </w:t>
      </w:r>
      <w:r>
        <w:rPr>
          <w:rFonts w:ascii="Times New Roman" w:hAnsi="Times New Roman"/>
          <w:b w:val="false"/>
          <w:sz w:val="20"/>
        </w:rPr>
        <w:t>deferred stock units</w:t>
      </w:r>
      <w:r>
        <w:rPr>
          <w:rFonts w:ascii="times new roman;times" w:hAnsi="times new roman;times"/>
          <w:b w:val="false"/>
          <w:sz w:val="20"/>
        </w:rPr>
        <w:t xml:space="preserve"> </w:t>
      </w:r>
      <w:r>
        <w:rPr>
          <w:rFonts w:ascii="Times New Roman" w:hAnsi="Times New Roman"/>
          <w:b w:val="false"/>
          <w:sz w:val="20"/>
        </w:rPr>
        <w:t>and any other deferred equity awards of the Company or any Company Subsidiary to be cancelled, forfeited, settled or otherwise eliminated, without any payment or issuance obligation surviving the Effective Time, in each case effective no later than immediately prior to the Effective Time.</w:t>
      </w:r>
    </w:p>
    <w:p>
      <w:pPr>
        <w:pStyle w:val="TextBody"/>
        <w:bidi w:val="0"/>
        <w:spacing w:lineRule="auto" w:line="288" w:before="0" w:after="24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Notwithstanding anything to the contrary in this Agreement, Parent</w:t>
      </w:r>
      <w:r>
        <w:rPr>
          <w:rFonts w:ascii="times new roman;times" w:hAnsi="times new roman;times"/>
          <w:b w:val="false"/>
          <w:sz w:val="20"/>
        </w:rPr>
        <w:t xml:space="preserve"> </w:t>
      </w:r>
      <w:r>
        <w:rPr>
          <w:rFonts w:ascii="Times New Roman" w:hAnsi="Times New Roman"/>
          <w:b w:val="false"/>
          <w:sz w:val="20"/>
        </w:rPr>
        <w:t>shall adopt an equity incentive plan (the “</w:t>
      </w:r>
      <w:r>
        <w:rPr>
          <w:rFonts w:ascii="Times New Roman" w:hAnsi="Times New Roman"/>
          <w:b/>
          <w:i/>
          <w:sz w:val="20"/>
        </w:rPr>
        <w:t>Parent Equity Incentive Plan</w:t>
      </w:r>
      <w:r>
        <w:rPr>
          <w:rFonts w:ascii="times new roman;times" w:hAnsi="times new roman;times"/>
          <w:b w:val="false"/>
          <w:sz w:val="20"/>
        </w:rPr>
        <w:t>”</w:t>
      </w:r>
      <w:r>
        <w:rPr>
          <w:rFonts w:ascii="Times New Roman" w:hAnsi="Times New Roman"/>
          <w:b w:val="false"/>
          <w:sz w:val="20"/>
        </w:rPr>
        <w:t>), in a form mutually agreed to by the Parent and the Seller, and make the</w:t>
      </w:r>
      <w:r>
        <w:rPr>
          <w:rFonts w:ascii="times new roman;times" w:hAnsi="times new roman;times"/>
          <w:b w:val="false"/>
          <w:sz w:val="20"/>
        </w:rPr>
        <w:t xml:space="preserve"> </w:t>
      </w:r>
      <w:r>
        <w:rPr>
          <w:rFonts w:ascii="Times New Roman" w:hAnsi="Times New Roman"/>
          <w:b w:val="false"/>
          <w:sz w:val="20"/>
        </w:rPr>
        <w:t>option grants</w:t>
      </w:r>
      <w:r>
        <w:rPr>
          <w:rFonts w:ascii="times new roman;times" w:hAnsi="times new roman;times"/>
          <w:b w:val="false"/>
          <w:sz w:val="20"/>
        </w:rPr>
        <w:t xml:space="preserve"> </w:t>
      </w:r>
      <w:r>
        <w:rPr>
          <w:rFonts w:ascii="Times New Roman" w:hAnsi="Times New Roman"/>
          <w:b w:val="false"/>
          <w:sz w:val="20"/>
        </w:rPr>
        <w:t xml:space="preserve">(the </w:t>
      </w:r>
      <w:r>
        <w:rPr>
          <w:rFonts w:ascii="times new roman;times" w:hAnsi="times new roman;times"/>
          <w:b w:val="false"/>
          <w:sz w:val="20"/>
        </w:rPr>
        <w:t>“</w:t>
      </w:r>
      <w:r>
        <w:rPr>
          <w:rFonts w:ascii="Times New Roman" w:hAnsi="Times New Roman"/>
          <w:b/>
          <w:i/>
          <w:sz w:val="20"/>
        </w:rPr>
        <w:t>Permitted Closing Option Grant</w:t>
      </w:r>
      <w:r>
        <w:rPr>
          <w:rFonts w:ascii="times new roman;times" w:hAnsi="times new roman;times"/>
          <w:b w:val="false"/>
          <w:sz w:val="20"/>
        </w:rPr>
        <w:t>”</w:t>
      </w:r>
      <w:r>
        <w:rPr>
          <w:rFonts w:ascii="Times New Roman" w:hAnsi="Times New Roman"/>
          <w:b w:val="false"/>
          <w:sz w:val="20"/>
        </w:rPr>
        <w:t>), effective as of or immediately following the Closing, as set forth in Part 5.5 of the Parent Disclosure Schedule on terms and conditions approved in advance by the Parent Board of Directors (including the affirmative vote or written consent of</w:t>
      </w:r>
      <w:r>
        <w:rPr>
          <w:rFonts w:ascii="times new roman;times" w:hAnsi="times new roman;times"/>
          <w:b w:val="false"/>
          <w:sz w:val="20"/>
        </w:rPr>
        <w:t xml:space="preserve"> </w:t>
      </w:r>
      <w:r>
        <w:rPr>
          <w:rFonts w:ascii="Times New Roman" w:hAnsi="Times New Roman"/>
          <w:b w:val="false"/>
          <w:sz w:val="20"/>
        </w:rPr>
        <w:t>Pre-Closing Parent Stockholder Director</w:t>
      </w:r>
      <w:r>
        <w:rPr>
          <w:rFonts w:ascii="times new roman;times" w:hAnsi="times new roman;times"/>
          <w:b w:val="false"/>
          <w:sz w:val="20"/>
        </w:rPr>
        <w:t xml:space="preserve"> </w:t>
      </w:r>
      <w:r>
        <w:rPr>
          <w:rFonts w:ascii="Times New Roman" w:hAnsi="Times New Roman"/>
          <w:b w:val="false"/>
          <w:sz w:val="20"/>
        </w:rPr>
        <w:t>then serving on the Parent Board of Directors) in its reasonable discretion</w:t>
      </w:r>
      <w:r>
        <w:rPr>
          <w:rFonts w:ascii="times new roman;times" w:hAnsi="times new roman;times"/>
          <w:b w:val="false"/>
          <w:sz w:val="20"/>
        </w:rPr>
        <w:t xml:space="preserve"> </w:t>
      </w:r>
      <w:r>
        <w:rPr>
          <w:rFonts w:ascii="Times New Roman" w:hAnsi="Times New Roman"/>
          <w:b w:val="false"/>
          <w:sz w:val="20"/>
        </w:rPr>
        <w:t>and subject to the approval of Seller and the Company; provided, that: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w:t>
      </w:r>
      <w:r>
        <w:rPr>
          <w:rFonts w:ascii="Times New Roman" w:hAnsi="Times New Roman"/>
          <w:b w:val="false"/>
          <w:sz w:val="20"/>
        </w:rPr>
        <w:t>the aggregate number of shares of Parent</w:t>
      </w:r>
      <w:r>
        <w:rPr>
          <w:rFonts w:ascii="times new roman;times" w:hAnsi="times new roman;times"/>
          <w:b w:val="false"/>
          <w:sz w:val="20"/>
        </w:rPr>
        <w:t xml:space="preserve"> </w:t>
      </w:r>
      <w:r>
        <w:rPr>
          <w:rFonts w:ascii="Times New Roman" w:hAnsi="Times New Roman"/>
          <w:b w:val="false"/>
          <w:sz w:val="20"/>
        </w:rPr>
        <w:t>Common Stock subject to the Permitted Closing Option Grant</w:t>
      </w:r>
      <w:r>
        <w:rPr>
          <w:rFonts w:ascii="times new roman;times" w:hAnsi="times new roman;times"/>
          <w:b w:val="false"/>
          <w:sz w:val="20"/>
        </w:rPr>
        <w:t xml:space="preserve"> </w:t>
      </w:r>
      <w:r>
        <w:rPr>
          <w:rFonts w:ascii="Times New Roman" w:hAnsi="Times New Roman"/>
          <w:b w:val="false"/>
          <w:sz w:val="20"/>
        </w:rPr>
        <w:t>for the twelve (12) month period following the Effective Time</w:t>
      </w:r>
      <w:r>
        <w:rPr>
          <w:rFonts w:ascii="times new roman;times" w:hAnsi="times new roman;times"/>
          <w:b w:val="false"/>
          <w:sz w:val="20"/>
        </w:rPr>
        <w:t xml:space="preserve"> </w:t>
      </w:r>
      <w:r>
        <w:rPr>
          <w:rFonts w:ascii="Times New Roman" w:hAnsi="Times New Roman"/>
          <w:b w:val="false"/>
          <w:sz w:val="20"/>
        </w:rPr>
        <w:t>shall not exceed</w:t>
      </w:r>
      <w:r>
        <w:rPr>
          <w:rFonts w:ascii="times new roman;times" w:hAnsi="times new roman;times"/>
          <w:b w:val="false"/>
          <w:sz w:val="20"/>
        </w:rPr>
        <w:t xml:space="preserve"> </w:t>
      </w:r>
      <w:r>
        <w:rPr>
          <w:rFonts w:ascii="Times New Roman" w:hAnsi="Times New Roman"/>
          <w:b w:val="false"/>
          <w:sz w:val="20"/>
        </w:rPr>
        <w:t>the equivalent of</w:t>
      </w:r>
      <w:r>
        <w:rPr>
          <w:rFonts w:ascii="times new roman;times" w:hAnsi="times new roman;times"/>
          <w:b w:val="false"/>
          <w:sz w:val="20"/>
        </w:rPr>
        <w:t xml:space="preserve"> </w:t>
      </w:r>
      <w:r>
        <w:rPr>
          <w:rFonts w:ascii="Times New Roman" w:hAnsi="Times New Roman"/>
          <w:b w:val="false"/>
          <w:sz w:val="20"/>
        </w:rPr>
        <w:t>2,500,000</w:t>
      </w:r>
      <w:r>
        <w:rPr>
          <w:rFonts w:ascii="times new roman;times" w:hAnsi="times new roman;times"/>
          <w:b w:val="false"/>
          <w:sz w:val="20"/>
        </w:rPr>
        <w:t xml:space="preserve"> </w:t>
      </w:r>
      <w:r>
        <w:rPr>
          <w:rFonts w:ascii="Times New Roman" w:hAnsi="Times New Roman"/>
          <w:b w:val="false"/>
          <w:sz w:val="20"/>
        </w:rPr>
        <w:t>shares</w:t>
      </w:r>
      <w:r>
        <w:rPr>
          <w:rFonts w:ascii="times new roman;times" w:hAnsi="times new roman;times"/>
          <w:b w:val="false"/>
          <w:sz w:val="20"/>
        </w:rPr>
        <w:t xml:space="preserve"> </w:t>
      </w:r>
      <w:r>
        <w:rPr>
          <w:rFonts w:ascii="Times New Roman" w:hAnsi="Times New Roman"/>
          <w:b w:val="false"/>
          <w:sz w:val="20"/>
        </w:rPr>
        <w:t>of Parent Common Stock;</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the exercise price per share shall be not less than the fair market value of a share of Parent</w:t>
      </w:r>
      <w:r>
        <w:rPr>
          <w:rFonts w:ascii="times new roman;times" w:hAnsi="times new roman;times"/>
          <w:b w:val="false"/>
          <w:sz w:val="20"/>
        </w:rPr>
        <w:t xml:space="preserve"> </w:t>
      </w:r>
      <w:r>
        <w:rPr>
          <w:rFonts w:ascii="Times New Roman" w:hAnsi="Times New Roman"/>
          <w:b w:val="false"/>
          <w:sz w:val="20"/>
        </w:rPr>
        <w:t>Common Stock (or, if applicable, the equivalent value of a share of Parent Common Stock, as determined by the Parent Board of Directors in good faith) as of the date of grant;</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the Permitted Closing Option Grant shall be subject to a vesting schedule</w:t>
      </w:r>
      <w:r>
        <w:rPr>
          <w:rFonts w:ascii="times new roman;times" w:hAnsi="times new roman;times"/>
          <w:b w:val="false"/>
          <w:sz w:val="20"/>
        </w:rPr>
        <w:t xml:space="preserve"> </w:t>
      </w:r>
      <w:r>
        <w:rPr>
          <w:rFonts w:ascii="Times New Roman" w:hAnsi="Times New Roman"/>
          <w:b w:val="false"/>
          <w:sz w:val="20"/>
        </w:rPr>
        <w:t>extending over a period</w:t>
      </w:r>
      <w:r>
        <w:rPr>
          <w:rFonts w:ascii="times new roman;times" w:hAnsi="times new roman;times"/>
          <w:b w:val="false"/>
          <w:sz w:val="20"/>
        </w:rPr>
        <w:t xml:space="preserve"> </w:t>
      </w:r>
      <w:r>
        <w:rPr>
          <w:rFonts w:ascii="Times New Roman" w:hAnsi="Times New Roman"/>
          <w:b w:val="false"/>
          <w:sz w:val="20"/>
        </w:rPr>
        <w:t>of not less than three (3) years from the date of grant,</w:t>
      </w:r>
      <w:r>
        <w:rPr>
          <w:rFonts w:ascii="times new roman;times" w:hAnsi="times new roman;times"/>
          <w:b w:val="false"/>
          <w:sz w:val="20"/>
        </w:rPr>
        <w:t xml:space="preserve"> </w:t>
      </w:r>
      <w:r>
        <w:rPr>
          <w:rFonts w:ascii="Times New Roman" w:hAnsi="Times New Roman"/>
          <w:b w:val="false"/>
          <w:sz w:val="20"/>
        </w:rPr>
        <w:t>provided that for existing management and staff of the Company</w:t>
      </w:r>
      <w:r>
        <w:rPr>
          <w:rFonts w:ascii="times new roman;times" w:hAnsi="times new roman;times"/>
          <w:b w:val="false"/>
          <w:sz w:val="20"/>
        </w:rPr>
        <w:t xml:space="preserve"> </w:t>
      </w:r>
      <w:r>
        <w:rPr>
          <w:rFonts w:ascii="Times New Roman" w:hAnsi="Times New Roman"/>
          <w:b w:val="false"/>
          <w:sz w:val="20"/>
        </w:rPr>
        <w:t>there shall be vesting for 25% of options granted</w:t>
      </w:r>
      <w:r>
        <w:rPr>
          <w:rFonts w:ascii="times new roman;times" w:hAnsi="times new roman;times"/>
          <w:b w:val="false"/>
          <w:sz w:val="20"/>
        </w:rPr>
        <w:t xml:space="preserve"> </w:t>
      </w:r>
      <w:r>
        <w:rPr>
          <w:rFonts w:ascii="Times New Roman" w:hAnsi="Times New Roman"/>
          <w:b w:val="false"/>
          <w:sz w:val="20"/>
        </w:rPr>
        <w:t>forty</w:t>
      </w:r>
      <w:r>
        <w:rPr>
          <w:rFonts w:ascii="times new roman;times" w:hAnsi="times new roman;times"/>
          <w:b w:val="false"/>
          <w:sz w:val="20"/>
        </w:rPr>
        <w:t xml:space="preserve"> </w:t>
      </w:r>
      <w:r>
        <w:rPr>
          <w:rFonts w:ascii="Times New Roman" w:hAnsi="Times New Roman"/>
          <w:b w:val="false"/>
          <w:sz w:val="20"/>
        </w:rPr>
        <w:t>five (45) days after the date of grant, with no single-trigger acceleration upon a change of control of Parent or any Subsidiary or upon termination of employment except as expressly approved by the Parent Board of Directors (including the affirmative vote or written consent of Pre-Closing Parent Stockholder Director</w:t>
      </w:r>
      <w:r>
        <w:rPr>
          <w:rFonts w:ascii="times new roman;times" w:hAnsi="times new roman;times"/>
          <w:b w:val="false"/>
          <w:sz w:val="20"/>
        </w:rPr>
        <w:t xml:space="preserve"> </w:t>
      </w:r>
      <w:r>
        <w:rPr>
          <w:rFonts w:ascii="Times New Roman" w:hAnsi="Times New Roman"/>
          <w:b w:val="false"/>
          <w:sz w:val="20"/>
        </w:rPr>
        <w:t>then serving); and</w:t>
      </w:r>
    </w:p>
    <w:p>
      <w:pPr>
        <w:pStyle w:val="TextBody"/>
        <w:bidi w:val="0"/>
        <w:spacing w:lineRule="auto" w:line="288" w:before="0" w:after="240"/>
        <w:ind w:left="0" w:right="42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the form of option agreement evidencing the Permitted Closing Option Grant shall be in form and substance approved by the Parent Board of Directors (including the affirmative vote or written consent of Pre-Closing Parent Stockholder Director</w:t>
      </w:r>
      <w:r>
        <w:rPr>
          <w:rFonts w:ascii="times new roman;times" w:hAnsi="times new roman;times"/>
          <w:b w:val="false"/>
          <w:sz w:val="20"/>
        </w:rPr>
        <w:t xml:space="preserve"> </w:t>
      </w:r>
      <w:r>
        <w:rPr>
          <w:rFonts w:ascii="Times New Roman" w:hAnsi="Times New Roman"/>
          <w:b w:val="false"/>
          <w:sz w:val="20"/>
        </w:rPr>
        <w:t>then serving) prior to the Closing.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Except for the Permitted Closing Options</w:t>
      </w:r>
      <w:r>
        <w:rPr>
          <w:rFonts w:ascii="times new roman;times" w:hAnsi="times new roman;times"/>
          <w:b w:val="false"/>
          <w:sz w:val="20"/>
        </w:rPr>
        <w:t xml:space="preserve"> </w:t>
      </w:r>
      <w:r>
        <w:rPr>
          <w:rFonts w:ascii="Times New Roman" w:hAnsi="Times New Roman"/>
          <w:b w:val="false"/>
          <w:sz w:val="20"/>
        </w:rPr>
        <w:t>Grants, neither the Company nor any Company Subsidiary shall, from and after the Effective Time through the last day of the Equity Moratorium Period, directly or indirectly, grant, issue, sell, pledge, dispose of or encumber, or authorize or commit to grant, issue, sell, pledge, dispose of or encumber, any Company Equity Securities,</w:t>
      </w:r>
      <w:r>
        <w:rPr>
          <w:rFonts w:ascii="times new roman;times" w:hAnsi="times new roman;times"/>
          <w:b w:val="false"/>
          <w:sz w:val="20"/>
        </w:rPr>
        <w:t xml:space="preserve"> </w:t>
      </w:r>
      <w:r>
        <w:rPr>
          <w:rFonts w:ascii="Times New Roman" w:hAnsi="Times New Roman"/>
          <w:b w:val="false"/>
          <w:sz w:val="20"/>
        </w:rPr>
        <w:t>including any options, restricted stock units, deferred stock units, restricted stock awards, warrants, phantom equity, stock appreciation rights or other equity-based awards or rights, whether under the Equity Incentive Plan or otherwise, with the exception of options for which the underlying</w:t>
      </w:r>
      <w:r>
        <w:rPr>
          <w:rFonts w:ascii="times new roman;times" w:hAnsi="times new roman;times"/>
          <w:b w:val="false"/>
          <w:sz w:val="20"/>
        </w:rPr>
        <w:t xml:space="preserve"> </w:t>
      </w:r>
      <w:r>
        <w:rPr>
          <w:rFonts w:ascii="Times New Roman" w:hAnsi="Times New Roman"/>
          <w:b w:val="false"/>
          <w:sz w:val="20"/>
        </w:rPr>
        <w:t>shares will be subject to a lock up period that expires no later than</w:t>
      </w:r>
      <w:r>
        <w:rPr>
          <w:rFonts w:ascii="times new roman;times" w:hAnsi="times new roman;times"/>
          <w:b w:val="false"/>
          <w:sz w:val="20"/>
        </w:rPr>
        <w:t xml:space="preserve"> </w:t>
      </w:r>
      <w:r>
        <w:rPr>
          <w:rFonts w:ascii="Times New Roman" w:hAnsi="Times New Roman"/>
          <w:b w:val="false"/>
          <w:sz w:val="20"/>
        </w:rPr>
        <w:t>12 months from the Effective Time, which shall be evidenced on the form of option agreement consistent with the one used for the Permitted Closing Option Grant.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5.6Indemnification of Officers and Directors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From the Effective Time through the sixth anniversary of the date on which the Effective Time occurs, each of Parent and the Surviving Corporation shall, jointly and severally, indemnify and hold harmless each person who is now, or has been at any time prior to the date hereof, or who becomes prior to the Effective Time, a director or officer of Parent or the Company (the </w:t>
      </w:r>
      <w:r>
        <w:rPr>
          <w:rFonts w:ascii="times new roman;times" w:hAnsi="times new roman;times"/>
          <w:b w:val="false"/>
          <w:sz w:val="20"/>
        </w:rPr>
        <w:t>“</w:t>
      </w:r>
      <w:r>
        <w:rPr>
          <w:rFonts w:ascii="Times New Roman" w:hAnsi="Times New Roman"/>
          <w:b/>
          <w:i/>
          <w:sz w:val="20"/>
        </w:rPr>
        <w:t>D&amp;O Indemnified Parties</w:t>
      </w:r>
      <w:r>
        <w:rPr>
          <w:rFonts w:ascii="times new roman;times" w:hAnsi="times new roman;times"/>
          <w:b w:val="false"/>
          <w:sz w:val="20"/>
        </w:rPr>
        <w:t>”</w:t>
      </w:r>
      <w:r>
        <w:rPr>
          <w:rFonts w:ascii="Times New Roman" w:hAnsi="Times New Roman"/>
          <w:b w:val="false"/>
          <w:sz w:val="20"/>
        </w:rPr>
        <w:t>), against all claims, losses, liabilities, damages, judgments, fines and reasonable fees, costs and expenses, including attorneys</w:t>
      </w:r>
      <w:r>
        <w:rPr>
          <w:rFonts w:ascii="times new roman;times" w:hAnsi="times new roman;times"/>
          <w:b w:val="false"/>
          <w:sz w:val="20"/>
        </w:rPr>
        <w:t xml:space="preserve">’ </w:t>
      </w:r>
      <w:r>
        <w:rPr>
          <w:rFonts w:ascii="Times New Roman" w:hAnsi="Times New Roman"/>
          <w:b w:val="false"/>
          <w:sz w:val="20"/>
        </w:rPr>
        <w:t xml:space="preserve">fees and disbursements (collectively, </w:t>
      </w:r>
      <w:r>
        <w:rPr>
          <w:rFonts w:ascii="times new roman;times" w:hAnsi="times new roman;times"/>
          <w:b w:val="false"/>
          <w:sz w:val="20"/>
        </w:rPr>
        <w:t>“</w:t>
      </w:r>
      <w:r>
        <w:rPr>
          <w:rFonts w:ascii="Times New Roman" w:hAnsi="Times New Roman"/>
          <w:b/>
          <w:i/>
          <w:sz w:val="20"/>
        </w:rPr>
        <w:t>Costs</w:t>
      </w:r>
      <w:r>
        <w:rPr>
          <w:rFonts w:ascii="times new roman;times" w:hAnsi="times new roman;times"/>
          <w:b w:val="false"/>
          <w:sz w:val="20"/>
        </w:rPr>
        <w:t>”</w:t>
      </w:r>
      <w:r>
        <w:rPr>
          <w:rFonts w:ascii="Times New Roman" w:hAnsi="Times New Roman"/>
          <w:b w:val="false"/>
          <w:sz w:val="20"/>
        </w:rPr>
        <w:t>), incurred in connection with any claim, action, suit, proceeding or investigation, whether civil, criminal, administrative or investigative, arising out of or pertaining to the fact that the D&amp;O Indemnified Party is or was a director or officer of Parent or the Company, whether asserted or claimed prior to, at or after the Effective Time, to the fullest extent permitted under the DGCL and the Nevada Revised Statutes for directors or officers of Delaware and Nevada corporations respectively. Each D&amp;O Indemnified Party will be entitled to advancement of reasonable and documented expenses incurred in the defense of any such claim, action, suit, proceeding or investigation</w:t>
      </w:r>
      <w:r>
        <w:rPr>
          <w:rFonts w:ascii="times new roman;times" w:hAnsi="times new roman;times"/>
          <w:b w:val="false"/>
          <w:sz w:val="20"/>
        </w:rPr>
        <w:t xml:space="preserve"> </w:t>
      </w:r>
      <w:r>
        <w:rPr>
          <w:rFonts w:ascii="Times New Roman" w:hAnsi="Times New Roman"/>
          <w:b w:val="false"/>
          <w:sz w:val="20"/>
        </w:rPr>
        <w:t>from</w:t>
      </w:r>
      <w:r>
        <w:rPr>
          <w:rFonts w:ascii="times new roman;times" w:hAnsi="times new roman;times"/>
          <w:b w:val="false"/>
          <w:sz w:val="20"/>
        </w:rPr>
        <w:t xml:space="preserve"> </w:t>
      </w:r>
      <w:r>
        <w:rPr>
          <w:rFonts w:ascii="Times New Roman" w:hAnsi="Times New Roman"/>
          <w:b w:val="false"/>
          <w:sz w:val="20"/>
        </w:rPr>
        <w:t>Parent and the Surviving Corporation, jointly and severally, to the same extent as such D&amp;O Indemnified Party is entitled to advancement of</w:t>
      </w:r>
      <w:r>
        <w:rPr>
          <w:rFonts w:ascii="times new roman;times" w:hAnsi="times new roman;times"/>
          <w:b w:val="false"/>
          <w:sz w:val="20"/>
        </w:rPr>
        <w:t xml:space="preserve"> </w:t>
      </w:r>
      <w:r>
        <w:rPr>
          <w:rFonts w:ascii="Times New Roman" w:hAnsi="Times New Roman"/>
          <w:b w:val="false"/>
          <w:sz w:val="20"/>
        </w:rPr>
        <w:t xml:space="preserve">expenses as of the date of this Agreement by Parent or the Company pursuant to the articles of incorporation and bylaws of Parent and certificate of incorporation and bylaws of the Company in effect on the date of this Agreement or any applicable indemnification agreement, upon receipt by Parent or the Surviving Corporation from the D&amp;O Indemnified Party of a request therefor; </w:t>
      </w:r>
      <w:r>
        <w:rPr>
          <w:rFonts w:ascii="Times New Roman" w:hAnsi="Times New Roman"/>
          <w:b w:val="false"/>
          <w:i/>
          <w:sz w:val="20"/>
        </w:rPr>
        <w:t>provided</w:t>
      </w:r>
      <w:r>
        <w:rPr>
          <w:rFonts w:ascii="Times New Roman" w:hAnsi="Times New Roman"/>
          <w:b w:val="false"/>
          <w:sz w:val="20"/>
        </w:rPr>
        <w:t>, that any person to whom expenses are advanced provides a written undertaking to repay such advances if it is ultimately determined that such person is not entitled to indemnification.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articles of incorporation and bylaws of Parent and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of each of Parent and the Company than are presently set forth in the articles of incorporation and bylaws of Parent and the certificate of incorporation and bylaws of the Company, which provisions shall not be amended, modified or repealed for a period of six</w:t>
      </w:r>
      <w:r>
        <w:rPr>
          <w:rFonts w:ascii="times new roman;times" w:hAnsi="times new roman;times"/>
          <w:b w:val="false"/>
          <w:sz w:val="20"/>
        </w:rPr>
        <w:t xml:space="preserve"> </w:t>
      </w:r>
      <w:r>
        <w:rPr>
          <w:rFonts w:ascii="Times New Roman" w:hAnsi="Times New Roman"/>
          <w:b w:val="false"/>
          <w:sz w:val="20"/>
        </w:rPr>
        <w:t>(6)</w:t>
      </w:r>
      <w:r>
        <w:rPr>
          <w:rFonts w:ascii="times new roman;times" w:hAnsi="times new roman;times"/>
          <w:b w:val="false"/>
          <w:sz w:val="20"/>
        </w:rPr>
        <w:t xml:space="preserve"> </w:t>
      </w:r>
      <w:r>
        <w:rPr>
          <w:rFonts w:ascii="Times New Roman" w:hAnsi="Times New Roman"/>
          <w:b w:val="false"/>
          <w:sz w:val="20"/>
        </w:rPr>
        <w:t>years</w:t>
      </w:r>
      <w:r>
        <w:rPr>
          <w:rFonts w:ascii="times new roman;times" w:hAnsi="times new roman;times"/>
          <w:b w:val="false"/>
          <w:sz w:val="20"/>
        </w:rPr>
        <w:t xml:space="preserve">’ </w:t>
      </w:r>
      <w:r>
        <w:rPr>
          <w:rFonts w:ascii="Times New Roman" w:hAnsi="Times New Roman"/>
          <w:b w:val="false"/>
          <w:sz w:val="20"/>
        </w:rPr>
        <w:t>time from the Effective Time in a manner that would adversely affect the rights thereunder of individuals who, at or prior to the Effective Time, were officers or directors of Parent and the Company, as applicable.</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w:t>
      </w:r>
      <w:r>
        <w:rPr>
          <w:rFonts w:ascii="times new roman;times" w:hAnsi="times new roman;times"/>
          <w:b w:val="false"/>
          <w:sz w:val="20"/>
        </w:rPr>
        <w:t xml:space="preserve"> </w:t>
      </w:r>
      <w:r>
        <w:rPr>
          <w:rFonts w:ascii="Times New Roman" w:hAnsi="Times New Roman"/>
          <w:b w:val="false"/>
          <w:sz w:val="20"/>
        </w:rPr>
        <w:t>shall, immediately prior to the Closing Date, obtain and maintain in full force and effect for a period of</w:t>
      </w:r>
      <w:r>
        <w:rPr>
          <w:rFonts w:ascii="times new roman;times" w:hAnsi="times new roman;times"/>
          <w:b w:val="false"/>
          <w:sz w:val="20"/>
        </w:rPr>
        <w:t xml:space="preserve"> </w:t>
      </w:r>
      <w:r>
        <w:rPr>
          <w:rFonts w:ascii="Times New Roman" w:hAnsi="Times New Roman"/>
          <w:b w:val="false"/>
          <w:sz w:val="20"/>
        </w:rPr>
        <w:t>six</w:t>
      </w:r>
      <w:r>
        <w:rPr>
          <w:rFonts w:ascii="times new roman;times" w:hAnsi="times new roman;times"/>
          <w:b w:val="false"/>
          <w:sz w:val="20"/>
        </w:rPr>
        <w:t xml:space="preserve"> </w:t>
      </w:r>
      <w:r>
        <w:rPr>
          <w:rFonts w:ascii="Times New Roman" w:hAnsi="Times New Roman"/>
          <w:b w:val="false"/>
          <w:sz w:val="20"/>
        </w:rPr>
        <w:t>(6) years</w:t>
      </w:r>
      <w:r>
        <w:rPr>
          <w:rFonts w:ascii="times new roman;times" w:hAnsi="times new roman;times"/>
          <w:b w:val="false"/>
          <w:sz w:val="20"/>
        </w:rPr>
        <w:t xml:space="preserve"> </w:t>
      </w:r>
      <w:r>
        <w:rPr>
          <w:rFonts w:ascii="Times New Roman" w:hAnsi="Times New Roman"/>
          <w:b w:val="false"/>
          <w:sz w:val="20"/>
        </w:rPr>
        <w:t>after the Effective Time</w:t>
      </w:r>
      <w:r>
        <w:rPr>
          <w:rFonts w:ascii="times new roman;times" w:hAnsi="times new roman;times"/>
          <w:b w:val="false"/>
          <w:sz w:val="20"/>
        </w:rPr>
        <w:t> </w:t>
      </w:r>
      <w:r>
        <w:rPr>
          <w:rFonts w:ascii="Times New Roman" w:hAnsi="Times New Roman"/>
          <w:b w:val="false"/>
          <w:sz w:val="20"/>
        </w:rPr>
        <w:t>a tail insurance policy (the “</w:t>
      </w:r>
      <w:r>
        <w:rPr>
          <w:rFonts w:ascii="Times New Roman" w:hAnsi="Times New Roman"/>
          <w:b/>
          <w:i/>
          <w:sz w:val="20"/>
        </w:rPr>
        <w:t>Tail Policy</w:t>
      </w:r>
      <w:r>
        <w:rPr>
          <w:rFonts w:ascii="times new roman;times" w:hAnsi="times new roman;times"/>
          <w:b w:val="false"/>
          <w:sz w:val="20"/>
        </w:rPr>
        <w:t>”</w:t>
      </w:r>
      <w:r>
        <w:rPr>
          <w:rFonts w:ascii="Times New Roman" w:hAnsi="Times New Roman"/>
          <w:b w:val="false"/>
          <w:sz w:val="20"/>
        </w:rPr>
        <w:t>) covering the directors, officers, and other fiduciaries of the Parent and of the Company (the “</w:t>
      </w:r>
      <w:r>
        <w:rPr>
          <w:rFonts w:ascii="Times New Roman" w:hAnsi="Times New Roman"/>
          <w:b/>
          <w:i/>
          <w:sz w:val="20"/>
        </w:rPr>
        <w:t>Covered Parties</w:t>
      </w:r>
      <w:r>
        <w:rPr>
          <w:rFonts w:ascii="times new roman;times" w:hAnsi="times new roman;times"/>
          <w:b w:val="false"/>
          <w:sz w:val="20"/>
        </w:rPr>
        <w:t>”</w:t>
      </w:r>
      <w:r>
        <w:rPr>
          <w:rFonts w:ascii="Times New Roman" w:hAnsi="Times New Roman"/>
          <w:b w:val="false"/>
          <w:sz w:val="20"/>
        </w:rPr>
        <w:t>) for acts or omissions occurring on or prior to the Effective Time.</w:t>
      </w:r>
      <w:r>
        <w:rPr>
          <w:rFonts w:ascii="times new roman;times" w:hAnsi="times new roman;times"/>
          <w:b w:val="false"/>
          <w:sz w:val="20"/>
        </w:rPr>
        <w:t xml:space="preserve"> </w:t>
      </w:r>
      <w:r>
        <w:rPr>
          <w:rFonts w:ascii="Times New Roman" w:hAnsi="Times New Roman"/>
          <w:b w:val="false"/>
          <w:sz w:val="20"/>
        </w:rPr>
        <w:t>The Tail Policy shall be on terms no less favorable than the Parent’s</w:t>
      </w:r>
      <w:r>
        <w:rPr>
          <w:rFonts w:ascii="times new roman;times" w:hAnsi="times new roman;times"/>
          <w:b w:val="false"/>
          <w:sz w:val="20"/>
        </w:rPr>
        <w:t xml:space="preserve"> </w:t>
      </w:r>
      <w:r>
        <w:rPr>
          <w:rFonts w:ascii="Times New Roman" w:hAnsi="Times New Roman"/>
          <w:b w:val="false"/>
          <w:sz w:val="20"/>
        </w:rPr>
        <w:t>existing directors’ and officers’ liability insurance policy, including with respect to coverage limits, policy terms, and insurer rating, and shall be issued by Parent’s current primary insurer or an insurer with the same or higher A.M. Best rating as the current primary</w:t>
      </w:r>
      <w:r>
        <w:rPr>
          <w:rFonts w:ascii="times new roman;times" w:hAnsi="times new roman;times"/>
          <w:b w:val="false"/>
          <w:sz w:val="20"/>
        </w:rPr>
        <w:t xml:space="preserve"> </w:t>
      </w:r>
      <w:r>
        <w:rPr>
          <w:rFonts w:ascii="Times New Roman" w:hAnsi="Times New Roman"/>
          <w:b w:val="false"/>
          <w:sz w:val="20"/>
        </w:rPr>
        <w:t>insurer. Parent</w:t>
      </w:r>
      <w:r>
        <w:rPr>
          <w:rFonts w:ascii="times new roman;times" w:hAnsi="times new roman;times"/>
          <w:b w:val="false"/>
          <w:sz w:val="20"/>
        </w:rPr>
        <w:t xml:space="preserve"> </w:t>
      </w:r>
      <w:r>
        <w:rPr>
          <w:rFonts w:ascii="Times New Roman" w:hAnsi="Times New Roman"/>
          <w:b w:val="false"/>
          <w:sz w:val="20"/>
        </w:rPr>
        <w:t>shall provide written evidence to Seller and to the Company and the other parties hereto of the purchase or endorsement of the Tail Policy, including proof of payment and policy terms. The Tail Policy shall be maintained without interruption for the full 6</w:t>
      </w:r>
      <w:r>
        <w:rPr>
          <w:rFonts w:ascii="times new roman;times" w:hAnsi="times new roman;times"/>
          <w:b w:val="false"/>
          <w:sz w:val="20"/>
        </w:rPr>
        <w:noBreakHyphen/>
      </w:r>
      <w:r>
        <w:rPr>
          <w:rFonts w:ascii="Times New Roman" w:hAnsi="Times New Roman"/>
          <w:b w:val="false"/>
          <w:sz w:val="20"/>
        </w:rPr>
        <w:t>year</w:t>
      </w:r>
      <w:r>
        <w:rPr>
          <w:rFonts w:ascii="times new roman;times" w:hAnsi="times new roman;times"/>
          <w:b w:val="false"/>
          <w:sz w:val="20"/>
        </w:rPr>
        <w:t xml:space="preserve"> </w:t>
      </w:r>
      <w:r>
        <w:rPr>
          <w:rFonts w:ascii="Times New Roman" w:hAnsi="Times New Roman"/>
          <w:b w:val="false"/>
          <w:sz w:val="20"/>
        </w:rPr>
        <w:t>period, and the Parent</w:t>
      </w:r>
      <w:r>
        <w:rPr>
          <w:rFonts w:ascii="times new roman;times" w:hAnsi="times new roman;times"/>
          <w:b w:val="false"/>
          <w:sz w:val="20"/>
        </w:rPr>
        <w:t xml:space="preserve"> </w:t>
      </w:r>
      <w:r>
        <w:rPr>
          <w:rFonts w:ascii="Times New Roman" w:hAnsi="Times New Roman"/>
          <w:b w:val="false"/>
          <w:sz w:val="20"/>
        </w:rPr>
        <w:t>shall not terminate or modify it in a manner that would adversely affect any Covered Party.</w:t>
      </w:r>
      <w:r>
        <w:rPr>
          <w:rFonts w:ascii="times new roman;times" w:hAnsi="times new roman;times"/>
          <w:b w:val="false"/>
          <w:sz w:val="20"/>
        </w:rPr>
        <w:t xml:space="preserve"> </w:t>
      </w:r>
      <w:r>
        <w:rPr>
          <w:rFonts w:ascii="Times New Roman" w:hAnsi="Times New Roman"/>
          <w:b w:val="false"/>
          <w:sz w:val="20"/>
        </w:rPr>
        <w:t>Nothing in this Agreement shall be construed to release, waive, or impair any rights to indemnification or claims under any existing or future D&amp;O insurance policy covering the Covered Parties. The indemnification provided under this covenant is in addition to, and not in substitution for, any such claims.</w:t>
      </w:r>
      <w:r>
        <w:rPr>
          <w:rFonts w:ascii="times new roman;times" w:hAnsi="times new roman;times"/>
          <w:b w:val="false"/>
          <w:sz w:val="20"/>
        </w:rPr>
        <w:t> </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shall pay all reasonable, itemized</w:t>
      </w:r>
      <w:r>
        <w:rPr>
          <w:rFonts w:ascii="times new roman;times" w:hAnsi="times new roman;times"/>
          <w:b w:val="false"/>
          <w:sz w:val="20"/>
        </w:rPr>
        <w:t xml:space="preserve"> </w:t>
      </w:r>
      <w:r>
        <w:rPr>
          <w:rFonts w:ascii="Times New Roman" w:hAnsi="Times New Roman"/>
          <w:b w:val="false"/>
          <w:sz w:val="20"/>
        </w:rPr>
        <w:t>expenses, including reasonable attorneys</w:t>
      </w:r>
      <w:r>
        <w:rPr>
          <w:rFonts w:ascii="times new roman;times" w:hAnsi="times new roman;times"/>
          <w:b w:val="false"/>
          <w:sz w:val="20"/>
        </w:rPr>
        <w:t xml:space="preserve">’ </w:t>
      </w:r>
      <w:r>
        <w:rPr>
          <w:rFonts w:ascii="Times New Roman" w:hAnsi="Times New Roman"/>
          <w:b w:val="false"/>
          <w:sz w:val="20"/>
        </w:rPr>
        <w:t xml:space="preserve">fees, that are incurred by the persons referred to in this </w:t>
      </w:r>
      <w:r>
        <w:rPr>
          <w:rFonts w:ascii="Times New Roman" w:hAnsi="Times New Roman"/>
          <w:b w:val="false"/>
          <w:sz w:val="20"/>
          <w:u w:val="single"/>
        </w:rPr>
        <w:t>Section 5.6</w:t>
      </w:r>
      <w:r>
        <w:rPr>
          <w:rFonts w:ascii="times new roman;times" w:hAnsi="times new roman;times"/>
          <w:b w:val="false"/>
          <w:sz w:val="20"/>
        </w:rPr>
        <w:t xml:space="preserve"> </w:t>
      </w:r>
      <w:r>
        <w:rPr>
          <w:rFonts w:ascii="Times New Roman" w:hAnsi="Times New Roman"/>
          <w:b w:val="false"/>
          <w:sz w:val="20"/>
        </w:rPr>
        <w:t xml:space="preserve">in connection with their successful enforcement of their rights provided in this </w:t>
      </w:r>
      <w:r>
        <w:rPr>
          <w:rFonts w:ascii="Times New Roman" w:hAnsi="Times New Roman"/>
          <w:b w:val="false"/>
          <w:sz w:val="20"/>
          <w:u w:val="single"/>
        </w:rPr>
        <w:t>Section 5.6</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The provisions of this </w:t>
      </w:r>
      <w:r>
        <w:rPr>
          <w:rFonts w:ascii="Times New Roman" w:hAnsi="Times New Roman"/>
          <w:b w:val="false"/>
          <w:sz w:val="20"/>
          <w:u w:val="single"/>
        </w:rPr>
        <w:t>Section 5.6</w:t>
      </w:r>
      <w:r>
        <w:rPr>
          <w:rFonts w:ascii="times new roman;times" w:hAnsi="times new roman;times"/>
          <w:b w:val="false"/>
          <w:sz w:val="20"/>
        </w:rPr>
        <w:t xml:space="preserve"> </w:t>
      </w:r>
      <w:r>
        <w:rPr>
          <w:rFonts w:ascii="Times New Roman" w:hAnsi="Times New Roman"/>
          <w:b w:val="false"/>
          <w:sz w:val="20"/>
        </w:rPr>
        <w:t>are intended to be in addition to the rights otherwise available to the current and former officers and directors of Parent and the Company, as applicable, by law, charter, statute, bylaw or agreement, and shall operate for the benefit of, and shall be enforceable by, each of the D&amp;O Indemnified Parties, their heirs and their Representatives. In addition to the rights provided by this Agreement, to the extent that current and former officers and directors of Parent and the Company have existing rights under any agreement between such officer or director and Parent or the Company, as applicable, with respect to indemnification, Parent shall cause the Surviving Corporation to honor such agreement in accordance with its terms and to indemnify such officer or director to the maximum extent possible under this Agreement as well as such other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 w:hAnsi="Times New Roman"/>
          <w:b w:val="false"/>
          <w:sz w:val="20"/>
        </w:rPr>
        <w:t xml:space="preserve">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b w:val="false"/>
          <w:sz w:val="20"/>
          <w:u w:val="single"/>
        </w:rPr>
        <w:t>Section 5.6</w:t>
      </w:r>
      <w:r>
        <w:rPr>
          <w:rFonts w:ascii="Times New Roman" w:hAnsi="Times New Roman"/>
          <w:b w:val="false"/>
          <w:sz w:val="20"/>
        </w:rPr>
        <w: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600" w:right="0" w:firstLine="720"/>
        <w:jc w:val="left"/>
        <w:rPr/>
      </w:pPr>
      <w:hyperlink w:anchor="TOC">
        <w:r>
          <w:rPr>
            <w:rStyle w:val="InternetLink"/>
            <w:rFonts w:ascii="Times New Roman" w:hAnsi="Times New Roman"/>
            <w:b/>
            <w:strike w:val="false"/>
            <w:dstrike w:val="false"/>
            <w:color w:val="000000"/>
            <w:sz w:val="20"/>
            <w:u w:val="none"/>
            <w:effect w:val="none"/>
          </w:rPr>
          <w:t>5.7Additional Agreements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The Parties shall use commercially reasonable efforts to cause to be taken all actions necessary to consummate the Contemplated Transactions. Without limiting the generality of the foregoing, each Party to this Agreement: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Legal Requirement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Notwithstanding anything to the contrary contained in this Agreement, no Party shall have any obligation under this Agreement: (i) to dispose of or transfer or cause any of its Subsidiaries to dispose of or transfer any assets; (ii) to discontinue or cause any of its Subsidiaries to discontinue offering any product or service; (iii) to license or otherwise make available, or cause any of its Subsidiaries to license or otherwise make available to any Person any Intellectual Property; (iv) to hold separate or cause any of its Subsidiaries to hold separate any assets or operations (either before or after the Closing Date); (v) to make or cause any of its Subsidiaries to make any commitment (to any Governmental Authority or otherwise) regarding its future operations; or (vi) to contest any Legal Proceeding or any order relating to the Merger or any of the other Contemplated Transactions if such Party determines in good faith that contesting such Legal Proceeding or order might not be advisable. For the avoidance of doubt, nothing in this </w:t>
      </w:r>
      <w:r>
        <w:rPr>
          <w:rFonts w:ascii="Times New Roman" w:hAnsi="Times New Roman"/>
          <w:b w:val="false"/>
          <w:sz w:val="20"/>
          <w:u w:val="single"/>
        </w:rPr>
        <w:t>Section 5.7</w:t>
      </w:r>
      <w:r>
        <w:rPr>
          <w:rFonts w:ascii="times new roman;times" w:hAnsi="times new roman;times"/>
          <w:b w:val="false"/>
          <w:sz w:val="20"/>
        </w:rPr>
        <w:t xml:space="preserve"> </w:t>
      </w:r>
      <w:r>
        <w:rPr>
          <w:rFonts w:ascii="Times New Roman" w:hAnsi="Times New Roman"/>
          <w:b w:val="false"/>
          <w:sz w:val="20"/>
        </w:rPr>
        <w:t>shall require Parent to consummate the Financing on terms other than those determined by Parent in good faith and in a manner consistent with this Agreement.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5.8</w:t>
        </w:r>
      </w:hyperlink>
      <w:hyperlink w:anchor="TOC">
        <w:r>
          <w:rPr>
            <w:rStyle w:val="InternetLink"/>
            <w:rFonts w:ascii="Times New Roman" w:hAnsi="Times New Roman"/>
            <w:b/>
            <w:strike w:val="false"/>
            <w:dstrike w:val="false"/>
            <w:color w:val="000000"/>
            <w:sz w:val="20"/>
            <w:u w:val="none"/>
            <w:effect w:val="none"/>
          </w:rPr>
          <w:t>Disclosure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Without limiting any of either Party</w:t>
      </w:r>
      <w:r>
        <w:rPr>
          <w:rFonts w:ascii="times new roman;times" w:hAnsi="times new roman;times"/>
          <w:b w:val="false"/>
          <w:sz w:val="20"/>
        </w:rPr>
        <w:t>’</w:t>
      </w:r>
      <w:r>
        <w:rPr>
          <w:rFonts w:ascii="Times New Roman" w:hAnsi="Times New Roman"/>
          <w:b w:val="false"/>
          <w:sz w:val="20"/>
        </w:rPr>
        <w:t xml:space="preserve">s obligations under the Confidentiality Agreement, each Party shall not, and shall not permit any of its Subsidiaries or any Representative of such Party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Legal Requirements and, to the extent practicable and legally permitted, before such press release or disclosure is issued or made, such Party advises the other Party of, and consults with the other Party regarding, the text of such press release or disclosure; </w:t>
      </w:r>
      <w:r>
        <w:rPr>
          <w:rFonts w:ascii="Times New Roman" w:hAnsi="Times New Roman"/>
          <w:b w:val="false"/>
          <w:i/>
          <w:sz w:val="20"/>
        </w:rPr>
        <w:t>provided</w:t>
      </w:r>
      <w:r>
        <w:rPr>
          <w:rFonts w:ascii="Times New Roman" w:hAnsi="Times New Roman"/>
          <w:b w:val="false"/>
          <w:sz w:val="20"/>
        </w:rPr>
        <w:t xml:space="preserve">, </w:t>
      </w:r>
      <w:r>
        <w:rPr>
          <w:rFonts w:ascii="Times New Roman" w:hAnsi="Times New Roman"/>
          <w:b w:val="false"/>
          <w:i/>
          <w:sz w:val="20"/>
        </w:rPr>
        <w:t>however</w:t>
      </w:r>
      <w:r>
        <w:rPr>
          <w:rFonts w:ascii="Times New Roman" w:hAnsi="Times New Roman"/>
          <w:b w:val="false"/>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b w:val="false"/>
          <w:sz w:val="20"/>
          <w:u w:val="single"/>
        </w:rPr>
        <w:t>Section 5.8</w:t>
      </w:r>
      <w:r>
        <w:rPr>
          <w:rFonts w:ascii="Times New Roman" w:hAnsi="Times New Roman"/>
          <w:b w:val="false"/>
          <w:sz w:val="20"/>
        </w:rPr>
        <w:t>. Notwithstanding the foregoing, Parent may make such disclosures, filings, press releases and communications as Parent reasonably determines are necessary or advisable in connection with the Registration Statement</w:t>
      </w:r>
      <w:r>
        <w:rPr>
          <w:rFonts w:ascii="times new roman;times" w:hAnsi="times new roman;times"/>
          <w:b w:val="false"/>
          <w:sz w:val="20"/>
        </w:rPr>
        <w:t xml:space="preserve"> </w:t>
      </w:r>
      <w:r>
        <w:rPr>
          <w:rFonts w:ascii="Times New Roman" w:hAnsi="Times New Roman"/>
          <w:b w:val="false"/>
          <w:sz w:val="20"/>
        </w:rPr>
        <w:t>on Form S-1, the Parent Schedule 14C, the Required Parent Stockholder</w:t>
      </w:r>
      <w:r>
        <w:rPr>
          <w:rFonts w:ascii="times new roman;times" w:hAnsi="times new roman;times"/>
          <w:b w:val="false"/>
          <w:sz w:val="20"/>
        </w:rPr>
        <w:t xml:space="preserve"> </w:t>
      </w:r>
      <w:r>
        <w:rPr>
          <w:rFonts w:ascii="Times New Roman" w:hAnsi="Times New Roman"/>
          <w:b w:val="false"/>
          <w:sz w:val="20"/>
        </w:rPr>
        <w:t xml:space="preserve">Consent, Nasdaq compliance, the Financing, any securities Law or stock exchange requirement, or any financing marketing process, subject to consultation with the Company and Seller to the extent reasonably practicable and legally permitted. Notwithstanding the foregoing, a Party need not consult with any other Parties in connection with such portion of any press release, public statement or filing to be issued or made (i) with respect to any Acquisition Proposal or Parent Board Adverse Recommendation Change, as applicable, and (ii) with respect to Parent only, pursuant to </w:t>
      </w:r>
      <w:r>
        <w:rPr>
          <w:rFonts w:ascii="Times New Roman" w:hAnsi="Times New Roman"/>
          <w:b w:val="false"/>
          <w:sz w:val="20"/>
          <w:u w:val="single"/>
        </w:rPr>
        <w:t>Section 5.3(c)</w:t>
      </w:r>
      <w:r>
        <w:rPr>
          <w:rFonts w:ascii="Times New Roman" w:hAnsi="Times New Roman"/>
          <w:b w:val="false"/>
          <w:sz w:val="20"/>
        </w:rPr>
        <w:t>.</w:t>
      </w:r>
    </w:p>
    <w:p>
      <w:pPr>
        <w:pStyle w:val="TextBody"/>
        <w:bidi w:val="0"/>
        <w:spacing w:lineRule="auto" w:line="288" w:before="0" w:after="240"/>
        <w:ind w:left="6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5.9</w:t>
        </w:r>
      </w:hyperlink>
      <w:hyperlink w:anchor="TOC">
        <w:r>
          <w:rPr>
            <w:rStyle w:val="InternetLink"/>
            <w:rFonts w:ascii="Times New Roman" w:hAnsi="Times New Roman"/>
            <w:b/>
            <w:strike w:val="false"/>
            <w:dstrike w:val="false"/>
            <w:color w:val="000000"/>
            <w:sz w:val="20"/>
            <w:u w:val="none"/>
            <w:effect w:val="none"/>
          </w:rPr>
          <w:t>Listing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Prior to the Effective Time, Parent shall use commercially reasonable efforts to: (a) cause the Consideration Shares,</w:t>
      </w:r>
      <w:r>
        <w:rPr>
          <w:rFonts w:ascii="times new roman;times" w:hAnsi="times new roman;times"/>
          <w:b w:val="false"/>
          <w:sz w:val="20"/>
        </w:rPr>
        <w:t xml:space="preserve"> </w:t>
      </w:r>
      <w:r>
        <w:rPr>
          <w:rFonts w:ascii="Times New Roman" w:hAnsi="Times New Roman"/>
          <w:b w:val="false"/>
          <w:sz w:val="20"/>
        </w:rPr>
        <w:t>the Financing Shares, the Financing Warrants (if listed), the Financing Warrant Shares,</w:t>
      </w:r>
      <w:r>
        <w:rPr>
          <w:rFonts w:ascii="times new roman;times" w:hAnsi="times new roman;times"/>
          <w:b w:val="false"/>
          <w:sz w:val="20"/>
        </w:rPr>
        <w:t xml:space="preserve"> </w:t>
      </w:r>
      <w:r>
        <w:rPr>
          <w:rFonts w:ascii="Times New Roman" w:hAnsi="Times New Roman"/>
          <w:b w:val="false"/>
          <w:sz w:val="20"/>
        </w:rPr>
        <w:t>and any Advisor Shares to be issued at or prior to Closing, to be approved for listing on Nasdaq, subject only to official notice of issuance; and (b) maintain the listing of Parent Common Stock on Nasdaq through the Effective Time</w:t>
      </w:r>
      <w:r>
        <w:rPr>
          <w:rFonts w:ascii="times new roman;times" w:hAnsi="times new roman;times"/>
          <w:b w:val="false"/>
          <w:sz w:val="20"/>
        </w:rPr>
        <w:t xml:space="preserve"> </w:t>
      </w:r>
      <w:r>
        <w:rPr>
          <w:rFonts w:ascii="Times New Roman" w:hAnsi="Times New Roman"/>
          <w:b w:val="false"/>
          <w:sz w:val="20"/>
        </w:rPr>
        <w:t>and, to the extent required by the rules and regulations of Nasdaq, obtain approval of the listing of the Continuing</w:t>
      </w:r>
      <w:r>
        <w:rPr>
          <w:rFonts w:ascii="times new roman;times" w:hAnsi="times new roman;times"/>
          <w:b w:val="false"/>
          <w:sz w:val="20"/>
        </w:rPr>
        <w:t xml:space="preserve"> </w:t>
      </w:r>
      <w:r>
        <w:rPr>
          <w:rFonts w:ascii="Times New Roman" w:hAnsi="Times New Roman"/>
          <w:b w:val="false"/>
          <w:sz w:val="20"/>
        </w:rPr>
        <w:t>Corporation</w:t>
      </w:r>
      <w:r>
        <w:rPr>
          <w:rFonts w:ascii="times new roman;times" w:hAnsi="times new roman;times"/>
          <w:b w:val="false"/>
          <w:sz w:val="20"/>
        </w:rPr>
        <w:t xml:space="preserve"> </w:t>
      </w:r>
      <w:r>
        <w:rPr>
          <w:rFonts w:ascii="Times New Roman" w:hAnsi="Times New Roman"/>
          <w:b w:val="false"/>
          <w:sz w:val="20"/>
        </w:rPr>
        <w:t>on Nasdaq. The Company and Seller shall cooperate with Parent as reasonably requested by Parent with respect to any Nasdaq listing application, including as may be required by Nasdaq Marketplace Rule 5110, including by promptly furnishing all information concerning the Company, Seller and their respective equity</w:t>
      </w:r>
      <w:r>
        <w:rPr>
          <w:rFonts w:ascii="times new roman;times" w:hAnsi="times new roman;times"/>
          <w:b w:val="false"/>
          <w:sz w:val="20"/>
        </w:rPr>
        <w:t xml:space="preserve"> </w:t>
      </w:r>
      <w:r>
        <w:rPr>
          <w:rFonts w:ascii="Times New Roman" w:hAnsi="Times New Roman"/>
          <w:b w:val="false"/>
          <w:sz w:val="20"/>
        </w:rPr>
        <w:t>holders as Parent may reasonably request in connection therewith.</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5.10Tax Matters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Parent, Merger Sub and the Company shall use their respective commercially reasonable efforts to cause the Merger to qualify,</w:t>
      </w:r>
      <w:r>
        <w:rPr>
          <w:rFonts w:ascii="times new roman;times" w:hAnsi="times new roman;times"/>
          <w:sz w:val="20"/>
        </w:rPr>
        <w:t xml:space="preserve"> </w:t>
      </w:r>
      <w:r>
        <w:rPr>
          <w:rFonts w:ascii="Times New Roman" w:hAnsi="Times New Roman"/>
          <w:sz w:val="20"/>
        </w:rPr>
        <w:t xml:space="preserve">and agree not to, and not to permit or cause any Affiliate or any Subsidiary to, take any actions or cause any action to be taken which would reasonably be expected to prevent the Merger from qualifying, as a </w:t>
      </w:r>
      <w:r>
        <w:rPr>
          <w:rFonts w:ascii="times new roman;times" w:hAnsi="times new roman;times"/>
          <w:sz w:val="20"/>
        </w:rPr>
        <w:t>“</w:t>
      </w:r>
      <w:r>
        <w:rPr>
          <w:rFonts w:ascii="Times New Roman" w:hAnsi="Times New Roman"/>
          <w:sz w:val="20"/>
        </w:rPr>
        <w:t>reorganization</w:t>
      </w:r>
      <w:r>
        <w:rPr>
          <w:rFonts w:ascii="times new roman;times" w:hAnsi="times new roman;times"/>
          <w:sz w:val="20"/>
        </w:rPr>
        <w:t xml:space="preserve">” </w:t>
      </w:r>
      <w:r>
        <w:rPr>
          <w:rFonts w:ascii="Times New Roman" w:hAnsi="Times New Roman"/>
          <w:sz w:val="20"/>
        </w:rPr>
        <w:t>under Section 368(a) of the Code.</w:t>
      </w:r>
    </w:p>
    <w:p>
      <w:pPr>
        <w:pStyle w:val="TextBody"/>
        <w:bidi w:val="0"/>
        <w:spacing w:lineRule="auto" w:line="288" w:before="0" w:after="240"/>
        <w:ind w:left="45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This Agreement is intended to constitute, and the Parties hereby adopt this Agreement as, a </w:t>
      </w:r>
      <w:r>
        <w:rPr>
          <w:rFonts w:ascii="times new roman;times" w:hAnsi="times new roman;times"/>
          <w:b w:val="false"/>
          <w:sz w:val="20"/>
        </w:rPr>
        <w:t>“</w:t>
      </w:r>
      <w:r>
        <w:rPr>
          <w:rFonts w:ascii="Times New Roman" w:hAnsi="Times New Roman"/>
          <w:b w:val="false"/>
          <w:sz w:val="20"/>
        </w:rPr>
        <w:t>plan of reorganization</w:t>
      </w:r>
      <w:r>
        <w:rPr>
          <w:rFonts w:ascii="times new roman;times" w:hAnsi="times new roman;times"/>
          <w:b w:val="false"/>
          <w:sz w:val="20"/>
        </w:rPr>
        <w:t xml:space="preserve">” </w:t>
      </w:r>
      <w:r>
        <w:rPr>
          <w:rFonts w:ascii="Times New Roman" w:hAnsi="Times New Roman"/>
          <w:b w:val="false"/>
          <w:sz w:val="20"/>
        </w:rPr>
        <w:t xml:space="preserve">within the meaning of Treasury Regulations section 1.368-2(g). Each of the Parties intends that the Merger shall qualify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 xml:space="preserve">within the meaning of Section 368(a) of the Code. The Parties shall treat and shall not take (and shall cause their respective Affiliates to treat and not take) any Tax reporting position inconsistent with the treatment of the Merger as a reorganization within the meaning of Section 368(a) of the Code for U.S. federal, state and other relevant Tax purposes, unless otherwise required pursuant to a </w:t>
      </w:r>
      <w:r>
        <w:rPr>
          <w:rFonts w:ascii="times new roman;times" w:hAnsi="times new roman;times"/>
          <w:b w:val="false"/>
          <w:sz w:val="20"/>
        </w:rPr>
        <w:t>“</w:t>
      </w:r>
      <w:r>
        <w:rPr>
          <w:rFonts w:ascii="Times New Roman" w:hAnsi="Times New Roman"/>
          <w:b w:val="false"/>
          <w:sz w:val="20"/>
        </w:rPr>
        <w:t>determination</w:t>
      </w:r>
      <w:r>
        <w:rPr>
          <w:rFonts w:ascii="times new roman;times" w:hAnsi="times new roman;times"/>
          <w:b w:val="false"/>
          <w:sz w:val="20"/>
        </w:rPr>
        <w:t xml:space="preserve">” </w:t>
      </w:r>
      <w:r>
        <w:rPr>
          <w:rFonts w:ascii="Times New Roman" w:hAnsi="Times New Roman"/>
          <w:b w:val="false"/>
          <w:sz w:val="20"/>
        </w:rPr>
        <w:t xml:space="preserve">within the meaning of Section 1313(a) of the Code. The Company and Parent will reasonably cooperate with each other to document and support the intentions of the Parties that the Merger qualify as a </w:t>
      </w:r>
      <w:r>
        <w:rPr>
          <w:rFonts w:ascii="times new roman;times" w:hAnsi="times new roman;times"/>
          <w:b w:val="false"/>
          <w:sz w:val="20"/>
        </w:rPr>
        <w:t>“</w:t>
      </w:r>
      <w:r>
        <w:rPr>
          <w:rFonts w:ascii="Times New Roman" w:hAnsi="Times New Roman"/>
          <w:b w:val="false"/>
          <w:sz w:val="20"/>
        </w:rPr>
        <w:t>reorganization</w:t>
      </w:r>
      <w:r>
        <w:rPr>
          <w:rFonts w:ascii="times new roman;times" w:hAnsi="times new roman;times"/>
          <w:b w:val="false"/>
          <w:sz w:val="20"/>
        </w:rPr>
        <w:t xml:space="preserve">” </w:t>
      </w:r>
      <w:r>
        <w:rPr>
          <w:rFonts w:ascii="Times New Roman" w:hAnsi="Times New Roman"/>
          <w:b w:val="false"/>
          <w:sz w:val="20"/>
        </w:rPr>
        <w:t>within the meaning of Section 368(a) of the Code, including providing to each other on or prior to the Closing customary representation letters typically provided as the basis for a legal opinion with respect thereto.</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(or the Company, to the extent required by law) will prepare and file, or cause to be prepared and filed, all income Tax Returns of Parent or any of its Subsidiaries to be filed for any Tax period ending on or before the Closing Date and the portion of any Straddle Period through the Closing Date the due date of which (taking into account extensions) is after the Closing Date.</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5.11</w:t>
        </w:r>
      </w:hyperlink>
      <w:hyperlink w:anchor="TOC">
        <w:r>
          <w:rPr>
            <w:rStyle w:val="InternetLink"/>
            <w:rFonts w:ascii="Times New Roman" w:hAnsi="Times New Roman"/>
            <w:b/>
            <w:strike w:val="false"/>
            <w:dstrike w:val="false"/>
            <w:color w:val="000000"/>
            <w:sz w:val="20"/>
            <w:u w:val="none"/>
            <w:effect w:val="none"/>
          </w:rPr>
          <w:t>Legends</w:t>
        </w:r>
      </w:hyperlink>
      <w:r>
        <w:rPr>
          <w:rFonts w:ascii="Times New Roman" w:hAnsi="Times New Roman"/>
          <w:b w:val="false"/>
          <w:sz w:val="20"/>
        </w:rPr>
        <w:t>. Parent shall be entitled to place appropriate legends and stop transfer instructions on any certificated or uncertificated book-entry shares of Parent Common Stock issued pursuant to this Agreement to reflect: (a) any restrictions arising under applicable securities Laws; (b) any restrictions applicable to any Person who may be considered an affiliate of Parent for purposes of Rules 144 and 145 under the Securities Act; and (c) the restrictions contained in the Lock-Up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5.12</w:t>
        </w:r>
      </w:hyperlink>
      <w:hyperlink w:anchor="TOC">
        <w:r>
          <w:rPr>
            <w:rStyle w:val="InternetLink"/>
            <w:rFonts w:ascii="Times New Roman" w:hAnsi="Times New Roman"/>
            <w:b/>
            <w:strike w:val="false"/>
            <w:dstrike w:val="false"/>
            <w:color w:val="000000"/>
            <w:sz w:val="20"/>
            <w:u w:val="none"/>
            <w:effect w:val="none"/>
          </w:rPr>
          <w:t>Cooperation</w:t>
        </w:r>
      </w:hyperlink>
      <w:r>
        <w:rPr>
          <w:rFonts w:ascii="Times New Roman" w:hAnsi="Times New Roman"/>
          <w:b w:val="false"/>
          <w:sz w:val="20"/>
        </w:rPr>
        <w:t>. Each Party shall cooperate reasonably with the other Party and shall provide the other Party with such assistance as may be reasonably requested for the purpose of facilitating the performance by each Party of its respective obligations under this Agreement, to cause the Closing to occur as promptly as reasonably possible and to enable the combined entity to continue to meet its obligations following the Closing. Without limiting the foregoing, the Parties shall reasonably cooperate with one another in connection with (i) the prompt preparation and filing of the Registration Statement on Form S-1, (ii) the prompt preparation and filing of the Parent Schedule 14C, (iii) the</w:t>
      </w:r>
      <w:r>
        <w:rPr>
          <w:rFonts w:ascii="times new roman;times" w:hAnsi="times new roman;times"/>
          <w:b w:val="false"/>
          <w:sz w:val="20"/>
        </w:rPr>
        <w:t xml:space="preserve"> </w:t>
      </w:r>
      <w:r>
        <w:rPr>
          <w:rFonts w:ascii="Times New Roman" w:hAnsi="Times New Roman"/>
          <w:b w:val="false"/>
          <w:sz w:val="20"/>
        </w:rPr>
        <w:t>timely</w:t>
      </w:r>
      <w:r>
        <w:rPr>
          <w:rFonts w:ascii="times new roman;times" w:hAnsi="times new roman;times"/>
          <w:b w:val="false"/>
          <w:sz w:val="20"/>
        </w:rPr>
        <w:t xml:space="preserve"> </w:t>
      </w:r>
      <w:r>
        <w:rPr>
          <w:rFonts w:ascii="Times New Roman" w:hAnsi="Times New Roman"/>
          <w:b w:val="false"/>
          <w:sz w:val="20"/>
        </w:rPr>
        <w:t>completion of the Required Company Financials, (iv) the</w:t>
      </w:r>
      <w:r>
        <w:rPr>
          <w:rFonts w:ascii="times new roman;times" w:hAnsi="times new roman;times"/>
          <w:b w:val="false"/>
          <w:sz w:val="20"/>
        </w:rPr>
        <w:t xml:space="preserve"> </w:t>
      </w:r>
      <w:r>
        <w:rPr>
          <w:rFonts w:ascii="Times New Roman" w:hAnsi="Times New Roman"/>
          <w:b w:val="false"/>
          <w:sz w:val="20"/>
        </w:rPr>
        <w:t>timely</w:t>
      </w:r>
      <w:r>
        <w:rPr>
          <w:rFonts w:ascii="times new roman;times" w:hAnsi="times new roman;times"/>
          <w:b w:val="false"/>
          <w:sz w:val="20"/>
        </w:rPr>
        <w:t xml:space="preserve"> </w:t>
      </w:r>
      <w:r>
        <w:rPr>
          <w:rFonts w:ascii="Times New Roman" w:hAnsi="Times New Roman"/>
          <w:b w:val="false"/>
          <w:sz w:val="20"/>
        </w:rPr>
        <w:t>consummation of the Financing and (v) the timely preparation and submission of any Nasdaq listing application.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5.13Directors and Officers</w:t>
        </w:r>
      </w:hyperlink>
      <w:hyperlink w:anchor="TOC">
        <w:r>
          <w:rPr>
            <w:rStyle w:val="InternetLink"/>
            <w:rFonts w:ascii="Times New Roman" w:hAnsi="Times New Roman"/>
            <w:b w:val="false"/>
            <w:strike w:val="false"/>
            <w:dstrike w:val="false"/>
            <w:color w:val="000000"/>
            <w:sz w:val="20"/>
            <w:u w:val="none"/>
            <w:effect w:val="none"/>
          </w:rPr>
          <w:t xml:space="preserve">. </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 xml:space="preserve">Prior to the Effective Time, but effective as of the Effective Time, the Parent Board of Directors shall take all actions necessary to appoint or elect the board designees identified by Seller in accordance with this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 xml:space="preserve">and set forth in Company Disclosure Schedule. Immediately after the Effective Time, the Parent Board of Directors shall consist of five (5) members, four (4) of whom shall be designated by Seller (each, a </w:t>
      </w:r>
      <w:r>
        <w:rPr>
          <w:rFonts w:ascii="times new roman;times" w:hAnsi="times new roman;times"/>
          <w:b w:val="false"/>
          <w:sz w:val="20"/>
        </w:rPr>
        <w:t>“</w:t>
      </w:r>
      <w:r>
        <w:rPr>
          <w:rFonts w:ascii="Times New Roman" w:hAnsi="Times New Roman"/>
          <w:b/>
          <w:i/>
          <w:sz w:val="20"/>
        </w:rPr>
        <w:t>Seller Director</w:t>
      </w:r>
      <w:r>
        <w:rPr>
          <w:rFonts w:ascii="times new roman;times" w:hAnsi="times new roman;times"/>
          <w:b w:val="false"/>
          <w:sz w:val="20"/>
        </w:rPr>
        <w:t>”</w:t>
      </w:r>
      <w:r>
        <w:rPr>
          <w:rFonts w:ascii="Times New Roman" w:hAnsi="Times New Roman"/>
          <w:b w:val="false"/>
          <w:sz w:val="20"/>
        </w:rPr>
        <w:t xml:space="preserve">), one (1) of whom shall serve as Chairperson of the board of directors of Parent, and one (1) of whom shall be designated by the holders of a majority of the shares of Parent Common Stock held by Pre-Closing Parent Stockholders (the </w:t>
      </w:r>
      <w:r>
        <w:rPr>
          <w:rFonts w:ascii="times new roman;times" w:hAnsi="times new roman;times"/>
          <w:b w:val="false"/>
          <w:sz w:val="20"/>
        </w:rPr>
        <w:t>“</w:t>
      </w:r>
      <w:r>
        <w:rPr>
          <w:rFonts w:ascii="Times New Roman" w:hAnsi="Times New Roman"/>
          <w:b/>
          <w:i/>
          <w:sz w:val="20"/>
        </w:rPr>
        <w:t>Pre-Closing Parent Stockholder Director</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 xml:space="preserve">One of the Seller Directors designated pursuant to </w:t>
      </w:r>
      <w:r>
        <w:rPr>
          <w:rFonts w:ascii="Times New Roman" w:hAnsi="Times New Roman"/>
          <w:b w:val="false"/>
          <w:sz w:val="20"/>
          <w:u w:val="single"/>
        </w:rPr>
        <w:t>Section 5.13(a)(i)</w:t>
      </w:r>
      <w:r>
        <w:rPr>
          <w:rFonts w:ascii="times new roman;times" w:hAnsi="times new roman;times"/>
          <w:b w:val="false"/>
          <w:sz w:val="20"/>
        </w:rPr>
        <w:t xml:space="preserve"> </w:t>
      </w:r>
      <w:r>
        <w:rPr>
          <w:rFonts w:ascii="Times New Roman" w:hAnsi="Times New Roman"/>
          <w:b w:val="false"/>
          <w:sz w:val="20"/>
        </w:rPr>
        <w:t>shall serve as Chairperson of the Parent Board of Directors.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Subject to the terms and conditions of an employment agreement in form and substance satisfactory to the Parties (acting reasonably), one of the Seller Directors designated pursuant to </w:t>
      </w:r>
      <w:r>
        <w:rPr>
          <w:rFonts w:ascii="Times New Roman" w:hAnsi="Times New Roman"/>
          <w:b w:val="false"/>
          <w:sz w:val="20"/>
          <w:u w:val="single"/>
        </w:rPr>
        <w:t>Section 5.13(a)</w:t>
      </w:r>
      <w:r>
        <w:rPr>
          <w:rFonts w:ascii="times new roman;times" w:hAnsi="times new roman;times"/>
          <w:b w:val="false"/>
          <w:sz w:val="20"/>
        </w:rPr>
        <w:t xml:space="preserve"> </w:t>
      </w:r>
      <w:r>
        <w:rPr>
          <w:rFonts w:ascii="Times New Roman" w:hAnsi="Times New Roman"/>
          <w:b w:val="false"/>
          <w:sz w:val="20"/>
        </w:rPr>
        <w:t>shall serve as Chief Executive Officer of Parent.</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45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For a period of</w:t>
      </w:r>
      <w:r>
        <w:rPr>
          <w:rFonts w:ascii="times new roman;times" w:hAnsi="times new roman;times"/>
          <w:b w:val="false"/>
          <w:sz w:val="20"/>
        </w:rPr>
        <w:t xml:space="preserve"> </w:t>
      </w:r>
      <w:r>
        <w:rPr>
          <w:rFonts w:ascii="Times New Roman" w:hAnsi="Times New Roman"/>
          <w:b w:val="false"/>
          <w:sz w:val="20"/>
        </w:rPr>
        <w:t xml:space="preserve">twelve (12) months after the Closing, for so long as the Pre-Closing Parent Stockholders collectively hold at least five percent (5%) of the total issued and outstanding Parent Common Stock (the </w:t>
      </w:r>
      <w:r>
        <w:rPr>
          <w:rFonts w:ascii="times new roman;times" w:hAnsi="times new roman;times"/>
          <w:b w:val="false"/>
          <w:sz w:val="20"/>
        </w:rPr>
        <w:t>“</w:t>
      </w:r>
      <w:r>
        <w:rPr>
          <w:rFonts w:ascii="Times New Roman" w:hAnsi="Times New Roman"/>
          <w:b/>
          <w:i/>
          <w:sz w:val="20"/>
        </w:rPr>
        <w:t>Stockholder Director Ownership Threshold</w:t>
      </w:r>
      <w:r>
        <w:rPr>
          <w:rFonts w:ascii="times new roman;times" w:hAnsi="times new roman;times"/>
          <w:b w:val="false"/>
          <w:sz w:val="20"/>
        </w:rPr>
        <w:t>”</w:t>
      </w:r>
      <w:r>
        <w:rPr>
          <w:rFonts w:ascii="Times New Roman" w:hAnsi="Times New Roman"/>
          <w:b w:val="false"/>
          <w:sz w:val="20"/>
        </w:rPr>
        <w:t>), the Pre-Closing Parent Stockholders shall have the exclusive right to designate one (1) member of the Parent Board of Directors to hold the Pre-Closing Parent Stockholder Board Seat. The Pre-Closing Parent Stockholder Director shall be designated by the holders of a majority of the shares of Parent Common Stock held by Pre-Closing Parent Stockholders. Any vacancy in the Pre-Closing Parent Stockholder Board Seat shall be filled only by a nominee designated by the holders of a majority of the shares of Parent Common Stock held by Pre-Closing Parent Stockholders. During any period in which the Pre-Closing Parent Stockholder Board Seat is vacant and a replacement has not yet been appointed: (A)</w:t>
      </w:r>
      <w:r>
        <w:rPr>
          <w:rFonts w:ascii="times new roman;times" w:hAnsi="times new roman;times"/>
          <w:b w:val="false"/>
          <w:sz w:val="20"/>
        </w:rPr>
        <w:t xml:space="preserve"> </w:t>
      </w:r>
      <w:r>
        <w:rPr>
          <w:rFonts w:ascii="Times New Roman" w:hAnsi="Times New Roman"/>
          <w:b w:val="false"/>
          <w:sz w:val="20"/>
        </w:rPr>
        <w:t>the Parent shall not issue any New Equity Securities (each, a “</w:t>
      </w:r>
      <w:r>
        <w:rPr>
          <w:rFonts w:ascii="Times New Roman" w:hAnsi="Times New Roman"/>
          <w:b/>
          <w:i/>
          <w:sz w:val="20"/>
        </w:rPr>
        <w:t>Prohibited Issuance</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(other than Permitted Equity Issuances under clauses (i), (iii) and (iv) of </w:t>
      </w:r>
      <w:r>
        <w:rPr>
          <w:rFonts w:ascii="Times New Roman" w:hAnsi="Times New Roman"/>
          <w:b w:val="false"/>
          <w:sz w:val="20"/>
          <w:u w:val="single"/>
        </w:rPr>
        <w:t>Section 5.23(a)</w:t>
      </w:r>
      <w:r>
        <w:rPr>
          <w:rFonts w:ascii="Times New Roman" w:hAnsi="Times New Roman"/>
          <w:b w:val="false"/>
          <w:sz w:val="20"/>
        </w:rPr>
        <w:t>); and (B) any Pre-Closing Parent Stockholder or group of Pre-Closing Parent Stockholders holding at least five</w:t>
      </w:r>
      <w:r>
        <w:rPr>
          <w:rFonts w:ascii="times new roman;times" w:hAnsi="times new roman;times"/>
          <w:b w:val="false"/>
          <w:sz w:val="20"/>
        </w:rPr>
        <w:t xml:space="preserve"> </w:t>
      </w:r>
      <w:r>
        <w:rPr>
          <w:rFonts w:ascii="Times New Roman" w:hAnsi="Times New Roman"/>
          <w:b w:val="false"/>
          <w:sz w:val="20"/>
        </w:rPr>
        <w:t>percent (5%) of the outstanding shares of Parent Common Stock shall have standing to seek injunctive relief from any court of competent jurisdiction to prevent any Prohibited Issuance</w:t>
      </w:r>
      <w:r>
        <w:rPr>
          <w:rFonts w:ascii="times new roman;times" w:hAnsi="times new roman;times"/>
          <w:b w:val="false"/>
          <w:sz w:val="20"/>
        </w:rPr>
        <w:t xml:space="preserve"> </w:t>
      </w:r>
      <w:r>
        <w:rPr>
          <w:rFonts w:ascii="Times New Roman" w:hAnsi="Times New Roman"/>
          <w:b w:val="false"/>
          <w:sz w:val="20"/>
        </w:rPr>
        <w:t>pending the appointment of a replacement. Parent shall include the Pre-Closing Parent Stockholder Director nominee on the Parent Board of Directors</w:t>
      </w:r>
      <w:r>
        <w:rPr>
          <w:rFonts w:ascii="times new roman;times" w:hAnsi="times new roman;times"/>
          <w:b w:val="false"/>
          <w:sz w:val="20"/>
        </w:rPr>
        <w:t xml:space="preserve">’ </w:t>
      </w:r>
      <w:r>
        <w:rPr>
          <w:rFonts w:ascii="Times New Roman" w:hAnsi="Times New Roman"/>
          <w:b w:val="false"/>
          <w:sz w:val="20"/>
        </w:rPr>
        <w:t xml:space="preserve">slate of nominees for election at each annual meeting of stockholders and shall recommend such nominee for election. This </w:t>
      </w:r>
      <w:r>
        <w:rPr>
          <w:rFonts w:ascii="Times New Roman" w:hAnsi="Times New Roman"/>
          <w:b w:val="false"/>
          <w:sz w:val="20"/>
          <w:u w:val="single"/>
        </w:rPr>
        <w:t>Section 5.13(d)</w:t>
      </w:r>
      <w:r>
        <w:rPr>
          <w:rFonts w:ascii="times new roman;times" w:hAnsi="times new roman;times"/>
          <w:b w:val="false"/>
          <w:sz w:val="20"/>
        </w:rPr>
        <w:t xml:space="preserve"> </w:t>
      </w:r>
      <w:r>
        <w:rPr>
          <w:rFonts w:ascii="Times New Roman" w:hAnsi="Times New Roman"/>
          <w:b w:val="false"/>
          <w:sz w:val="20"/>
        </w:rPr>
        <w:t>shall survive the Closing and shall not be amended, modified or waived without the prior written consent of the holders of a majority of the shares of Parent Common Stock held by Pre-Closing Parent Stockholders.</w:t>
      </w:r>
      <w:r>
        <w:rPr>
          <w:rFonts w:ascii="times new roman;times" w:hAnsi="times new roman;times"/>
          <w:b w:val="false"/>
          <w:sz w:val="20"/>
        </w:rPr>
        <w:t xml:space="preserve"> </w:t>
      </w:r>
      <w:r>
        <w:rPr>
          <w:rFonts w:ascii="Times New Roman" w:hAnsi="Times New Roman"/>
          <w:b w:val="false"/>
          <w:sz w:val="20"/>
        </w:rPr>
        <w:t>For clarity, if the Pre-Closing Parent Stockholders ownership at any time falls below the Stockholder Director Ownership Threshold, this right shall expire and will not be reinstated if the Pre-Closing Parent Stockholders increase their ownership above the Stockholder Director Ownership Threshold thereafter.</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 xml:space="preserve">During the Equity Moratorium Period, the Pre-Closing Parent Stockholder Director may not be removed from the Parent Board of Directors except: (i) by the affirmative vote of a majority of the shares of Parent Common Stock held by Pre-Closing Parent Stockholders, voting as a separate group (and not by any other stockholders), at a meeting duly called for such purpose or by written consent; or (ii) for Cause, by the affirmative vote of not less than sixty-six and two-thirds percent (66⅔%) of the total voting power of all outstanding shares of Parent Common Stock entitled to vote thereon. Seller shall not, and shall cause its Affiliates not to, vote any shares of Parent Capital Stock in favor of the removal of the Pre-Closing Parent Stockholder Director except as permitted by clause (ii) of this </w:t>
      </w:r>
      <w:r>
        <w:rPr>
          <w:rFonts w:ascii="Times New Roman" w:hAnsi="Times New Roman"/>
          <w:b w:val="false"/>
          <w:sz w:val="20"/>
          <w:u w:val="single"/>
        </w:rPr>
        <w:t>Section 5.13(e)</w:t>
      </w:r>
      <w:r>
        <w:rPr>
          <w:rFonts w:ascii="Times New Roman" w:hAnsi="Times New Roman"/>
          <w:b w:val="false"/>
          <w:sz w:val="20"/>
        </w:rPr>
        <w:t xml:space="preserve">. For purposes of this </w:t>
      </w:r>
      <w:r>
        <w:rPr>
          <w:rFonts w:ascii="Times New Roman" w:hAnsi="Times New Roman"/>
          <w:b w:val="false"/>
          <w:sz w:val="20"/>
          <w:u w:val="single"/>
        </w:rPr>
        <w:t>Section 5.13(e)</w:t>
      </w:r>
      <w:r>
        <w:rPr>
          <w:rFonts w:ascii="Times New Roman" w:hAnsi="Times New Roman"/>
          <w:b w:val="false"/>
          <w:sz w:val="20"/>
        </w:rPr>
        <w:t xml:space="preserve">, </w:t>
      </w:r>
      <w:r>
        <w:rPr>
          <w:rFonts w:ascii="times new roman;times" w:hAnsi="times new roman;times"/>
          <w:b w:val="false"/>
          <w:sz w:val="20"/>
        </w:rPr>
        <w:t>“</w:t>
      </w:r>
      <w:r>
        <w:rPr>
          <w:rFonts w:ascii="Times New Roman" w:hAnsi="Times New Roman"/>
          <w:b/>
          <w:i/>
          <w:sz w:val="20"/>
        </w:rPr>
        <w:t>Cause</w:t>
      </w:r>
      <w:r>
        <w:rPr>
          <w:rFonts w:ascii="times new roman;times" w:hAnsi="times new roman;times"/>
          <w:b w:val="false"/>
          <w:sz w:val="20"/>
        </w:rPr>
        <w:t xml:space="preserve">” </w:t>
      </w:r>
      <w:r>
        <w:rPr>
          <w:rFonts w:ascii="Times New Roman" w:hAnsi="Times New Roman"/>
          <w:b w:val="false"/>
          <w:sz w:val="20"/>
        </w:rPr>
        <w:t>means (A) a conviction of, or plea of guilty or nolo contendere to, a felony or a crime involving fraud, dishonesty or moral turpitude, (B) willful misconduct or gross negligence in the performance of duties as a director of Parent, as determined by a final, non-appealable order of a court of competent jurisdiction, or (C) a material breach of fiduciary duty to Parent or its stockholders, as determined by a final, non-appealable order of a court of competent jurisdiction.</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val="false"/>
          <w:sz w:val="20"/>
        </w:rPr>
        <w:t xml:space="preserve">During the Equity Moratorium Period, Seller agrees to vote, and to cause its Affiliates to vote, all shares of Parent Capital Stock held by Seller and its Affiliates: (i) in favor of the election and re-election of the Pre-Closing Parent Stockholder Director designated by the Pre-Closing Parent Stockholders pursuant to this </w:t>
      </w:r>
      <w:r>
        <w:rPr>
          <w:rFonts w:ascii="Times New Roman" w:hAnsi="Times New Roman"/>
          <w:b w:val="false"/>
          <w:sz w:val="20"/>
          <w:u w:val="single"/>
        </w:rPr>
        <w:t>Section 5.13</w:t>
      </w:r>
      <w:r>
        <w:rPr>
          <w:rFonts w:ascii="Times New Roman" w:hAnsi="Times New Roman"/>
          <w:b w:val="false"/>
          <w:sz w:val="20"/>
        </w:rPr>
        <w:t xml:space="preserve">; (ii) against the removal of the Pre-Closing Parent Stockholder Director except as permitted by </w:t>
      </w:r>
      <w:r>
        <w:rPr>
          <w:rFonts w:ascii="Times New Roman" w:hAnsi="Times New Roman"/>
          <w:b w:val="false"/>
          <w:sz w:val="20"/>
          <w:u w:val="single"/>
        </w:rPr>
        <w:t>Section 5.13(e)(ii)</w:t>
      </w:r>
      <w:r>
        <w:rPr>
          <w:rFonts w:ascii="Times New Roman" w:hAnsi="Times New Roman"/>
          <w:b w:val="false"/>
          <w:sz w:val="20"/>
        </w:rPr>
        <w:t>; and (iii) in compliance with the terms and conditions of the Seller Voting Agreement. The Pre-Closing Parent Stockholders executing</w:t>
      </w:r>
      <w:r>
        <w:rPr>
          <w:rFonts w:ascii="times new roman;times" w:hAnsi="times new roman;times"/>
          <w:b w:val="false"/>
          <w:sz w:val="20"/>
        </w:rPr>
        <w:t xml:space="preserve"> </w:t>
      </w:r>
      <w:r>
        <w:rPr>
          <w:rFonts w:ascii="Times New Roman" w:hAnsi="Times New Roman"/>
          <w:b w:val="false"/>
          <w:sz w:val="20"/>
        </w:rPr>
        <w:t xml:space="preserve">the Seller Voting Agreement, agree to vote, and to cause their respective Affiliates to vote, all shares of Parent Capital Stock held by them and their Affiliates in favor of the election and re-election of each Seller Director designated by Seller pursuant to this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during the Equity Moratorium Period.</w:t>
      </w:r>
      <w:r>
        <w:rPr>
          <w:rFonts w:ascii="times new roman;times" w:hAnsi="times new roman;times"/>
          <w:b w:val="false"/>
          <w:sz w:val="20"/>
        </w:rPr>
        <w:t xml:space="preserve"> </w:t>
      </w:r>
      <w:r>
        <w:rPr>
          <w:rFonts w:ascii="Times New Roman" w:hAnsi="Times New Roman"/>
          <w:b w:val="false"/>
          <w:sz w:val="20"/>
        </w:rPr>
        <w:t>This voting commitment is a material inducement to Parent</w:t>
      </w:r>
      <w:r>
        <w:rPr>
          <w:rFonts w:ascii="times new roman;times" w:hAnsi="times new roman;times"/>
          <w:b w:val="false"/>
          <w:sz w:val="20"/>
        </w:rPr>
        <w:t>’</w:t>
      </w:r>
      <w:r>
        <w:rPr>
          <w:rFonts w:ascii="Times New Roman" w:hAnsi="Times New Roman"/>
          <w:b w:val="false"/>
          <w:sz w:val="20"/>
        </w:rPr>
        <w:t xml:space="preserve">s willingness to enter into this Agreement and shall be specifically enforceable by the Pre-Closing Parent Stockholders directly in accordance with </w:t>
      </w:r>
      <w:r>
        <w:rPr>
          <w:rFonts w:ascii="Times New Roman" w:hAnsi="Times New Roman"/>
          <w:b w:val="false"/>
          <w:sz w:val="20"/>
          <w:u w:val="single"/>
        </w:rPr>
        <w:t>Section 5.23(d)</w:t>
      </w:r>
      <w:r>
        <w:rPr>
          <w:rFonts w:ascii="Times New Roman" w:hAnsi="Times New Roman"/>
          <w:b w:val="false"/>
          <w:sz w:val="20"/>
        </w:rPr>
        <w:t>. Seller</w:t>
      </w:r>
      <w:r>
        <w:rPr>
          <w:rFonts w:ascii="times new roman;times" w:hAnsi="times new roman;times"/>
          <w:b w:val="false"/>
          <w:sz w:val="20"/>
        </w:rPr>
        <w:t>’</w:t>
      </w:r>
      <w:r>
        <w:rPr>
          <w:rFonts w:ascii="Times New Roman" w:hAnsi="Times New Roman"/>
          <w:b w:val="false"/>
          <w:sz w:val="20"/>
        </w:rPr>
        <w:t xml:space="preserve">s voting commitments under this </w:t>
      </w:r>
      <w:r>
        <w:rPr>
          <w:rFonts w:ascii="Times New Roman" w:hAnsi="Times New Roman"/>
          <w:b w:val="false"/>
          <w:sz w:val="20"/>
          <w:u w:val="single"/>
        </w:rPr>
        <w:t>Section 5.13(f)</w:t>
      </w:r>
      <w:r>
        <w:rPr>
          <w:rFonts w:ascii="times new roman;times" w:hAnsi="times new roman;times"/>
          <w:b w:val="false"/>
          <w:sz w:val="20"/>
        </w:rPr>
        <w:t xml:space="preserve"> </w:t>
      </w:r>
      <w:r>
        <w:rPr>
          <w:rFonts w:ascii="Times New Roman" w:hAnsi="Times New Roman"/>
          <w:b w:val="false"/>
          <w:sz w:val="20"/>
        </w:rPr>
        <w:t>shall also be set forth in the Seller Voting Agreement and shall be enforceable thereunder as an independent obligation.</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During the Equity Moratorium Period, the holder of the Pre-Closing Parent Stockholder Board Seat shall have the right to: (i) call meetings of the Parent Board of Directors upon not less than forty-eight (48) hours</w:t>
      </w:r>
      <w:r>
        <w:rPr>
          <w:rFonts w:ascii="times new roman;times" w:hAnsi="times new roman;times"/>
          <w:b w:val="false"/>
          <w:sz w:val="20"/>
        </w:rPr>
        <w:t xml:space="preserve">’ </w:t>
      </w:r>
      <w:r>
        <w:rPr>
          <w:rFonts w:ascii="Times New Roman" w:hAnsi="Times New Roman"/>
          <w:b w:val="false"/>
          <w:sz w:val="20"/>
        </w:rPr>
        <w:t>notice to all directors; (ii) receive all materials, reports, financial statements, capitalization tables,</w:t>
      </w:r>
      <w:r>
        <w:rPr>
          <w:rFonts w:ascii="times new roman;times" w:hAnsi="times new roman;times"/>
          <w:b w:val="false"/>
          <w:sz w:val="20"/>
        </w:rPr>
        <w:t xml:space="preserve"> </w:t>
      </w:r>
      <w:r>
        <w:rPr>
          <w:rFonts w:ascii="Times New Roman" w:hAnsi="Times New Roman"/>
          <w:b w:val="false"/>
          <w:sz w:val="20"/>
        </w:rPr>
        <w:t xml:space="preserve">board packages and other information distributed to any member of the Parent Board of Directors or any committee thereof, contemporaneously with such distribution; (iii) retain independent legal counsel at the expense of Parent; and (iv) place items on the agenda of any meeting of the Parent Board of Directors to the extent such items relate to any matter within the scope of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or this</w:t>
      </w:r>
      <w:r>
        <w:rPr>
          <w:rFonts w:ascii="times new roman;times" w:hAnsi="times new roman;times"/>
          <w:b w:val="false"/>
          <w:sz w:val="20"/>
          <w:u w:val="single"/>
        </w:rPr>
        <w:t xml:space="preserve"> </w:t>
      </w:r>
      <w:r>
        <w:rPr>
          <w:rFonts w:ascii="Times New Roman" w:hAnsi="Times New Roman"/>
          <w:b w:val="false"/>
          <w:sz w:val="20"/>
          <w:u w:val="single"/>
        </w:rPr>
        <w:t>Section 5.13</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 xml:space="preserve">The provisions of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shall expire automatically upon the later of (A) the expiration of the Equity Moratorium Period and (B) the date on which the Pre-Closing Parent Stockholders cease to satisfy the Stockholder Director Ownership Threshold. Following such expiration, the composition, governance and removal provisions applicable to the Parent Board of Directors shall be governed by Parent</w:t>
      </w:r>
      <w:r>
        <w:rPr>
          <w:rFonts w:ascii="times new roman;times" w:hAnsi="times new roman;times"/>
          <w:b w:val="false"/>
          <w:sz w:val="20"/>
        </w:rPr>
        <w:t>’</w:t>
      </w:r>
      <w:r>
        <w:rPr>
          <w:rFonts w:ascii="Times New Roman" w:hAnsi="Times New Roman"/>
          <w:b w:val="false"/>
          <w:sz w:val="20"/>
        </w:rPr>
        <w:t>s constating documents</w:t>
      </w:r>
      <w:r>
        <w:rPr>
          <w:rFonts w:ascii="times new roman;times" w:hAnsi="times new roman;times"/>
          <w:b w:val="false"/>
          <w:sz w:val="20"/>
        </w:rPr>
        <w:t xml:space="preserve"> </w:t>
      </w:r>
      <w:r>
        <w:rPr>
          <w:rFonts w:ascii="Times New Roman" w:hAnsi="Times New Roman"/>
          <w:b w:val="false"/>
          <w:sz w:val="20"/>
        </w:rPr>
        <w:t>and applicable Law.</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A-59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widowControl/>
        <w:bidi w:val="0"/>
        <w:spacing w:before="0" w:after="240"/>
        <w:ind w:left="500" w:right="0" w:hanging="0"/>
        <w:jc w:val="left"/>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5.14Section 16 Matters</w:t>
        </w:r>
      </w:hyperlink>
      <w:hyperlink w:anchor="TOC">
        <w:r>
          <w:rPr>
            <w:rStyle w:val="InternetLink"/>
            <w:rFonts w:ascii="Times New Roman" w:hAnsi="Times New Roman"/>
            <w:b w:val="false"/>
            <w:i w:val="false"/>
            <w:caps w:val="false"/>
            <w:smallCaps w:val="false"/>
            <w:strike w:val="false"/>
            <w:dstrike w:val="false"/>
            <w:color w:val="000000"/>
            <w:spacing w:val="0"/>
            <w:sz w:val="20"/>
            <w:u w:val="none"/>
            <w:effect w:val="none"/>
          </w:rPr>
          <w:t>.</w:t>
        </w:r>
      </w:hyperlink>
      <w:r>
        <w:rPr>
          <w:rFonts w:ascii="Times New Roman" w:hAnsi="Times New Roman"/>
          <w:b w:val="false"/>
          <w:i w:val="false"/>
          <w:caps w:val="false"/>
          <w:smallCaps w:val="false"/>
          <w:color w:val="000000"/>
          <w:spacing w:val="0"/>
          <w:sz w:val="20"/>
        </w:rPr>
        <w:t xml:space="preserve"> Prior to the Effective Time, Parent shall take all such steps as may be required to cause any acquisitions of Parent Common Stock and any options to purchase Parent Common Stock resulting from the Merger, by each individual who is reasonably expected to become subject to the reporting requirements of Section 16(a) of the Exchange Act with respect to Parent, to be exempt under Rule 16b-3 promulgated under the Exchange Act.</w:t>
      </w:r>
    </w:p>
    <w:p>
      <w:pPr>
        <w:pStyle w:val="TextBody"/>
        <w:widowControl/>
        <w:bidi w:val="0"/>
        <w:spacing w:before="0" w:after="240"/>
        <w:ind w:left="500" w:right="0" w:hanging="0"/>
        <w:jc w:val="left"/>
        <w:rPr/>
      </w:pPr>
      <w:hyperlink w:anchor="TOC">
        <w:r>
          <w:rPr>
            <w:rStyle w:val="InternetLink"/>
            <w:rFonts w:ascii="Times New Roman" w:hAnsi="Times New Roman"/>
            <w:b/>
            <w:i w:val="false"/>
            <w:caps w:val="false"/>
            <w:smallCaps w:val="false"/>
            <w:strike w:val="false"/>
            <w:dstrike w:val="false"/>
            <w:color w:val="000000"/>
            <w:spacing w:val="0"/>
            <w:sz w:val="20"/>
            <w:u w:val="none"/>
            <w:effect w:val="none"/>
          </w:rPr>
          <w:t>5.15Reverse Split</w:t>
        </w:r>
      </w:hyperlink>
      <w:hyperlink w:anchor="TOC">
        <w:r>
          <w:rPr>
            <w:rStyle w:val="InternetLink"/>
            <w:rFonts w:ascii="Times New Roman" w:hAnsi="Times New Roman"/>
            <w:b w:val="false"/>
            <w:i w:val="false"/>
            <w:caps w:val="false"/>
            <w:smallCaps w:val="false"/>
            <w:strike w:val="false"/>
            <w:dstrike w:val="false"/>
            <w:color w:val="000000"/>
            <w:spacing w:val="0"/>
            <w:sz w:val="20"/>
            <w:u w:val="none"/>
            <w:effect w:val="none"/>
          </w:rPr>
          <w:t>.</w:t>
        </w:r>
      </w:hyperlink>
      <w:r>
        <w:rPr>
          <w:rFonts w:ascii="Times New Roman" w:hAnsi="Times New Roman"/>
          <w:b w:val="false"/>
          <w:i w:val="false"/>
          <w:caps w:val="false"/>
          <w:smallCaps w:val="false"/>
          <w:color w:val="000000"/>
          <w:spacing w:val="0"/>
          <w:sz w:val="20"/>
        </w:rPr>
        <w:t xml:space="preserve"> Parent may,</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with Company and Seller’s consent which is not to be unreasonably withheld, conditioned, or delayed, determine to seek stockholder approval of a reverse stock split of Parent Common Stock if Parent reasonably determines that such reverse stock split is necessary or advisable in connection with Nasdaq compliance, the Financing or the Contemplated Transactions.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5.16Covenants Regarding Financing</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Parent shall use commercially reasonable efforts to consummate</w:t>
      </w:r>
      <w:r>
        <w:rPr>
          <w:rFonts w:ascii="times new roman;times" w:hAnsi="times new roman;times"/>
          <w:b w:val="false"/>
          <w:sz w:val="20"/>
        </w:rPr>
        <w:t xml:space="preserve"> </w:t>
      </w:r>
      <w:r>
        <w:rPr>
          <w:rFonts w:ascii="Times New Roman" w:hAnsi="Times New Roman"/>
          <w:b w:val="false"/>
          <w:sz w:val="20"/>
        </w:rPr>
        <w:t>the Financing, on or before the Closing Date.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Parent and Seller shall agree over the structure, marketing, pricing, allocation, timing, definitive documentation and other terms of the Financing,</w:t>
      </w:r>
      <w:r>
        <w:rPr>
          <w:rFonts w:ascii="times new roman;times" w:hAnsi="times new roman;times"/>
          <w:b w:val="false"/>
          <w:sz w:val="20"/>
        </w:rPr>
        <w:t xml:space="preserve"> </w:t>
      </w:r>
      <w:r>
        <w:rPr>
          <w:rFonts w:ascii="Times New Roman" w:hAnsi="Times New Roman"/>
          <w:b w:val="false"/>
          <w:sz w:val="20"/>
        </w:rPr>
        <w:t>subject to the terms of this Agreement and applicable Law.</w:t>
      </w:r>
      <w:r>
        <w:rPr>
          <w:rFonts w:ascii="times new roman;times" w:hAnsi="times new roman;times"/>
          <w:b w:val="false"/>
          <w:sz w:val="20"/>
        </w:rPr>
        <w:t xml:space="preserve"> </w:t>
      </w:r>
      <w:r>
        <w:rPr>
          <w:rFonts w:ascii="Times New Roman" w:hAnsi="Times New Roman"/>
          <w:b w:val="false"/>
          <w:sz w:val="20"/>
        </w:rPr>
        <w:t>Notwithstanding the foregoing, each Financing Unit sold in the Financing must convert at or before the Closing into one (1) Financing Share</w:t>
      </w:r>
      <w:r>
        <w:rPr>
          <w:rFonts w:ascii="times new roman;times" w:hAnsi="times new roman;times"/>
          <w:b w:val="false"/>
          <w:sz w:val="20"/>
        </w:rPr>
        <w:t xml:space="preserve"> </w:t>
      </w:r>
      <w:r>
        <w:rPr>
          <w:rFonts w:ascii="Times New Roman" w:hAnsi="Times New Roman"/>
          <w:b w:val="false"/>
          <w:sz w:val="20"/>
        </w:rPr>
        <w:t>and no more than one (1) Financing Warrant</w:t>
      </w:r>
      <w:r>
        <w:rPr>
          <w:rFonts w:ascii="times new roman;times" w:hAnsi="times new roman;times"/>
          <w:b w:val="false"/>
          <w:sz w:val="20"/>
        </w:rPr>
        <w:t xml:space="preserve"> </w:t>
      </w:r>
      <w:r>
        <w:rPr>
          <w:rFonts w:ascii="Times New Roman" w:hAnsi="Times New Roman"/>
          <w:b w:val="false"/>
          <w:sz w:val="20"/>
        </w:rPr>
        <w:t>with an exercise duration of no greater than six (6)</w:t>
      </w:r>
      <w:r>
        <w:rPr>
          <w:rFonts w:ascii="times new roman;times" w:hAnsi="times new roman;times"/>
          <w:b w:val="false"/>
          <w:sz w:val="20"/>
        </w:rPr>
        <w:t xml:space="preserve"> </w:t>
      </w:r>
      <w:r>
        <w:rPr>
          <w:rFonts w:ascii="Times New Roman" w:hAnsi="Times New Roman"/>
          <w:b w:val="false"/>
          <w:sz w:val="20"/>
        </w:rPr>
        <w:t>months and featuring an exercise</w:t>
      </w:r>
      <w:r>
        <w:rPr>
          <w:rFonts w:ascii="times new roman;times" w:hAnsi="times new roman;times"/>
          <w:b w:val="false"/>
          <w:sz w:val="20"/>
        </w:rPr>
        <w:t xml:space="preserve"> </w:t>
      </w:r>
      <w:r>
        <w:rPr>
          <w:rFonts w:ascii="Times New Roman" w:hAnsi="Times New Roman"/>
          <w:b w:val="false"/>
          <w:sz w:val="20"/>
        </w:rPr>
        <w:t>price of</w:t>
      </w:r>
      <w:r>
        <w:rPr>
          <w:rFonts w:ascii="times new roman;times" w:hAnsi="times new roman;times"/>
          <w:b w:val="false"/>
          <w:sz w:val="20"/>
        </w:rPr>
        <w:t xml:space="preserve"> </w:t>
      </w:r>
      <w:r>
        <w:rPr>
          <w:rFonts w:ascii="Times New Roman" w:hAnsi="Times New Roman"/>
          <w:b w:val="false"/>
          <w:sz w:val="20"/>
        </w:rPr>
        <w:t>ten dollars ($10)</w:t>
      </w:r>
      <w:r>
        <w:rPr>
          <w:rFonts w:ascii="times new roman;times" w:hAnsi="times new roman;times"/>
          <w:b w:val="false"/>
          <w:sz w:val="20"/>
        </w:rPr>
        <w:t xml:space="preserve"> </w:t>
      </w:r>
      <w:r>
        <w:rPr>
          <w:rFonts w:ascii="Times New Roman" w:hAnsi="Times New Roman"/>
          <w:b w:val="false"/>
          <w:sz w:val="20"/>
        </w:rPr>
        <w:t>per Financing Warrant Share, such Financing Warrant</w:t>
      </w:r>
      <w:r>
        <w:rPr>
          <w:rFonts w:ascii="times new roman;times" w:hAnsi="times new roman;times"/>
          <w:b w:val="false"/>
          <w:sz w:val="20"/>
        </w:rPr>
        <w:t xml:space="preserve"> </w:t>
      </w:r>
      <w:r>
        <w:rPr>
          <w:rFonts w:ascii="Times New Roman" w:hAnsi="Times New Roman"/>
          <w:b w:val="false"/>
          <w:sz w:val="20"/>
        </w:rPr>
        <w:t>being exercisable for cash only.  Each Financing Unit must be sold at a price of at least three dollars ($3) per Financing Unit, and shall not include any anti-dilution price protection or</w:t>
      </w:r>
      <w:r>
        <w:rPr>
          <w:rFonts w:ascii="times new roman;times" w:hAnsi="times new roman;times"/>
          <w:b w:val="false"/>
          <w:sz w:val="20"/>
        </w:rPr>
        <w:t xml:space="preserve"> </w:t>
      </w:r>
      <w:r>
        <w:rPr>
          <w:rFonts w:ascii="Times New Roman" w:hAnsi="Times New Roman"/>
          <w:b w:val="false"/>
          <w:sz w:val="20"/>
        </w:rPr>
        <w:t>other</w:t>
      </w:r>
      <w:r>
        <w:rPr>
          <w:rFonts w:ascii="times new roman;times" w:hAnsi="times new roman;times"/>
          <w:b w:val="false"/>
          <w:sz w:val="20"/>
        </w:rPr>
        <w:t xml:space="preserve"> </w:t>
      </w:r>
      <w:r>
        <w:rPr>
          <w:rFonts w:ascii="Times New Roman" w:hAnsi="Times New Roman"/>
          <w:b w:val="false"/>
          <w:sz w:val="20"/>
        </w:rPr>
        <w:t>provisions that</w:t>
      </w:r>
      <w:r>
        <w:rPr>
          <w:rFonts w:ascii="times new roman;times" w:hAnsi="times new roman;times"/>
          <w:b w:val="false"/>
          <w:sz w:val="20"/>
        </w:rPr>
        <w:t xml:space="preserve"> </w:t>
      </w:r>
      <w:r>
        <w:rPr>
          <w:rFonts w:ascii="Times New Roman" w:hAnsi="Times New Roman"/>
          <w:b w:val="false"/>
          <w:sz w:val="20"/>
        </w:rPr>
        <w:t>have the effect of increasing the number of shares issuable upon exercise thereof (e.g., exploding share feature)</w:t>
      </w:r>
      <w:r>
        <w:rPr>
          <w:rFonts w:ascii="times new roman;times" w:hAnsi="times new roman;times"/>
          <w:b w:val="false"/>
          <w:sz w:val="20"/>
        </w:rPr>
        <w:t xml:space="preserve"> </w:t>
      </w:r>
      <w:r>
        <w:rPr>
          <w:rFonts w:ascii="Times New Roman" w:hAnsi="Times New Roman"/>
          <w:b w:val="false"/>
          <w:sz w:val="20"/>
        </w:rPr>
        <w:t>other than for standard mathematical adjustments due to share combinations or share dividends or splits.</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Parent shall keep the Company and Seller reasonably informed of the status of the Financing and shall promptly notify the Company and Seller of any event or circumstance that would reasonably be expected to prevent, materially delay or materially impair the consummation of the Financing.</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Parent shall not amend, waive, modify or terminate the Financing in a manner that would reduce the gross proceeds of the Financing below $10,000,000 or increase the number of shares of Parent Common Stock comprising the share component of the Financing Units issued in the Financing</w:t>
      </w:r>
      <w:r>
        <w:rPr>
          <w:rFonts w:ascii="times new roman;times" w:hAnsi="times new roman;times"/>
          <w:b w:val="false"/>
          <w:sz w:val="20"/>
        </w:rPr>
        <w:t xml:space="preserve"> </w:t>
      </w:r>
      <w:r>
        <w:rPr>
          <w:rFonts w:ascii="Times New Roman" w:hAnsi="Times New Roman"/>
          <w:b w:val="false"/>
          <w:sz w:val="20"/>
        </w:rPr>
        <w:t>above 5,000,000 without the prior written consent of Seller, such consent not to be unreasonably withheld, conditioned or delayed.</w:t>
      </w:r>
      <w:r>
        <w:rPr>
          <w:rFonts w:ascii="times new roman;times" w:hAnsi="times new roman;times"/>
          <w:b w:val="false"/>
          <w:sz w:val="20"/>
        </w:rPr>
        <w:t xml:space="preserve"> </w:t>
      </w:r>
      <w:r>
        <w:rPr>
          <w:rFonts w:ascii="Times New Roman" w:hAnsi="Times New Roman"/>
          <w:b w:val="false"/>
          <w:sz w:val="20"/>
        </w:rPr>
        <w:t>No proceeds of the Financing, and no other cash of Parent, the Company, Merger Sub or the Surviving Corporation, shall be used, directly or indirectly, to repay, satisfy or settle any Seller Debt.</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5.17</w:t>
        </w:r>
      </w:hyperlink>
      <w:hyperlink w:anchor="TOC">
        <w:r>
          <w:rPr>
            <w:rStyle w:val="InternetLink"/>
            <w:rFonts w:ascii="Times New Roman" w:hAnsi="Times New Roman"/>
            <w:b/>
            <w:strike w:val="false"/>
            <w:dstrike w:val="false"/>
            <w:color w:val="000000"/>
            <w:sz w:val="20"/>
            <w:u w:val="none"/>
            <w:effect w:val="none"/>
          </w:rPr>
          <w:t>Termination of Certain Agreements and Seller Debt</w:t>
        </w:r>
      </w:hyperlink>
      <w:hyperlink w:anchor="TOC">
        <w:r>
          <w:rPr>
            <w:rStyle w:val="InternetLink"/>
            <w:rFonts w:ascii="Times New Roman" w:hAnsi="Times New Roman"/>
            <w:b w:val="false"/>
            <w:strike w:val="false"/>
            <w:dstrike w:val="false"/>
            <w:color w:val="000000"/>
            <w:sz w:val="20"/>
            <w:u w:val="none"/>
            <w:effect w:val="none"/>
          </w:rPr>
          <w:t>.</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r>
        <w:rPr>
          <w:rFonts w:ascii="Times New Roman" w:hAnsi="Times New Roman"/>
          <w:b w:val="false"/>
          <w:sz w:val="20"/>
        </w:rPr>
        <w:t xml:space="preserve">The Company shall use its commercially reasonable efforts to terminate at or prior to the Effective Time those agreements set forth in Company Disclosure Schedule (collectively, the </w:t>
      </w:r>
      <w:r>
        <w:rPr>
          <w:rFonts w:ascii="times new roman;times" w:hAnsi="times new roman;times"/>
          <w:b w:val="false"/>
          <w:sz w:val="20"/>
        </w:rPr>
        <w:t>“</w:t>
      </w:r>
      <w:r>
        <w:rPr>
          <w:rFonts w:ascii="Times New Roman" w:hAnsi="Times New Roman"/>
          <w:b/>
          <w:i/>
          <w:sz w:val="20"/>
        </w:rPr>
        <w:t>Investor Agreements</w:t>
      </w:r>
      <w:r>
        <w:rPr>
          <w:rFonts w:ascii="times new roman;times" w:hAnsi="times new roman;times"/>
          <w:b w:val="false"/>
          <w:sz w:val="20"/>
        </w:rPr>
        <w:t>”</w:t>
      </w:r>
      <w:r>
        <w:rPr>
          <w:rFonts w:ascii="Times New Roman" w:hAnsi="Times New Roman"/>
          <w:b w:val="false"/>
          <w:sz w:val="20"/>
        </w:rPr>
        <w:t>). Without limiting the foregoing, at least one (1) Business Day prior to the Closing, Seller shall cause all Seller Debt to be, as elected by Seller and set forth on Part 2.4(f) of the Company Disclosure Schedule, either (a) irrevocably forgiven, canceled and released in full without any payment by the Company, Parent, Merger Sub or the Surviving Corporation, or (b) contributed</w:t>
      </w:r>
      <w:r>
        <w:rPr>
          <w:rFonts w:ascii="times new roman;times" w:hAnsi="times new roman;times"/>
          <w:b w:val="false"/>
          <w:sz w:val="20"/>
        </w:rPr>
        <w:t xml:space="preserve"> </w:t>
      </w:r>
      <w:r>
        <w:rPr>
          <w:rFonts w:ascii="Times New Roman" w:hAnsi="Times New Roman"/>
          <w:b w:val="false"/>
          <w:sz w:val="20"/>
        </w:rPr>
        <w:t>to the capital of the Company, in each case effective immediately prior to the Effective Time. Seller shall deliver to Parent, prior to the Closing, executed cancellation, release and/or capital contribution documentation, in form and substance reasonably satisfactory to Parent, evidencing the same, together with copies of any cancelled promissory notes or other instruments evidencing such Seller Debt. Seller and the Company shall cause all notes and other instruments evidencing Seller Debt to be cancelled at or prior to the Effective Time. Parent</w:t>
      </w:r>
      <w:r>
        <w:rPr>
          <w:rFonts w:ascii="times new roman;times" w:hAnsi="times new roman;times"/>
          <w:b w:val="false"/>
          <w:sz w:val="20"/>
        </w:rPr>
        <w:t xml:space="preserve"> </w:t>
      </w:r>
      <w:r>
        <w:rPr>
          <w:rFonts w:ascii="Times New Roman" w:hAnsi="Times New Roman"/>
          <w:b w:val="false"/>
          <w:sz w:val="20"/>
        </w:rPr>
        <w:t>shall deliver to Seller, at least one (1) Business Day</w:t>
      </w:r>
      <w:r>
        <w:rPr>
          <w:rFonts w:ascii="times new roman;times" w:hAnsi="times new roman;times"/>
          <w:b w:val="false"/>
          <w:sz w:val="20"/>
        </w:rPr>
        <w:t xml:space="preserve"> </w:t>
      </w:r>
      <w:r>
        <w:rPr>
          <w:rFonts w:ascii="Times New Roman" w:hAnsi="Times New Roman"/>
          <w:b w:val="false"/>
          <w:sz w:val="20"/>
        </w:rPr>
        <w:t>prior to the Closing, the First Finance Waiver, duly executed by First Finance Ltd.,</w:t>
      </w:r>
      <w:r>
        <w:rPr>
          <w:rFonts w:ascii="times new roman;times" w:hAnsi="times new roman;times"/>
          <w:b w:val="false"/>
          <w:sz w:val="20"/>
        </w:rPr>
        <w:t xml:space="preserve"> </w:t>
      </w:r>
      <w:r>
        <w:rPr>
          <w:rFonts w:ascii="Times New Roman" w:hAnsi="Times New Roman"/>
          <w:b w:val="false"/>
          <w:sz w:val="20"/>
        </w:rPr>
        <w:t>in form and substance reasonably satisfactory to Seller.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A-60</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5.18Certificates</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At least two (2) Business Days prior to the anticipated Closing Date, the Company shall deliver to Parent a certificate signed by the Chief Executive Officer of the Company, on behalf of the Company and not in his or her personal capacity, certifying: (i) that Seller is the sole record and beneficial owner of all of the issued and outstanding Company Capital Stock; (ii) the number of shares of Company Capital Stock outstanding immediately prior to the Effective Time; and (iii) the absence of any outstanding Company Options, Company RSUs, Company Warrants or other Company Equity Securities.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At least two (2) Business Days prior to the anticipated Closing Date, Parent shall deliver to the Company and Seller a certificate signed by the Chief Executive Officer or Chief Financial Officer of Parent, on behalf of Parent and not in his or her personal capacity, certifying that Parent has, or upon substantially concurrent consummation of the Financing,</w:t>
      </w:r>
      <w:r>
        <w:rPr>
          <w:rFonts w:ascii="times new roman;times" w:hAnsi="times new roman;times"/>
          <w:b w:val="false"/>
          <w:sz w:val="20"/>
        </w:rPr>
        <w:t xml:space="preserve"> </w:t>
      </w:r>
      <w:r>
        <w:rPr>
          <w:rFonts w:ascii="Times New Roman" w:hAnsi="Times New Roman"/>
          <w:b w:val="false"/>
          <w:sz w:val="20"/>
        </w:rPr>
        <w:t>will have</w:t>
      </w:r>
      <w:r>
        <w:rPr>
          <w:rFonts w:ascii="times new roman;times" w:hAnsi="times new roman;times"/>
          <w:b w:val="false"/>
          <w:sz w:val="20"/>
        </w:rPr>
        <w:t xml:space="preserve"> </w:t>
      </w:r>
      <w:r>
        <w:rPr>
          <w:rFonts w:ascii="Times New Roman" w:hAnsi="Times New Roman"/>
          <w:b w:val="false"/>
          <w:sz w:val="20"/>
        </w:rPr>
        <w:t>Parent Net Cash that</w:t>
      </w:r>
      <w:r>
        <w:rPr>
          <w:rFonts w:ascii="times new roman;times" w:hAnsi="times new roman;times"/>
          <w:b w:val="false"/>
          <w:sz w:val="20"/>
        </w:rPr>
        <w:t xml:space="preserve"> </w:t>
      </w:r>
      <w:r>
        <w:rPr>
          <w:rFonts w:ascii="Times New Roman" w:hAnsi="Times New Roman"/>
          <w:b w:val="false"/>
          <w:sz w:val="20"/>
        </w:rPr>
        <w:t>meets</w:t>
      </w:r>
      <w:r>
        <w:rPr>
          <w:rFonts w:ascii="times new roman;times" w:hAnsi="times new roman;times"/>
          <w:b w:val="false"/>
          <w:sz w:val="20"/>
        </w:rPr>
        <w:t xml:space="preserve"> </w:t>
      </w:r>
      <w:r>
        <w:rPr>
          <w:rFonts w:ascii="Times New Roman" w:hAnsi="Times New Roman"/>
          <w:b w:val="false"/>
          <w:sz w:val="20"/>
        </w:rPr>
        <w:t>or exceeds</w:t>
      </w:r>
      <w:r>
        <w:rPr>
          <w:rFonts w:ascii="times new roman;times" w:hAnsi="times new roman;times"/>
          <w:b w:val="false"/>
          <w:sz w:val="20"/>
        </w:rPr>
        <w:t xml:space="preserve"> </w:t>
      </w:r>
      <w:r>
        <w:rPr>
          <w:rFonts w:ascii="Times New Roman" w:hAnsi="Times New Roman"/>
          <w:b w:val="false"/>
          <w:sz w:val="20"/>
        </w:rPr>
        <w:t>the Parent Net Cash Requirement of at least $50,000, excluding the net proceeds of the Financing.</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 xml:space="preserve">At least two (2) Business Days prior to the anticipated Closing Date, the Company shall deliver to Parent a certificate signed by the Chief Executive Officer of the Company, on behalf of the Company and not in his or her personal capacity, certifying that, as of the anticipated Closing Date and after giving effect to the transactions contemplated by </w:t>
      </w:r>
      <w:r>
        <w:rPr>
          <w:rFonts w:ascii="Times New Roman" w:hAnsi="Times New Roman"/>
          <w:b w:val="false"/>
          <w:sz w:val="20"/>
          <w:u w:val="single"/>
        </w:rPr>
        <w:t>Section 5.17</w:t>
      </w:r>
      <w:r>
        <w:rPr>
          <w:rFonts w:ascii="Times New Roman" w:hAnsi="Times New Roman"/>
          <w:b w:val="false"/>
          <w:sz w:val="20"/>
        </w:rPr>
        <w:t>, (i) neither the Company nor any Company Subsidiary has any indebtedness for borrowed money, notes payable, loans, advances or other similar obligations, (ii) no Seller Debt remains outstanding and (iii) the only Liabilities of the Company and the Company Subsidiaries are ordinary course accounts payable and accrued operating expenses incurred in the Ordinary Course of Business consistent with past practice and not owing to Seller or any Affiliate of Seller.</w:t>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5.19</w:t>
        </w:r>
      </w:hyperlink>
      <w:hyperlink w:anchor="TOC">
        <w:r>
          <w:rPr>
            <w:rStyle w:val="InternetLink"/>
            <w:rFonts w:ascii="Times New Roman" w:hAnsi="Times New Roman"/>
            <w:b/>
            <w:strike w:val="false"/>
            <w:dstrike w:val="false"/>
            <w:color w:val="000000"/>
            <w:sz w:val="20"/>
            <w:u w:val="none"/>
            <w:effect w:val="none"/>
          </w:rPr>
          <w:t>Litigation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From and after the date of this Agreement until the earlier of the Effective Time or the date, if any, on which this Agreement is terminated pursuant to </w:t>
      </w:r>
      <w:r>
        <w:rPr>
          <w:rFonts w:ascii="Times New Roman" w:hAnsi="Times New Roman"/>
          <w:b w:val="false"/>
          <w:sz w:val="20"/>
          <w:u w:val="single"/>
        </w:rPr>
        <w:t>Article 9</w:t>
      </w:r>
      <w:r>
        <w:rPr>
          <w:rFonts w:ascii="Times New Roman" w:hAnsi="Times New Roman"/>
          <w:b w:val="false"/>
          <w:sz w:val="20"/>
        </w:rPr>
        <w:t>, Parent shall as promptly as reasonably practicable (but no later than within two (2) Business Days of receipt of learning about potential Transaction Litigation) notify the Company and Seller in writing of, shall keep the Company and Seller informed on a reasonably prompt basis regarding any such Transaction Litigation, and shall give the Company</w:t>
      </w:r>
      <w:r>
        <w:rPr>
          <w:rFonts w:ascii="times new roman;times" w:hAnsi="times new roman;times"/>
          <w:b w:val="false"/>
          <w:sz w:val="20"/>
        </w:rPr>
        <w:t xml:space="preserve"> </w:t>
      </w:r>
      <w:r>
        <w:rPr>
          <w:rFonts w:ascii="Times New Roman" w:hAnsi="Times New Roman"/>
          <w:b w:val="false"/>
          <w:sz w:val="20"/>
        </w:rPr>
        <w:t>and Seller</w:t>
      </w:r>
      <w:r>
        <w:rPr>
          <w:rFonts w:ascii="times new roman;times" w:hAnsi="times new roman;times"/>
          <w:b w:val="false"/>
          <w:sz w:val="20"/>
        </w:rPr>
        <w:t xml:space="preserve"> </w:t>
      </w:r>
      <w:r>
        <w:rPr>
          <w:rFonts w:ascii="Times New Roman" w:hAnsi="Times New Roman"/>
          <w:b w:val="false"/>
          <w:sz w:val="20"/>
        </w:rPr>
        <w:t>the opportunity to participate in the defense and settlement of, any Transaction Litigation (including by allowing the Company</w:t>
      </w:r>
      <w:r>
        <w:rPr>
          <w:rFonts w:ascii="times new roman;times" w:hAnsi="times new roman;times"/>
          <w:b w:val="false"/>
          <w:sz w:val="20"/>
        </w:rPr>
        <w:t xml:space="preserve"> </w:t>
      </w:r>
      <w:r>
        <w:rPr>
          <w:rFonts w:ascii="Times New Roman" w:hAnsi="Times New Roman"/>
          <w:b w:val="false"/>
          <w:sz w:val="20"/>
        </w:rPr>
        <w:t>and Seller</w:t>
      </w:r>
      <w:r>
        <w:rPr>
          <w:rFonts w:ascii="times new roman;times" w:hAnsi="times new roman;times"/>
          <w:b w:val="false"/>
          <w:sz w:val="20"/>
        </w:rPr>
        <w:t xml:space="preserve"> </w:t>
      </w:r>
      <w:r>
        <w:rPr>
          <w:rFonts w:ascii="Times New Roman" w:hAnsi="Times New Roman"/>
          <w:b w:val="false"/>
          <w:sz w:val="20"/>
        </w:rPr>
        <w:t>to offer comments or suggestions with respect to such Transaction Litigation, which Parent shall consider in good faith). Parent shall give the Company and Seller the opportunity to consult with counsel to Parent regarding the defense and settlement of any such Transaction Litigation, and in any event Parent shall not settle or compromise any Transaction Litigation without the prior written consent of the Company and Seller, which consent shall not be unreasonably withheld, conditioned or delayed, if such settlement or compromise would: (i) enjoin or otherwise materially impair the consummation of the Contemplated Transactions; (ii) impose any material non-monetary obligation on the Company, Seller or the Surviving Corporation; or (iii) contain any admission of wrongdoing by the Company, Seller or any D&amp;O Indemnified Party. Without otherwise limiting the D&amp;O Indemnified Parties</w:t>
      </w:r>
      <w:r>
        <w:rPr>
          <w:rFonts w:ascii="times new roman;times" w:hAnsi="times new roman;times"/>
          <w:b w:val="false"/>
          <w:sz w:val="20"/>
        </w:rPr>
        <w:t xml:space="preserve">’ </w:t>
      </w:r>
      <w:r>
        <w:rPr>
          <w:rFonts w:ascii="Times New Roman" w:hAnsi="Times New Roman"/>
          <w:b w:val="false"/>
          <w:sz w:val="20"/>
        </w:rPr>
        <w:t>rights with regard to the right to counsel, and notwithstanding anything to the contrary in any indemnification agreements Parent has entered into, following the Effective Time, the D&amp;O Indemnified Parties shall be entitled to continue to retain Goodwin Procter LLP or such other counsel selected by such D&amp;O Indemnified Parties prior to the Effective Time to defend any Transaction Litigation on behalf of, and to the extent such Transaction Litigation is against, the D&amp;O Indemnified Parties.</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5.20</w:t>
        </w:r>
      </w:hyperlink>
      <w:hyperlink w:anchor="TOC">
        <w:r>
          <w:rPr>
            <w:rStyle w:val="InternetLink"/>
            <w:rFonts w:ascii="Times New Roman" w:hAnsi="Times New Roman"/>
            <w:b/>
            <w:strike w:val="false"/>
            <w:dstrike w:val="false"/>
            <w:color w:val="000000"/>
            <w:sz w:val="20"/>
            <w:u w:val="none"/>
            <w:effect w:val="none"/>
          </w:rPr>
          <w:t>Information Rights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times" w:hAnsi="times new roman;times"/>
          <w:b w:val="false"/>
          <w:sz w:val="20"/>
        </w:rPr>
        <w:t xml:space="preserve"> </w:t>
      </w:r>
      <w:r>
        <w:rPr>
          <w:rFonts w:ascii="Times New Roman" w:hAnsi="Times New Roman"/>
          <w:b w:val="false"/>
          <w:sz w:val="20"/>
        </w:rPr>
        <w:t>For so long as Seller or any of its Affiliates holds any equity interest in Parent, Parent shall promptly provide to Seller such customary public-company information regarding Parent and its Subsidiaries as Seller may reasonably request to enable Seller to comply with its applicable SEC disclosure obligations, subject to applicable Law and customary confidentiality protections.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val="false"/>
          <w:caps w:val="false"/>
          <w:smallCaps w:val="false"/>
          <w:strike w:val="false"/>
          <w:dstrike w:val="false"/>
          <w:sz w:val="20"/>
          <w:u w:val="none"/>
          <w:effect w:val="none"/>
        </w:rPr>
      </w:pPr>
      <w:r>
        <w:rPr>
          <w:rFonts w:ascii="Times New Roman" w:hAnsi="Times New Roman"/>
          <w:b/>
          <w:i w:val="false"/>
          <w:caps w:val="false"/>
          <w:smallCaps w:val="false"/>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5.21</w:t>
        </w:r>
      </w:hyperlink>
      <w:hyperlink w:anchor="TOC">
        <w:r>
          <w:rPr>
            <w:rStyle w:val="InternetLink"/>
            <w:rFonts w:ascii="Times New Roman" w:hAnsi="Times New Roman"/>
            <w:b/>
            <w:strike w:val="false"/>
            <w:dstrike w:val="false"/>
            <w:color w:val="000000"/>
            <w:sz w:val="20"/>
            <w:u w:val="none"/>
            <w:effect w:val="none"/>
          </w:rPr>
          <w:t>ThinkEquity Fee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the Closing, Parent shall cause to be paid, from the proceeds of the Contemplated Transactions, as applicable and as agreed by the Parties, to ThinkEquity LLC a cash fee equal to five percent (5%) of</w:t>
      </w:r>
      <w:r>
        <w:rPr>
          <w:rFonts w:ascii="times new roman;times" w:hAnsi="times new roman;times"/>
          <w:b w:val="false"/>
          <w:sz w:val="20"/>
        </w:rPr>
        <w:t xml:space="preserve"> </w:t>
      </w:r>
      <w:r>
        <w:rPr>
          <w:rFonts w:ascii="Times New Roman" w:hAnsi="Times New Roman"/>
          <w:b w:val="false"/>
          <w:sz w:val="20"/>
        </w:rPr>
        <w:t>the product of (a) the aggregate number of Consideration Shares issued to Seller and any other recipients of Consideration Shares pursuant to this Agreement and (b) the per-share price of Parent Common Stock sold in the Financing, in each case in accordance with the terms of the ThinkEquity engagement letter set forth in the Company Disclosure Schedule</w:t>
      </w:r>
      <w:r>
        <w:rPr>
          <w:rFonts w:ascii="times new roman;times" w:hAnsi="times new roman;times"/>
          <w:b w:val="false"/>
          <w:sz w:val="20"/>
        </w:rPr>
        <w:t xml:space="preserve"> </w:t>
      </w:r>
      <w:r>
        <w:rPr>
          <w:rFonts w:ascii="Times New Roman" w:hAnsi="Times New Roman"/>
          <w:b w:val="false"/>
          <w:sz w:val="20"/>
        </w:rPr>
        <w:t>provided that</w:t>
      </w:r>
      <w:r>
        <w:rPr>
          <w:rFonts w:ascii="times new roman;times" w:hAnsi="times new roman;times"/>
          <w:b w:val="false"/>
          <w:sz w:val="20"/>
        </w:rPr>
        <w:t xml:space="preserve"> </w:t>
      </w:r>
      <w:r>
        <w:rPr>
          <w:rFonts w:ascii="Times New Roman" w:hAnsi="Times New Roman"/>
          <w:b w:val="false"/>
          <w:sz w:val="20"/>
        </w:rPr>
        <w:t>the cash fee payable</w:t>
      </w:r>
      <w:r>
        <w:rPr>
          <w:rFonts w:ascii="times new roman;times" w:hAnsi="times new roman;times"/>
          <w:b w:val="false"/>
          <w:sz w:val="20"/>
        </w:rPr>
        <w:t xml:space="preserve"> </w:t>
      </w:r>
      <w:r>
        <w:rPr>
          <w:rFonts w:ascii="Times New Roman" w:hAnsi="Times New Roman"/>
          <w:b w:val="false"/>
          <w:sz w:val="20"/>
        </w:rPr>
        <w:t>to</w:t>
      </w:r>
      <w:r>
        <w:rPr>
          <w:rFonts w:ascii="times new roman;times" w:hAnsi="times new roman;times"/>
          <w:b w:val="false"/>
          <w:sz w:val="20"/>
        </w:rPr>
        <w:t xml:space="preserve"> </w:t>
      </w:r>
      <w:r>
        <w:rPr>
          <w:rFonts w:ascii="Times New Roman" w:hAnsi="Times New Roman"/>
          <w:b w:val="false"/>
          <w:sz w:val="20"/>
        </w:rPr>
        <w:t>ThinkEquity</w:t>
      </w:r>
      <w:r>
        <w:rPr>
          <w:rFonts w:ascii="times new roman;times" w:hAnsi="times new roman;times"/>
          <w:b w:val="false"/>
          <w:sz w:val="20"/>
        </w:rPr>
        <w:t xml:space="preserve"> </w:t>
      </w:r>
      <w:r>
        <w:rPr>
          <w:rFonts w:ascii="Times New Roman" w:hAnsi="Times New Roman"/>
          <w:b w:val="false"/>
          <w:sz w:val="20"/>
        </w:rPr>
        <w:t>LLC shall not exceed $1,875,000. This fee shall include any fee that may be payable by CLRO to ThinkEquity LLC in conjunction with the Financing and no additional fee shall be provided for the financing.</w:t>
      </w:r>
    </w:p>
    <w:p>
      <w:pPr>
        <w:pStyle w:val="TextBody"/>
        <w:bidi w:val="0"/>
        <w:spacing w:lineRule="auto" w:line="288"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5.22</w:t>
        </w:r>
      </w:hyperlink>
      <w:hyperlink w:anchor="TOC">
        <w:r>
          <w:rPr>
            <w:rStyle w:val="InternetLink"/>
            <w:rFonts w:ascii="Times New Roman" w:hAnsi="Times New Roman"/>
            <w:b/>
            <w:strike w:val="false"/>
            <w:dstrike w:val="false"/>
            <w:color w:val="000000"/>
            <w:sz w:val="20"/>
            <w:u w:val="none"/>
            <w:effect w:val="none"/>
          </w:rPr>
          <w:t>Advisor Shares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At or prior to the Closing, Parent may issue Advisor Shares to the Persons identified in Part 3.21 of the Parent Disclosure Schedule, provided, however, that the aggregate number of Advisor Shares issued pursuant to this Agreement shall not exceed 855,000</w:t>
      </w:r>
      <w:r>
        <w:rPr>
          <w:rFonts w:ascii="times new roman;times" w:hAnsi="times new roman;times"/>
          <w:b w:val="false"/>
          <w:sz w:val="20"/>
        </w:rPr>
        <w:t xml:space="preserve"> </w:t>
      </w:r>
      <w:r>
        <w:rPr>
          <w:rFonts w:ascii="Times New Roman" w:hAnsi="Times New Roman"/>
          <w:b w:val="false"/>
          <w:sz w:val="20"/>
        </w:rPr>
        <w:t>shares of Parent Common Stock immediately following the Effective Time, calculated</w:t>
      </w:r>
      <w:r>
        <w:rPr>
          <w:rFonts w:ascii="times new roman;times" w:hAnsi="times new roman;times"/>
          <w:b w:val="false"/>
          <w:sz w:val="20"/>
        </w:rPr>
        <w:t xml:space="preserve"> </w:t>
      </w:r>
      <w:r>
        <w:rPr>
          <w:rFonts w:ascii="Times New Roman" w:hAnsi="Times New Roman"/>
          <w:b w:val="false"/>
          <w:sz w:val="20"/>
        </w:rPr>
        <w:t>in a manner consistent with Part 5.22 of the Parent Disclosure Schedule. For the avoidance</w:t>
      </w:r>
      <w:r>
        <w:rPr>
          <w:rFonts w:ascii="times new roman;times" w:hAnsi="times new roman;times"/>
          <w:b w:val="false"/>
          <w:sz w:val="20"/>
        </w:rPr>
        <w:t xml:space="preserve"> </w:t>
      </w:r>
      <w:r>
        <w:rPr>
          <w:rFonts w:ascii="Times New Roman" w:hAnsi="Times New Roman"/>
          <w:b w:val="false"/>
          <w:sz w:val="20"/>
        </w:rPr>
        <w:t>of doubt, the First Finance Waiver shall apply solely to any right of First Finance Ltd. or its Affiliates to receive value in respect of warrants held by it or them and shall not impair any right to receive Advisor Shares expressly provided for in this Agreement or the Parent Disclosure Schedule.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5.23Equity</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Moratorium</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5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During the period commencing on the Closing Date and ending on the date that is the earlier of (i) the date that is 12 months after the Closing Date</w:t>
      </w:r>
      <w:r>
        <w:rPr>
          <w:rFonts w:ascii="times new roman;times" w:hAnsi="times new roman;times"/>
          <w:b w:val="false"/>
          <w:sz w:val="20"/>
        </w:rPr>
        <w:t xml:space="preserve"> </w:t>
      </w:r>
      <w:r>
        <w:rPr>
          <w:rFonts w:ascii="Times New Roman" w:hAnsi="Times New Roman"/>
          <w:b w:val="false"/>
          <w:sz w:val="20"/>
        </w:rPr>
        <w:t>or (ii) the date on which the number of shares owned by the Pre-Closing Parent Stockholders is less than five percent (5%)</w:t>
      </w:r>
      <w:r>
        <w:rPr>
          <w:rFonts w:ascii="times new roman;times" w:hAnsi="times new roman;times"/>
          <w:b w:val="false"/>
          <w:sz w:val="20"/>
        </w:rPr>
        <w:t xml:space="preserve"> </w:t>
      </w:r>
      <w:r>
        <w:rPr>
          <w:rFonts w:ascii="Times New Roman" w:hAnsi="Times New Roman"/>
          <w:b w:val="false"/>
          <w:sz w:val="20"/>
        </w:rPr>
        <w:t>of</w:t>
      </w:r>
      <w:r>
        <w:rPr>
          <w:rFonts w:ascii="times new roman;times" w:hAnsi="times new roman;times"/>
          <w:b w:val="false"/>
          <w:sz w:val="20"/>
        </w:rPr>
        <w:t xml:space="preserve"> </w:t>
      </w:r>
      <w:r>
        <w:rPr>
          <w:rFonts w:ascii="Times New Roman" w:hAnsi="Times New Roman"/>
          <w:b w:val="false"/>
          <w:sz w:val="20"/>
        </w:rPr>
        <w:t>the</w:t>
      </w:r>
      <w:r>
        <w:rPr>
          <w:rFonts w:ascii="times new roman;times" w:hAnsi="times new roman;times"/>
          <w:b w:val="false"/>
          <w:sz w:val="20"/>
        </w:rPr>
        <w:t xml:space="preserve"> </w:t>
      </w:r>
      <w:r>
        <w:rPr>
          <w:rFonts w:ascii="Times New Roman" w:hAnsi="Times New Roman"/>
          <w:b w:val="false"/>
          <w:sz w:val="20"/>
        </w:rPr>
        <w:t>then</w:t>
      </w:r>
      <w:r>
        <w:rPr>
          <w:rFonts w:ascii="times new roman;times" w:hAnsi="times new roman;times"/>
          <w:b w:val="false"/>
          <w:sz w:val="20"/>
        </w:rPr>
        <w:t xml:space="preserve"> </w:t>
      </w:r>
      <w:r>
        <w:rPr>
          <w:rFonts w:ascii="Times New Roman" w:hAnsi="Times New Roman"/>
          <w:b w:val="false"/>
          <w:sz w:val="20"/>
        </w:rPr>
        <w:t xml:space="preserve">total number of outstanding shares of Parent Common Stock (the </w:t>
      </w:r>
      <w:r>
        <w:rPr>
          <w:rFonts w:ascii="times new roman;times" w:hAnsi="times new roman;times"/>
          <w:b w:val="false"/>
          <w:sz w:val="20"/>
        </w:rPr>
        <w:t>“</w:t>
      </w:r>
      <w:r>
        <w:rPr>
          <w:rFonts w:ascii="Times New Roman" w:hAnsi="Times New Roman"/>
          <w:b/>
          <w:i/>
          <w:sz w:val="20"/>
        </w:rPr>
        <w:t>Equity Moratorium Period</w:t>
      </w:r>
      <w:r>
        <w:rPr>
          <w:rFonts w:ascii="times new roman;times" w:hAnsi="times new roman;times"/>
          <w:b w:val="false"/>
          <w:sz w:val="20"/>
        </w:rPr>
        <w:t>”</w:t>
      </w:r>
      <w:r>
        <w:rPr>
          <w:rFonts w:ascii="Times New Roman" w:hAnsi="Times New Roman"/>
          <w:b w:val="false"/>
          <w:sz w:val="20"/>
        </w:rPr>
        <w:t>), provided that if the gross proceeds of the Financing, including the exercise of any Financing Warrants, does not exceed $25,000,000 as of the Financing Warrants</w:t>
      </w:r>
      <w:r>
        <w:rPr>
          <w:rFonts w:ascii="times new roman;times" w:hAnsi="times new roman;times"/>
          <w:b w:val="false"/>
          <w:sz w:val="20"/>
        </w:rPr>
        <w:t xml:space="preserve"> </w:t>
      </w:r>
      <w:r>
        <w:rPr>
          <w:rFonts w:ascii="Times New Roman" w:hAnsi="Times New Roman"/>
          <w:b w:val="false"/>
          <w:sz w:val="20"/>
        </w:rPr>
        <w:t>Expiration Date, then the Equity Moratorium Period will end on the Financing Warrants</w:t>
      </w:r>
      <w:r>
        <w:rPr>
          <w:rFonts w:ascii="times new roman;times" w:hAnsi="times new roman;times"/>
          <w:b w:val="false"/>
          <w:sz w:val="20"/>
        </w:rPr>
        <w:t xml:space="preserve"> </w:t>
      </w:r>
      <w:r>
        <w:rPr>
          <w:rFonts w:ascii="Times New Roman" w:hAnsi="Times New Roman"/>
          <w:b w:val="false"/>
          <w:sz w:val="20"/>
        </w:rPr>
        <w:t>Expiration Date,</w:t>
      </w:r>
      <w:r>
        <w:rPr>
          <w:rFonts w:ascii="times new roman;times" w:hAnsi="times new roman;times"/>
          <w:b w:val="false"/>
          <w:sz w:val="20"/>
        </w:rPr>
        <w:t xml:space="preserve"> </w:t>
      </w:r>
      <w:r>
        <w:rPr>
          <w:rFonts w:ascii="Times New Roman" w:hAnsi="Times New Roman"/>
          <w:b w:val="false"/>
          <w:sz w:val="20"/>
        </w:rPr>
        <w:t xml:space="preserve">Parent shall not, and shall not permit any of its Subsidiaries (including the Surviving Corporation) to, directly or indirectly, issue, sell, grant, pledge, transfer or otherwise dispose of, or authorize the issuance, sale, grant, pledge, transfer or other disposition of, any shares of Parent Common Stock or other equity securities of Parent, or any options, warrants, restricted stock units, deferred stock units, convertible securities, stock appreciation rights, phantom equity or other rights to acquire any equity securities of Parent or any Subsidiary (collectively, </w:t>
      </w:r>
      <w:r>
        <w:rPr>
          <w:rFonts w:ascii="times new roman;times" w:hAnsi="times new roman;times"/>
          <w:b w:val="false"/>
          <w:sz w:val="20"/>
        </w:rPr>
        <w:t>“</w:t>
      </w:r>
      <w:r>
        <w:rPr>
          <w:rFonts w:ascii="Times New Roman" w:hAnsi="Times New Roman"/>
          <w:b/>
          <w:i/>
          <w:sz w:val="20"/>
        </w:rPr>
        <w:t>New Equity Securities</w:t>
      </w:r>
      <w:r>
        <w:rPr>
          <w:rFonts w:ascii="times new roman;times" w:hAnsi="times new roman;times"/>
          <w:b w:val="false"/>
          <w:sz w:val="20"/>
        </w:rPr>
        <w:t>”</w:t>
      </w:r>
      <w:r>
        <w:rPr>
          <w:rFonts w:ascii="Times New Roman" w:hAnsi="Times New Roman"/>
          <w:b w:val="false"/>
          <w:sz w:val="20"/>
        </w:rPr>
        <w:t xml:space="preserve">), except for the following (collectively, </w:t>
      </w:r>
      <w:r>
        <w:rPr>
          <w:rFonts w:ascii="times new roman;times" w:hAnsi="times new roman;times"/>
          <w:b w:val="false"/>
          <w:sz w:val="20"/>
        </w:rPr>
        <w:t>“</w:t>
      </w:r>
      <w:r>
        <w:rPr>
          <w:rFonts w:ascii="Times New Roman" w:hAnsi="Times New Roman"/>
          <w:b/>
          <w:i/>
          <w:sz w:val="20"/>
        </w:rPr>
        <w:t>Permitted Equity Issuances</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val="false"/>
          <w:sz w:val="20"/>
        </w:rPr>
        <w:t>shares of Parent Common Stock issuable upon the valid exercise of Parent Options or Parent Warrants, including the Financing Warrants issued as part of the Financing Units in the Financing, or the valid settlement or vesting of Parent RSUs or Parent RSAs, in each case outstanding as of the Effective Time and in accordance with their terms as in effect on the Closing Date, and the issuance of shares in connection with cashless exercises thereof and sales of shares solely to satisfy tax withholding obligations;</w:t>
      </w:r>
      <w:r>
        <w:rPr>
          <w:rFonts w:ascii="times new roman;times" w:hAnsi="times new roman;times"/>
          <w:b w:val="false"/>
          <w:sz w:val="20"/>
        </w:rPr>
        <w:t xml:space="preserve"> </w:t>
      </w:r>
      <w:r>
        <w:rPr>
          <w:rFonts w:ascii="Times New Roman" w:hAnsi="Times New Roman"/>
          <w:b w:val="false"/>
          <w:sz w:val="20"/>
        </w:rPr>
        <w:t>provided, that the aggregate number of shares of Parent Common Stock issuable upon exercise of the Financing Warrants shall not exceed the number of Financing Units issued in the Financing;</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the Permitted Closing Option Grant expressly permitted by </w:t>
      </w:r>
      <w:r>
        <w:rPr>
          <w:rFonts w:ascii="Times New Roman" w:hAnsi="Times New Roman"/>
          <w:b w:val="false"/>
          <w:sz w:val="20"/>
          <w:u w:val="single"/>
        </w:rPr>
        <w:t>Section 5.5(b)</w:t>
      </w:r>
      <w:r>
        <w:rPr>
          <w:rFonts w:ascii="Times New Roman" w:hAnsi="Times New Roman"/>
          <w:b w:val="false"/>
          <w:sz w:val="20"/>
        </w:rPr>
        <w:t>, on the terms and conditions set forth therein and in Part 5.5 of the Parent Disclosure Schedule;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shares of Parent Common Stock issued in connection with a stock split, stock dividend, recapitalization, reclassification or similar event affecting all holders of Parent Common Stock on a pro rata basis without exception, approved by the Parent Board of Directors (including the affirmative vote of the Pre-Closing Parent Stockholder Director);</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shares of Parent Common Stock issued as direct consideration in a bona fide arm</w:t>
      </w:r>
      <w:r>
        <w:rPr>
          <w:rFonts w:ascii="times new roman;times" w:hAnsi="times new roman;times"/>
          <w:b w:val="false"/>
          <w:sz w:val="20"/>
        </w:rPr>
        <w:t>’</w:t>
      </w:r>
      <w:r>
        <w:rPr>
          <w:rFonts w:ascii="Times New Roman" w:hAnsi="Times New Roman"/>
          <w:b w:val="false"/>
          <w:sz w:val="20"/>
        </w:rPr>
        <w:t>s-length merger, acquisition, business combination, joint venture, strategic alliance or similar transaction (and not as compensation to employees, consultants or service providers of Parent or any of its Subsidiaries) approved by the Parent Board of Directors (including the affirmative vote of the Pre-Closing Parent Stockholder Director), provided that (A) the aggregate number of shares so issued during the Equity Moratorium Period shall not exceed 10% of the total issued and outstanding Parent Common Stock as of the Effective Time, and (B) to the extent any such transaction involves Seller or any Affiliate of Seller as a counterparty, such transaction shall require the prior written approval of the holders of a majority of the shares of Parent Common Stock held by the Pre-Closing Parent Stockholders, voting as a separate group, and the terms of such transaction shall be no less favorable to Parent than would be obtained in an arm</w:t>
      </w:r>
      <w:r>
        <w:rPr>
          <w:rFonts w:ascii="times new roman;times" w:hAnsi="times new roman;times"/>
          <w:b w:val="false"/>
          <w:sz w:val="20"/>
        </w:rPr>
        <w:t>’</w:t>
      </w:r>
      <w:r>
        <w:rPr>
          <w:rFonts w:ascii="Times New Roman" w:hAnsi="Times New Roman"/>
          <w:b w:val="false"/>
          <w:sz w:val="20"/>
        </w:rPr>
        <w:t>s-length transaction with an unaffiliated third party;</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45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 xml:space="preserve">shares of Parent Common Stock or other securities required to be issued by applicable Law, any Order of a court of competent jurisdiction or any Governmental Body, or any binding contractual obligation of Parent existing as of the Closing Date and disclosed on </w:t>
      </w:r>
      <w:r>
        <w:rPr>
          <w:rFonts w:ascii="Times New Roman" w:hAnsi="Times New Roman"/>
          <w:b w:val="false"/>
          <w:sz w:val="20"/>
          <w:u w:val="single"/>
        </w:rPr>
        <w:t>Schedule 5.23</w:t>
      </w:r>
      <w:r>
        <w:rPr>
          <w:rFonts w:ascii="Times New Roman" w:hAnsi="Times New Roman"/>
          <w:b w:val="false"/>
          <w:sz w:val="20"/>
        </w:rPr>
        <w:t>; and</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(vi)</w:t>
      </w:r>
      <w:r>
        <w:rPr>
          <w:rFonts w:ascii="Times New Roman" w:hAnsi="Times New Roman"/>
          <w:b w:val="false"/>
          <w:sz w:val="20"/>
        </w:rPr>
        <w:t>such other issuances as may be approved by the affirmative vote of the holders of a majority of the outstanding shares of Parent Common Stock held by the Pre-Closing Parent Stockholders, voting as a separate group, after such holders have determined in good faith that such issuance is in the best interests of Parent and the Pre-Closing Parent Stockholders.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Any issuance of New Equity Securities during the Equity Moratorium Period that is not a Permitted Equity Issuance shall require the prior approval of (i) the Parent Board of Directors (including the affirmative vote of the Pre-Closing Parent Stockholder Director) and (ii) the holders of not less than sixty-six and two-thirds percent (66⅔%) of the total voting power of all outstanding shares of Parent Common Stock entitled to vote thereon, voting together as a single class.</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Equity Plan Restrictions. During the Equity Moratorium Period:</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val="false"/>
          <w:sz w:val="20"/>
        </w:rPr>
        <w:t xml:space="preserve">neither Parent nor any of its Subsidiaries (including the Surviving Corporation) shall adopt any new equity incentive plan, stock option plan, stock purchase plan, profit-sharing plan, phantom equity plan, stock appreciation rights plan or any other plan, program or arrangement providing for equity-based or equity-linked compensation (collectively, </w:t>
      </w:r>
      <w:r>
        <w:rPr>
          <w:rFonts w:ascii="times new roman;times" w:hAnsi="times new roman;times"/>
          <w:b w:val="false"/>
          <w:sz w:val="20"/>
        </w:rPr>
        <w:t>“</w:t>
      </w:r>
      <w:r>
        <w:rPr>
          <w:rFonts w:ascii="Times New Roman" w:hAnsi="Times New Roman"/>
          <w:b/>
          <w:i/>
          <w:sz w:val="20"/>
        </w:rPr>
        <w:t>Equity Plans</w:t>
      </w:r>
      <w:r>
        <w:rPr>
          <w:rFonts w:ascii="times new roman;times" w:hAnsi="times new roman;times"/>
          <w:b w:val="false"/>
          <w:sz w:val="20"/>
        </w:rPr>
        <w:t>”</w:t>
      </w:r>
      <w:r>
        <w:rPr>
          <w:rFonts w:ascii="Times New Roman" w:hAnsi="Times New Roman"/>
          <w:b w:val="false"/>
          <w:sz w:val="20"/>
        </w:rPr>
        <w:t>);</w:t>
      </w:r>
    </w:p>
    <w:p>
      <w:pPr>
        <w:pStyle w:val="TextBody"/>
        <w:bidi w:val="0"/>
        <w:spacing w:lineRule="auto" w:line="288" w:before="0" w:after="240"/>
        <w:ind w:left="0" w:right="52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neither Parent nor any of its Subsidiaries shall amend, supplement or modify any existing Equity Plan to (A) increase the number of shares reserved for issuance thereunder, (B) expand the class of persons eligible to receive awards thereunder, (C) permit the repricing, exchange or cash buyout of outstanding awards, or (D) extend the term</w:t>
      </w:r>
      <w:r>
        <w:rPr>
          <w:rFonts w:ascii="times new roman;times" w:hAnsi="times new roman;times"/>
          <w:b w:val="false"/>
          <w:sz w:val="20"/>
        </w:rPr>
        <w:t xml:space="preserve"> </w:t>
      </w:r>
      <w:r>
        <w:rPr>
          <w:rFonts w:ascii="Times New Roman" w:hAnsi="Times New Roman"/>
          <w:b w:val="false"/>
          <w:sz w:val="20"/>
        </w:rPr>
        <w:t>or modify the vesting schedule of any outstanding award in a manner that would be more favorable to the holder thereof than the terms in effect as of the Closing Date; and</w:t>
      </w:r>
    </w:p>
    <w:p>
      <w:pPr>
        <w:pStyle w:val="TextBody"/>
        <w:bidi w:val="0"/>
        <w:spacing w:lineRule="auto" w:line="288" w:before="0" w:after="240"/>
        <w:ind w:left="0" w:right="48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the restrictions in clauses (i) and (ii) of this </w:t>
      </w:r>
      <w:r>
        <w:rPr>
          <w:rFonts w:ascii="Times New Roman" w:hAnsi="Times New Roman"/>
          <w:b w:val="false"/>
          <w:sz w:val="20"/>
          <w:u w:val="single"/>
        </w:rPr>
        <w:t>Section 5.23(c)</w:t>
      </w:r>
      <w:r>
        <w:rPr>
          <w:rFonts w:ascii="times new roman;times" w:hAnsi="times new roman;times"/>
          <w:b w:val="false"/>
          <w:sz w:val="20"/>
        </w:rPr>
        <w:t xml:space="preserve"> </w:t>
      </w:r>
      <w:r>
        <w:rPr>
          <w:rFonts w:ascii="Times New Roman" w:hAnsi="Times New Roman"/>
          <w:b w:val="false"/>
          <w:sz w:val="20"/>
        </w:rPr>
        <w:t>may not be waived or modified except with the prior written consent of the holders of a majority of the outstanding shares of Parent Common Stock held by the Pre-Closing Parent Stockholders, voting as a separate group.</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Third-Party Beneficiary Rights; Enforcement.</w:t>
      </w:r>
    </w:p>
    <w:p>
      <w:pPr>
        <w:pStyle w:val="TextBody"/>
        <w:bidi w:val="0"/>
        <w:spacing w:lineRule="auto" w:line="288" w:before="0" w:after="240"/>
        <w:ind w:left="0" w:right="54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are intended for the benefit of, and shall be enforceable by, the Pre-Closing Parent Stockholders as express third-party beneficiaries of this Agreement.</w:t>
      </w:r>
      <w:r>
        <w:rPr>
          <w:rFonts w:ascii="times new roman;times" w:hAnsi="times new roman;times"/>
          <w:b w:val="false"/>
          <w:sz w:val="20"/>
        </w:rPr>
        <w:t xml:space="preserve"> </w:t>
      </w:r>
      <w:r>
        <w:rPr>
          <w:rFonts w:ascii="Times New Roman" w:hAnsi="Times New Roman"/>
          <w:b w:val="false"/>
          <w:sz w:val="20"/>
        </w:rPr>
        <w:t xml:space="preserve">The rights of the Pre-Closing Parent Stockholders under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 xml:space="preserve">Sections 5.13(d)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shall not be modified, amended or waived without the prior written consent of the holders of a majority of the outstanding shares of Parent Common Stock held by the Pre-Closing Parent Stockholders, and any purported modification, amendment or waiver without such consent shall be void and of no force or effect.</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Any Pre-Closing Parent Stockholder holding, individually or together with other Pre-Closing Parent Stockholders acting in concert, not less than five</w:t>
      </w:r>
      <w:r>
        <w:rPr>
          <w:rFonts w:ascii="times new roman;times" w:hAnsi="times new roman;times"/>
          <w:b w:val="false"/>
          <w:sz w:val="20"/>
        </w:rPr>
        <w:t xml:space="preserve"> </w:t>
      </w:r>
      <w:r>
        <w:rPr>
          <w:rFonts w:ascii="Times New Roman" w:hAnsi="Times New Roman"/>
          <w:b w:val="false"/>
          <w:sz w:val="20"/>
        </w:rPr>
        <w:t xml:space="preserve">percent (5%) of the outstanding shares of Parent Common Stock in the aggregate as of the date of enforcement (the </w:t>
      </w:r>
      <w:r>
        <w:rPr>
          <w:rFonts w:ascii="times new roman;times" w:hAnsi="times new roman;times"/>
          <w:b w:val="false"/>
          <w:sz w:val="20"/>
        </w:rPr>
        <w:t>“</w:t>
      </w:r>
      <w:r>
        <w:rPr>
          <w:rFonts w:ascii="Times New Roman" w:hAnsi="Times New Roman"/>
          <w:b/>
          <w:i/>
          <w:sz w:val="20"/>
        </w:rPr>
        <w:t>Enforcement Threshold</w:t>
      </w:r>
      <w:r>
        <w:rPr>
          <w:rFonts w:ascii="times new roman;times" w:hAnsi="times new roman;times"/>
          <w:b w:val="false"/>
          <w:sz w:val="20"/>
        </w:rPr>
        <w:t>”</w:t>
      </w:r>
      <w:r>
        <w:rPr>
          <w:rFonts w:ascii="Times New Roman" w:hAnsi="Times New Roman"/>
          <w:b w:val="false"/>
          <w:sz w:val="20"/>
        </w:rPr>
        <w:t>),</w:t>
      </w:r>
      <w:r>
        <w:rPr>
          <w:rFonts w:ascii="times new roman;times" w:hAnsi="times new roman;times"/>
          <w:b w:val="false"/>
          <w:sz w:val="20"/>
        </w:rPr>
        <w:t xml:space="preserve"> </w:t>
      </w:r>
      <w:r>
        <w:rPr>
          <w:rFonts w:ascii="Times New Roman" w:hAnsi="Times New Roman"/>
          <w:b w:val="false"/>
          <w:sz w:val="20"/>
        </w:rPr>
        <w:t xml:space="preserve">shall have the right to enforce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directly against Parent, Seller or any other party to this Agreement, including by seeking specific performance, injunctive relief, damages or any other remedy available at Law or in equity, provided that once the Pre-Closing Parent Stockholders collectively own less than five percent (5%) of the outstanding shares of Parent Common Stock this Enforcement Threshold cannot be regained by purchasing new shares.</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Any Pre-Closing Parent Stockholder or group of Pre-Closing Parent Stockholders meeting the Enforcement Threshold may enforce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times" w:hAnsi="times new roman;times"/>
          <w:b w:val="false"/>
          <w:sz w:val="20"/>
        </w:rPr>
        <w:t xml:space="preserve"> </w:t>
      </w:r>
      <w:r>
        <w:rPr>
          <w:rFonts w:ascii="Times New Roman" w:hAnsi="Times New Roman"/>
          <w:b w:val="false"/>
          <w:sz w:val="20"/>
        </w:rPr>
        <w:t>directly, without the need for prior notice to, or approval by, any committee, director or other intermediary.</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 xml:space="preserve">(iv) Parent shall reimburse the reasonable and documented out-of-pocket legal fees and expenses incurred by any Pre-Closing Parent Stockholder in successfully enforcing the provisions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as determined by a court of competent jurisdiction in a final, non-appealable order.</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r>
    </w:p>
    <w:p>
      <w:pPr>
        <w:pStyle w:val="TextBody"/>
        <w:bidi w:val="0"/>
        <w:spacing w:lineRule="auto" w:line="288" w:before="0" w:after="240"/>
        <w:ind w:left="60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 w:hAnsi="Times New Roman"/>
          <w:b w:val="false"/>
          <w:sz w:val="20"/>
        </w:rPr>
        <w:t>Remedies.</w:t>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The Parties acknowledge and agree that the Pre-Closing Parent Stockholders would be irreparably harmed by any breach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xml:space="preserve">, that monetary damages alone would not be an adequate remedy for such breach, and that specific performance and injunctive relief are appropriate remedies to enforce such provisions. Accordingly, in the event of any actual or threatened breach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Sections 5.13(d)</w:t>
      </w:r>
      <w:r>
        <w:rPr>
          <w:rFonts w:ascii="times new roman;times" w:hAnsi="times new roman;times"/>
          <w:b w:val="false"/>
          <w:sz w:val="20"/>
        </w:rPr>
        <w:t xml:space="preserve"> </w:t>
      </w:r>
      <w:r>
        <w:rPr>
          <w:rFonts w:ascii="Times New Roman" w:hAnsi="Times New Roman"/>
          <w:b w:val="false"/>
          <w:sz w:val="20"/>
        </w:rPr>
        <w:t xml:space="preserve">through </w:t>
      </w:r>
      <w:r>
        <w:rPr>
          <w:rFonts w:ascii="Times New Roman" w:hAnsi="Times New Roman"/>
          <w:b w:val="false"/>
          <w:sz w:val="20"/>
          <w:u w:val="single"/>
        </w:rPr>
        <w:t>5.13(g)</w:t>
      </w:r>
      <w:r>
        <w:rPr>
          <w:rFonts w:ascii="Times New Roman" w:hAnsi="Times New Roman"/>
          <w:b w:val="false"/>
          <w:sz w:val="20"/>
        </w:rPr>
        <w:t>, the Pre-Closing Parent Stockholders meeting the Enforcement Threshold shall be entitled to seek and obtain specific performance and temporary, preliminary and permanent injunctive relief from any court of competent jurisdiction, without the necessity of proving actual damages or posting any bond or other security.</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 xml:space="preserve">Any issuance of New Equity Securities made in violation of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be voidable at the election of the holders of a majority of the outstanding shares of Parent Common Stock held by the Pre-Closing Parent Stockholders, voting as a separate group, as against the recipient(s) thereof; provided that this clause (ii) shall not apply to the extent the recipient is a bona fide third-party purchaser for value who acquired the applicable securities in an open market transaction or a registered public offering without actual knowledge of the violation.</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 xml:space="preserve">In addition to the remedies set forth in clauses (i) and (ii) of this </w:t>
      </w:r>
      <w:r>
        <w:rPr>
          <w:rFonts w:ascii="Times New Roman" w:hAnsi="Times New Roman"/>
          <w:b w:val="false"/>
          <w:sz w:val="20"/>
          <w:u w:val="single"/>
        </w:rPr>
        <w:t>Section 5.23(e)</w:t>
      </w:r>
      <w:r>
        <w:rPr>
          <w:rFonts w:ascii="Times New Roman" w:hAnsi="Times New Roman"/>
          <w:b w:val="false"/>
          <w:sz w:val="20"/>
        </w:rPr>
        <w:t>, in the event of any Prohibited Issuance, Seller shall indemnify and hold harmless each Pre-Closing Parent Stockholder for any and all damages, losses and diminution in value suffered by such Pre-Closing Parent Stockholder as a direct result of the dilution caused by such Prohibited Issuance, calculated as the difference between (A) the value of such Pre-Closing Parent Stockholder</w:t>
      </w:r>
      <w:r>
        <w:rPr>
          <w:rFonts w:ascii="times new roman;times" w:hAnsi="times new roman;times"/>
          <w:b w:val="false"/>
          <w:sz w:val="20"/>
        </w:rPr>
        <w:t>’</w:t>
      </w:r>
      <w:r>
        <w:rPr>
          <w:rFonts w:ascii="Times New Roman" w:hAnsi="Times New Roman"/>
          <w:b w:val="false"/>
          <w:sz w:val="20"/>
        </w:rPr>
        <w:t>s shares of Parent Common Stock immediately prior to the Prohibited Issuance (based on the closing price of Parent Common Stock on the trading day immediately preceding the Prohibited Issuance) and (B) the value of such Pre-Closing Parent Stockholder</w:t>
      </w:r>
      <w:r>
        <w:rPr>
          <w:rFonts w:ascii="times new roman;times" w:hAnsi="times new roman;times"/>
          <w:b w:val="false"/>
          <w:sz w:val="20"/>
        </w:rPr>
        <w:t>’</w:t>
      </w:r>
      <w:r>
        <w:rPr>
          <w:rFonts w:ascii="Times New Roman" w:hAnsi="Times New Roman"/>
          <w:b w:val="false"/>
          <w:sz w:val="20"/>
        </w:rPr>
        <w:t>s shares of Parent Common Stock immediately following the Prohibited Issuance (based on the closing price of Parent Common Stock on the first full trading day following public disclosure of the Prohibited Issuance), multiplied by the number of shares of Parent Common Stock held by such Pre-Closing Parent Stockholder as of immediately prior to the Prohibited Issuance.</w:t>
      </w:r>
    </w:p>
    <w:p>
      <w:pPr>
        <w:pStyle w:val="TextBody"/>
        <w:bidi w:val="0"/>
        <w:spacing w:lineRule="auto" w:line="288" w:before="0" w:after="240"/>
        <w:ind w:left="0" w:right="45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 xml:space="preserve">The remedies set forth in this </w:t>
      </w:r>
      <w:r>
        <w:rPr>
          <w:rFonts w:ascii="Times New Roman" w:hAnsi="Times New Roman"/>
          <w:b w:val="false"/>
          <w:sz w:val="20"/>
          <w:u w:val="single"/>
        </w:rPr>
        <w:t>Section 5.23(e)</w:t>
      </w:r>
      <w:r>
        <w:rPr>
          <w:rFonts w:ascii="times new roman;times" w:hAnsi="times new roman;times"/>
          <w:b w:val="false"/>
          <w:sz w:val="20"/>
        </w:rPr>
        <w:t xml:space="preserve"> </w:t>
      </w:r>
      <w:r>
        <w:rPr>
          <w:rFonts w:ascii="Times New Roman" w:hAnsi="Times New Roman"/>
          <w:b w:val="false"/>
          <w:sz w:val="20"/>
        </w:rPr>
        <w:t>are cumulative and not exclusive of any other remedies available at Law or in equity.</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val="false"/>
          <w:sz w:val="20"/>
        </w:rPr>
        <w:t xml:space="preserve">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survive the Closing and shall remain in full force and effect until the expiration of the Equity Moratorium Period. For the avoidance of doubt, the provisions of</w:t>
      </w:r>
      <w:r>
        <w:rPr>
          <w:rFonts w:ascii="times new roman;times" w:hAnsi="times new roman;times"/>
          <w:b w:val="false"/>
          <w:sz w:val="20"/>
          <w:u w:val="single"/>
        </w:rPr>
        <w:t xml:space="preserve"> </w:t>
      </w:r>
      <w:r>
        <w:rPr>
          <w:rFonts w:ascii="Times New Roman" w:hAnsi="Times New Roman"/>
          <w:b w:val="false"/>
          <w:sz w:val="20"/>
          <w:u w:val="single"/>
        </w:rPr>
        <w:t>Section 10.1</w:t>
      </w:r>
      <w:r>
        <w:rPr>
          <w:rFonts w:ascii="times new roman;times" w:hAnsi="times new roman;times"/>
          <w:b w:val="false"/>
          <w:sz w:val="20"/>
        </w:rPr>
        <w:t xml:space="preserve"> </w:t>
      </w:r>
      <w:r>
        <w:rPr>
          <w:rFonts w:ascii="Times New Roman" w:hAnsi="Times New Roman"/>
          <w:b w:val="false"/>
          <w:sz w:val="20"/>
        </w:rPr>
        <w:t xml:space="preserve">(Non-Survival) shall not limit the survival of this </w:t>
      </w:r>
      <w:r>
        <w:rPr>
          <w:rFonts w:ascii="Times New Roman" w:hAnsi="Times New Roman"/>
          <w:b w:val="false"/>
          <w:sz w:val="20"/>
          <w:u w:val="single"/>
        </w:rPr>
        <w:t>Section 5.23</w:t>
      </w:r>
      <w:r>
        <w:rPr>
          <w:rFonts w:ascii="times new roman;times" w:hAnsi="times new roman;times"/>
          <w:b w:val="false"/>
          <w:sz w:val="20"/>
          <w:u w:val="single"/>
        </w:rPr>
        <w:t xml:space="preserve"> </w:t>
      </w:r>
      <w:r>
        <w:rPr>
          <w:rFonts w:ascii="Times New Roman" w:hAnsi="Times New Roman"/>
          <w:b w:val="false"/>
          <w:sz w:val="20"/>
          <w:u w:val="single"/>
        </w:rPr>
        <w:t>during the Equity Moratorium Period</w:t>
      </w:r>
      <w:r>
        <w:rPr>
          <w:rFonts w:ascii="Times New Roman" w:hAnsi="Times New Roman"/>
          <w:b w:val="false"/>
          <w:sz w:val="20"/>
        </w:rPr>
        <w:t>.</w:t>
      </w:r>
    </w:p>
    <w:p>
      <w:pPr>
        <w:pStyle w:val="TextBody"/>
        <w:bidi w:val="0"/>
        <w:spacing w:lineRule="auto" w:line="288" w:before="0" w:after="240"/>
        <w:ind w:left="0" w:right="54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val="false"/>
          <w:sz w:val="20"/>
        </w:rPr>
        <w:t xml:space="preserve">The restrictions set forth in this </w:t>
      </w:r>
      <w:r>
        <w:rPr>
          <w:rFonts w:ascii="Times New Roman" w:hAnsi="Times New Roman"/>
          <w:b w:val="false"/>
          <w:sz w:val="20"/>
          <w:u w:val="single"/>
        </w:rPr>
        <w:t>Section 5.23</w:t>
      </w:r>
      <w:r>
        <w:rPr>
          <w:rFonts w:ascii="times new roman;times" w:hAnsi="times new roman;times"/>
          <w:b w:val="false"/>
          <w:sz w:val="20"/>
        </w:rPr>
        <w:t xml:space="preserve"> </w:t>
      </w:r>
      <w:r>
        <w:rPr>
          <w:rFonts w:ascii="Times New Roman" w:hAnsi="Times New Roman"/>
          <w:b w:val="false"/>
          <w:sz w:val="20"/>
        </w:rPr>
        <w:t>shall be binding on Parent and the Surviving Corporation and shall not be amended, modified or waived without the prior written consent of the holders of a majority of the shares of Parent Common Stock held by Pre-Closing Parent Stockholders.</w:t>
      </w:r>
    </w:p>
    <w:p>
      <w:pPr>
        <w:pStyle w:val="TextBody"/>
        <w:bidi w:val="0"/>
        <w:spacing w:lineRule="auto" w:line="288" w:before="0" w:after="240"/>
        <w:ind w:left="0" w:right="57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 w:hAnsi="Times New Roman"/>
          <w:b w:val="false"/>
          <w:sz w:val="20"/>
        </w:rPr>
        <w:t>For the avoidance of doubt, the Equity Moratorium shall not restrict the ability of any stockholder of Parent, including Seller, to sell, transfer or otherwise dispose of shares of Parent Common Stock held by such stockholder, subject to the Lock-Up Agreement and applicable securities Laws.</w:t>
      </w:r>
    </w:p>
    <w:p>
      <w:pPr>
        <w:pStyle w:val="TextBody"/>
        <w:bidi w:val="0"/>
        <w:spacing w:lineRule="auto" w:line="288" w:before="0" w:after="240"/>
        <w:ind w:left="0" w:right="61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 xml:space="preserve">Parent shall include in each annual and quarterly report filed with the SEC during the Equity Moratorium Period a disclosure of the number of shares of Parent Common Stock issued during such period, the basis for each such issuance, and whether each such issuance constituted a Permitted Equity Issuance. Parent shall, within five (5) Business Days following any Permitted Equity Issuance (other than issuances under clauses (i), (ii) and (iii) of </w:t>
      </w:r>
      <w:r>
        <w:rPr>
          <w:rFonts w:ascii="Times New Roman" w:hAnsi="Times New Roman"/>
          <w:b w:val="false"/>
          <w:sz w:val="20"/>
          <w:u w:val="single"/>
        </w:rPr>
        <w:t>Section 5.23(a)</w:t>
      </w:r>
      <w:r>
        <w:rPr>
          <w:rFonts w:ascii="Times New Roman" w:hAnsi="Times New Roman"/>
          <w:b w:val="false"/>
          <w:sz w:val="20"/>
        </w:rPr>
        <w:t xml:space="preserve">), file a Current Report on Form 8-K (or equivalent public disclosure) disclosing the material terms of such issuance, including the number of shares issued, the price per share, the identity of the recipient(s) (unless confidential treatment is required by applicable Law), and the specific clause of </w:t>
      </w:r>
      <w:r>
        <w:rPr>
          <w:rFonts w:ascii="Times New Roman" w:hAnsi="Times New Roman"/>
          <w:b w:val="false"/>
          <w:sz w:val="20"/>
          <w:u w:val="single"/>
        </w:rPr>
        <w:t>Section 5.23(a)</w:t>
      </w:r>
      <w:r>
        <w:rPr>
          <w:rFonts w:ascii="times new roman;times" w:hAnsi="times new roman;times"/>
          <w:b w:val="false"/>
          <w:sz w:val="20"/>
        </w:rPr>
        <w:t xml:space="preserve"> </w:t>
      </w:r>
      <w:r>
        <w:rPr>
          <w:rFonts w:ascii="Times New Roman" w:hAnsi="Times New Roman"/>
          <w:b w:val="false"/>
          <w:sz w:val="20"/>
        </w:rPr>
        <w:t>pursuant to which such issuance was made. Parent shall simultaneously provide a copy of such disclosure to the holder of the Pre-Closing Parent Stockholder Board Seat and, to the extent reasonably practicable, to each Pre-Closing Parent Stockholder of record.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5.24Seller</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Voting</w:t>
        </w:r>
      </w:hyperlink>
      <w:hyperlink w:anchor="TOC">
        <w:r>
          <w:rPr>
            <w:rStyle w:val="InternetLink"/>
            <w:rFonts w:ascii="times new roman;times" w:hAnsi="times new roman;times"/>
            <w:b w:val="false"/>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Agreement</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val="false"/>
          <w:sz w:val="20"/>
        </w:rPr>
        <w:t>As a condition to the Closing, Seller shall execute and deliver to Parent, concurrently with the Closing, a Seller Voting Agreement, in form</w:t>
      </w:r>
      <w:r>
        <w:rPr>
          <w:rFonts w:ascii="times new roman;times" w:hAnsi="times new roman;times"/>
          <w:b w:val="false"/>
          <w:sz w:val="20"/>
        </w:rPr>
        <w:t xml:space="preserve"> </w:t>
      </w:r>
      <w:r>
        <w:rPr>
          <w:rFonts w:ascii="Times New Roman" w:hAnsi="Times New Roman"/>
          <w:b w:val="false"/>
          <w:sz w:val="20"/>
        </w:rPr>
        <w:t xml:space="preserve">and substance reasonably satisfactory to Parent and Seller, pursuant to which Seller shall agree, for so long as Seller and its controlled Affiliates collectively hold shares of Parent Common Stock representing more than fifty percent (50%) of the total voting power of all outstanding shares of Parent Common Stock (the </w:t>
      </w:r>
      <w:r>
        <w:rPr>
          <w:rFonts w:ascii="times new roman;times" w:hAnsi="times new roman;times"/>
          <w:b w:val="false"/>
          <w:sz w:val="20"/>
        </w:rPr>
        <w:t>“</w:t>
      </w:r>
      <w:r>
        <w:rPr>
          <w:rFonts w:ascii="Times New Roman" w:hAnsi="Times New Roman"/>
          <w:b/>
          <w:i/>
          <w:sz w:val="20"/>
        </w:rPr>
        <w:t>Seller Voting Agreement Period</w:t>
      </w:r>
      <w:r>
        <w:rPr>
          <w:rFonts w:ascii="times new roman;times" w:hAnsi="times new roman;times"/>
          <w:b w:val="false"/>
          <w:sz w:val="20"/>
        </w:rPr>
        <w:t>”</w:t>
      </w:r>
      <w:r>
        <w:rPr>
          <w:rFonts w:ascii="Times New Roman" w:hAnsi="Times New Roman"/>
          <w:b w:val="false"/>
          <w:sz w:val="20"/>
        </w:rPr>
        <w:t>), as follows:</w:t>
      </w:r>
    </w:p>
    <w:p>
      <w:pPr>
        <w:pStyle w:val="TextBody"/>
        <w:bidi w:val="0"/>
        <w:spacing w:lineRule="auto" w:line="288" w:before="0" w:after="240"/>
        <w:ind w:left="0" w:right="54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 w:hAnsi="Times New Roman"/>
          <w:b w:val="false"/>
          <w:sz w:val="20"/>
        </w:rPr>
        <w:t>Seller shall vote, and shall cause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to vote, all shares of Parent Common Stock held by Seller and its controlled</w:t>
      </w:r>
      <w:r>
        <w:rPr>
          <w:rFonts w:ascii="times new roman;times" w:hAnsi="times new roman;times"/>
          <w:b w:val="false"/>
          <w:sz w:val="20"/>
        </w:rPr>
        <w:t xml:space="preserve"> </w:t>
      </w:r>
      <w:r>
        <w:rPr>
          <w:rFonts w:ascii="Times New Roman" w:hAnsi="Times New Roman"/>
          <w:b w:val="false"/>
          <w:sz w:val="20"/>
        </w:rPr>
        <w:t>Affiliates in favor of the election of the Pre-Closing Parent Stockholder Director nominee designated by the holders of a majority of the shares of Parent Common Stock held by Pre-Closing Parent Stockholders, at each annual or special meeting of stockholders at which directors are to be elected, and in connection with any written consent of stockholders relating to the election of directors;</w:t>
      </w:r>
    </w:p>
    <w:p>
      <w:pPr>
        <w:pStyle w:val="TextBody"/>
        <w:bidi w:val="0"/>
        <w:spacing w:lineRule="auto" w:line="288" w:before="0" w:after="240"/>
        <w:ind w:left="0" w:right="49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w:t>
      </w:r>
      <w:r>
        <w:rPr>
          <w:rFonts w:ascii="Times New Roman" w:hAnsi="Times New Roman"/>
          <w:b w:val="false"/>
          <w:sz w:val="20"/>
        </w:rPr>
        <w:t>Seller shall not vote, and shall cause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not to vote, any shares of Parent Common Stock held by Seller or its controlled</w:t>
      </w:r>
      <w:r>
        <w:rPr>
          <w:rFonts w:ascii="times new roman;times" w:hAnsi="times new roman;times"/>
          <w:b w:val="false"/>
          <w:sz w:val="20"/>
        </w:rPr>
        <w:t xml:space="preserve"> </w:t>
      </w:r>
      <w:r>
        <w:rPr>
          <w:rFonts w:ascii="Times New Roman" w:hAnsi="Times New Roman"/>
          <w:b w:val="false"/>
          <w:sz w:val="20"/>
        </w:rPr>
        <w:t xml:space="preserve">Affiliates in favor of the removal of the Pre-Closing Parent Stockholder Director, except for Cause as defined in </w:t>
      </w:r>
      <w:r>
        <w:rPr>
          <w:rFonts w:ascii="Times New Roman" w:hAnsi="Times New Roman"/>
          <w:b w:val="false"/>
          <w:sz w:val="20"/>
          <w:u w:val="single"/>
        </w:rPr>
        <w:t>Section 5.13(e)</w:t>
      </w:r>
      <w:r>
        <w:rPr>
          <w:rFonts w:ascii="Times New Roman" w:hAnsi="Times New Roman"/>
          <w:b w:val="false"/>
          <w:sz w:val="20"/>
        </w:rPr>
        <w:t>;</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(iii)</w:t>
      </w:r>
      <w:r>
        <w:rPr>
          <w:rFonts w:ascii="Times New Roman" w:hAnsi="Times New Roman"/>
          <w:b w:val="false"/>
          <w:sz w:val="20"/>
        </w:rPr>
        <w:t>Seller shall vote, and shall cause its controlled Affiliates to vote, all shares of Parent Common Stock held by Seller and its controlled Affiliates against any amendment, alteration or repeal of any provision of the articles of incorporation or bylaws of Parent that would eliminate, reduce or materially impair (A) the right of the Pre-Closing Parent Stockholders to designate or nominate the Pre-Closing Parent Stockholder Director, (B) the Equity Moratorium, or (C) any other governance protection expressly established for the benefit of the Pre-Closing Parent Stockholders pursuant to this Agreement;</w:t>
      </w:r>
    </w:p>
    <w:p>
      <w:pPr>
        <w:pStyle w:val="TextBody"/>
        <w:bidi w:val="0"/>
        <w:spacing w:lineRule="auto" w:line="288" w:before="0" w:after="240"/>
        <w:ind w:left="0" w:right="435"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(iv)</w:t>
      </w:r>
      <w:r>
        <w:rPr>
          <w:rFonts w:ascii="Times New Roman" w:hAnsi="Times New Roman"/>
          <w:b w:val="false"/>
          <w:sz w:val="20"/>
        </w:rPr>
        <w:t>Seller shall not vote, and shall cause its controlled</w:t>
      </w:r>
      <w:r>
        <w:rPr>
          <w:rFonts w:ascii="times new roman;times" w:hAnsi="times new roman;times"/>
          <w:b w:val="false"/>
          <w:sz w:val="20"/>
        </w:rPr>
        <w:t xml:space="preserve"> </w:t>
      </w:r>
      <w:r>
        <w:rPr>
          <w:rFonts w:ascii="Times New Roman" w:hAnsi="Times New Roman"/>
          <w:b w:val="false"/>
          <w:sz w:val="20"/>
        </w:rPr>
        <w:t>Affiliates not to vote, any shares of Parent Common Stock held by Seller or its controlled</w:t>
      </w:r>
      <w:r>
        <w:rPr>
          <w:rFonts w:ascii="times new roman;times" w:hAnsi="times new roman;times"/>
          <w:b w:val="false"/>
          <w:sz w:val="20"/>
        </w:rPr>
        <w:t xml:space="preserve"> </w:t>
      </w:r>
      <w:r>
        <w:rPr>
          <w:rFonts w:ascii="Times New Roman" w:hAnsi="Times New Roman"/>
          <w:b w:val="false"/>
          <w:sz w:val="20"/>
        </w:rPr>
        <w:t>Affiliates in favor of any issuance of New Equity Securities during the Equity Moratorium Period that is not a Permitted Equity Issuance, unless such issuance has been approved by the Pre-Closing Parent Stockholder Director; and</w:t>
      </w:r>
    </w:p>
    <w:p>
      <w:pPr>
        <w:pStyle w:val="TextBody"/>
        <w:bidi w:val="0"/>
        <w:spacing w:lineRule="auto" w:line="288" w:before="0" w:after="240"/>
        <w:ind w:left="0" w:right="510" w:firstLine="222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(v)</w:t>
      </w:r>
      <w:r>
        <w:rPr>
          <w:rFonts w:ascii="Times New Roman" w:hAnsi="Times New Roman"/>
          <w:b w:val="false"/>
          <w:sz w:val="20"/>
        </w:rPr>
        <w:t xml:space="preserve">Seller shall not enter into any voting trust, proxy, stockholders agreement or other arrangement or understanding with respect to the voting of any shares of Parent Common Stock that would be inconsistent with the obligations set forth in this </w:t>
      </w:r>
      <w:r>
        <w:rPr>
          <w:rFonts w:ascii="Times New Roman" w:hAnsi="Times New Roman"/>
          <w:b w:val="false"/>
          <w:sz w:val="20"/>
          <w:u w:val="single"/>
        </w:rPr>
        <w:t>Section 5.24</w:t>
      </w:r>
      <w:r>
        <w:rPr>
          <w:rFonts w:ascii="Times New Roman" w:hAnsi="Times New Roman"/>
          <w:b w:val="false"/>
          <w:sz w:val="20"/>
        </w:rPr>
        <w: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val="false"/>
          <w:sz w:val="20"/>
        </w:rPr>
        <w:t>The Seller Voting Agreement shall be a Transaction Document and shall be in</w:t>
      </w:r>
      <w:r>
        <w:rPr>
          <w:rFonts w:ascii="times new roman;times" w:hAnsi="times new roman;times"/>
          <w:b w:val="false"/>
          <w:sz w:val="20"/>
        </w:rPr>
        <w:t xml:space="preserve"> </w:t>
      </w:r>
      <w:r>
        <w:rPr>
          <w:rFonts w:ascii="Times New Roman" w:hAnsi="Times New Roman"/>
          <w:b w:val="false"/>
          <w:sz w:val="20"/>
        </w:rPr>
        <w:t>a form mutually agreed to by Parent and Seller. The</w:t>
      </w:r>
      <w:r>
        <w:rPr>
          <w:rFonts w:ascii="times new roman;times" w:hAnsi="times new roman;times"/>
          <w:b w:val="false"/>
          <w:sz w:val="20"/>
        </w:rPr>
        <w:t xml:space="preserve"> </w:t>
      </w:r>
      <w:r>
        <w:rPr>
          <w:rFonts w:ascii="Times New Roman" w:hAnsi="Times New Roman"/>
          <w:b w:val="false"/>
          <w:sz w:val="20"/>
        </w:rPr>
        <w:t>obligations of Seller under the Seller Voting Agreement shall be binding on Seller</w:t>
      </w:r>
      <w:r>
        <w:rPr>
          <w:rFonts w:ascii="times new roman;times" w:hAnsi="times new roman;times"/>
          <w:b w:val="false"/>
          <w:sz w:val="20"/>
        </w:rPr>
        <w:t>’</w:t>
      </w:r>
      <w:r>
        <w:rPr>
          <w:rFonts w:ascii="Times New Roman" w:hAnsi="Times New Roman"/>
          <w:b w:val="false"/>
          <w:sz w:val="20"/>
        </w:rPr>
        <w:t>s successors and permitted assigns and on any transferee of shares of Parent Common Stock from Seller or its Affiliates during the Seller Voting Agreement Period, and Seller shall cause any such transferee to execute a joinder to the Seller Voting Agreement as a condition to any such transfer.</w:t>
      </w:r>
    </w:p>
    <w:p>
      <w:pPr>
        <w:pStyle w:val="TextBody"/>
        <w:bidi w:val="0"/>
        <w:spacing w:lineRule="auto" w:line="288" w:before="0" w:after="240"/>
        <w:ind w:left="0" w:right="48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val="false"/>
          <w:sz w:val="20"/>
        </w:rPr>
        <w:t>The Seller Voting Agreement shall terminate automatically</w:t>
      </w:r>
      <w:r>
        <w:rPr>
          <w:rFonts w:ascii="times new roman;times" w:hAnsi="times new roman;times"/>
          <w:b w:val="false"/>
          <w:sz w:val="20"/>
        </w:rPr>
        <w:t xml:space="preserve"> </w:t>
      </w:r>
      <w:r>
        <w:rPr>
          <w:rFonts w:ascii="Times New Roman" w:hAnsi="Times New Roman"/>
          <w:b w:val="false"/>
          <w:sz w:val="20"/>
        </w:rPr>
        <w:t>and be of no further effect</w:t>
      </w:r>
      <w:r>
        <w:rPr>
          <w:rFonts w:ascii="times new roman;times" w:hAnsi="times new roman;times"/>
          <w:b w:val="false"/>
          <w:sz w:val="20"/>
        </w:rPr>
        <w:t xml:space="preserve"> </w:t>
      </w:r>
      <w:r>
        <w:rPr>
          <w:rFonts w:ascii="Times New Roman" w:hAnsi="Times New Roman"/>
          <w:b w:val="false"/>
          <w:sz w:val="20"/>
        </w:rPr>
        <w:t>whatsoever</w:t>
      </w:r>
      <w:r>
        <w:rPr>
          <w:rFonts w:ascii="times new roman;times" w:hAnsi="times new roman;times"/>
          <w:b w:val="false"/>
          <w:sz w:val="20"/>
        </w:rPr>
        <w:t xml:space="preserve"> </w:t>
      </w:r>
      <w:r>
        <w:rPr>
          <w:rFonts w:ascii="Times New Roman" w:hAnsi="Times New Roman"/>
          <w:b w:val="false"/>
          <w:sz w:val="20"/>
        </w:rPr>
        <w:t>upon the earlier of (i) the date on which Seller and its</w:t>
      </w:r>
      <w:r>
        <w:rPr>
          <w:rFonts w:ascii="times new roman;times" w:hAnsi="times new roman;times"/>
          <w:b w:val="false"/>
          <w:sz w:val="20"/>
        </w:rPr>
        <w:t xml:space="preserve"> </w:t>
      </w:r>
      <w:r>
        <w:rPr>
          <w:rFonts w:ascii="Times New Roman" w:hAnsi="Times New Roman"/>
          <w:b w:val="false"/>
          <w:sz w:val="20"/>
        </w:rPr>
        <w:t>controlled</w:t>
      </w:r>
      <w:r>
        <w:rPr>
          <w:rFonts w:ascii="times new roman;times" w:hAnsi="times new roman;times"/>
          <w:b w:val="false"/>
          <w:sz w:val="20"/>
        </w:rPr>
        <w:t xml:space="preserve"> </w:t>
      </w:r>
      <w:r>
        <w:rPr>
          <w:rFonts w:ascii="Times New Roman" w:hAnsi="Times New Roman"/>
          <w:b w:val="false"/>
          <w:sz w:val="20"/>
        </w:rPr>
        <w:t>Affiliates collectively cease to hold shares of Parent Common Stock representing more than fifty percent (50%) of the total voting power of all outstanding shares of Parent Common Stock, (ii) the Financing Warrants Expiration Date</w:t>
      </w:r>
      <w:r>
        <w:rPr>
          <w:rFonts w:ascii="times new roman;times" w:hAnsi="times new roman;times"/>
          <w:b w:val="false"/>
          <w:sz w:val="20"/>
        </w:rPr>
        <w:t xml:space="preserve"> </w:t>
      </w:r>
      <w:r>
        <w:rPr>
          <w:rFonts w:ascii="Times New Roman" w:hAnsi="Times New Roman"/>
          <w:b w:val="false"/>
          <w:sz w:val="20"/>
        </w:rPr>
        <w:t>and (iii) the date on which the Pre-Closing Parent Stockholders collectively cease to hold five</w:t>
      </w:r>
      <w:r>
        <w:rPr>
          <w:rFonts w:ascii="times new roman;times" w:hAnsi="times new roman;times"/>
          <w:b w:val="false"/>
          <w:sz w:val="20"/>
        </w:rPr>
        <w:t xml:space="preserve"> </w:t>
      </w:r>
      <w:r>
        <w:rPr>
          <w:rFonts w:ascii="Times New Roman" w:hAnsi="Times New Roman"/>
          <w:b w:val="false"/>
          <w:sz w:val="20"/>
        </w:rPr>
        <w:t>percent (5%) of all outstanding shares of Parent Common Stock.</w:t>
      </w:r>
    </w:p>
    <w:p>
      <w:pPr>
        <w:pStyle w:val="TextBody"/>
        <w:bidi w:val="0"/>
        <w:spacing w:lineRule="auto" w:line="288" w:before="0" w:after="240"/>
        <w:ind w:left="0" w:right="495"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 w:hAnsi="Times New Roman"/>
          <w:b w:val="false"/>
          <w:sz w:val="20"/>
        </w:rPr>
        <w:t>For the avoidance of doubt, nothing in this</w:t>
      </w:r>
      <w:r>
        <w:rPr>
          <w:rFonts w:ascii="times new roman;times" w:hAnsi="times new roman;times"/>
          <w:b w:val="false"/>
          <w:sz w:val="20"/>
        </w:rPr>
        <w:t xml:space="preserve"> </w:t>
      </w:r>
      <w:r>
        <w:rPr>
          <w:rFonts w:ascii="Times New Roman" w:hAnsi="Times New Roman"/>
          <w:b w:val="false"/>
          <w:sz w:val="20"/>
          <w:u w:val="single"/>
        </w:rPr>
        <w:t>Section 5.24</w:t>
      </w:r>
      <w:r>
        <w:rPr>
          <w:rFonts w:ascii="times new roman;times" w:hAnsi="times new roman;times"/>
          <w:b w:val="false"/>
          <w:sz w:val="20"/>
        </w:rPr>
        <w:t xml:space="preserve"> </w:t>
      </w:r>
      <w:r>
        <w:rPr>
          <w:rFonts w:ascii="Times New Roman" w:hAnsi="Times New Roman"/>
          <w:b w:val="false"/>
          <w:sz w:val="20"/>
        </w:rPr>
        <w:t>or the Seller Voting Agreement shall restrict Seller</w:t>
      </w:r>
      <w:r>
        <w:rPr>
          <w:rFonts w:ascii="times new roman;times" w:hAnsi="times new roman;times"/>
          <w:b w:val="false"/>
          <w:sz w:val="20"/>
        </w:rPr>
        <w:t>’</w:t>
      </w:r>
      <w:r>
        <w:rPr>
          <w:rFonts w:ascii="Times New Roman" w:hAnsi="Times New Roman"/>
          <w:b w:val="false"/>
          <w:sz w:val="20"/>
        </w:rPr>
        <w:t xml:space="preserve">s right to vote on any matter not expressly addressed in this </w:t>
      </w:r>
      <w:r>
        <w:rPr>
          <w:rFonts w:ascii="Times New Roman" w:hAnsi="Times New Roman"/>
          <w:b w:val="false"/>
          <w:sz w:val="20"/>
          <w:u w:val="single"/>
        </w:rPr>
        <w:t>Section 5.24</w:t>
      </w:r>
      <w:r>
        <w:rPr>
          <w:rFonts w:ascii="Times New Roman" w:hAnsi="Times New Roman"/>
          <w:b w:val="false"/>
          <w:sz w:val="20"/>
        </w:rPr>
        <w:t>, or Seller</w:t>
      </w:r>
      <w:r>
        <w:rPr>
          <w:rFonts w:ascii="times new roman;times" w:hAnsi="times new roman;times"/>
          <w:b w:val="false"/>
          <w:sz w:val="20"/>
        </w:rPr>
        <w:t>’</w:t>
      </w:r>
      <w:r>
        <w:rPr>
          <w:rFonts w:ascii="Times New Roman" w:hAnsi="Times New Roman"/>
          <w:b w:val="false"/>
          <w:sz w:val="20"/>
        </w:rPr>
        <w:t>s right to sell, transfer or otherwise dispose of shares of Parent Common Stock, subject to the Lock-Up Agreement and applicable securities Laws.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caps/>
          <w:strike w:val="false"/>
          <w:dstrike w:val="false"/>
          <w:sz w:val="20"/>
          <w:u w:val="none"/>
          <w:effect w:val="none"/>
        </w:rPr>
      </w:pPr>
      <w:r>
        <w:rPr>
          <w:rFonts w:ascii="Times New Roman" w:hAnsi="Times New Roman"/>
          <w:b/>
          <w:caps/>
          <w:strike w:val="false"/>
          <w:dstrike w:val="false"/>
          <w:sz w:val="20"/>
          <w:u w:val="none"/>
          <w:effect w:val="none"/>
        </w:rPr>
      </w:r>
    </w:p>
    <w:p>
      <w:pPr>
        <w:pStyle w:val="TextBody"/>
        <w:bidi w:val="0"/>
        <w:spacing w:lineRule="auto" w:line="288" w:before="0" w:after="0"/>
        <w:ind w:left="0" w:right="0" w:firstLine="720"/>
        <w:jc w:val="center"/>
        <w:rPr/>
      </w:pPr>
      <w:hyperlink w:anchor="TOC">
        <w:r>
          <w:rPr>
            <w:rStyle w:val="InternetLink"/>
            <w:rFonts w:ascii="Times New Roman" w:hAnsi="Times New Roman"/>
            <w:b/>
            <w:caps/>
            <w:strike w:val="false"/>
            <w:dstrike w:val="false"/>
            <w:color w:val="000000"/>
            <w:sz w:val="20"/>
            <w:u w:val="none"/>
            <w:effect w:val="none"/>
          </w:rPr>
          <w:t>ARTICLE 6</w:t>
        </w:r>
      </w:hyperlink>
    </w:p>
    <w:p>
      <w:pPr>
        <w:pStyle w:val="TextBody"/>
        <w:bidi w:val="0"/>
        <w:spacing w:lineRule="auto" w:line="288" w:before="0" w:after="0"/>
        <w:ind w:left="0" w:right="0" w:firstLine="720"/>
        <w:jc w:val="left"/>
        <w:rPr/>
      </w:pPr>
      <w:hyperlink w:anchor="TOC">
        <w:r>
          <w:rPr/>
        </w:r>
      </w:hyperlink>
    </w:p>
    <w:p>
      <w:pPr>
        <w:pStyle w:val="TextBody"/>
        <w:bidi w:val="0"/>
        <w:spacing w:lineRule="auto" w:line="288" w:before="0" w:after="0"/>
        <w:ind w:left="0" w:right="0" w:firstLine="720"/>
        <w:jc w:val="center"/>
        <w:rPr/>
      </w:pPr>
      <w:hyperlink w:anchor="TOC">
        <w:r>
          <w:rPr>
            <w:rStyle w:val="InternetLink"/>
            <w:rFonts w:ascii="Times New Roman" w:hAnsi="Times New Roman"/>
            <w:b/>
            <w:caps/>
            <w:strike w:val="false"/>
            <w:dstrike w:val="false"/>
            <w:color w:val="000000"/>
            <w:sz w:val="20"/>
            <w:u w:val="none"/>
            <w:effect w:val="none"/>
          </w:rPr>
          <w:t>CONDITIONS PRECEDENT TO OBLIGATIONS OF EACH PARTY</w:t>
        </w:r>
      </w:hyperlink>
    </w:p>
    <w:p>
      <w:pPr>
        <w:pStyle w:val="TextBody"/>
        <w:bidi w:val="0"/>
        <w:spacing w:lineRule="auto" w:line="288" w:before="0" w:after="0"/>
        <w:ind w:left="0" w:right="0" w:firstLine="720"/>
        <w:jc w:val="left"/>
        <w:rPr>
          <w:rFonts w:ascii="Times New Roman" w:hAnsi="Times New Roman"/>
          <w:b/>
          <w:caps/>
          <w:sz w:val="20"/>
        </w:rPr>
      </w:pPr>
      <w:r>
        <w:rPr>
          <w:rFonts w:ascii="Times New Roman" w:hAnsi="Times New Roman"/>
          <w:b/>
          <w:caps/>
          <w:sz w:val="20"/>
        </w:rPr>
      </w:r>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respective obligations of each Party to effect the Contemplated Transactions and otherwise consummate the transactions to be consummated at the Closing are subject to the satisfaction or, to the extent permitted by applicable Law and the terms of this Agreement, the written waiver by each of the Parties, at or prior to the Closing, of each of the following conditions: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6.1Effectiveness of Registration Statement</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 xml:space="preserve">The Registration Statement on Form S-1 shall have become effective under the Securities Act, and no stop order suspending the effectiveness of the Registration Statement shall have been issued by the SEC and remain in effect, and no proceeding for that purpose shall have been initiated or threatened by the SEC. The Parent Schedule 14C shall have been filed with the SEC in definitive form and the applicable waiting period under Rule 14c-2 of the Exchange Act shall have expired or been terminated. For the avoidance of doubt, this </w:t>
      </w:r>
      <w:r>
        <w:rPr>
          <w:rFonts w:ascii="Times New Roman" w:hAnsi="Times New Roman"/>
          <w:b w:val="false"/>
          <w:sz w:val="20"/>
          <w:u w:val="single"/>
        </w:rPr>
        <w:t>Section 6.1</w:t>
      </w:r>
      <w:r>
        <w:rPr>
          <w:rFonts w:ascii="times new roman;times" w:hAnsi="times new roman;times"/>
          <w:sz w:val="20"/>
        </w:rPr>
        <w:t xml:space="preserve"> </w:t>
      </w:r>
      <w:r>
        <w:rPr>
          <w:rFonts w:ascii="Times New Roman" w:hAnsi="Times New Roman"/>
          <w:b w:val="false"/>
          <w:sz w:val="20"/>
        </w:rPr>
        <w:t>shall be deemed satisfied if the registration statement or registration statements required to consummate the issuance of the Consideration Shares and the Financing have become effective and the Parent Schedule 14C waiting period has expired or been terminated.</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Restraints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No temporary restraining order, preliminary or permanent injunction, judgment, decree or other Order issued by any court of competent jurisdiction or other Governmental Body of competent jurisdiction preventing the consummation of the Contemplated Transactions shall be in effect, and there shall be no applicable Legal Requirement making the consummation of the Contemplated Transactions illegal.</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Stockholder Approval</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the Merger and the other transactions contemplated by this Agreement shall have been duly approved by Seller, in its capacity as the sole holder of all of the issued and outstanding Company Capital Stock entitled to vote thereon, and the Parent Stockholder Proposals shall have been duly approved by the Required Parent Stockholder Consent. For the avoidance of doubt, the Parent Voting Agreements required by this Agreement shall have been duly executed and delivered and shall remain in full force and effect as of the Closing.</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Listing. </w:t>
        </w:r>
      </w:hyperlink>
      <w:r>
        <w:rPr>
          <w:rFonts w:ascii="Times New Roman" w:hAnsi="Times New Roman"/>
          <w:b w:val="false"/>
          <w:sz w:val="20"/>
        </w:rPr>
        <w:t>Parent Common Stock shall have remained listed on Nasdaq from the date of this Agreement through the Closing Date, and Nasdaq shall have approved the listing of the Consideration Shares and the shares of Parent Common Stock to be issued in the Financing, and any Advisor Shares to be issued at or prior to Closing, in each case subject only to official notice of issuance.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6.5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Financing</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Financing shall have been consummated, or shall be consummated substantially concurrently with the Closing, and the aggregate gross proceeds of the Financing shall be not less than $10,000,000 and not more than $15,000,000. The aggregate number of shares of Parent Common Stock</w:t>
      </w:r>
      <w:r>
        <w:rPr>
          <w:rFonts w:ascii="times new roman;times" w:hAnsi="times new roman;times"/>
          <w:sz w:val="20"/>
        </w:rPr>
        <w:t xml:space="preserve"> </w:t>
      </w:r>
      <w:r>
        <w:rPr>
          <w:rFonts w:ascii="Times New Roman" w:hAnsi="Times New Roman"/>
          <w:b w:val="false"/>
          <w:sz w:val="20"/>
        </w:rPr>
        <w:t>comprising the share component of the Financing Units</w:t>
      </w:r>
      <w:r>
        <w:rPr>
          <w:rFonts w:ascii="times new roman;times" w:hAnsi="times new roman;times"/>
          <w:sz w:val="20"/>
        </w:rPr>
        <w:t xml:space="preserve"> </w:t>
      </w:r>
      <w:r>
        <w:rPr>
          <w:rFonts w:ascii="Times New Roman" w:hAnsi="Times New Roman"/>
          <w:b w:val="false"/>
          <w:sz w:val="20"/>
        </w:rPr>
        <w:t>issued in the Financing shall be not less than 2,500,000 and not more than 5,000,000.</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7</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CONDITIONS PRECEDENT TO OBLIGATIONS OF PARENT AND MERGER SUB</w:t>
        </w:r>
      </w:hyperlink>
    </w:p>
    <w:p>
      <w:pPr>
        <w:pStyle w:val="TextBody"/>
        <w:bidi w:val="0"/>
        <w:spacing w:lineRule="auto" w:line="288" w:before="0" w:after="240"/>
        <w:ind w:left="0" w:right="0" w:firstLine="720"/>
        <w:jc w:val="left"/>
        <w:rPr>
          <w:rFonts w:ascii="Times New Roman" w:hAnsi="Times New Roman"/>
          <w:sz w:val="20"/>
        </w:rPr>
      </w:pPr>
      <w:r>
        <w:rPr>
          <w:rFonts w:ascii="Times New Roman" w:hAnsi="Times New Roman"/>
          <w:sz w:val="20"/>
        </w:rPr>
        <w:t>The obligations of Parent and Merger Sub to consummate the Merger and the other Contemplated Transactions are subject to the satisfaction or written waiver by Parent, at or prior to the Closing, of each of the following conditions:</w:t>
      </w:r>
    </w:p>
    <w:p>
      <w:pPr>
        <w:pStyle w:val="TextBody"/>
        <w:bidi w:val="0"/>
        <w:spacing w:lineRule="auto" w:line="288" w:before="0" w:after="200"/>
        <w:ind w:left="500" w:right="0" w:firstLine="720"/>
        <w:jc w:val="left"/>
        <w:rPr/>
      </w:pPr>
      <w:hyperlink w:anchor="TOC">
        <w:r>
          <w:rPr>
            <w:rStyle w:val="InternetLink"/>
            <w:rFonts w:ascii="Times New Roman" w:hAnsi="Times New Roman"/>
            <w:b/>
            <w:strike w:val="false"/>
            <w:dstrike w:val="false"/>
            <w:color w:val="000000"/>
            <w:sz w:val="20"/>
            <w:u w:val="none"/>
            <w:effect w:val="none"/>
          </w:rPr>
          <w:t>7.1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representations and warranties of the Company and Seller contained in this Agreement shall have been true and correct as of the date of this Agreement and shall be true and correct on and as of the Closing Date with the same force and effect as if made on and as of the Closing Date, except: (a) where the failure of such representations and warranties to be so true and correct would not, individually or in the aggregate, reasonably be expected to have a Company Material Adverse Effect or to prevent, materially delay or materially impair the consummation of the Contemplated Transactions; (b) that the representations and warranties set forth in </w:t>
      </w:r>
      <w:r>
        <w:rPr>
          <w:rFonts w:ascii="Times New Roman" w:hAnsi="Times New Roman"/>
          <w:b w:val="false"/>
          <w:sz w:val="20"/>
          <w:u w:val="single"/>
        </w:rPr>
        <w:t>Sections 2.3, 2A.1, 2A.2 and 2.20</w:t>
      </w:r>
      <w:r>
        <w:rPr>
          <w:rFonts w:ascii="times new roman;times" w:hAnsi="times new roman;times"/>
          <w:sz w:val="20"/>
        </w:rPr>
        <w:t xml:space="preserve"> </w:t>
      </w:r>
      <w:r>
        <w:rPr>
          <w:rFonts w:ascii="Times New Roman" w:hAnsi="Times New Roman"/>
          <w:b w:val="false"/>
          <w:sz w:val="20"/>
        </w:rPr>
        <w:t>shall be true and correct in all respects, except for any de minimis inaccuracies; and (c) for those representations and warranties that address matters only as of a particular date, which shall be true and correct as of such date, subject to clauses (a) and (b). For purposes of determining the accuracy of such representations and warranties, any update of or modification to the Company Disclosure Schedule made or purported to have been made after the date of this Agreement shall be disregarded.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 of Covenants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Each of the covenants and obligations in this Agreement that the Company or Seller is required to comply with or perform at or prior to the Closing shall have been complied with and performed in all material respects.</w:t>
      </w:r>
    </w:p>
    <w:p>
      <w:pPr>
        <w:pStyle w:val="TextBody"/>
        <w:bidi w:val="0"/>
        <w:spacing w:before="0" w:after="240"/>
        <w:ind w:left="500" w:right="0" w:firstLine="720"/>
        <w:jc w:val="left"/>
        <w:rPr/>
      </w:pPr>
      <w:hyperlink w:anchor="TOC">
        <w:r>
          <w:rPr>
            <w:rStyle w:val="InternetLink"/>
            <w:rFonts w:ascii="Times New Roman" w:hAnsi="Times New Roman"/>
            <w:b/>
            <w:i w:val="false"/>
            <w:caps w:val="false"/>
            <w:smallCaps w:val="false"/>
            <w:strike w:val="false"/>
            <w:dstrike w:val="false"/>
            <w:color w:val="000000"/>
            <w:sz w:val="20"/>
            <w:u w:val="none"/>
            <w:effect w:val="none"/>
          </w:rPr>
          <w:t>7.3</w:t>
        </w:r>
      </w:hyperlink>
      <w:hyperlink w:anchor="TOC">
        <w:r>
          <w:rPr>
            <w:rStyle w:val="InternetLink"/>
            <w:rFonts w:ascii="times new roman;times" w:hAnsi="times new roman;times"/>
            <w:caps w:val="false"/>
            <w:smallCaps w:val="false"/>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shall have received the following agreements and other documents, each of which shall be in full force and effect where applicable:</w:t>
      </w:r>
    </w:p>
    <w:p>
      <w:pPr>
        <w:pStyle w:val="TextBody"/>
        <w:bidi w:val="0"/>
        <w:spacing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 xml:space="preserve">a certificate executed by the Chief Executive Officer of the Company, on behalf of the Company and not in his or her personal capacity, certifying that the conditions set forth in </w:t>
      </w:r>
      <w:r>
        <w:rPr>
          <w:rFonts w:ascii="Times New Roman" w:hAnsi="Times New Roman"/>
          <w:b w:val="false"/>
          <w:sz w:val="20"/>
          <w:u w:val="single"/>
        </w:rPr>
        <w:t>Sections 7.1, 7.2 and 7.4</w:t>
      </w:r>
      <w:r>
        <w:rPr>
          <w:rFonts w:ascii="times new roman;times" w:hAnsi="times new roman;times"/>
          <w:b w:val="false"/>
          <w:sz w:val="20"/>
        </w:rPr>
        <w:t xml:space="preserve"> </w:t>
      </w:r>
      <w:r>
        <w:rPr>
          <w:rFonts w:ascii="Times New Roman" w:hAnsi="Times New Roman"/>
          <w:b w:val="false"/>
          <w:sz w:val="20"/>
        </w:rPr>
        <w:t>have been satisfied;</w:t>
      </w:r>
    </w:p>
    <w:p>
      <w:pPr>
        <w:pStyle w:val="TextBody"/>
        <w:bidi w:val="0"/>
        <w:spacing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certified copies of the certificate of incorporation, bylaws and good standing certificate of the Company, together with a certificate of incumbency and certified resolutions of the Company Board of Directors approving this Agreement and the Contemplated Transactions;</w:t>
      </w:r>
    </w:p>
    <w:p>
      <w:pPr>
        <w:pStyle w:val="TextBody"/>
        <w:bidi w:val="0"/>
        <w:spacing w:before="0" w:after="240"/>
        <w:ind w:left="390" w:right="0" w:firstLine="1560"/>
        <w:jc w:val="left"/>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 </w:t>
      </w:r>
      <w:r>
        <w:rPr>
          <w:rFonts w:ascii="Times New Roman" w:hAnsi="Times New Roman"/>
          <w:b w:val="false"/>
          <w:sz w:val="20"/>
        </w:rPr>
        <w:t>the Company Shareholder Written Consent, duly executed by Seller in its capacity as the sole holder of all of the issued and outstanding Company Capital Stock;</w:t>
      </w:r>
    </w:p>
    <w:p>
      <w:pPr>
        <w:pStyle w:val="TextBody"/>
        <w:bidi w:val="0"/>
        <w:spacing w:before="0" w:after="240"/>
        <w:ind w:left="0" w:right="39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written resignations, effective as of the Effective Time, from each officer and director of the Company who will not continue as an officer or director of the Surviving Corporation following the Effective Time;</w:t>
      </w:r>
    </w:p>
    <w:p>
      <w:pPr>
        <w:pStyle w:val="TextBody"/>
        <w:bidi w:val="0"/>
        <w:spacing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 xml:space="preserve">a certificate executed by the Chief Executive Officer of the Company, on behalf of the Company and not in his or her personal capacity, certifying that, as of immediately prior to the Effective Time and after giving effect to </w:t>
      </w:r>
      <w:r>
        <w:rPr>
          <w:rFonts w:ascii="Times New Roman" w:hAnsi="Times New Roman"/>
          <w:b w:val="false"/>
          <w:sz w:val="20"/>
          <w:u w:val="single"/>
        </w:rPr>
        <w:t>Section 5.17</w:t>
      </w:r>
      <w:r>
        <w:rPr>
          <w:rFonts w:ascii="Times New Roman" w:hAnsi="Times New Roman"/>
          <w:b w:val="false"/>
          <w:sz w:val="20"/>
        </w:rPr>
        <w:t>, (i) neither the Company nor any Company Subsidiary has any indebtedness for borrowed money, notes payable, loans, advances or other similar obligations, (ii) no Seller Debt remains outstanding and (iii) the only Liabilities of the Company and the Company Subsidiaries are ordinary course accounts payable and accrued operating expenses incurred in the Ordinary Course of Business consistent with past practice and not owing to Seller or any Affiliate of Seller;</w:t>
      </w:r>
    </w:p>
    <w:p>
      <w:pPr>
        <w:pStyle w:val="TextBody"/>
        <w:bidi w:val="0"/>
        <w:spacing w:before="0" w:after="240"/>
        <w:ind w:left="43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copies of all agreements, instruments and other documents evidencing the forgiveness, cancellation, release or contribution to capital of all Seller Debt pursuant to </w:t>
      </w:r>
      <w:r>
        <w:rPr>
          <w:rFonts w:ascii="Times New Roman" w:hAnsi="Times New Roman"/>
          <w:b w:val="false"/>
          <w:sz w:val="20"/>
          <w:u w:val="single"/>
        </w:rPr>
        <w:t>Section 5.17</w:t>
      </w:r>
      <w:r>
        <w:rPr>
          <w:rFonts w:ascii="Times New Roman" w:hAnsi="Times New Roman"/>
          <w:b w:val="false"/>
          <w:sz w:val="20"/>
        </w:rPr>
        <w:t>, together with evidence of the cancellation of any promissory notes or other instruments evidencing such Seller Debt, in each case in form and substance reasonably satisfactory to Parent;</w:t>
      </w:r>
    </w:p>
    <w:p>
      <w:pPr>
        <w:pStyle w:val="TextBody"/>
        <w:bidi w:val="0"/>
        <w:spacing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(g) </w:t>
      </w:r>
      <w:r>
        <w:rPr>
          <w:rFonts w:ascii="Times New Roman" w:hAnsi="Times New Roman"/>
          <w:b w:val="false"/>
          <w:sz w:val="20"/>
        </w:rPr>
        <w:t xml:space="preserve">the Lock-Up Agreement executed by Seller, which shall remain in full force and effect as of immediately following the Effective Time; </w:t>
      </w:r>
    </w:p>
    <w:p>
      <w:pPr>
        <w:pStyle w:val="TextBody"/>
        <w:bidi w:val="0"/>
        <w:spacing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(h) </w:t>
      </w:r>
      <w:r>
        <w:rPr>
          <w:rFonts w:ascii="Times New Roman" w:hAnsi="Times New Roman"/>
          <w:b w:val="false"/>
          <w:sz w:val="20"/>
        </w:rPr>
        <w:t xml:space="preserve">(i) an original signed statement from the Company that the Company is not, and has not been at any time during the applicable period specified in Section 897(c)(1)(A)(ii) of the Code, a </w:t>
      </w:r>
      <w:r>
        <w:rPr>
          <w:rFonts w:ascii="times new roman;times" w:hAnsi="times new roman;times"/>
          <w:b w:val="false"/>
          <w:sz w:val="20"/>
        </w:rPr>
        <w:t>“</w:t>
      </w:r>
      <w:r>
        <w:rPr>
          <w:rFonts w:ascii="Times New Roman" w:hAnsi="Times New Roman"/>
          <w:b w:val="false"/>
          <w:sz w:val="20"/>
        </w:rPr>
        <w:t>United States real property holding corporation,</w:t>
      </w:r>
      <w:r>
        <w:rPr>
          <w:rFonts w:ascii="times new roman;times" w:hAnsi="times new roman;times"/>
          <w:b w:val="false"/>
          <w:sz w:val="20"/>
        </w:rPr>
        <w:t xml:space="preserve">” </w:t>
      </w:r>
      <w:r>
        <w:rPr>
          <w:rFonts w:ascii="Times New Roman" w:hAnsi="Times New Roman"/>
          <w:b w:val="false"/>
          <w:sz w:val="20"/>
        </w:rPr>
        <w:t xml:space="preserve">as defined in Section 897(c)(2) of the Code, conforming to the requirements of Treasury Regulations Sections 1.1445-2(c)(3) and 1.897-2(h), and (ii) an original signed notice to be delivered to the IRS in accordance with Treasury Regulations Section 1.897-2(h)(2), together with written authorization for Parent to deliver such notice to the IRS on behalf of the Company following the Closing, each dated as of the Closing Date and duly executed by an authorized officer of the Company; </w:t>
      </w:r>
    </w:p>
    <w:p>
      <w:pPr>
        <w:pStyle w:val="TextBody"/>
        <w:bidi w:val="0"/>
        <w:spacing w:before="0" w:after="240"/>
        <w:ind w:left="43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(i) </w:t>
      </w:r>
      <w:r>
        <w:rPr>
          <w:rFonts w:ascii="Times New Roman" w:hAnsi="Times New Roman"/>
          <w:b w:val="false"/>
          <w:sz w:val="20"/>
        </w:rPr>
        <w:t xml:space="preserve">evidence reasonably satisfactory to Parent that (i) the Parent Board of Directors has been duly reconstituted in accordance with </w:t>
      </w:r>
      <w:r>
        <w:rPr>
          <w:rFonts w:ascii="Times New Roman" w:hAnsi="Times New Roman"/>
          <w:b w:val="false"/>
          <w:sz w:val="20"/>
          <w:u w:val="single"/>
        </w:rPr>
        <w:t>Section 5.13(a)</w:t>
      </w:r>
      <w:r>
        <w:rPr>
          <w:rFonts w:ascii="Times New Roman" w:hAnsi="Times New Roman"/>
          <w:b w:val="false"/>
          <w:sz w:val="20"/>
        </w:rPr>
        <w:t>, and (ii) the Pre-Closing Parent Stockholder Director has</w:t>
      </w:r>
      <w:r>
        <w:rPr>
          <w:rFonts w:ascii="times new roman;times" w:hAnsi="times new roman;times"/>
          <w:b w:val="false"/>
          <w:sz w:val="20"/>
        </w:rPr>
        <w:t xml:space="preserve"> </w:t>
      </w:r>
      <w:r>
        <w:rPr>
          <w:rFonts w:ascii="Times New Roman" w:hAnsi="Times New Roman"/>
          <w:b w:val="false"/>
          <w:sz w:val="20"/>
        </w:rPr>
        <w:t>been confirmed and appointed,</w:t>
      </w:r>
      <w:r>
        <w:rPr>
          <w:rFonts w:ascii="times new roman;times" w:hAnsi="times new roman;times"/>
          <w:b w:val="false"/>
          <w:sz w:val="20"/>
        </w:rPr>
        <w:t xml:space="preserve"> </w:t>
      </w:r>
      <w:r>
        <w:rPr>
          <w:rFonts w:ascii="Times New Roman" w:hAnsi="Times New Roman"/>
          <w:b w:val="false"/>
          <w:sz w:val="20"/>
        </w:rPr>
        <w:t>in each case effective as of the Closing;</w:t>
      </w:r>
    </w:p>
    <w:p>
      <w:pPr>
        <w:pStyle w:val="TextBody"/>
        <w:bidi w:val="0"/>
        <w:spacing w:before="0" w:after="240"/>
        <w:ind w:left="450"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(j) </w:t>
      </w:r>
      <w:r>
        <w:rPr>
          <w:rFonts w:ascii="Times New Roman" w:hAnsi="Times New Roman"/>
          <w:b w:val="false"/>
          <w:sz w:val="20"/>
        </w:rPr>
        <w:t>the Seller Voting Agreement, duly executed by Seller, in a form to be mutually agreed to by Parent and Seller; and</w:t>
      </w:r>
    </w:p>
    <w:p>
      <w:pPr>
        <w:pStyle w:val="TextBody"/>
        <w:bidi w:val="0"/>
        <w:spacing w:before="0" w:after="240"/>
        <w:ind w:left="0" w:right="40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(k) </w:t>
      </w:r>
      <w:r>
        <w:rPr>
          <w:rFonts w:ascii="Times New Roman" w:hAnsi="Times New Roman"/>
          <w:b w:val="false"/>
          <w:sz w:val="20"/>
        </w:rPr>
        <w:t>a certificate executed by the Chief Executive Officer of the Company, on behalf of the Company and not in his or her personal capacity, certifying that, as of immediately prior to the Effective Time: (i) there are no outstanding Company RSUs, Company DSUs, or other deferred equity awards of the Company or any Company Subsidiary; (ii) all such awards, if any previously existed, have been cancelled, forfeited, settled or otherwise eliminated without any surviving payment or issuance obligation; (iii) except for the Permitted Closing Option Grant (if to be made effective as of the Closing), no commitment, whether written or oral, has been made by the Company or any Company Subsidiary to grant any option, restricted stock unit, deferred stock unit or other equity-based award or security following the Effective Time; and (iv) there are no Company Equity Securities outstanding other than those owned by the Seller.</w:t>
      </w:r>
    </w:p>
    <w:p>
      <w:pPr>
        <w:pStyle w:val="TextBody"/>
        <w:bidi w:val="0"/>
        <w:spacing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24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Company Material Adverse Effect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Since the date of this Agreement, there shall not have occurred any Company Material Adverse Effect that is continuing as of the Closing Date.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 of Investor Agreements and Seller Debt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times" w:hAnsi="times new roman;times"/>
          <w:sz w:val="20"/>
        </w:rPr>
        <w:t xml:space="preserve"> </w:t>
      </w:r>
      <w:r>
        <w:rPr>
          <w:rFonts w:ascii="Times New Roman" w:hAnsi="Times New Roman"/>
          <w:b w:val="false"/>
          <w:sz w:val="20"/>
        </w:rPr>
        <w:t>The Investor Agreements listed in Company Disclosure Schedule</w:t>
      </w:r>
      <w:r>
        <w:rPr>
          <w:rFonts w:ascii="times new roman;times" w:hAnsi="times new roman;times"/>
          <w:sz w:val="20"/>
        </w:rPr>
        <w:t xml:space="preserve"> </w:t>
      </w:r>
      <w:r>
        <w:rPr>
          <w:rFonts w:ascii="Times New Roman" w:hAnsi="Times New Roman"/>
          <w:b w:val="false"/>
          <w:sz w:val="20"/>
        </w:rPr>
        <w:t xml:space="preserve">shall have been terminated, waived or otherwise made inapplicable as of the Effective Time, in each case in a manner reasonably satisfactory to Parent. In addition, all Seller Debt shall have been irrevocably forgiven, canceled and released in full, or contributed to the capital of the Company, in each case in accordance with </w:t>
      </w:r>
      <w:r>
        <w:rPr>
          <w:rFonts w:ascii="Times New Roman" w:hAnsi="Times New Roman"/>
          <w:b w:val="false"/>
          <w:sz w:val="20"/>
          <w:u w:val="single"/>
        </w:rPr>
        <w:t>Section 5.17</w:t>
      </w:r>
      <w:r>
        <w:rPr>
          <w:rFonts w:ascii="times new roman;times" w:hAnsi="times new roman;times"/>
          <w:sz w:val="20"/>
        </w:rPr>
        <w:t xml:space="preserve"> </w:t>
      </w:r>
      <w:r>
        <w:rPr>
          <w:rFonts w:ascii="Times New Roman" w:hAnsi="Times New Roman"/>
          <w:b w:val="false"/>
          <w:sz w:val="20"/>
        </w:rPr>
        <w:t>and effective immediately prior to the Effective Time, and no Seller Debt shall remain outstanding as of immediately prior to the Effective Time.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Lock-Up Agreements</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The Lock-Up Agreement executed by Seller</w:t>
      </w:r>
      <w:r>
        <w:rPr>
          <w:rFonts w:ascii="times new roman;times" w:hAnsi="times new roman;times"/>
          <w:sz w:val="20"/>
        </w:rPr>
        <w:t xml:space="preserve"> </w:t>
      </w:r>
      <w:r>
        <w:rPr>
          <w:rFonts w:ascii="Times New Roman" w:hAnsi="Times New Roman"/>
          <w:b w:val="false"/>
          <w:sz w:val="20"/>
        </w:rPr>
        <w:t>shall be in full force and effect as of immediately following the Effective Time.</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 Approval</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initial listing application for the Continuing Corporation as the successor of the change in control resulting from</w:t>
      </w:r>
      <w:r>
        <w:rPr>
          <w:rFonts w:ascii="times new roman;times" w:hAnsi="times new roman;times"/>
          <w:sz w:val="20"/>
        </w:rPr>
        <w:t xml:space="preserve"> </w:t>
      </w:r>
      <w:r>
        <w:rPr>
          <w:rFonts w:ascii="Times New Roman" w:hAnsi="Times New Roman"/>
          <w:b w:val="false"/>
          <w:sz w:val="20"/>
        </w:rPr>
        <w:t>the Contemplated Transactions shall have been approved</w:t>
      </w:r>
      <w:r>
        <w:rPr>
          <w:rFonts w:ascii="times new roman;times" w:hAnsi="times new roman;times"/>
          <w:sz w:val="20"/>
        </w:rPr>
        <w:t xml:space="preserve"> </w:t>
      </w:r>
      <w:r>
        <w:rPr>
          <w:rFonts w:ascii="Times New Roman" w:hAnsi="Times New Roman"/>
          <w:b w:val="false"/>
          <w:sz w:val="20"/>
        </w:rPr>
        <w:t>by</w:t>
      </w:r>
      <w:r>
        <w:rPr>
          <w:rFonts w:ascii="times new roman;times" w:hAnsi="times new roman;times"/>
          <w:sz w:val="20"/>
        </w:rPr>
        <w:t xml:space="preserve"> </w:t>
      </w:r>
      <w:r>
        <w:rPr>
          <w:rFonts w:ascii="Times New Roman" w:hAnsi="Times New Roman"/>
          <w:b w:val="false"/>
          <w:sz w:val="20"/>
        </w:rPr>
        <w:t>Nasdaq.</w:t>
      </w:r>
    </w:p>
    <w:p>
      <w:pPr>
        <w:pStyle w:val="TextBody"/>
        <w:bidi w:val="0"/>
        <w:spacing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7.8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 Voting Agreement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Seller Voting Agreement shall have been duly executed and delivered by Seller and shall be in full force and effect as of the Closing.</w:t>
      </w:r>
    </w:p>
    <w:p>
      <w:pPr>
        <w:pStyle w:val="TextBody"/>
        <w:bidi w:val="0"/>
        <w:spacing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8</w:t>
        </w:r>
      </w:hyperlink>
    </w:p>
    <w:p>
      <w:pPr>
        <w:pStyle w:val="TextBody"/>
        <w:bidi w:val="0"/>
        <w:spacing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ADDITIONAL CONDITIONS PRECEDENT TO OBLIGATIONS OF THE COMPANY</w:t>
        </w:r>
      </w:hyperlink>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t>The obligations of the Company and Seller to consummate the Merger and the other Contemplated Transactions are subject to the satisfaction or written waiver by the Company and Seller, at or prior to the Closing, of each of the following conditions:</w:t>
      </w:r>
    </w:p>
    <w:p>
      <w:pPr>
        <w:pStyle w:val="TextBody"/>
        <w:bidi w:val="0"/>
        <w:spacing w:lineRule="auto" w:line="288" w:before="0" w:after="0"/>
        <w:ind w:left="0" w:right="0" w:firstLine="720"/>
        <w:jc w:val="left"/>
        <w:rPr>
          <w:rFonts w:ascii="Times New Roman" w:hAnsi="Times New Roman"/>
          <w:sz w:val="20"/>
        </w:rPr>
      </w:pPr>
      <w:r>
        <w:rPr>
          <w:rFonts w:ascii="Times New Roman" w:hAnsi="Times New Roman"/>
          <w:sz w:val="20"/>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Accuracy of Representations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representations and warranties of Parent and Merger Sub contained in this Agreement shall have been true and correct as of the date of this Agreement and shall be true and correct on and as of the Closing Date with the same force and effect as if made on and as of the Closing Date, except: (a) where the failure of such representations and warranties to be so true and correct would not, individually or in the aggregate, reasonably be expected to have a Parent Material Adverse Effect or to prevent, materially delay or materially impair the consummation of the Contemplated Transactions; (b) that the representations and warranties set forth in </w:t>
      </w:r>
      <w:r>
        <w:rPr>
          <w:rFonts w:ascii="Times New Roman" w:hAnsi="Times New Roman"/>
          <w:b w:val="false"/>
          <w:sz w:val="20"/>
          <w:u w:val="single"/>
        </w:rPr>
        <w:t>Sections 3.3, 3.17 and 3.18</w:t>
      </w:r>
      <w:r>
        <w:rPr>
          <w:rFonts w:ascii="times new roman;times" w:hAnsi="times new roman;times"/>
          <w:sz w:val="20"/>
        </w:rPr>
        <w:t xml:space="preserve"> </w:t>
      </w:r>
      <w:r>
        <w:rPr>
          <w:rFonts w:ascii="Times New Roman" w:hAnsi="Times New Roman"/>
          <w:b w:val="false"/>
          <w:sz w:val="20"/>
        </w:rPr>
        <w:t>shall be true and correct in all respects, except for any de minimis inaccuracies; and (c) for those representations and warranties that address matters only as of a particular date, which shall be true and correct as of such date, subject to clauses (a) and (b). For purposes of determining the accuracy of such representations and warranties, any update of or modification to the Parent Disclosure Schedule made or purported to have been made after the date of this Agreement shall be disregarded.</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Performance of Covenants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All of the covenants and obligations in this Agreement that Parent or Merger Sub is required to comply with or perform at or prior to the Closing shall have been complied with and performed in all material respects.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Documents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Company and Seller shall have received the following documents, each of which shall be in full force and effect where applicable: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 xml:space="preserve">a certificate executed by the Chief Executive Officer or Chief Financial Officer of Parent, on behalf of Parent and not in his or her personal capacity, certifying that the conditions set forth in </w:t>
      </w:r>
      <w:r>
        <w:rPr>
          <w:rFonts w:ascii="Times New Roman" w:hAnsi="Times New Roman"/>
          <w:b w:val="false"/>
          <w:sz w:val="20"/>
          <w:u w:val="single"/>
        </w:rPr>
        <w:t>Sections 8.1, 8.2 and 8.5</w:t>
      </w:r>
      <w:r>
        <w:rPr>
          <w:rFonts w:ascii="times new roman;times" w:hAnsi="times new roman;times"/>
          <w:b w:val="false"/>
          <w:sz w:val="20"/>
        </w:rPr>
        <w:t xml:space="preserve"> </w:t>
      </w:r>
      <w:r>
        <w:rPr>
          <w:rFonts w:ascii="Times New Roman" w:hAnsi="Times New Roman"/>
          <w:b w:val="false"/>
          <w:sz w:val="20"/>
        </w:rPr>
        <w:t>have been satisfied;</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certificates of good standing of Parent and Merger Sub in their jurisdictions of organization, certified charter documents, certificates as to the incumbency of officers and the adoption of resolutions of the board of directors of Parent and Merger Sub authorizing the execution of this Agreement and the consummation of the Contemplated Transactions;</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evidence reasonably satisfactory to the Company and Seller that the Financing has been consummated or will be consummated substantially concurrently with the Closing;</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the Parent Voting Agreements from holders of at least 50.1% of the issued and outstanding Parent Common Stock, if not previously delivered;</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the First Finance Waiver, duly executed and delivered in accordance with this Agreement;</w:t>
      </w:r>
    </w:p>
    <w:p>
      <w:pPr>
        <w:pStyle w:val="TextBody"/>
        <w:bidi w:val="0"/>
        <w:spacing w:lineRule="auto" w:line="288" w:before="0" w:after="240"/>
        <w:ind w:left="40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evidence reasonably satisfactory to the Company and Seller that the board and officer changes contemplated by </w:t>
      </w:r>
      <w:r>
        <w:rPr>
          <w:rFonts w:ascii="Times New Roman" w:hAnsi="Times New Roman"/>
          <w:b w:val="false"/>
          <w:sz w:val="20"/>
          <w:u w:val="single"/>
        </w:rPr>
        <w:t>Section 5.13</w:t>
      </w:r>
      <w:r>
        <w:rPr>
          <w:rFonts w:ascii="times new roman;times" w:hAnsi="times new roman;times"/>
          <w:b w:val="false"/>
          <w:sz w:val="20"/>
        </w:rPr>
        <w:t xml:space="preserve"> </w:t>
      </w:r>
      <w:r>
        <w:rPr>
          <w:rFonts w:ascii="Times New Roman" w:hAnsi="Times New Roman"/>
          <w:b w:val="false"/>
          <w:sz w:val="20"/>
        </w:rPr>
        <w:t>will be effective as of the Effective Time, including the resignation of Parent</w:t>
      </w:r>
      <w:r>
        <w:rPr>
          <w:rFonts w:ascii="times new roman;times" w:hAnsi="times new roman;times"/>
          <w:b w:val="false"/>
          <w:sz w:val="20"/>
        </w:rPr>
        <w:t>’</w:t>
      </w:r>
      <w:r>
        <w:rPr>
          <w:rFonts w:ascii="Times New Roman" w:hAnsi="Times New Roman"/>
          <w:b w:val="false"/>
          <w:sz w:val="20"/>
        </w:rPr>
        <w:t>s then-current Chief Executive Officer and the appointment of Seller</w:t>
      </w:r>
      <w:r>
        <w:rPr>
          <w:rFonts w:ascii="times new roman;times" w:hAnsi="times new roman;times"/>
          <w:b w:val="false"/>
          <w:sz w:val="20"/>
        </w:rPr>
        <w:t>’</w:t>
      </w:r>
      <w:r>
        <w:rPr>
          <w:rFonts w:ascii="Times New Roman" w:hAnsi="Times New Roman"/>
          <w:b w:val="false"/>
          <w:sz w:val="20"/>
        </w:rPr>
        <w:t xml:space="preserve">s designee as Chief Executive Officer; </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(g) </w:t>
      </w:r>
      <w:r>
        <w:rPr>
          <w:rFonts w:ascii="Times New Roman" w:hAnsi="Times New Roman"/>
          <w:b w:val="false"/>
          <w:sz w:val="20"/>
        </w:rPr>
        <w:t>the Required Parent Stockholder Consent shall become effective in accordance with applicable Legal Requirements; and</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(h) </w:t>
      </w:r>
      <w:r>
        <w:rPr>
          <w:rFonts w:ascii="Times New Roman" w:hAnsi="Times New Roman"/>
          <w:b w:val="false"/>
          <w:sz w:val="20"/>
        </w:rPr>
        <w:t xml:space="preserve">such other customary closing certificates and documents as the Company or Seller may reasonably request to evidence the satisfaction of the conditions set forth in this </w:t>
      </w:r>
      <w:r>
        <w:rPr>
          <w:rFonts w:ascii="Times New Roman" w:hAnsi="Times New Roman"/>
          <w:b w:val="false"/>
          <w:sz w:val="20"/>
          <w:u w:val="single"/>
        </w:rPr>
        <w:t>Article 8</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Board of Directors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Parent shall have taken all actions necessary so that, effective as of the Effective Time, the board of directors and executive officers of Parent are constituted as set forth in </w:t>
      </w:r>
      <w:r>
        <w:rPr>
          <w:rFonts w:ascii="Times New Roman" w:hAnsi="Times New Roman"/>
          <w:b w:val="false"/>
          <w:sz w:val="20"/>
          <w:u w:val="single"/>
        </w:rPr>
        <w:t>Section 5.13</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 Parent Material Adverse Effect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Since the date of this Agreement, there shall not have occurred any Parent Material Adverse Effect that is continuing as of the Closing Date.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Parent Net Cash Requirement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As of immediately prior to the Closing, Parent Net Cash shall meet or exceed the Parent Net Cash Requirement</w:t>
      </w:r>
      <w:r>
        <w:rPr>
          <w:rFonts w:ascii="times new roman;times" w:hAnsi="times new roman;times"/>
          <w:sz w:val="20"/>
        </w:rPr>
        <w:t xml:space="preserve"> </w:t>
      </w:r>
      <w:r>
        <w:rPr>
          <w:rFonts w:ascii="Times New Roman" w:hAnsi="Times New Roman"/>
          <w:b w:val="false"/>
          <w:sz w:val="20"/>
        </w:rPr>
        <w:t>of at least Fifty Thousand Dollars ($50,000), excluding the net proceeds of the Financing.</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Nasdaq Approval</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The shares of Parent Common Stock to be issued as Consideration Shares and as the share component of the Financing Units issued in the Financing, the Financing Warrants comprising the warrant component of the Units issued in the Financing, the shares of Parent Common Stock issuable upon exercise of the Financing Warrants, and any Advisor Shares to be issued at or prior to the Closing pursuant to this Agreement, shall have been approved for listing on Nasdaq, subject only to official notice of issuance.</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8.8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Seller Voting Agreement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 Seller Voting Agreement shall have been duly executed and delivered by Seller and shall be in full force and effect as of the Closing.</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9</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TERMINATION</w:t>
        </w:r>
      </w:hyperlink>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Termination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may be terminated prior to the Effective Time (whether before or after approval of the Parent Stockholder Proposals by the Required Parent Stockholder Consent</w:t>
      </w:r>
      <w:r>
        <w:rPr>
          <w:rFonts w:ascii="times new roman;times" w:hAnsi="times new roman;times"/>
          <w:sz w:val="20"/>
        </w:rPr>
        <w:t xml:space="preserve"> </w:t>
      </w:r>
      <w:r>
        <w:rPr>
          <w:rFonts w:ascii="Times New Roman" w:hAnsi="Times New Roman"/>
          <w:b w:val="false"/>
          <w:sz w:val="20"/>
        </w:rPr>
        <w:t>or before or after approval of this Agreement and the Merger by Seller, in its capacity as the sole holder of the Company Capital Stock, unless otherwise specified below):</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by mutual written consent duly authorized by Parent, the Company and Seller;</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 xml:space="preserve">by either Parent, on the one hand, or the Company or Seller, on the other hand, if the Closing shall not have occurred on or before one hundred eighty (180) days after the date of this Agreement (the </w:t>
      </w:r>
      <w:r>
        <w:rPr>
          <w:rFonts w:ascii="times new roman;times" w:hAnsi="times new roman;times"/>
          <w:b w:val="false"/>
          <w:sz w:val="20"/>
        </w:rPr>
        <w:t>“</w:t>
      </w:r>
      <w:r>
        <w:rPr>
          <w:rFonts w:ascii="Times New Roman" w:hAnsi="Times New Roman"/>
          <w:b/>
          <w:i/>
          <w:sz w:val="20"/>
        </w:rPr>
        <w:t>End Date</w:t>
      </w:r>
      <w:r>
        <w:rPr>
          <w:rFonts w:ascii="times new roman;times" w:hAnsi="times new roman;times"/>
          <w:b w:val="false"/>
          <w:sz w:val="20"/>
        </w:rPr>
        <w:t>”</w:t>
      </w:r>
      <w:r>
        <w:rPr>
          <w:rFonts w:ascii="Times New Roman" w:hAnsi="Times New Roman"/>
          <w:b w:val="false"/>
          <w:sz w:val="20"/>
        </w:rPr>
        <w:t xml:space="preserve">); provided, however, that if, as of the End Date, all of the conditions set forth in </w:t>
      </w:r>
      <w:r>
        <w:rPr>
          <w:rFonts w:ascii="Times New Roman" w:hAnsi="Times New Roman"/>
          <w:b w:val="false"/>
          <w:sz w:val="20"/>
          <w:u w:val="single"/>
        </w:rPr>
        <w:t>Articles 6, 7 and 8</w:t>
      </w:r>
      <w:r>
        <w:rPr>
          <w:rFonts w:ascii="times new roman;times" w:hAnsi="times new roman;times"/>
          <w:b w:val="false"/>
          <w:sz w:val="20"/>
        </w:rPr>
        <w:t xml:space="preserve"> </w:t>
      </w:r>
      <w:r>
        <w:rPr>
          <w:rFonts w:ascii="Times New Roman" w:hAnsi="Times New Roman"/>
          <w:b w:val="false"/>
          <w:sz w:val="20"/>
        </w:rPr>
        <w:t>shall have been satisfied or waived other than the effectiveness of the Registration Statement, the expiration of the Parent Schedule 14C waiting period</w:t>
      </w:r>
      <w:r>
        <w:rPr>
          <w:rFonts w:ascii="times new roman;times" w:hAnsi="times new roman;times"/>
          <w:b w:val="false"/>
          <w:sz w:val="20"/>
        </w:rPr>
        <w:t xml:space="preserve"> </w:t>
      </w:r>
      <w:r>
        <w:rPr>
          <w:rFonts w:ascii="Times New Roman" w:hAnsi="Times New Roman"/>
          <w:b w:val="false"/>
          <w:sz w:val="20"/>
        </w:rPr>
        <w:t xml:space="preserve">or Nasdaq approval contemplated by </w:t>
      </w:r>
      <w:r>
        <w:rPr>
          <w:rFonts w:ascii="Times New Roman" w:hAnsi="Times New Roman"/>
          <w:b w:val="false"/>
          <w:sz w:val="20"/>
          <w:u w:val="single"/>
        </w:rPr>
        <w:t>Section 6.4</w:t>
      </w:r>
      <w:r>
        <w:rPr>
          <w:rFonts w:ascii="Times New Roman" w:hAnsi="Times New Roman"/>
          <w:b w:val="false"/>
          <w:sz w:val="20"/>
        </w:rPr>
        <w:t xml:space="preserve">, then Parent may extend the End Date one time for an additional thirty (30) days by written notice to the Company and Seller delivered on or prior to the original End Date; provided, further, that the right to terminate this Agreement pursuant to this </w:t>
      </w:r>
      <w:r>
        <w:rPr>
          <w:rFonts w:ascii="Times New Roman" w:hAnsi="Times New Roman"/>
          <w:b w:val="false"/>
          <w:sz w:val="20"/>
          <w:u w:val="single"/>
        </w:rPr>
        <w:t>Section 9.1(b)</w:t>
      </w:r>
      <w:r>
        <w:rPr>
          <w:rFonts w:ascii="times new roman;times" w:hAnsi="times new roman;times"/>
          <w:b w:val="false"/>
          <w:sz w:val="20"/>
        </w:rPr>
        <w:t xml:space="preserve"> </w:t>
      </w:r>
      <w:r>
        <w:rPr>
          <w:rFonts w:ascii="Times New Roman" w:hAnsi="Times New Roman"/>
          <w:b w:val="false"/>
          <w:sz w:val="20"/>
        </w:rPr>
        <w:t>shall not be available to any Party whose material breach of this Agreement or whose failure to perform has been the principal cause of, or resulted in, the failure of the Closing to occur on or before the End Date.</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by either Parent, on the one hand, or the Company or Seller, on the other hand, if any court of competent jurisdiction or other Governmental Body shall have issued a final and nonappealable</w:t>
      </w:r>
      <w:r>
        <w:rPr>
          <w:rFonts w:ascii="times new roman;times" w:hAnsi="times new roman;times"/>
          <w:b w:val="false"/>
          <w:sz w:val="20"/>
        </w:rPr>
        <w:t xml:space="preserve"> </w:t>
      </w:r>
      <w:r>
        <w:rPr>
          <w:rFonts w:ascii="Times New Roman" w:hAnsi="Times New Roman"/>
          <w:b w:val="false"/>
          <w:sz w:val="20"/>
        </w:rPr>
        <w:t>Order permanently restraining, enjoining or otherwise prohibiting the consummation of the Merger or the other Contemplated Transactions;</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A-69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by the Company or Seller</w:t>
      </w:r>
      <w:r>
        <w:rPr>
          <w:rFonts w:ascii="times new roman;times" w:hAnsi="times new roman;times"/>
          <w:b w:val="false"/>
          <w:sz w:val="20"/>
        </w:rPr>
        <w:t xml:space="preserve"> </w:t>
      </w:r>
      <w:r>
        <w:rPr>
          <w:rFonts w:ascii="Times New Roman" w:hAnsi="Times New Roman"/>
          <w:b w:val="false"/>
          <w:sz w:val="20"/>
        </w:rPr>
        <w:t xml:space="preserve">if Parent or Merger Sub shall have breached any representation, warranty, covenant or agreement contained in this Agreement, or if any representation or warranty of Parent or Merger Sub shall have become inaccurate, in either case such that the conditions set forth in </w:t>
      </w:r>
      <w:r>
        <w:rPr>
          <w:rFonts w:ascii="Times New Roman" w:hAnsi="Times New Roman"/>
          <w:b w:val="false"/>
          <w:sz w:val="20"/>
          <w:u w:val="single"/>
        </w:rPr>
        <w:t>Section 8.1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8.2</w:t>
      </w:r>
      <w:r>
        <w:rPr>
          <w:rFonts w:ascii="times new roman;times" w:hAnsi="times new roman;times"/>
          <w:b w:val="false"/>
          <w:sz w:val="20"/>
        </w:rPr>
        <w:t xml:space="preserve"> </w:t>
      </w:r>
      <w:r>
        <w:rPr>
          <w:rFonts w:ascii="Times New Roman" w:hAnsi="Times New Roman"/>
          <w:b w:val="false"/>
          <w:sz w:val="20"/>
        </w:rPr>
        <w:t>would not be satisfied as of the time of such breach or inaccuracy; provided, however, that neither the Company nor Seller</w:t>
      </w:r>
      <w:r>
        <w:rPr>
          <w:rFonts w:ascii="times new roman;times" w:hAnsi="times new roman;times"/>
          <w:b w:val="false"/>
          <w:sz w:val="20"/>
        </w:rPr>
        <w:t xml:space="preserve"> </w:t>
      </w:r>
      <w:r>
        <w:rPr>
          <w:rFonts w:ascii="Times New Roman" w:hAnsi="Times New Roman"/>
          <w:b w:val="false"/>
          <w:sz w:val="20"/>
        </w:rPr>
        <w:t xml:space="preserve">may terminate this Agreement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 xml:space="preserve">if the Company or Seller, as applicable, is then in material breach of this Agreement such that any of the conditions set forth in </w:t>
      </w:r>
      <w:r>
        <w:rPr>
          <w:rFonts w:ascii="Times New Roman" w:hAnsi="Times New Roman"/>
          <w:b w:val="false"/>
          <w:sz w:val="20"/>
          <w:u w:val="single"/>
        </w:rPr>
        <w:t>Section 7.1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7.2</w:t>
      </w:r>
      <w:r>
        <w:rPr>
          <w:rFonts w:ascii="times new roman;times" w:hAnsi="times new roman;times"/>
          <w:b w:val="false"/>
          <w:sz w:val="20"/>
        </w:rPr>
        <w:t xml:space="preserve"> </w:t>
      </w:r>
      <w:r>
        <w:rPr>
          <w:rFonts w:ascii="Times New Roman" w:hAnsi="Times New Roman"/>
          <w:b w:val="false"/>
          <w:sz w:val="20"/>
        </w:rPr>
        <w:t xml:space="preserve">would not be satisfied; and provided, further, that if such breach or inaccuracy is curable by Parent or Merger Sub, then this Agreement shall not terminate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until the earlier of: (i) the expiration of thirty (30) days after written notice thereof is given by the Company or Seller</w:t>
      </w:r>
      <w:r>
        <w:rPr>
          <w:rFonts w:ascii="times new roman;times" w:hAnsi="times new roman;times"/>
          <w:b w:val="false"/>
          <w:sz w:val="20"/>
        </w:rPr>
        <w:t xml:space="preserve"> </w:t>
      </w:r>
      <w:r>
        <w:rPr>
          <w:rFonts w:ascii="Times New Roman" w:hAnsi="Times New Roman"/>
          <w:b w:val="false"/>
          <w:sz w:val="20"/>
        </w:rPr>
        <w:t xml:space="preserve">to Parent; and (ii) Parent or Merger Sub ceasing to exercise commercially reasonable efforts to cure such breach or inaccuracy; it being understood that this Agreement shall not terminate pursuant to this </w:t>
      </w:r>
      <w:r>
        <w:rPr>
          <w:rFonts w:ascii="Times New Roman" w:hAnsi="Times New Roman"/>
          <w:b w:val="false"/>
          <w:sz w:val="20"/>
          <w:u w:val="single"/>
        </w:rPr>
        <w:t>Section 9.1(d)</w:t>
      </w:r>
      <w:r>
        <w:rPr>
          <w:rFonts w:ascii="times new roman;times" w:hAnsi="times new roman;times"/>
          <w:b w:val="false"/>
          <w:sz w:val="20"/>
        </w:rPr>
        <w:t xml:space="preserve"> </w:t>
      </w:r>
      <w:r>
        <w:rPr>
          <w:rFonts w:ascii="Times New Roman" w:hAnsi="Times New Roman"/>
          <w:b w:val="false"/>
          <w:sz w:val="20"/>
        </w:rPr>
        <w:t>if such breach or inaccuracy is cured prior to such termination becoming effective</w:t>
      </w:r>
      <w:r>
        <w:rPr>
          <w:rFonts w:ascii="Times New Roman" w:hAnsi="Times New Roman"/>
          <w:b w:val="false"/>
          <w:spacing w:val="-2"/>
          <w:sz w:val="20"/>
        </w:rPr>
        <w:t>;</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by Parent if the Company or Seller</w:t>
      </w:r>
      <w:r>
        <w:rPr>
          <w:rFonts w:ascii="times new roman;times" w:hAnsi="times new roman;times"/>
          <w:b w:val="false"/>
          <w:sz w:val="20"/>
        </w:rPr>
        <w:t xml:space="preserve"> </w:t>
      </w:r>
      <w:r>
        <w:rPr>
          <w:rFonts w:ascii="Times New Roman" w:hAnsi="Times New Roman"/>
          <w:b w:val="false"/>
          <w:sz w:val="20"/>
        </w:rPr>
        <w:t>shall have breached any representation, warranty, covenant or agreement contained in this Agreement, or if any representation or warranty of the Company or Seller</w:t>
      </w:r>
      <w:r>
        <w:rPr>
          <w:rFonts w:ascii="times new roman;times" w:hAnsi="times new roman;times"/>
          <w:b w:val="false"/>
          <w:sz w:val="20"/>
        </w:rPr>
        <w:t xml:space="preserve"> </w:t>
      </w:r>
      <w:r>
        <w:rPr>
          <w:rFonts w:ascii="Times New Roman" w:hAnsi="Times New Roman"/>
          <w:b w:val="false"/>
          <w:sz w:val="20"/>
        </w:rPr>
        <w:t xml:space="preserve">shall have become inaccurate, in either case such that the conditions set forth in </w:t>
      </w:r>
      <w:r>
        <w:rPr>
          <w:rFonts w:ascii="Times New Roman" w:hAnsi="Times New Roman"/>
          <w:b w:val="false"/>
          <w:sz w:val="20"/>
          <w:u w:val="single"/>
        </w:rPr>
        <w:t>Section 7.1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7.2</w:t>
      </w:r>
      <w:r>
        <w:rPr>
          <w:rFonts w:ascii="times new roman;times" w:hAnsi="times new roman;times"/>
          <w:b w:val="false"/>
          <w:sz w:val="20"/>
        </w:rPr>
        <w:t xml:space="preserve"> </w:t>
      </w:r>
      <w:r>
        <w:rPr>
          <w:rFonts w:ascii="Times New Roman" w:hAnsi="Times New Roman"/>
          <w:b w:val="false"/>
          <w:sz w:val="20"/>
        </w:rPr>
        <w:t xml:space="preserve">would not be satisfied as of the time of such breach or inaccuracy; provided, however, that Parent may not terminate this Agreement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 xml:space="preserve">if Parent is then in material breach of this Agreement such that any of the conditions set forth in </w:t>
      </w:r>
      <w:r>
        <w:rPr>
          <w:rFonts w:ascii="Times New Roman" w:hAnsi="Times New Roman"/>
          <w:b w:val="false"/>
          <w:sz w:val="20"/>
          <w:u w:val="single"/>
        </w:rPr>
        <w:t>Section 8.1</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 w:hAnsi="Times New Roman"/>
          <w:b w:val="false"/>
          <w:sz w:val="20"/>
          <w:u w:val="single"/>
        </w:rPr>
        <w:t>Section 8.2</w:t>
      </w:r>
      <w:r>
        <w:rPr>
          <w:rFonts w:ascii="times new roman;times" w:hAnsi="times new roman;times"/>
          <w:b w:val="false"/>
          <w:sz w:val="20"/>
        </w:rPr>
        <w:t xml:space="preserve"> </w:t>
      </w:r>
      <w:r>
        <w:rPr>
          <w:rFonts w:ascii="Times New Roman" w:hAnsi="Times New Roman"/>
          <w:b w:val="false"/>
          <w:sz w:val="20"/>
        </w:rPr>
        <w:t xml:space="preserve">would not be satisfied; and provided, further, that if such breach or inaccuracy is curable by the Company or Seller, then this Agreement shall not terminate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until the earlier of: (i) the expiration of thirty (30) days after written notice thereof is given by Parent to the Company and Seller; and (ii) the Company or Seller</w:t>
      </w:r>
      <w:r>
        <w:rPr>
          <w:rFonts w:ascii="times new roman;times" w:hAnsi="times new roman;times"/>
          <w:b w:val="false"/>
          <w:sz w:val="20"/>
        </w:rPr>
        <w:t xml:space="preserve"> </w:t>
      </w:r>
      <w:r>
        <w:rPr>
          <w:rFonts w:ascii="Times New Roman" w:hAnsi="Times New Roman"/>
          <w:b w:val="false"/>
          <w:sz w:val="20"/>
        </w:rPr>
        <w:t xml:space="preserve">ceasing to exercise commercially reasonable efforts to cure such breach or inaccuracy; it being understood that this Agreement shall not terminate pursuant to this </w:t>
      </w:r>
      <w:r>
        <w:rPr>
          <w:rFonts w:ascii="Times New Roman" w:hAnsi="Times New Roman"/>
          <w:b w:val="false"/>
          <w:sz w:val="20"/>
          <w:u w:val="single"/>
        </w:rPr>
        <w:t>Section 9.1(e)</w:t>
      </w:r>
      <w:r>
        <w:rPr>
          <w:rFonts w:ascii="times new roman;times" w:hAnsi="times new roman;times"/>
          <w:b w:val="false"/>
          <w:sz w:val="20"/>
        </w:rPr>
        <w:t xml:space="preserve"> </w:t>
      </w:r>
      <w:r>
        <w:rPr>
          <w:rFonts w:ascii="Times New Roman" w:hAnsi="Times New Roman"/>
          <w:b w:val="false"/>
          <w:sz w:val="20"/>
        </w:rPr>
        <w:t>if such breach or inaccuracy is cured prior to such termination becoming effective</w:t>
      </w:r>
      <w:r>
        <w:rPr>
          <w:rFonts w:ascii="Times New Roman" w:hAnsi="Times New Roman"/>
          <w:b w:val="false"/>
          <w:spacing w:val="4"/>
          <w:sz w:val="20"/>
        </w:rPr>
        <w:t>;</w:t>
      </w:r>
      <w:r>
        <w:rPr>
          <w:rFonts w:ascii="times new roman;times" w:hAnsi="times new roman;times"/>
          <w:b w:val="false"/>
          <w:spacing w:val="4"/>
          <w:sz w:val="20"/>
        </w:rPr>
        <w:t xml:space="preserve"> </w:t>
      </w:r>
      <w:r>
        <w:rPr>
          <w:rFonts w:ascii="Times New Roman" w:hAnsi="Times New Roman"/>
          <w:b w:val="false"/>
          <w:spacing w:val="4"/>
          <w:sz w:val="20"/>
        </w:rPr>
        <w:t>or</w:t>
      </w:r>
    </w:p>
    <w:p>
      <w:pPr>
        <w:pStyle w:val="TextBody"/>
        <w:bidi w:val="0"/>
        <w:spacing w:lineRule="auto" w:line="288" w:before="0" w:after="240"/>
        <w:ind w:left="375" w:right="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by Parent if the Company Shareholder Written Consent shall not have been duly executed and delivered by Seller within two (2) Business Days after the execution of this Agreement.</w:t>
      </w:r>
    </w:p>
    <w:p>
      <w:pPr>
        <w:pStyle w:val="TextBody"/>
        <w:bidi w:val="0"/>
        <w:spacing w:lineRule="auto" w:line="288" w:before="0" w:after="240"/>
        <w:ind w:left="0" w:right="0" w:hanging="0"/>
        <w:jc w:val="left"/>
        <w:rPr>
          <w:rFonts w:ascii="times new roman;times" w:hAnsi="times new roman;times"/>
          <w:b w:val="false"/>
          <w:sz w:val="20"/>
        </w:rPr>
      </w:pPr>
      <w:r>
        <w:rPr>
          <w:rFonts w:ascii="Times New Roman" w:hAnsi="Times New Roman"/>
          <w:b w:val="false"/>
          <w:sz w:val="20"/>
        </w:rPr>
        <w:t>The Party desiring to terminate this Agreement pursuant to this Section 9.1 (other than pursuant to</w:t>
      </w:r>
      <w:r>
        <w:rPr>
          <w:rFonts w:ascii="times new roman;times" w:hAnsi="times new roman;times"/>
          <w:b w:val="false"/>
          <w:sz w:val="20"/>
        </w:rPr>
        <w:t xml:space="preserve"> </w:t>
      </w:r>
      <w:r>
        <w:rPr>
          <w:rFonts w:ascii="Times New Roman" w:hAnsi="Times New Roman"/>
          <w:b w:val="false"/>
          <w:sz w:val="20"/>
          <w:u w:val="single"/>
        </w:rPr>
        <w:t>Section 9.1(a)</w:t>
      </w:r>
      <w:r>
        <w:rPr>
          <w:rFonts w:ascii="Times New Roman" w:hAnsi="Times New Roman"/>
          <w:b w:val="false"/>
          <w:sz w:val="20"/>
        </w:rPr>
        <w:t>) shall give written notice of such termination to the other Parties, specifying the provision of this Agreement pursuant to which such termination is made and the basis therefor in reasonable detail.</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 xml:space="preserve">Effect of Termination. </w:t>
        </w:r>
      </w:hyperlink>
      <w:r>
        <w:rPr>
          <w:rFonts w:ascii="Times New Roman" w:hAnsi="Times New Roman"/>
          <w:b w:val="false"/>
          <w:sz w:val="20"/>
        </w:rPr>
        <w:t xml:space="preserve">In the event of the termination of this Agreement as provided in </w:t>
      </w:r>
      <w:r>
        <w:rPr>
          <w:rFonts w:ascii="Times New Roman" w:hAnsi="Times New Roman"/>
          <w:b w:val="false"/>
          <w:sz w:val="20"/>
          <w:u w:val="single"/>
        </w:rPr>
        <w:t>Section 9.1</w:t>
      </w:r>
      <w:r>
        <w:rPr>
          <w:rFonts w:ascii="Times New Roman" w:hAnsi="Times New Roman"/>
          <w:b w:val="false"/>
          <w:sz w:val="20"/>
        </w:rPr>
        <w:t xml:space="preserve">, this Agreement shall be of no further force or effect; provided, however, that (i) </w:t>
      </w:r>
      <w:r>
        <w:rPr>
          <w:rFonts w:ascii="Times New Roman" w:hAnsi="Times New Roman"/>
          <w:b w:val="false"/>
          <w:sz w:val="20"/>
          <w:u w:val="single"/>
        </w:rPr>
        <w:t>Section 5.8</w:t>
      </w:r>
      <w:r>
        <w:rPr>
          <w:rFonts w:ascii="Times New Roman" w:hAnsi="Times New Roman"/>
          <w:b w:val="false"/>
          <w:sz w:val="20"/>
        </w:rPr>
        <w:t xml:space="preserve">, this </w:t>
      </w:r>
      <w:r>
        <w:rPr>
          <w:rFonts w:ascii="Times New Roman" w:hAnsi="Times New Roman"/>
          <w:b w:val="false"/>
          <w:sz w:val="20"/>
          <w:u w:val="single"/>
        </w:rPr>
        <w:t>Section 9.2</w:t>
      </w:r>
      <w:r>
        <w:rPr>
          <w:rFonts w:ascii="Times New Roman" w:hAnsi="Times New Roman"/>
          <w:b w:val="false"/>
          <w:sz w:val="20"/>
        </w:rPr>
        <w:t xml:space="preserve">, </w:t>
      </w:r>
      <w:r>
        <w:rPr>
          <w:rFonts w:ascii="Times New Roman" w:hAnsi="Times New Roman"/>
          <w:b w:val="false"/>
          <w:sz w:val="20"/>
          <w:u w:val="single"/>
        </w:rPr>
        <w:t>Section 9.3</w:t>
      </w:r>
      <w:r>
        <w:rPr>
          <w:rFonts w:ascii="Times New Roman" w:hAnsi="Times New Roman"/>
          <w:b w:val="false"/>
          <w:sz w:val="20"/>
        </w:rPr>
        <w:t xml:space="preserve">,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 xml:space="preserve">and the Confidentiality Agreement shall survive the termination of this Agreement and shall remain in full force and effect, and (ii) the termination of this Agreement shall not relieve any Party for its fraud or from any liability for any Willful Breach of any representation, warranty, covenant, obligation or other provision contained in this Agreement. </w:t>
      </w:r>
      <w:r>
        <w:rPr>
          <w:rFonts w:ascii="times new roman;times" w:hAnsi="times new roman;times"/>
          <w:sz w:val="20"/>
        </w:rPr>
        <w:t>“</w:t>
      </w:r>
      <w:r>
        <w:rPr>
          <w:rFonts w:ascii="Times New Roman" w:hAnsi="Times New Roman"/>
          <w:b/>
          <w:i/>
          <w:sz w:val="20"/>
        </w:rPr>
        <w:t>Willful Breach</w:t>
      </w:r>
      <w:r>
        <w:rPr>
          <w:rFonts w:ascii="times new roman;times" w:hAnsi="times new roman;times"/>
          <w:sz w:val="20"/>
        </w:rPr>
        <w:t xml:space="preserve">” </w:t>
      </w:r>
      <w:r>
        <w:rPr>
          <w:rFonts w:ascii="Times New Roman" w:hAnsi="Times New Roman"/>
          <w:b w:val="false"/>
          <w:sz w:val="20"/>
        </w:rPr>
        <w:t>means a deliberate act or a deliberate failure to act, taken with actual knowledge that such act or failure to act would constitute or result in a material breach of this Agreement.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9.3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Expenses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Except as otherwise expressly set forth in this Agreement, each Party shall bear its own costs and expenses, including all legal, accounting, financial advisory, consulting and other professional fees and expenses, incurred in connection with the negotiation, execution and</w:t>
      </w:r>
      <w:r>
        <w:rPr>
          <w:rFonts w:ascii="times new roman;times" w:hAnsi="times new roman;times"/>
          <w:sz w:val="20"/>
        </w:rPr>
        <w:t xml:space="preserve"> </w:t>
      </w:r>
      <w:r>
        <w:rPr>
          <w:rFonts w:ascii="Times New Roman" w:hAnsi="Times New Roman"/>
          <w:b w:val="false"/>
          <w:sz w:val="20"/>
        </w:rPr>
        <w:t xml:space="preserve">performance of this Agreement and the consummation of the Contemplated Transactions. For the avoidance of doubt, except in the case of Fraud or Willful Breach as provided in </w:t>
      </w:r>
      <w:r>
        <w:rPr>
          <w:rFonts w:ascii="Times New Roman" w:hAnsi="Times New Roman"/>
          <w:b w:val="false"/>
          <w:sz w:val="20"/>
          <w:u w:val="single"/>
        </w:rPr>
        <w:t>Section 9.2</w:t>
      </w:r>
      <w:r>
        <w:rPr>
          <w:rFonts w:ascii="times new roman;times" w:hAnsi="times new roman;times"/>
          <w:sz w:val="20"/>
        </w:rPr>
        <w:t xml:space="preserve"> </w:t>
      </w:r>
      <w:r>
        <w:rPr>
          <w:rFonts w:ascii="Times New Roman" w:hAnsi="Times New Roman"/>
          <w:b w:val="false"/>
          <w:sz w:val="20"/>
        </w:rPr>
        <w:t>or as otherwise set out in this Agreement, no Party shall be entitled to any termination fee, reverse termination fee, expense reimbursement or other payment from any other Party as a result of the termination of this Agreement.</w:t>
      </w:r>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ARTICLE 10</w:t>
        </w:r>
      </w:hyperlink>
    </w:p>
    <w:p>
      <w:pPr>
        <w:pStyle w:val="TextBody"/>
        <w:bidi w:val="0"/>
        <w:spacing w:lineRule="auto" w:line="288" w:before="0" w:after="240"/>
        <w:ind w:left="0" w:right="0" w:hanging="0"/>
        <w:jc w:val="center"/>
        <w:rPr/>
      </w:pPr>
      <w:hyperlink w:anchor="TOC">
        <w:r>
          <w:rPr>
            <w:rStyle w:val="InternetLink"/>
            <w:rFonts w:ascii="Times New Roman" w:hAnsi="Times New Roman"/>
            <w:b/>
            <w:caps/>
            <w:strike w:val="false"/>
            <w:dstrike w:val="false"/>
            <w:color w:val="000000"/>
            <w:sz w:val="20"/>
            <w:u w:val="none"/>
            <w:effect w:val="none"/>
          </w:rPr>
          <w:t>MISCELLANEOUS PROVISIONS</w:t>
        </w:r>
      </w:hyperlink>
    </w:p>
    <w:p>
      <w:pPr>
        <w:pStyle w:val="TextBody"/>
        <w:bidi w:val="0"/>
        <w:spacing w:lineRule="auto" w:line="288" w:before="0" w:after="0"/>
        <w:ind w:left="500" w:right="0" w:firstLine="720"/>
        <w:jc w:val="left"/>
        <w:rPr/>
      </w:pPr>
      <w:hyperlink w:anchor="TOC">
        <w:r>
          <w:rPr>
            <w:rStyle w:val="InternetLink"/>
            <w:rFonts w:ascii="Times New Roman" w:hAnsi="Times New Roman"/>
            <w:b/>
            <w:strike w:val="false"/>
            <w:dstrike w:val="false"/>
            <w:color w:val="000000"/>
            <w:sz w:val="20"/>
            <w:u w:val="none"/>
            <w:effect w:val="none"/>
          </w:rPr>
          <w:t>10.1</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Non-Survival of Representations and Warranties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The</w:t>
      </w:r>
      <w:r>
        <w:rPr>
          <w:rFonts w:ascii="times new roman;times" w:hAnsi="times new roman;times"/>
          <w:sz w:val="20"/>
        </w:rPr>
        <w:t xml:space="preserve"> </w:t>
      </w:r>
      <w:r>
        <w:rPr>
          <w:rFonts w:ascii="Times New Roman" w:hAnsi="Times New Roman"/>
          <w:b w:val="false"/>
          <w:sz w:val="20"/>
        </w:rPr>
        <w:t xml:space="preserve">representations and warranties of the Company, Seller, Merger Sub and Parent contained in this Agreement or in any certificate or instrument delivered pursuant to this Agreement shall terminate at the Effective Time, and only those covenants and agreements that by their terms survive the Effective Time and this </w:t>
      </w:r>
      <w:r>
        <w:rPr>
          <w:rFonts w:ascii="Times New Roman" w:hAnsi="Times New Roman"/>
          <w:b w:val="false"/>
          <w:sz w:val="20"/>
          <w:u w:val="single"/>
        </w:rPr>
        <w:t>Article 10</w:t>
      </w:r>
      <w:r>
        <w:rPr>
          <w:rFonts w:ascii="times new roman;times" w:hAnsi="times new roman;times"/>
          <w:sz w:val="20"/>
        </w:rPr>
        <w:t xml:space="preserve"> </w:t>
      </w:r>
      <w:r>
        <w:rPr>
          <w:rFonts w:ascii="Times New Roman" w:hAnsi="Times New Roman"/>
          <w:b w:val="false"/>
          <w:sz w:val="20"/>
        </w:rPr>
        <w:t>shall survive the Effective Time.</w:t>
      </w:r>
      <w:r>
        <w:rPr>
          <w:rFonts w:ascii="times new roman;times" w:hAnsi="times new roman;times"/>
          <w:sz w:val="20"/>
        </w:rPr>
        <w:t xml:space="preserve"> </w:t>
      </w:r>
      <w:r>
        <w:rPr>
          <w:rFonts w:ascii="Times New Roman" w:hAnsi="Times New Roman"/>
          <w:b w:val="false"/>
          <w:sz w:val="20"/>
        </w:rPr>
        <w:t xml:space="preserve">For the avoidance of doubt, </w:t>
      </w:r>
      <w:r>
        <w:rPr>
          <w:rFonts w:ascii="Times New Roman" w:hAnsi="Times New Roman"/>
          <w:b w:val="false"/>
          <w:sz w:val="20"/>
          <w:u w:val="single"/>
        </w:rPr>
        <w:t>Sections</w:t>
      </w:r>
      <w:r>
        <w:rPr>
          <w:rFonts w:ascii="times new roman;times" w:hAnsi="times new roman;times"/>
          <w:sz w:val="20"/>
          <w:u w:val="single"/>
        </w:rPr>
        <w:t xml:space="preserve"> </w:t>
      </w:r>
      <w:r>
        <w:rPr>
          <w:rFonts w:ascii="Times New Roman" w:hAnsi="Times New Roman"/>
          <w:b w:val="false"/>
          <w:sz w:val="20"/>
          <w:u w:val="single"/>
        </w:rPr>
        <w:t>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w:t>
      </w:r>
      <w:r>
        <w:rPr>
          <w:rFonts w:ascii="times new roman;times" w:hAnsi="times new roman;times"/>
          <w:sz w:val="20"/>
        </w:rPr>
        <w:t xml:space="preserve"> </w:t>
      </w:r>
      <w:r>
        <w:rPr>
          <w:rFonts w:ascii="Times New Roman" w:hAnsi="Times New Roman"/>
          <w:b w:val="false"/>
          <w:sz w:val="20"/>
        </w:rPr>
        <w:t xml:space="preserve">(Pre-Closing Parent Stockholder Director), </w:t>
      </w:r>
      <w:r>
        <w:rPr>
          <w:rFonts w:ascii="Times New Roman" w:hAnsi="Times New Roman"/>
          <w:b w:val="false"/>
          <w:sz w:val="20"/>
          <w:u w:val="single"/>
        </w:rPr>
        <w:t>Section 5.23</w:t>
      </w:r>
      <w:r>
        <w:rPr>
          <w:rFonts w:ascii="times new roman;times" w:hAnsi="times new roman;times"/>
          <w:sz w:val="20"/>
        </w:rPr>
        <w:t xml:space="preserve"> </w:t>
      </w:r>
      <w:r>
        <w:rPr>
          <w:rFonts w:ascii="Times New Roman" w:hAnsi="Times New Roman"/>
          <w:b w:val="false"/>
          <w:sz w:val="20"/>
        </w:rPr>
        <w:t xml:space="preserve">(Equity Moratorium) and </w:t>
      </w:r>
      <w:r>
        <w:rPr>
          <w:rFonts w:ascii="Times New Roman" w:hAnsi="Times New Roman"/>
          <w:b w:val="false"/>
          <w:sz w:val="20"/>
          <w:u w:val="single"/>
        </w:rPr>
        <w:t>Section 5.24</w:t>
      </w:r>
      <w:r>
        <w:rPr>
          <w:rFonts w:ascii="times new roman;times" w:hAnsi="times new roman;times"/>
          <w:sz w:val="20"/>
        </w:rPr>
        <w:t xml:space="preserve"> </w:t>
      </w:r>
      <w:r>
        <w:rPr>
          <w:rFonts w:ascii="Times New Roman" w:hAnsi="Times New Roman"/>
          <w:b w:val="false"/>
          <w:sz w:val="20"/>
        </w:rPr>
        <w:t>(Seller Voting Agreement) shall each survive the Effective Time in accordance with their respective terms.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10.2</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Amendment</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may be amended only by an instrument in writing signed on behalf of Parent, Merger Sub, the Company and Seller; provided, however, that after the Parent Stockholder Proposals have been approved by the Required Parent Stockholder Consent, no amendment shall be made that by applicable Law or Nasdaq rule requires further approval of Parent</w:t>
      </w:r>
      <w:r>
        <w:rPr>
          <w:rFonts w:ascii="times new roman;times" w:hAnsi="times new roman;times"/>
          <w:sz w:val="20"/>
        </w:rPr>
        <w:t>’</w:t>
      </w:r>
      <w:r>
        <w:rPr>
          <w:rFonts w:ascii="Times New Roman" w:hAnsi="Times New Roman"/>
          <w:b w:val="false"/>
          <w:sz w:val="20"/>
        </w:rPr>
        <w:t>s stockholders without such further approval.</w:t>
      </w:r>
      <w:r>
        <w:rPr>
          <w:rFonts w:ascii="times new roman;times" w:hAnsi="times new roman;times"/>
          <w:sz w:val="20"/>
        </w:rPr>
        <w:t xml:space="preserve"> </w:t>
      </w:r>
      <w:r>
        <w:rPr>
          <w:rFonts w:ascii="Times New Roman" w:hAnsi="Times New Roman"/>
          <w:b w:val="false"/>
          <w:sz w:val="20"/>
        </w:rPr>
        <w:t xml:space="preserve">Notwithstanding the foregoing, no amendment, modification or waiver of </w:t>
      </w:r>
      <w:r>
        <w:rPr>
          <w:rFonts w:ascii="Times New Roman" w:hAnsi="Times New Roman"/>
          <w:b w:val="false"/>
          <w:sz w:val="20"/>
          <w:u w:val="single"/>
        </w:rPr>
        <w:t>Section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w:t>
      </w:r>
      <w:r>
        <w:rPr>
          <w:rFonts w:ascii="Times New Roman" w:hAnsi="Times New Roman"/>
          <w:b w:val="false"/>
          <w:sz w:val="20"/>
        </w:rPr>
        <w:t xml:space="preserve">, </w:t>
      </w:r>
      <w:r>
        <w:rPr>
          <w:rFonts w:ascii="Times New Roman" w:hAnsi="Times New Roman"/>
          <w:b w:val="false"/>
          <w:sz w:val="20"/>
          <w:u w:val="single"/>
        </w:rPr>
        <w:t>Section 5.23</w:t>
      </w:r>
      <w:r>
        <w:rPr>
          <w:rFonts w:ascii="times new roman;times" w:hAnsi="times new roman;times"/>
          <w:sz w:val="20"/>
        </w:rPr>
        <w:t xml:space="preserve"> </w:t>
      </w:r>
      <w:r>
        <w:rPr>
          <w:rFonts w:ascii="Times New Roman" w:hAnsi="Times New Roman"/>
          <w:b w:val="false"/>
          <w:sz w:val="20"/>
        </w:rPr>
        <w:t xml:space="preserve">or </w:t>
      </w:r>
      <w:r>
        <w:rPr>
          <w:rFonts w:ascii="Times New Roman" w:hAnsi="Times New Roman"/>
          <w:b w:val="false"/>
          <w:sz w:val="20"/>
          <w:u w:val="single"/>
        </w:rPr>
        <w:t>Section 5.24</w:t>
      </w:r>
      <w:r>
        <w:rPr>
          <w:rFonts w:ascii="times new roman;times" w:hAnsi="times new roman;times"/>
          <w:sz w:val="20"/>
        </w:rPr>
        <w:t xml:space="preserve"> </w:t>
      </w:r>
      <w:r>
        <w:rPr>
          <w:rFonts w:ascii="Times New Roman" w:hAnsi="Times New Roman"/>
          <w:b w:val="false"/>
          <w:sz w:val="20"/>
        </w:rPr>
        <w:t xml:space="preserve">shall be effective unless approved by the affirmative written consent of the holders of a majority of the outstanding shares of Parent Common Stock held by the Pre-Closing Parent Stockholders. Any purported amendment, modification or waiver of such provisions without such consent shall be void ab initio and of no force or effect. The rights of the Pre-Closing Parent Stockholders as third-party beneficiaries under </w:t>
      </w:r>
      <w:r>
        <w:rPr>
          <w:rFonts w:ascii="Times New Roman" w:hAnsi="Times New Roman"/>
          <w:b w:val="false"/>
          <w:sz w:val="20"/>
          <w:u w:val="single"/>
        </w:rPr>
        <w:t>Section 5.23(d)</w:t>
      </w:r>
      <w:r>
        <w:rPr>
          <w:rFonts w:ascii="times new roman;times" w:hAnsi="times new roman;times"/>
          <w:sz w:val="20"/>
        </w:rPr>
        <w:t xml:space="preserve"> </w:t>
      </w:r>
      <w:r>
        <w:rPr>
          <w:rFonts w:ascii="Times New Roman" w:hAnsi="Times New Roman"/>
          <w:b w:val="false"/>
          <w:sz w:val="20"/>
        </w:rPr>
        <w:t>may not be modified, limited or eliminated by any amendment to this Agreement without the prior written consent of the holders of a majority of the outstanding shares of Parent Common Stock held by the Pre-Closing Parent Stockholders.</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10.3</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Waiver</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lineRule="auto" w:line="288" w:before="0" w:after="240"/>
        <w:ind w:left="0" w:right="37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Any provision of this Agreement may be waived, and the time for performance of any obligation may be extended, only by the Party entitled to the benefit of such provision or obligation, and only on such Party</w:t>
      </w:r>
      <w:r>
        <w:rPr>
          <w:rFonts w:ascii="times new roman;times" w:hAnsi="times new roman;times"/>
          <w:b w:val="false"/>
          <w:sz w:val="20"/>
        </w:rPr>
        <w:t>’</w:t>
      </w:r>
      <w:r>
        <w:rPr>
          <w:rFonts w:ascii="Times New Roman" w:hAnsi="Times New Roman"/>
          <w:b w:val="false"/>
          <w:sz w:val="20"/>
        </w:rPr>
        <w:t>s own behalf, without the consent of any other Party except to the extent otherwise expressly provided herein.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10.4</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Entire Agreement; Counterparts; Electronic Delivery</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the Confidentiality Agreement and the other agreements expressly contemplated hereby constitute the entire agreement among the Parties with respect to the subject matter hereof and supersede all prior agreements, letters of intent, term sheets, memoranda of understanding and other understandings, whether written or oral, among or between any of the Parties with respect to the subject matter hereof, including the LOI; provided, however, that the Confidentiality Agreement shall survive in accordance with its terms except to the extent expressly superseded by this Agreement. This Agreement may be executed in one or more counterparts, each of which shall be deemed an original and all of which together shall constitute one and the same instrument. The exchange of this Agreement by electronic transmission in portable document format (.pdf), by electronic signature platform, or by any other electronic means intended to preserve the original graphic and pictorial appearance of a document shall be sufficient to bind the Parties to the terms and conditions of this Agreement.</w:t>
      </w:r>
    </w:p>
    <w:p>
      <w:pPr>
        <w:pStyle w:val="TextBody"/>
        <w:bidi w:val="0"/>
        <w:spacing w:lineRule="auto" w:line="288" w:before="0" w:after="0"/>
        <w:ind w:left="500" w:right="0" w:firstLine="720"/>
        <w:jc w:val="left"/>
        <w:rPr/>
      </w:pPr>
      <w:hyperlink w:anchor="TOC">
        <w:r>
          <w:rPr>
            <w:rStyle w:val="InternetLink"/>
            <w:rFonts w:ascii="Times New Roman" w:hAnsi="Times New Roman"/>
            <w:b/>
            <w:strike w:val="false"/>
            <w:dstrike w:val="false"/>
            <w:color w:val="000000"/>
            <w:sz w:val="20"/>
            <w:u w:val="none"/>
            <w:effect w:val="none"/>
          </w:rPr>
          <w:t>10.5</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Applicable Law; Jurisdiction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and all disputes, claims or controversies arising out of or relating to this Agreement or the Contemplated Transactions, shall be governed by and construed in accordance with the laws of the State of Delaware, without giving effect to any conflicts of laws principles that would require the application of the laws of any other jurisdiction. The Merger shall be governed by the DGCL. In any Action arising out of or relating to this Agreement or any of the Contemplated Transactions: (a) each of the Parties (i) irrevocably submits itself to the exclusive jurisdiction of the Court of Chancery of the State of Delaware or, (ii) to the extent such court does not have jurisdiction, the United States District Court of the District of Delaware, as</w:t>
      </w:r>
      <w:r>
        <w:rPr>
          <w:rFonts w:ascii="times new roman;times" w:hAnsi="times new roman;times"/>
          <w:sz w:val="20"/>
        </w:rPr>
        <w:t xml:space="preserve"> </w:t>
      </w:r>
      <w:r>
        <w:rPr>
          <w:rFonts w:ascii="Times New Roman" w:hAnsi="Times New Roman"/>
          <w:b w:val="false"/>
          <w:sz w:val="20"/>
        </w:rPr>
        <w:t>well as to the jurisdiction of all courts to which an appeal may be taken from such courts, in any suit, action or proceeding arising out of or relating to this Agreement or any of the transactions contemplated herein, (b) agrees that every such suit, action or proceeding shall be brought, heard and determined exclusively in such court, (c) agrees that it shall not attempt to deny or defeat such personal jurisdiction by motion or other request for leave from such court, (d) agrees not to bring any suit, action or proceeding arising out of or relating to this Agreement or the Contemplated Transactions in any other court, and (e) waives any defense of inconvenient forum to the maintenance of any suit, action or proceeding so brought.</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 w:hAnsi="Times New Roman"/>
          <w:b w:val="false"/>
          <w:sz w:val="20"/>
        </w:rPr>
      </w:pPr>
      <w:r>
        <w:rPr>
          <w:rFonts w:ascii="Times New Roman" w:hAnsi="Times New Roman"/>
          <w:b w:val="false"/>
          <w:sz w:val="20"/>
        </w:rPr>
      </w:r>
    </w:p>
    <w:p>
      <w:pPr>
        <w:pStyle w:val="TextBody"/>
        <w:bidi w:val="0"/>
        <w:spacing w:lineRule="auto" w:line="288" w:before="0" w:after="240"/>
        <w:ind w:left="0" w:right="0" w:firstLine="720"/>
        <w:jc w:val="left"/>
        <w:rPr>
          <w:rFonts w:ascii="times new roman;times" w:hAnsi="times new roman;times"/>
          <w:sz w:val="20"/>
        </w:rPr>
      </w:pPr>
      <w:r>
        <w:rPr>
          <w:rFonts w:ascii="Times New Roman" w:hAnsi="Times New Roman"/>
          <w:sz w:val="20"/>
        </w:rPr>
        <w:t xml:space="preserve">EACH PARTY ACKNOWLEDGES AND AGREES THAT ANY CONTROVERSY WHICH MAY ARISE UNDER THIS AGREEMENT OR THE DOCUMENTS RELATED HERETO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HEREBY, INCLUDING ANY CONTROVERSY INVOLVING ANY REPRESENTATIVE OF PARENT OR THE COMPANY UNDER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THIS WAIVER, (iii) SUCH PARTY MAKES THIS WAIVER VOLUNTARILY, AND (iv) SUCH PARTY HAS BEEN INDUCED TO ENTER INTO THIS AGREEMENT BY, AMONG OTHER THINGS, THE MUTUAL WAIVERS AND CERTIFICATIONS IN THIS </w:t>
      </w:r>
      <w:r>
        <w:rPr>
          <w:rFonts w:ascii="Times New Roman" w:hAnsi="Times New Roman"/>
          <w:sz w:val="20"/>
          <w:u w:val="single"/>
        </w:rPr>
        <w:t>SECTION 10.5</w:t>
      </w:r>
      <w:r>
        <w:rPr>
          <w:rFonts w:ascii="Times New Roman" w:hAnsi="Times New Roman"/>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10.6</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Assignability; No Third-Party Beneficiaries</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This Agreement shall be binding upon, and shall be enforceable by and inure solely to the benefit of, the Parties hereto and their respective successors and permitted assigns; provided, however, that no Party may assign or delegate any of its rights or obligations hereunder without the prior written consent of the other Parties, except that Parent may assign this Agreement or any of its rights hereunder, in whole or in part, to any direct or indirect wholly owned Subsidiary of Parent or to any financing source collateral agent as security for obligations in connection with the Financing, so long as no such assignment shall relieve Parent of any of its obligations hereunder. Any attempted assignment or delegation in violation of this </w:t>
      </w:r>
      <w:r>
        <w:rPr>
          <w:rFonts w:ascii="Times New Roman" w:hAnsi="Times New Roman"/>
          <w:b w:val="false"/>
          <w:sz w:val="20"/>
          <w:u w:val="single"/>
        </w:rPr>
        <w:t>Section 10.6</w:t>
      </w:r>
      <w:r>
        <w:rPr>
          <w:rFonts w:ascii="times new roman;times" w:hAnsi="times new roman;times"/>
          <w:sz w:val="20"/>
        </w:rPr>
        <w:t xml:space="preserve"> </w:t>
      </w:r>
      <w:r>
        <w:rPr>
          <w:rFonts w:ascii="Times New Roman" w:hAnsi="Times New Roman"/>
          <w:b w:val="false"/>
          <w:sz w:val="20"/>
        </w:rPr>
        <w:t xml:space="preserve">shall be void and of no effect. Nothing in this Agreement, express or implied, is intended to or shall confer upon any Person other than the Parties hereto, the D&amp;O Indemnified Parties, to the extent of their respective rights pursuant to </w:t>
      </w:r>
      <w:r>
        <w:rPr>
          <w:rFonts w:ascii="Times New Roman" w:hAnsi="Times New Roman"/>
          <w:b w:val="false"/>
          <w:sz w:val="20"/>
          <w:u w:val="single"/>
        </w:rPr>
        <w:t>Section 5.6</w:t>
      </w:r>
      <w:r>
        <w:rPr>
          <w:rFonts w:ascii="Times New Roman" w:hAnsi="Times New Roman"/>
          <w:b w:val="false"/>
          <w:sz w:val="20"/>
        </w:rPr>
        <w:t xml:space="preserve">, and the Pre-Closing Parent Stockholders, to the extent of their respective rights pursuant to </w:t>
      </w:r>
      <w:r>
        <w:rPr>
          <w:rFonts w:ascii="Times New Roman" w:hAnsi="Times New Roman"/>
          <w:b w:val="false"/>
          <w:sz w:val="20"/>
          <w:u w:val="single"/>
        </w:rPr>
        <w:t>Sections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 5.21, 5.23</w:t>
      </w:r>
      <w:r>
        <w:rPr>
          <w:rFonts w:ascii="times new roman;times" w:hAnsi="times new roman;times"/>
          <w:sz w:val="20"/>
          <w:u w:val="single"/>
        </w:rPr>
        <w:t xml:space="preserve"> </w:t>
      </w:r>
      <w:r>
        <w:rPr>
          <w:rFonts w:ascii="Times New Roman" w:hAnsi="Times New Roman"/>
          <w:b w:val="false"/>
          <w:sz w:val="20"/>
          <w:u w:val="single"/>
        </w:rPr>
        <w:t>and 5.24</w:t>
      </w:r>
      <w:r>
        <w:rPr>
          <w:rFonts w:ascii="Times New Roman" w:hAnsi="Times New Roman"/>
          <w:b w:val="false"/>
          <w:sz w:val="20"/>
        </w:rPr>
        <w:t>, any right, benefit or remedy of any nature whatsoever under or by reason of this Agreement. Each</w:t>
      </w:r>
      <w:r>
        <w:rPr>
          <w:rFonts w:ascii="times new roman;times" w:hAnsi="times new roman;times"/>
          <w:sz w:val="20"/>
        </w:rPr>
        <w:t xml:space="preserve"> </w:t>
      </w:r>
      <w:r>
        <w:rPr>
          <w:rFonts w:ascii="Times New Roman" w:hAnsi="Times New Roman"/>
          <w:b w:val="false"/>
          <w:sz w:val="20"/>
        </w:rPr>
        <w:t xml:space="preserve">Pre-Closing Parent Stockholder is an intended third-party beneficiary of </w:t>
      </w:r>
      <w:r>
        <w:rPr>
          <w:rFonts w:ascii="Times New Roman" w:hAnsi="Times New Roman"/>
          <w:b w:val="false"/>
          <w:sz w:val="20"/>
          <w:u w:val="single"/>
        </w:rPr>
        <w:t>Sections 5.13(d)</w:t>
      </w:r>
      <w:r>
        <w:rPr>
          <w:rFonts w:ascii="times new roman;times" w:hAnsi="times new roman;times"/>
          <w:sz w:val="20"/>
        </w:rPr>
        <w:t xml:space="preserve"> </w:t>
      </w:r>
      <w:r>
        <w:rPr>
          <w:rFonts w:ascii="Times New Roman" w:hAnsi="Times New Roman"/>
          <w:b w:val="false"/>
          <w:sz w:val="20"/>
        </w:rPr>
        <w:t xml:space="preserve">through </w:t>
      </w:r>
      <w:r>
        <w:rPr>
          <w:rFonts w:ascii="Times New Roman" w:hAnsi="Times New Roman"/>
          <w:b w:val="false"/>
          <w:sz w:val="20"/>
          <w:u w:val="single"/>
        </w:rPr>
        <w:t>5.13(h), 5.21, 5.23</w:t>
      </w:r>
      <w:r>
        <w:rPr>
          <w:rFonts w:ascii="times new roman;times" w:hAnsi="times new roman;times"/>
          <w:sz w:val="20"/>
          <w:u w:val="single"/>
        </w:rPr>
        <w:t xml:space="preserve"> </w:t>
      </w:r>
      <w:r>
        <w:rPr>
          <w:rFonts w:ascii="Times New Roman" w:hAnsi="Times New Roman"/>
          <w:b w:val="false"/>
          <w:sz w:val="20"/>
          <w:u w:val="single"/>
        </w:rPr>
        <w:t>and 5.24</w:t>
      </w:r>
      <w:r>
        <w:rPr>
          <w:rFonts w:ascii="times new roman;times" w:hAnsi="times new roman;times"/>
          <w:sz w:val="20"/>
        </w:rPr>
        <w:t xml:space="preserve"> </w:t>
      </w:r>
      <w:r>
        <w:rPr>
          <w:rFonts w:ascii="Times New Roman" w:hAnsi="Times New Roman"/>
          <w:b w:val="false"/>
          <w:sz w:val="20"/>
        </w:rPr>
        <w:t xml:space="preserve">and shall be entitled to enforce such provisions directly, including by seeking specific performance or injunctive relief pursuant to </w:t>
      </w:r>
      <w:r>
        <w:rPr>
          <w:rFonts w:ascii="Times New Roman" w:hAnsi="Times New Roman"/>
          <w:b w:val="false"/>
          <w:sz w:val="20"/>
          <w:u w:val="single"/>
        </w:rPr>
        <w:t>Section 10.10</w:t>
      </w:r>
      <w:r>
        <w:rPr>
          <w:rFonts w:ascii="Times New Roman" w:hAnsi="Times New Roman"/>
          <w:b w:val="false"/>
          <w:sz w:val="20"/>
        </w:rPr>
        <w:t>.</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10.7</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Notices</w:t>
        </w:r>
      </w:hyperlink>
      <w:hyperlink w:anchor="TOC">
        <w:r>
          <w:rPr>
            <w:rStyle w:val="InternetLink"/>
            <w:rFonts w:ascii="Times New Roman" w:hAnsi="Times New Roman"/>
            <w:b w:val="false"/>
            <w:strike w:val="false"/>
            <w:dstrike w:val="false"/>
            <w:color w:val="000000"/>
            <w:sz w:val="20"/>
            <w:u w:val="none"/>
            <w:effect w:val="none"/>
          </w:rPr>
          <w:t xml:space="preserve">. </w:t>
        </w:r>
      </w:hyperlink>
      <w:r>
        <w:rPr>
          <w:rFonts w:ascii="Times New Roman" w:hAnsi="Times New Roman"/>
          <w:b w:val="false"/>
          <w:sz w:val="20"/>
        </w:rPr>
        <w:t>Any notice or other communication required or permitted to be delivered to any Party under this Agreement shall be in writing and shall be deemed properly delivered, given and received: (a) when delivered by hand; (b) when sent by nationally recognized overnight courier service; or (c) when sent by</w:t>
      </w:r>
      <w:r>
        <w:rPr>
          <w:rFonts w:ascii="times new roman;times" w:hAnsi="times new roman;times"/>
          <w:sz w:val="20"/>
        </w:rPr>
        <w:t xml:space="preserve"> </w:t>
      </w:r>
      <w:r>
        <w:rPr>
          <w:rFonts w:ascii="Times New Roman" w:hAnsi="Times New Roman"/>
          <w:b w:val="false"/>
          <w:sz w:val="20"/>
        </w:rPr>
        <w:t>electronic mail if sent prior to 6:00 p.m. New York City time on a Business Day, otherwise on the next</w:t>
      </w:r>
      <w:r>
        <w:rPr>
          <w:rFonts w:ascii="times new roman;times" w:hAnsi="times new roman;times"/>
          <w:sz w:val="20"/>
        </w:rPr>
        <w:t xml:space="preserve"> </w:t>
      </w:r>
      <w:r>
        <w:rPr>
          <w:rFonts w:ascii="Times New Roman" w:hAnsi="Times New Roman"/>
          <w:b w:val="false"/>
          <w:sz w:val="20"/>
        </w:rPr>
        <w:t xml:space="preserve">succeeding Business Day, in each case to the address or electronic mail address set forth below (or to such other address or electronic mail address as such Party may specify by written notice to the other Parties in accordance with this </w:t>
      </w:r>
      <w:r>
        <w:rPr>
          <w:rFonts w:ascii="Times New Roman" w:hAnsi="Times New Roman"/>
          <w:b w:val="false"/>
          <w:sz w:val="20"/>
          <w:u w:val="single"/>
        </w:rPr>
        <w:t>Section 10.7</w:t>
      </w:r>
      <w:r>
        <w:rPr>
          <w:rFonts w:ascii="Times New Roman" w:hAnsi="Times New Roman"/>
          <w:b w:val="false"/>
          <w:sz w:val="20"/>
        </w:rPr>
        <w:t>):</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Parent or Merger Sub:</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ClearOne, Inc.</w:t>
      </w:r>
      <w:r>
        <w:rPr>
          <w:rFonts w:ascii="times new roman;times" w:hAnsi="times new roman;times"/>
          <w:sz w:val="20"/>
        </w:rPr>
        <w:t xml:space="preserve">  </w:t>
        <w:br/>
      </w:r>
      <w:r>
        <w:rPr>
          <w:rFonts w:ascii="Times New Roman" w:hAnsi="Times New Roman"/>
          <w:sz w:val="20"/>
        </w:rPr>
        <w:t>7533 S Center View Ct #5311</w:t>
      </w:r>
      <w:r>
        <w:rPr>
          <w:rFonts w:ascii="times new roman;times" w:hAnsi="times new roman;times"/>
          <w:sz w:val="20"/>
        </w:rPr>
        <w:br/>
      </w:r>
      <w:r>
        <w:rPr>
          <w:rFonts w:ascii="Times New Roman" w:hAnsi="Times New Roman"/>
          <w:sz w:val="20"/>
        </w:rPr>
        <w:t>West Jordan, UT 84048</w:t>
      </w:r>
      <w:r>
        <w:rPr>
          <w:rFonts w:ascii="times new roman;times" w:hAnsi="times new roman;times"/>
          <w:sz w:val="20"/>
        </w:rPr>
        <w:br/>
      </w:r>
      <w:r>
        <w:rPr>
          <w:rFonts w:ascii="Times New Roman" w:hAnsi="Times New Roman"/>
          <w:sz w:val="20"/>
        </w:rPr>
        <w:t>Attention: Simon Brewer</w:t>
      </w:r>
      <w:r>
        <w:rPr>
          <w:rFonts w:ascii="times new roman;times" w:hAnsi="times new roman;times"/>
          <w:sz w:val="20"/>
        </w:rPr>
        <w:t xml:space="preserve">  </w:t>
        <w:br/>
      </w:r>
      <w:r>
        <w:rPr>
          <w:rFonts w:ascii="Times New Roman" w:hAnsi="Times New Roman"/>
          <w:sz w:val="20"/>
        </w:rPr>
        <w:t>Email: simon.brewer@clearone.com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Cozen O’Connor</w:t>
      </w:r>
      <w:r>
        <w:rPr>
          <w:rFonts w:ascii="times new roman;times" w:hAnsi="times new roman;times"/>
          <w:sz w:val="20"/>
        </w:rPr>
        <w:t xml:space="preserve"> </w:t>
      </w:r>
      <w:r>
        <w:rPr>
          <w:rFonts w:ascii="Times New Roman" w:hAnsi="Times New Roman"/>
          <w:sz w:val="20"/>
        </w:rPr>
        <w:t>LLP</w:t>
      </w:r>
      <w:r>
        <w:rPr>
          <w:rFonts w:ascii="times new roman;times" w:hAnsi="times new roman;times"/>
          <w:sz w:val="20"/>
        </w:rPr>
        <w:t xml:space="preserve">  </w:t>
        <w:br/>
      </w:r>
      <w:r>
        <w:rPr>
          <w:rFonts w:ascii="Times New Roman" w:hAnsi="Times New Roman"/>
          <w:sz w:val="20"/>
        </w:rPr>
        <w:t>550 Burrard Street, Suite 2501</w:t>
      </w:r>
      <w:r>
        <w:rPr>
          <w:rFonts w:ascii="times new roman;times" w:hAnsi="times new roman;times"/>
          <w:sz w:val="20"/>
        </w:rPr>
        <w:t xml:space="preserve">  </w:t>
        <w:br/>
      </w:r>
      <w:r>
        <w:rPr>
          <w:rFonts w:ascii="Times New Roman" w:hAnsi="Times New Roman"/>
          <w:sz w:val="20"/>
        </w:rPr>
        <w:t>Vancouver, BC V6C 2B5</w:t>
      </w:r>
      <w:r>
        <w:rPr>
          <w:rFonts w:ascii="times new roman;times" w:hAnsi="times new roman;times"/>
          <w:sz w:val="20"/>
        </w:rPr>
        <w:t xml:space="preserve">  </w:t>
        <w:br/>
      </w:r>
      <w:r>
        <w:rPr>
          <w:rFonts w:ascii="Times New Roman" w:hAnsi="Times New Roman"/>
          <w:sz w:val="20"/>
        </w:rPr>
        <w:t>Attention: Virgil Hlus</w:t>
      </w:r>
      <w:r>
        <w:rPr>
          <w:rFonts w:ascii="times new roman;times" w:hAnsi="times new roman;times"/>
          <w:sz w:val="20"/>
        </w:rPr>
        <w:t xml:space="preserve">  </w:t>
        <w:br/>
      </w:r>
      <w:r>
        <w:rPr>
          <w:rFonts w:ascii="Times New Roman" w:hAnsi="Times New Roman"/>
          <w:sz w:val="20"/>
        </w:rPr>
        <w:t>Email: vhlus@cozen.com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the Company:</w:t>
      </w:r>
    </w:p>
    <w:p>
      <w:pPr>
        <w:pStyle w:val="TextBody"/>
        <w:bidi w:val="0"/>
        <w:spacing w:lineRule="auto" w:line="288" w:before="240" w:after="0"/>
        <w:ind w:left="0" w:right="0" w:hanging="0"/>
        <w:jc w:val="left"/>
        <w:rPr>
          <w:rFonts w:ascii="times new roman;times" w:hAnsi="times new roman;times"/>
          <w:sz w:val="20"/>
        </w:rPr>
      </w:pPr>
      <w:r>
        <w:rPr>
          <w:rFonts w:ascii="Times New Roman" w:hAnsi="Times New Roman"/>
          <w:sz w:val="20"/>
        </w:rPr>
        <w:t>Cortigent, Inc.</w:t>
      </w:r>
      <w:r>
        <w:rPr>
          <w:rFonts w:ascii="times new roman;times" w:hAnsi="times new roman;times"/>
          <w:sz w:val="20"/>
        </w:rPr>
        <w:t xml:space="preserve">  </w:t>
        <w:br/>
      </w:r>
      <w:r>
        <w:rPr>
          <w:rFonts w:ascii="Times New Roman" w:hAnsi="Times New Roman"/>
          <w:sz w:val="20"/>
        </w:rPr>
        <w:t>27200 Tourney Road, Suite 315, Valencia, CA 91355</w:t>
      </w:r>
      <w:r>
        <w:rPr>
          <w:rFonts w:ascii="times new roman;times" w:hAnsi="times new roman;times"/>
          <w:sz w:val="20"/>
        </w:rPr>
        <w:t xml:space="preserve">  </w:t>
        <w:br/>
      </w:r>
      <w:r>
        <w:rPr>
          <w:rFonts w:ascii="Times New Roman" w:hAnsi="Times New Roman"/>
          <w:sz w:val="20"/>
        </w:rPr>
        <w:t>Attention: Jonathan Adams, CEO</w:t>
      </w:r>
      <w:r>
        <w:rPr>
          <w:rFonts w:ascii="times new roman;times" w:hAnsi="times new roman;times"/>
          <w:sz w:val="20"/>
        </w:rPr>
        <w:br/>
      </w:r>
      <w:r>
        <w:rPr>
          <w:rFonts w:ascii="Times New Roman" w:hAnsi="Times New Roman"/>
          <w:sz w:val="20"/>
        </w:rPr>
        <w:t>Email: jadams@cortigent.com</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20"/>
        <w:ind w:left="0" w:right="0" w:hanging="0"/>
        <w:jc w:val="left"/>
        <w:rPr>
          <w:rFonts w:ascii="times new roman;times" w:hAnsi="times new roman;times"/>
          <w:sz w:val="20"/>
        </w:rPr>
      </w:pPr>
      <w:r>
        <w:rPr>
          <w:rFonts w:ascii="Times New Roman" w:hAnsi="Times New Roman"/>
          <w:sz w:val="20"/>
        </w:rPr>
        <w:t xml:space="preserve">Law Offices of Aaron A. Grunfeld &amp; Associates </w:t>
      </w:r>
      <w:r>
        <w:rPr>
          <w:rFonts w:ascii="times new roman;times" w:hAnsi="times new roman;times"/>
          <w:sz w:val="20"/>
        </w:rPr>
        <w:br/>
      </w:r>
      <w:r>
        <w:rPr>
          <w:rFonts w:ascii="Times New Roman" w:hAnsi="Times New Roman"/>
          <w:sz w:val="20"/>
        </w:rPr>
        <w:t>9454 Wilshire Blvd., Suite 400</w:t>
      </w:r>
      <w:r>
        <w:rPr>
          <w:rFonts w:ascii="times new roman;times" w:hAnsi="times new roman;times"/>
          <w:sz w:val="20"/>
        </w:rPr>
        <w:br/>
      </w:r>
      <w:r>
        <w:rPr>
          <w:rFonts w:ascii="Times New Roman" w:hAnsi="Times New Roman"/>
          <w:sz w:val="20"/>
        </w:rPr>
        <w:t>Beverly Hills, California 90212</w:t>
      </w:r>
      <w:r>
        <w:rPr>
          <w:rFonts w:ascii="times new roman;times" w:hAnsi="times new roman;times"/>
          <w:sz w:val="20"/>
        </w:rPr>
        <w:br/>
      </w:r>
      <w:r>
        <w:rPr>
          <w:rFonts w:ascii="Times New Roman" w:hAnsi="Times New Roman"/>
          <w:sz w:val="20"/>
        </w:rPr>
        <w:t>Attention: Aaron Grunfeld</w:t>
      </w:r>
      <w:r>
        <w:rPr>
          <w:rFonts w:ascii="times new roman;times" w:hAnsi="times new roman;times"/>
          <w:sz w:val="20"/>
        </w:rPr>
        <w:br/>
      </w:r>
      <w:r>
        <w:rPr>
          <w:rFonts w:ascii="Times New Roman" w:hAnsi="Times New Roman"/>
          <w:sz w:val="20"/>
        </w:rPr>
        <w:t>Email: agrunfeld@grunfeldlaw.com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if to Seller:</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Vivani</w:t>
      </w:r>
      <w:r>
        <w:rPr>
          <w:rFonts w:ascii="times new roman;times" w:hAnsi="times new roman;times"/>
          <w:sz w:val="20"/>
        </w:rPr>
        <w:t xml:space="preserve"> </w:t>
      </w:r>
      <w:r>
        <w:rPr>
          <w:rFonts w:ascii="Times New Roman" w:hAnsi="Times New Roman"/>
          <w:sz w:val="20"/>
        </w:rPr>
        <w:t>Medical, Inc.</w:t>
      </w:r>
      <w:r>
        <w:rPr>
          <w:rFonts w:ascii="times new roman;times" w:hAnsi="times new roman;times"/>
          <w:sz w:val="20"/>
        </w:rPr>
        <w:t xml:space="preserve">  </w:t>
        <w:br/>
      </w:r>
      <w:r>
        <w:rPr>
          <w:rFonts w:ascii="Times New Roman" w:hAnsi="Times New Roman"/>
          <w:sz w:val="20"/>
        </w:rPr>
        <w:t>1350 S. Loop Rd, Alameda, CA 94502</w:t>
      </w:r>
      <w:r>
        <w:rPr>
          <w:rFonts w:ascii="times new roman;times" w:hAnsi="times new roman;times"/>
          <w:sz w:val="20"/>
        </w:rPr>
        <w:t xml:space="preserve">  </w:t>
        <w:br/>
      </w:r>
      <w:r>
        <w:rPr>
          <w:rFonts w:ascii="Times New Roman" w:hAnsi="Times New Roman"/>
          <w:sz w:val="20"/>
        </w:rPr>
        <w:t>Attention: Adam Mendelsohn, CEO</w:t>
      </w:r>
      <w:r>
        <w:rPr>
          <w:rFonts w:ascii="times new roman;times" w:hAnsi="times new roman;times"/>
          <w:sz w:val="20"/>
        </w:rPr>
        <w:br/>
      </w:r>
      <w:r>
        <w:rPr>
          <w:rFonts w:ascii="Times New Roman" w:hAnsi="Times New Roman"/>
          <w:sz w:val="20"/>
        </w:rPr>
        <w:t>Email: adam.mendelsohn@vivani.com</w:t>
      </w:r>
    </w:p>
    <w:p>
      <w:pPr>
        <w:pStyle w:val="TextBody"/>
        <w:bidi w:val="0"/>
        <w:spacing w:lineRule="auto" w:line="288" w:before="240" w:after="220"/>
        <w:ind w:left="0" w:right="0" w:hanging="0"/>
        <w:jc w:val="left"/>
        <w:rPr>
          <w:rFonts w:ascii="Times New Roman" w:hAnsi="Times New Roman"/>
          <w:sz w:val="20"/>
        </w:rPr>
      </w:pPr>
      <w:r>
        <w:rPr>
          <w:rFonts w:ascii="Times New Roman" w:hAnsi="Times New Roman"/>
          <w:sz w:val="20"/>
        </w:rPr>
        <w:t>with a copy (which shall not constitute notice) to:</w:t>
      </w:r>
    </w:p>
    <w:p>
      <w:pPr>
        <w:pStyle w:val="TextBody"/>
        <w:bidi w:val="0"/>
        <w:spacing w:lineRule="auto" w:line="288" w:before="240" w:after="220"/>
        <w:ind w:left="0" w:right="0" w:hanging="0"/>
        <w:jc w:val="left"/>
        <w:rPr>
          <w:rFonts w:ascii="times new roman;times" w:hAnsi="times new roman;times"/>
          <w:sz w:val="20"/>
        </w:rPr>
      </w:pPr>
      <w:r>
        <w:rPr>
          <w:rFonts w:ascii="Times New Roman" w:hAnsi="Times New Roman"/>
          <w:sz w:val="20"/>
        </w:rPr>
        <w:t>Goodwin Procter</w:t>
      </w:r>
      <w:r>
        <w:rPr>
          <w:rFonts w:ascii="times new roman;times" w:hAnsi="times new roman;times"/>
          <w:sz w:val="20"/>
        </w:rPr>
        <w:t xml:space="preserve"> </w:t>
      </w:r>
      <w:r>
        <w:rPr>
          <w:rFonts w:ascii="Times New Roman" w:hAnsi="Times New Roman"/>
          <w:sz w:val="20"/>
        </w:rPr>
        <w:t>LLP</w:t>
      </w:r>
      <w:r>
        <w:rPr>
          <w:rFonts w:ascii="times new roman;times" w:hAnsi="times new roman;times"/>
          <w:sz w:val="20"/>
        </w:rPr>
        <w:t xml:space="preserve">  </w:t>
        <w:br/>
      </w:r>
      <w:r>
        <w:rPr>
          <w:rFonts w:ascii="Times New Roman" w:hAnsi="Times New Roman"/>
          <w:sz w:val="20"/>
        </w:rPr>
        <w:t>525 Market St.</w:t>
      </w:r>
      <w:r>
        <w:rPr>
          <w:rFonts w:ascii="times new roman;times" w:hAnsi="times new roman;times"/>
          <w:sz w:val="20"/>
        </w:rPr>
        <w:t xml:space="preserve"> </w:t>
      </w:r>
      <w:r>
        <w:rPr>
          <w:rFonts w:ascii="Times New Roman" w:hAnsi="Times New Roman"/>
          <w:sz w:val="20"/>
        </w:rPr>
        <w:t>32nd</w:t>
      </w:r>
      <w:r>
        <w:rPr>
          <w:rFonts w:ascii="times new roman;times" w:hAnsi="times new roman;times"/>
          <w:sz w:val="20"/>
        </w:rPr>
        <w:t xml:space="preserve"> </w:t>
      </w:r>
      <w:r>
        <w:rPr>
          <w:rFonts w:ascii="Times New Roman" w:hAnsi="Times New Roman"/>
          <w:sz w:val="20"/>
        </w:rPr>
        <w:t>Floor, San Francisco, CA 94105</w:t>
      </w:r>
      <w:r>
        <w:rPr>
          <w:rFonts w:ascii="times new roman;times" w:hAnsi="times new roman;times"/>
          <w:sz w:val="20"/>
        </w:rPr>
        <w:t xml:space="preserve">  </w:t>
        <w:br/>
      </w:r>
      <w:r>
        <w:rPr>
          <w:rFonts w:ascii="Times New Roman" w:hAnsi="Times New Roman"/>
          <w:sz w:val="20"/>
        </w:rPr>
        <w:t>Attention: Marianne Sarrazin</w:t>
      </w:r>
      <w:r>
        <w:rPr>
          <w:rFonts w:ascii="times new roman;times" w:hAnsi="times new roman;times"/>
          <w:sz w:val="20"/>
        </w:rPr>
        <w:br/>
      </w:r>
      <w:r>
        <w:rPr>
          <w:rFonts w:ascii="Times New Roman" w:hAnsi="Times New Roman"/>
          <w:sz w:val="20"/>
        </w:rPr>
        <w:t>Email:</w:t>
      </w:r>
      <w:r>
        <w:rPr>
          <w:rFonts w:ascii="times new roman;times" w:hAnsi="times new roman;times"/>
          <w:sz w:val="20"/>
        </w:rPr>
        <w:t xml:space="preserve"> </w:t>
      </w:r>
      <w:r>
        <w:rPr>
          <w:rFonts w:ascii="Times New Roman" w:hAnsi="Times New Roman"/>
          <w:sz w:val="20"/>
        </w:rPr>
        <w:t>msarrazin@goodwinlaw.com</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10.8</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Cooperation</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the terms and conditions of this Agreement, each Party shall reasonably cooperate with the other Parties and shall execute and deliver such further documents, certificates, agreements and instruments and take such further actions as may be reasonably requested by another Party and are reasonably necessary to evidence or effectuate the Contemplated Transactions and to carry out the intent and purposes of this Agreement; provided, however, that no Party shall be obligated pursuant to this </w:t>
      </w:r>
      <w:r>
        <w:rPr>
          <w:rFonts w:ascii="Times New Roman" w:hAnsi="Times New Roman"/>
          <w:b w:val="false"/>
          <w:sz w:val="20"/>
          <w:u w:val="single"/>
        </w:rPr>
        <w:t>Section 10.8</w:t>
      </w:r>
      <w:r>
        <w:rPr>
          <w:rFonts w:ascii="times new roman;times" w:hAnsi="times new roman;times"/>
          <w:sz w:val="20"/>
        </w:rPr>
        <w:t xml:space="preserve"> </w:t>
      </w:r>
      <w:r>
        <w:rPr>
          <w:rFonts w:ascii="Times New Roman" w:hAnsi="Times New Roman"/>
          <w:b w:val="false"/>
          <w:sz w:val="20"/>
        </w:rPr>
        <w:t>to incur any out-of-pocket cost or expense, assume any additional obligation, waive any right or privilege, or commence, defend or settle any Legal Proceeding, except as otherwise expressly provided in this Agreement or to the extent such Party is reimbursed therefor by the requesting Party.</w:t>
      </w:r>
    </w:p>
    <w:p>
      <w:pPr>
        <w:pStyle w:val="TextBody"/>
        <w:bidi w:val="0"/>
        <w:spacing w:lineRule="auto" w:line="288" w:before="0" w:after="240"/>
        <w:ind w:left="500" w:right="0" w:firstLine="720"/>
        <w:jc w:val="left"/>
        <w:rPr/>
      </w:pPr>
      <w:hyperlink w:anchor="TOC">
        <w:r>
          <w:rPr>
            <w:rStyle w:val="InternetLink"/>
            <w:rFonts w:ascii="Times New Roman" w:hAnsi="Times New Roman"/>
            <w:b/>
            <w:strike w:val="false"/>
            <w:dstrike w:val="false"/>
            <w:color w:val="000000"/>
            <w:sz w:val="20"/>
            <w:u w:val="none"/>
            <w:effect w:val="none"/>
          </w:rPr>
          <w:t>10.9</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Severability</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and business purposes of such invalid or unenforceable term or provision.</w:t>
      </w:r>
    </w:p>
    <w:p>
      <w:pPr>
        <w:pStyle w:val="TextBody"/>
        <w:bidi w:val="0"/>
        <w:spacing w:lineRule="auto" w:line="288" w:before="0" w:after="0"/>
        <w:ind w:left="380" w:right="0" w:firstLine="720"/>
        <w:jc w:val="left"/>
        <w:rPr/>
      </w:pPr>
      <w:hyperlink w:anchor="TOC">
        <w:r>
          <w:rPr>
            <w:rStyle w:val="InternetLink"/>
            <w:rFonts w:ascii="Times New Roman" w:hAnsi="Times New Roman"/>
            <w:b/>
            <w:strike w:val="false"/>
            <w:dstrike w:val="false"/>
            <w:color w:val="000000"/>
            <w:sz w:val="20"/>
            <w:u w:val="none"/>
            <w:effect w:val="none"/>
          </w:rPr>
          <w:t>10.10</w:t>
        </w:r>
      </w:hyperlink>
      <w:hyperlink w:anchor="TOC">
        <w:r>
          <w:rPr>
            <w:rStyle w:val="InternetLink"/>
            <w:rFonts w:ascii="times new roman;times" w:hAnsi="times new roman;times"/>
            <w:strike w:val="false"/>
            <w:dstrike w:val="false"/>
            <w:color w:val="000000"/>
            <w:sz w:val="20"/>
            <w:u w:val="none"/>
            <w:effect w:val="none"/>
          </w:rPr>
          <w:t> </w:t>
        </w:r>
      </w:hyperlink>
      <w:hyperlink w:anchor="TOC">
        <w:r>
          <w:rPr>
            <w:rStyle w:val="InternetLink"/>
            <w:rFonts w:ascii="Times New Roman" w:hAnsi="Times New Roman"/>
            <w:b/>
            <w:strike w:val="false"/>
            <w:dstrike w:val="false"/>
            <w:color w:val="000000"/>
            <w:sz w:val="20"/>
            <w:u w:val="none"/>
            <w:effect w:val="none"/>
          </w:rPr>
          <w:t>Other Remedies; Specific Performance</w:t>
        </w:r>
      </w:hyperlink>
      <w:hyperlink w:anchor="TOC">
        <w:r>
          <w:rPr>
            <w:rStyle w:val="InternetLink"/>
            <w:rFonts w:ascii="Times New Roman" w:hAnsi="Times New Roman"/>
            <w:b w:val="false"/>
            <w:strike w:val="false"/>
            <w:dstrike w:val="false"/>
            <w:color w:val="000000"/>
            <w:sz w:val="20"/>
            <w:u w:val="none"/>
            <w:effect w:val="none"/>
          </w:rPr>
          <w:t>.</w:t>
        </w:r>
      </w:hyperlink>
      <w:r>
        <w:rPr>
          <w:rFonts w:ascii="Times New Roman" w:hAnsi="Times New Roman"/>
          <w:b w:val="false"/>
          <w:sz w:val="20"/>
        </w:rPr>
        <w:t xml:space="preserve"> Subject to </w:t>
      </w:r>
      <w:r>
        <w:rPr>
          <w:rFonts w:ascii="Times New Roman" w:hAnsi="Times New Roman"/>
          <w:b w:val="false"/>
          <w:sz w:val="20"/>
          <w:u w:val="single"/>
        </w:rPr>
        <w:t>Section 9.2</w:t>
      </w:r>
      <w:r>
        <w:rPr>
          <w:rFonts w:ascii="times new roman;times" w:hAnsi="times new roman;times"/>
          <w:sz w:val="20"/>
        </w:rPr>
        <w:t xml:space="preserve"> </w:t>
      </w:r>
      <w:r>
        <w:rPr>
          <w:rFonts w:ascii="Times New Roman" w:hAnsi="Times New Roman"/>
          <w:b w:val="false"/>
          <w:sz w:val="20"/>
        </w:rPr>
        <w:t xml:space="preserve">and </w:t>
      </w:r>
      <w:r>
        <w:rPr>
          <w:rFonts w:ascii="Times New Roman" w:hAnsi="Times New Roman"/>
          <w:b w:val="false"/>
          <w:sz w:val="20"/>
          <w:u w:val="single"/>
        </w:rPr>
        <w:t>Section 9.3</w:t>
      </w:r>
      <w:r>
        <w:rPr>
          <w:rFonts w:ascii="Times New Roman" w:hAnsi="Times New Roman"/>
          <w:b w:val="false"/>
          <w:sz w:val="20"/>
        </w:rPr>
        <w:t>, and except as otherwise expressly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The Parties acknowledge and agree that irreparable harm would occur and that money damages would not be an adequate remedy in the event that any of the provisions of this Agreement were not performed in accordance with their specific terms or were otherwise breached. It is accordingly agreed that the Parties</w:t>
      </w:r>
      <w:r>
        <w:rPr>
          <w:rFonts w:ascii="times new roman;times" w:hAnsi="times new roman;times"/>
          <w:sz w:val="20"/>
        </w:rPr>
        <w:t xml:space="preserve"> </w:t>
      </w:r>
      <w:r>
        <w:rPr>
          <w:rFonts w:ascii="Times New Roman" w:hAnsi="Times New Roman"/>
          <w:b w:val="false"/>
          <w:sz w:val="20"/>
        </w:rPr>
        <w:t>and the Pre-Closing Parent Stockholders (to the extent of their rights as third-party beneficiaries under Section 10.6)</w:t>
      </w:r>
      <w:r>
        <w:rPr>
          <w:rFonts w:ascii="times new roman;times" w:hAnsi="times new roman;times"/>
          <w:sz w:val="20"/>
        </w:rPr>
        <w:t xml:space="preserve"> </w:t>
      </w:r>
      <w:r>
        <w:rPr>
          <w:rFonts w:ascii="Times New Roman" w:hAnsi="Times New Roman"/>
          <w:b w:val="false"/>
          <w:sz w:val="20"/>
        </w:rPr>
        <w:t>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w:t>
      </w:r>
      <w:r>
        <w:rPr>
          <w:rFonts w:ascii="times new roman;times" w:hAnsi="times new roman;times"/>
          <w:sz w:val="20"/>
        </w:rPr>
        <w:t xml:space="preserve"> </w:t>
      </w:r>
      <w:r>
        <w:rPr>
          <w:rFonts w:ascii="Times New Roman" w:hAnsi="Times New Roman"/>
          <w:b w:val="false"/>
          <w:sz w:val="20"/>
        </w:rPr>
        <w:t>of the Parties hereto waives any bond, surety or other security that might be required of any other Party with respect thereto.</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 w:hAnsi="Times New Roman"/>
          <w:b/>
          <w:strike w:val="false"/>
          <w:dstrike w:val="false"/>
          <w:sz w:val="20"/>
          <w:u w:val="none"/>
          <w:effect w:val="none"/>
        </w:rPr>
      </w:pPr>
      <w:r>
        <w:rPr>
          <w:rFonts w:ascii="Times New Roman" w:hAnsi="Times New Roman"/>
          <w:b/>
          <w:strike w:val="false"/>
          <w:dstrike w:val="false"/>
          <w:sz w:val="20"/>
          <w:u w:val="none"/>
          <w:effect w:val="none"/>
        </w:rPr>
      </w:r>
    </w:p>
    <w:p>
      <w:pPr>
        <w:pStyle w:val="TextBody"/>
        <w:bidi w:val="0"/>
        <w:spacing w:lineRule="auto" w:line="288" w:before="0" w:after="240"/>
        <w:ind w:left="460" w:right="0" w:firstLine="720"/>
        <w:jc w:val="left"/>
        <w:rPr/>
      </w:pPr>
      <w:hyperlink w:anchor="TOC">
        <w:r>
          <w:rPr>
            <w:rStyle w:val="InternetLink"/>
            <w:rFonts w:ascii="Times New Roman" w:hAnsi="Times New Roman"/>
            <w:b/>
            <w:strike w:val="false"/>
            <w:dstrike w:val="false"/>
            <w:color w:val="000000"/>
            <w:sz w:val="20"/>
            <w:u w:val="none"/>
            <w:effect w:val="none"/>
          </w:rPr>
          <w:t>10.11Construction</w:t>
        </w:r>
      </w:hyperlink>
      <w:hyperlink w:anchor="TOC">
        <w:r>
          <w:rPr>
            <w:rStyle w:val="InternetLink"/>
            <w:rFonts w:ascii="Times New Roman" w:hAnsi="Times New Roman"/>
            <w:b w:val="false"/>
            <w:strike w:val="false"/>
            <w:dstrike w:val="false"/>
            <w:color w:val="000000"/>
            <w:sz w:val="20"/>
            <w:u w:val="none"/>
            <w:effect w:val="none"/>
          </w:rPr>
          <w:t>.</w:t>
        </w:r>
      </w:hyperlink>
    </w:p>
    <w:p>
      <w:pPr>
        <w:pStyle w:val="TextBody"/>
        <w:bidi w:val="0"/>
        <w:spacing w:lineRule="auto" w:line="288"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(a) </w:t>
      </w:r>
      <w:r>
        <w:rPr>
          <w:rFonts w:ascii="Times New Roman" w:hAnsi="Times New Roman"/>
          <w:b w:val="false"/>
          <w:sz w:val="20"/>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lineRule="auto" w:line="288" w:before="0" w:after="240"/>
        <w:ind w:left="0" w:right="42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(b) </w:t>
      </w:r>
      <w:r>
        <w:rPr>
          <w:rFonts w:ascii="Times New Roman" w:hAnsi="Times New Roman"/>
          <w:b w:val="false"/>
          <w:sz w:val="20"/>
        </w:rPr>
        <w:t>The Parties hereto agree that any rule of construction to the effect that ambiguities are to be resolved against the drafting Party shall not be applied in the construction or interpretation of this Agreement.</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(c) </w:t>
      </w:r>
      <w:r>
        <w:rPr>
          <w:rFonts w:ascii="Times New Roman" w:hAnsi="Times New Roman"/>
          <w:b w:val="false"/>
          <w:sz w:val="20"/>
        </w:rPr>
        <w:t xml:space="preserve">As used in this Agreement, the words </w:t>
      </w:r>
      <w:r>
        <w:rPr>
          <w:rFonts w:ascii="times new roman;times" w:hAnsi="times new roman;times"/>
          <w:b w:val="false"/>
          <w:sz w:val="20"/>
        </w:rPr>
        <w:t>“</w:t>
      </w:r>
      <w:r>
        <w:rPr>
          <w:rFonts w:ascii="Times New Roman" w:hAnsi="Times New Roman"/>
          <w:b w:val="false"/>
          <w:sz w:val="20"/>
        </w:rPr>
        <w:t>include</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times" w:hAnsi="times new roman;times"/>
          <w:b w:val="false"/>
          <w:sz w:val="20"/>
        </w:rPr>
        <w:t>“</w:t>
      </w:r>
      <w:r>
        <w:rPr>
          <w:rFonts w:ascii="Times New Roman" w:hAnsi="Times New Roman"/>
          <w:b w:val="false"/>
          <w:sz w:val="20"/>
        </w:rPr>
        <w:t>including,</w:t>
      </w:r>
      <w:r>
        <w:rPr>
          <w:rFonts w:ascii="times new roman;times" w:hAnsi="times new roman;times"/>
          <w:b w:val="false"/>
          <w:sz w:val="20"/>
        </w:rPr>
        <w:t xml:space="preserve">” </w:t>
      </w:r>
      <w:r>
        <w:rPr>
          <w:rFonts w:ascii="Times New Roman" w:hAnsi="Times New Roman"/>
          <w:b w:val="false"/>
          <w:sz w:val="20"/>
        </w:rPr>
        <w:t xml:space="preserve">and variations thereof, shall not be deemed to be terms of limitation, but rather shall be deemed to be followed by the words </w:t>
      </w:r>
      <w:r>
        <w:rPr>
          <w:rFonts w:ascii="times new roman;times" w:hAnsi="times new roman;times"/>
          <w:b w:val="false"/>
          <w:sz w:val="20"/>
        </w:rPr>
        <w:t>“</w:t>
      </w:r>
      <w:r>
        <w:rPr>
          <w:rFonts w:ascii="Times New Roman" w:hAnsi="Times New Roman"/>
          <w:b w:val="false"/>
          <w:sz w:val="20"/>
        </w:rPr>
        <w:t>without limitation.</w:t>
      </w:r>
      <w:r>
        <w:rPr>
          <w:rFonts w:ascii="times new roman;times" w:hAnsi="times new roman;times"/>
          <w:b w:val="false"/>
          <w:sz w:val="20"/>
        </w:rPr>
        <w:t>”</w:t>
      </w:r>
    </w:p>
    <w:p>
      <w:pPr>
        <w:pStyle w:val="TextBody"/>
        <w:bidi w:val="0"/>
        <w:spacing w:lineRule="auto" w:line="288" w:before="0" w:after="240"/>
        <w:ind w:left="0" w:right="43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(d) </w:t>
      </w:r>
      <w:r>
        <w:rPr>
          <w:rFonts w:ascii="Times New Roman" w:hAnsi="Times New Roman"/>
          <w:b w:val="false"/>
          <w:sz w:val="20"/>
        </w:rPr>
        <w:t xml:space="preserve">Except as otherwise indicated, all references in this Agreement to </w:t>
      </w:r>
      <w:r>
        <w:rPr>
          <w:rFonts w:ascii="times new roman;times" w:hAnsi="times new roman;times"/>
          <w:b w:val="false"/>
          <w:sz w:val="20"/>
        </w:rPr>
        <w:t>“</w:t>
      </w:r>
      <w:r>
        <w:rPr>
          <w:rFonts w:ascii="Times New Roman" w:hAnsi="Times New Roman"/>
          <w:b w:val="false"/>
          <w:sz w:val="20"/>
        </w:rPr>
        <w:t>Sections,</w:t>
      </w:r>
      <w:r>
        <w:rPr>
          <w:rFonts w:ascii="times new roman;times" w:hAnsi="times new roman;times"/>
          <w:b w:val="false"/>
          <w:sz w:val="20"/>
        </w:rPr>
        <w:t>” “</w:t>
      </w:r>
      <w:r>
        <w:rPr>
          <w:rFonts w:ascii="Times New Roman" w:hAnsi="Times New Roman"/>
          <w:b w:val="false"/>
          <w:sz w:val="20"/>
        </w:rPr>
        <w:t>Exhibits</w:t>
      </w:r>
      <w:r>
        <w:rPr>
          <w:rFonts w:ascii="times new roman;times" w:hAnsi="times new roman;times"/>
          <w:b w:val="false"/>
          <w:sz w:val="20"/>
        </w:rPr>
        <w:t xml:space="preserve">” </w:t>
      </w:r>
      <w:r>
        <w:rPr>
          <w:rFonts w:ascii="Times New Roman" w:hAnsi="Times New Roman"/>
          <w:b w:val="false"/>
          <w:sz w:val="20"/>
        </w:rPr>
        <w:t xml:space="preserve">and </w:t>
      </w:r>
      <w:r>
        <w:rPr>
          <w:rFonts w:ascii="times new roman;times" w:hAnsi="times new roman;times"/>
          <w:b w:val="false"/>
          <w:sz w:val="20"/>
        </w:rPr>
        <w:t>“</w:t>
      </w:r>
      <w:r>
        <w:rPr>
          <w:rFonts w:ascii="Times New Roman" w:hAnsi="Times New Roman"/>
          <w:b w:val="false"/>
          <w:sz w:val="20"/>
        </w:rPr>
        <w:t>Schedules</w:t>
      </w:r>
      <w:r>
        <w:rPr>
          <w:rFonts w:ascii="times new roman;times" w:hAnsi="times new roman;times"/>
          <w:b w:val="false"/>
          <w:sz w:val="20"/>
        </w:rPr>
        <w:t xml:space="preserve">” </w:t>
      </w:r>
      <w:r>
        <w:rPr>
          <w:rFonts w:ascii="Times New Roman" w:hAnsi="Times New Roman"/>
          <w:b w:val="false"/>
          <w:sz w:val="20"/>
        </w:rPr>
        <w:t>are intended to refer to Sections of this Agreement and Exhibits and Schedules to this Agreement, respectively.</w:t>
      </w:r>
    </w:p>
    <w:p>
      <w:pPr>
        <w:pStyle w:val="TextBody"/>
        <w:bidi w:val="0"/>
        <w:spacing w:lineRule="auto" w:line="288" w:before="0" w:after="240"/>
        <w:ind w:left="0" w:right="450"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(e) </w:t>
      </w:r>
      <w:r>
        <w:rPr>
          <w:rFonts w:ascii="Times New Roman" w:hAnsi="Times New Roman"/>
          <w:b w:val="false"/>
          <w:sz w:val="20"/>
        </w:rPr>
        <w:t>The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lineRule="auto" w:line="288" w:before="0" w:after="240"/>
        <w:ind w:left="0" w:right="495" w:firstLine="1560"/>
        <w:jc w:val="left"/>
        <w:rPr>
          <w:rFonts w:ascii="times new roman;times" w:hAnsi="times new roman;times"/>
          <w:b w:val="false"/>
          <w:sz w:val="20"/>
        </w:rPr>
      </w:pPr>
      <w:r>
        <w:rPr>
          <w:rFonts w:ascii="Times New Roman" w:hAnsi="Times New Roman"/>
          <w:b w:val="false"/>
          <w:strike w:val="false"/>
          <w:dstrike w:val="false"/>
          <w:sz w:val="20"/>
          <w:u w:val="none"/>
          <w:effect w:val="none"/>
        </w:rPr>
        <w:t>(f) </w:t>
      </w:r>
      <w:r>
        <w:rPr>
          <w:rFonts w:ascii="Times New Roman" w:hAnsi="Times New Roman"/>
          <w:b w:val="false"/>
          <w:sz w:val="20"/>
        </w:rPr>
        <w:t xml:space="preserve">Each of </w:t>
      </w:r>
      <w:r>
        <w:rPr>
          <w:rFonts w:ascii="times new roman;times" w:hAnsi="times new roman;times"/>
          <w:b w:val="false"/>
          <w:sz w:val="20"/>
        </w:rPr>
        <w:t>“</w:t>
      </w:r>
      <w:r>
        <w:rPr>
          <w:rFonts w:ascii="Times New Roman" w:hAnsi="Times New Roman"/>
          <w:b w:val="false"/>
          <w:sz w:val="20"/>
        </w:rPr>
        <w:t>delivered</w:t>
      </w:r>
      <w:r>
        <w:rPr>
          <w:rFonts w:ascii="times new roman;times" w:hAnsi="times new roman;times"/>
          <w:b w:val="false"/>
          <w:sz w:val="20"/>
        </w:rPr>
        <w:t xml:space="preserve">” </w:t>
      </w:r>
      <w:r>
        <w:rPr>
          <w:rFonts w:ascii="Times New Roman" w:hAnsi="Times New Roman"/>
          <w:b w:val="false"/>
          <w:sz w:val="20"/>
        </w:rPr>
        <w:t xml:space="preserve">or </w:t>
      </w:r>
      <w:r>
        <w:rPr>
          <w:rFonts w:ascii="times new roman;times" w:hAnsi="times new roman;times"/>
          <w:b w:val="false"/>
          <w:sz w:val="20"/>
        </w:rPr>
        <w:t>“</w:t>
      </w:r>
      <w:r>
        <w:rPr>
          <w:rFonts w:ascii="Times New Roman" w:hAnsi="Times New Roman"/>
          <w:b w:val="false"/>
          <w:sz w:val="20"/>
        </w:rPr>
        <w:t>made available</w:t>
      </w:r>
      <w:r>
        <w:rPr>
          <w:rFonts w:ascii="times new roman;times" w:hAnsi="times new roman;times"/>
          <w:b w:val="false"/>
          <w:sz w:val="20"/>
        </w:rPr>
        <w:t xml:space="preserve">” </w:t>
      </w:r>
      <w:r>
        <w:rPr>
          <w:rFonts w:ascii="Times New Roman" w:hAnsi="Times New Roman"/>
          <w:b w:val="false"/>
          <w:sz w:val="20"/>
        </w:rPr>
        <w:t>means, with respect to any documentation, that prior to 11:59 p.m. New York City time on the date that is one (1) Business Day prior to the date of this Agreement: (i) a copy of such material has been posted to and made available in the electronic data room maintained by the disclosing Party and made accessible to the receiving Parties and their Representatives; or (ii) in the case of Parent only, such material is publicly disclosed in the Parent SEC Documents filed with or furnished to the SEC and publicly available on the SEC</w:t>
      </w:r>
      <w:r>
        <w:rPr>
          <w:rFonts w:ascii="times new roman;times" w:hAnsi="times new roman;times"/>
          <w:b w:val="false"/>
          <w:sz w:val="20"/>
        </w:rPr>
        <w:t>’</w:t>
      </w:r>
      <w:r>
        <w:rPr>
          <w:rFonts w:ascii="Times New Roman" w:hAnsi="Times New Roman"/>
          <w:b w:val="false"/>
          <w:sz w:val="20"/>
        </w:rPr>
        <w:t>s EDGAR system.</w:t>
      </w:r>
    </w:p>
    <w:p>
      <w:pPr>
        <w:pStyle w:val="TextBody"/>
        <w:bidi w:val="0"/>
        <w:spacing w:lineRule="auto" w:line="288" w:before="240" w:after="0"/>
        <w:ind w:left="72" w:right="0" w:hanging="0"/>
        <w:jc w:val="center"/>
        <w:rPr>
          <w:rFonts w:ascii="times new roman;times" w:hAnsi="times new roman;times"/>
          <w:sz w:val="20"/>
        </w:rPr>
      </w:pPr>
      <w:r>
        <w:rPr>
          <w:rFonts w:ascii="Times New Roman" w:hAnsi="Times New Roman"/>
          <w:sz w:val="20"/>
        </w:rPr>
        <w:t>[</w:t>
      </w:r>
      <w:r>
        <w:rPr>
          <w:rFonts w:ascii="Times New Roman" w:hAnsi="Times New Roman"/>
          <w:b/>
          <w:i/>
          <w:sz w:val="20"/>
        </w:rPr>
        <w:t>Remainder of page intentionally left blank</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b/>
          <w:sz w:val="20"/>
        </w:rPr>
        <w:t>IN WITNESS WHEREOF</w:t>
      </w:r>
      <w:r>
        <w:rPr>
          <w:rFonts w:ascii="Times New Roman" w:hAnsi="Times New Roman"/>
          <w:sz w:val="20"/>
        </w:rPr>
        <w:t>, the Parties have caused this Agreement to be executed as of the date first above written.</w:t>
      </w:r>
    </w:p>
    <w:p>
      <w:pPr>
        <w:pStyle w:val="TextBody"/>
        <w:bidi w:val="0"/>
        <w:spacing w:lineRule="auto" w:line="288" w:before="0" w:after="0"/>
        <w:ind w:left="0" w:right="0" w:firstLine="720"/>
        <w:jc w:val="left"/>
        <w:rPr/>
      </w:pPr>
      <w:r>
        <w:rPr/>
      </w:r>
    </w:p>
    <w:tbl>
      <w:tblPr>
        <w:tblW w:w="3096" w:type="dxa"/>
        <w:jc w:val="left"/>
        <w:tblInd w:w="0" w:type="dxa"/>
        <w:tblLayout w:type="fixed"/>
        <w:tblCellMar>
          <w:top w:w="28" w:type="dxa"/>
          <w:left w:w="28" w:type="dxa"/>
          <w:bottom w:w="28" w:type="dxa"/>
          <w:right w:w="28" w:type="dxa"/>
        </w:tblCellMar>
      </w:tblPr>
      <w:tblGrid>
        <w:gridCol w:w="124"/>
        <w:gridCol w:w="631"/>
        <w:gridCol w:w="2341"/>
      </w:tblGrid>
      <w:tr>
        <w:trPr/>
        <w:tc>
          <w:tcPr>
            <w:tcW w:w="124" w:type="dxa"/>
            <w:tcBorders/>
            <w:vAlign w:val="center"/>
          </w:tcPr>
          <w:p>
            <w:pPr>
              <w:pStyle w:val="TableContents"/>
              <w:bidi w:val="0"/>
              <w:spacing w:before="0" w:after="283"/>
              <w:jc w:val="left"/>
              <w:rPr/>
            </w:pPr>
            <w:r>
              <w:rPr/>
            </w:r>
          </w:p>
        </w:tc>
        <w:tc>
          <w:tcPr>
            <w:tcW w:w="2972"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CLEARONE, INC.</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34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t>/s/ </w:t>
            </w:r>
            <w:r>
              <w:rPr>
                <w:rFonts w:ascii="times new roman" w:hAnsi="times new roman"/>
                <w:b w:val="false"/>
                <w:i w:val="false"/>
                <w:caps w:val="false"/>
                <w:smallCaps w:val="false"/>
                <w:color w:val="000000"/>
                <w:spacing w:val="0"/>
                <w:sz w:val="20"/>
              </w:rPr>
              <w:t>Simon Brewer</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341" w:type="dxa"/>
            <w:tcBorders/>
            <w:vAlign w:val="center"/>
          </w:tcPr>
          <w:p>
            <w:pPr>
              <w:pStyle w:val="TableContents"/>
              <w:bidi w:val="0"/>
              <w:spacing w:before="0" w:after="283"/>
              <w:jc w:val="left"/>
              <w:rPr/>
            </w:pPr>
            <w:r>
              <w:rPr/>
              <w:t>Simon Brewer</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341" w:type="dxa"/>
            <w:tcBorders/>
            <w:vAlign w:val="center"/>
          </w:tcPr>
          <w:p>
            <w:pPr>
              <w:pStyle w:val="TableContents"/>
              <w:bidi w:val="0"/>
              <w:spacing w:before="0" w:after="283"/>
              <w:jc w:val="left"/>
              <w:rPr/>
            </w:pPr>
            <w:r>
              <w:rPr/>
              <w:t>Chief Financial Officer</w:t>
            </w:r>
          </w:p>
        </w:tc>
      </w:tr>
    </w:tbl>
    <w:p>
      <w:pPr>
        <w:pStyle w:val="TextBody"/>
        <w:bidi w:val="0"/>
        <w:spacing w:lineRule="atLeast" w:line="197" w:before="0" w:after="0"/>
        <w:ind w:left="4320" w:right="0" w:hanging="0"/>
        <w:jc w:val="left"/>
        <w:rPr/>
      </w:pPr>
      <w:r>
        <w:rPr/>
      </w:r>
    </w:p>
    <w:tbl>
      <w:tblPr>
        <w:tblW w:w="3096" w:type="dxa"/>
        <w:jc w:val="left"/>
        <w:tblInd w:w="0" w:type="dxa"/>
        <w:tblLayout w:type="fixed"/>
        <w:tblCellMar>
          <w:top w:w="28" w:type="dxa"/>
          <w:left w:w="28" w:type="dxa"/>
          <w:bottom w:w="28" w:type="dxa"/>
          <w:right w:w="28" w:type="dxa"/>
        </w:tblCellMar>
      </w:tblPr>
      <w:tblGrid>
        <w:gridCol w:w="124"/>
        <w:gridCol w:w="631"/>
        <w:gridCol w:w="2341"/>
      </w:tblGrid>
      <w:tr>
        <w:trPr/>
        <w:tc>
          <w:tcPr>
            <w:tcW w:w="124" w:type="dxa"/>
            <w:tcBorders/>
            <w:vAlign w:val="center"/>
          </w:tcPr>
          <w:p>
            <w:pPr>
              <w:pStyle w:val="TableContents"/>
              <w:bidi w:val="0"/>
              <w:spacing w:before="0" w:after="283"/>
              <w:jc w:val="left"/>
              <w:rPr/>
            </w:pPr>
            <w:r>
              <w:rPr/>
            </w:r>
          </w:p>
        </w:tc>
        <w:tc>
          <w:tcPr>
            <w:tcW w:w="2972"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CLRO MERGER SUB, INC.</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34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rFonts w:ascii="times new roman" w:hAnsi="times new roman"/>
                <w:b w:val="false"/>
                <w:i w:val="false"/>
                <w:caps w:val="false"/>
                <w:smallCaps w:val="false"/>
                <w:color w:val="000000"/>
                <w:spacing w:val="0"/>
                <w:sz w:val="20"/>
              </w:rPr>
              <w:t>/s/ </w:t>
            </w:r>
            <w:r>
              <w:rPr>
                <w:rFonts w:ascii="times new roman" w:hAnsi="times new roman"/>
                <w:b w:val="false"/>
                <w:i w:val="false"/>
                <w:caps w:val="false"/>
                <w:smallCaps w:val="false"/>
                <w:color w:val="000000"/>
                <w:spacing w:val="0"/>
              </w:rPr>
              <w:t>Simon Brewer</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34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Simon Brewer</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341" w:type="dxa"/>
            <w:tcBorders/>
            <w:vAlign w:val="center"/>
          </w:tcPr>
          <w:p>
            <w:pPr>
              <w:pStyle w:val="TableContents"/>
              <w:bidi w:val="0"/>
              <w:spacing w:before="0" w:after="283"/>
              <w:jc w:val="left"/>
              <w:rPr/>
            </w:pPr>
            <w:r>
              <w:rPr/>
              <w:t>Chief Financial Officer</w:t>
            </w:r>
          </w:p>
        </w:tc>
      </w:tr>
    </w:tbl>
    <w:p>
      <w:pPr>
        <w:pStyle w:val="TextBody"/>
        <w:bidi w:val="0"/>
        <w:spacing w:lineRule="atLeast" w:line="197" w:before="0" w:after="0"/>
        <w:ind w:left="0" w:right="0" w:hanging="0"/>
        <w:jc w:val="left"/>
        <w:rPr/>
      </w:pPr>
      <w:r>
        <w:rPr/>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[Signature Page to Merger Agreement]</w:t>
      </w:r>
    </w:p>
    <w:p>
      <w:pPr>
        <w:pStyle w:val="TextBody"/>
        <w:bidi w:val="0"/>
        <w:spacing w:lineRule="auto" w:line="288" w:before="0"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firstLine="720"/>
        <w:jc w:val="left"/>
        <w:rPr>
          <w:rFonts w:ascii="times new roman;times" w:hAnsi="times new roman;times"/>
          <w:sz w:val="20"/>
        </w:rPr>
      </w:pPr>
      <w:r>
        <w:rPr>
          <w:rFonts w:ascii="Times New Roman" w:hAnsi="Times New Roman"/>
          <w:b/>
          <w:sz w:val="20"/>
        </w:rPr>
        <w:t>IN WITNESS WHEREOF</w:t>
      </w:r>
      <w:r>
        <w:rPr>
          <w:rFonts w:ascii="Times New Roman" w:hAnsi="Times New Roman"/>
          <w:sz w:val="20"/>
        </w:rPr>
        <w:t>, the Parties have caused this Agreement to be executed as of the date first above written.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2856" w:type="dxa"/>
        <w:jc w:val="left"/>
        <w:tblInd w:w="0" w:type="dxa"/>
        <w:tblLayout w:type="fixed"/>
        <w:tblCellMar>
          <w:top w:w="28" w:type="dxa"/>
          <w:left w:w="28" w:type="dxa"/>
          <w:bottom w:w="28" w:type="dxa"/>
          <w:right w:w="28" w:type="dxa"/>
        </w:tblCellMar>
      </w:tblPr>
      <w:tblGrid>
        <w:gridCol w:w="124"/>
        <w:gridCol w:w="631"/>
        <w:gridCol w:w="2101"/>
      </w:tblGrid>
      <w:tr>
        <w:trPr/>
        <w:tc>
          <w:tcPr>
            <w:tcW w:w="124" w:type="dxa"/>
            <w:tcBorders/>
            <w:vAlign w:val="center"/>
          </w:tcPr>
          <w:p>
            <w:pPr>
              <w:pStyle w:val="TableContents"/>
              <w:bidi w:val="0"/>
              <w:spacing w:before="0" w:after="283"/>
              <w:jc w:val="left"/>
              <w:rPr/>
            </w:pPr>
            <w:r>
              <w:rPr/>
            </w:r>
          </w:p>
        </w:tc>
        <w:tc>
          <w:tcPr>
            <w:tcW w:w="2732" w:type="dxa"/>
            <w:gridSpan w:val="2"/>
            <w:tcBorders/>
            <w:vAlign w:val="center"/>
          </w:tcPr>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t>CORTIGENT, INC.</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10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t>/s/ J</w:t>
            </w:r>
            <w:r>
              <w:rPr>
                <w:rFonts w:ascii="times new roman" w:hAnsi="times new roman"/>
                <w:b w:val="false"/>
                <w:i w:val="false"/>
                <w:caps w:val="false"/>
                <w:smallCaps w:val="false"/>
                <w:color w:val="000000"/>
                <w:spacing w:val="0"/>
                <w:sz w:val="20"/>
              </w:rPr>
              <w:t>onathan Adams</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101" w:type="dxa"/>
            <w:tcBorders/>
            <w:vAlign w:val="center"/>
          </w:tcPr>
          <w:p>
            <w:pPr>
              <w:pStyle w:val="TableContents"/>
              <w:bidi w:val="0"/>
              <w:spacing w:before="0" w:after="283"/>
              <w:jc w:val="left"/>
              <w:rPr/>
            </w:pPr>
            <w:r>
              <w:rPr/>
              <w:t>Jonathan Adams</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1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Chief</w:t>
            </w:r>
            <w:r>
              <w:rPr>
                <w:caps w:val="false"/>
                <w:smallCaps w:val="false"/>
                <w:color w:val="000000"/>
                <w:spacing w:val="0"/>
              </w:rPr>
              <w:t> </w:t>
            </w:r>
            <w:r>
              <w:rPr>
                <w:b w:val="false"/>
                <w:i w:val="false"/>
                <w:caps w:val="false"/>
                <w:smallCaps w:val="false"/>
                <w:color w:val="000000"/>
                <w:spacing w:val="0"/>
                <w:sz w:val="20"/>
              </w:rPr>
              <w:t>Executive</w:t>
            </w:r>
            <w:r>
              <w:rPr>
                <w:caps w:val="false"/>
                <w:smallCaps w:val="false"/>
                <w:color w:val="000000"/>
                <w:spacing w:val="0"/>
              </w:rPr>
              <w:t> </w:t>
            </w:r>
            <w:r>
              <w:rPr>
                <w:b w:val="false"/>
                <w:i w:val="false"/>
                <w:caps w:val="false"/>
                <w:smallCaps w:val="false"/>
                <w:color w:val="000000"/>
                <w:spacing w:val="0"/>
                <w:sz w:val="20"/>
              </w:rPr>
              <w:t>Officer</w:t>
            </w:r>
          </w:p>
        </w:tc>
      </w:tr>
    </w:tbl>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tbl>
      <w:tblPr>
        <w:tblW w:w="2856" w:type="dxa"/>
        <w:jc w:val="left"/>
        <w:tblInd w:w="0" w:type="dxa"/>
        <w:tblLayout w:type="fixed"/>
        <w:tblCellMar>
          <w:top w:w="28" w:type="dxa"/>
          <w:left w:w="28" w:type="dxa"/>
          <w:bottom w:w="28" w:type="dxa"/>
          <w:right w:w="28" w:type="dxa"/>
        </w:tblCellMar>
      </w:tblPr>
      <w:tblGrid>
        <w:gridCol w:w="124"/>
        <w:gridCol w:w="631"/>
        <w:gridCol w:w="2101"/>
      </w:tblGrid>
      <w:tr>
        <w:trPr/>
        <w:tc>
          <w:tcPr>
            <w:tcW w:w="124" w:type="dxa"/>
            <w:tcBorders/>
            <w:vAlign w:val="center"/>
          </w:tcPr>
          <w:p>
            <w:pPr>
              <w:pStyle w:val="TableContents"/>
              <w:bidi w:val="0"/>
              <w:spacing w:before="0" w:after="283"/>
              <w:jc w:val="left"/>
              <w:rPr/>
            </w:pPr>
            <w:r>
              <w:rPr/>
            </w:r>
          </w:p>
        </w:tc>
        <w:tc>
          <w:tcPr>
            <w:tcW w:w="2732" w:type="dxa"/>
            <w:gridSpan w:val="2"/>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VIVANI</w:t>
            </w:r>
            <w:r>
              <w:rPr>
                <w:caps w:val="false"/>
                <w:smallCaps w:val="false"/>
                <w:color w:val="000000"/>
                <w:spacing w:val="0"/>
              </w:rPr>
              <w:t> </w:t>
            </w:r>
            <w:r>
              <w:rPr>
                <w:b w:val="false"/>
                <w:i w:val="false"/>
                <w:caps w:val="false"/>
                <w:smallCaps w:val="false"/>
                <w:color w:val="000000"/>
                <w:spacing w:val="0"/>
                <w:sz w:val="20"/>
              </w:rPr>
              <w:t>MEDICAL, INC.</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101" w:type="dxa"/>
            <w:tcBorders/>
            <w:tcMar>
              <w:top w:w="0" w:type="dxa"/>
              <w:left w:w="0" w:type="dxa"/>
              <w:bottom w:w="0" w:type="dxa"/>
              <w:right w:w="0" w:type="dxa"/>
            </w:tcMar>
            <w:vAlign w:val="center"/>
          </w:tcPr>
          <w:p>
            <w:pPr>
              <w:pStyle w:val="TableContents"/>
              <w:widowControl/>
              <w:bidi w:val="0"/>
              <w:spacing w:before="0" w:after="283"/>
              <w:ind w:left="0" w:right="0" w:hanging="0"/>
              <w:jc w:val="left"/>
              <w:rPr/>
            </w:pPr>
            <w:r>
              <w:rPr/>
              <w:t>/s/ </w:t>
            </w:r>
            <w:r>
              <w:rPr>
                <w:rFonts w:ascii="times new roman" w:hAnsi="times new roman"/>
                <w:b w:val="false"/>
                <w:i w:val="false"/>
                <w:caps w:val="false"/>
                <w:smallCaps w:val="false"/>
                <w:color w:val="000000"/>
                <w:spacing w:val="0"/>
                <w:sz w:val="20"/>
              </w:rPr>
              <w:t>Adam Mendelsohn</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101" w:type="dxa"/>
            <w:tcBorders/>
            <w:vAlign w:val="center"/>
          </w:tcPr>
          <w:p>
            <w:pPr>
              <w:pStyle w:val="TableContents"/>
              <w:bidi w:val="0"/>
              <w:spacing w:before="0" w:after="283"/>
              <w:jc w:val="left"/>
              <w:rPr/>
            </w:pPr>
            <w:r>
              <w:rPr/>
              <w:t>Adam Mendelsohn</w:t>
            </w:r>
          </w:p>
        </w:tc>
      </w:tr>
      <w:tr>
        <w:trPr/>
        <w:tc>
          <w:tcPr>
            <w:tcW w:w="124" w:type="dxa"/>
            <w:tcBorders/>
            <w:vAlign w:val="center"/>
          </w:tcPr>
          <w:p>
            <w:pPr>
              <w:pStyle w:val="TableContents"/>
              <w:bidi w:val="0"/>
              <w:spacing w:before="0" w:after="283"/>
              <w:jc w:val="left"/>
              <w:rPr/>
            </w:pPr>
            <w:r>
              <w:rPr/>
            </w:r>
          </w:p>
        </w:tc>
        <w:tc>
          <w:tcPr>
            <w:tcW w:w="63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1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Chief</w:t>
            </w:r>
            <w:r>
              <w:rPr>
                <w:caps w:val="false"/>
                <w:smallCaps w:val="false"/>
                <w:color w:val="000000"/>
                <w:spacing w:val="0"/>
              </w:rPr>
              <w:t> </w:t>
            </w:r>
            <w:r>
              <w:rPr>
                <w:b w:val="false"/>
                <w:i w:val="false"/>
                <w:caps w:val="false"/>
                <w:smallCaps w:val="false"/>
                <w:color w:val="000000"/>
                <w:spacing w:val="0"/>
                <w:sz w:val="20"/>
              </w:rPr>
              <w:t>Executive</w:t>
            </w:r>
            <w:r>
              <w:rPr>
                <w:caps w:val="false"/>
                <w:smallCaps w:val="false"/>
                <w:color w:val="000000"/>
                <w:spacing w:val="0"/>
              </w:rPr>
              <w:t> </w:t>
            </w:r>
            <w:r>
              <w:rPr>
                <w:b w:val="false"/>
                <w:i w:val="false"/>
                <w:caps w:val="false"/>
                <w:smallCaps w:val="false"/>
                <w:color w:val="000000"/>
                <w:spacing w:val="0"/>
                <w:sz w:val="20"/>
              </w:rPr>
              <w:t>Officer</w:t>
            </w:r>
          </w:p>
        </w:tc>
      </w:tr>
    </w:tbl>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[Signature Page to Merger Agreement]</w:t>
      </w:r>
    </w:p>
    <w:p>
      <w:pPr>
        <w:pStyle w:val="TextBody"/>
        <w:bidi w:val="0"/>
        <w:spacing w:lineRule="auto" w:line="288" w:before="0"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A-76</w:t>
            </w:r>
          </w:p>
        </w:tc>
      </w:tr>
    </w:tbl>
    <w:p>
      <w:pPr>
        <w:pStyle w:val="HorizontalLine"/>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78" w:after="220"/>
        <w:ind w:left="0" w:right="0" w:hanging="0"/>
        <w:jc w:val="center"/>
        <w:rPr/>
      </w:pPr>
      <w:hyperlink w:anchor="TOC">
        <w:r>
          <w:rPr>
            <w:rStyle w:val="InternetLink"/>
            <w:rFonts w:ascii="Times New Roman" w:hAnsi="Times New Roman"/>
            <w:b/>
            <w:strike w:val="false"/>
            <w:dstrike w:val="false"/>
            <w:color w:val="000000"/>
            <w:sz w:val="20"/>
            <w:u w:val="none"/>
            <w:effect w:val="none"/>
          </w:rPr>
          <w:t>EXHIBIT A</w:t>
        </w:r>
      </w:hyperlink>
    </w:p>
    <w:p>
      <w:pPr>
        <w:pStyle w:val="TextBody"/>
        <w:bidi w:val="0"/>
        <w:spacing w:lineRule="auto" w:line="288" w:before="234" w:after="220"/>
        <w:ind w:left="0" w:right="0" w:hanging="0"/>
        <w:jc w:val="center"/>
        <w:rPr>
          <w:rFonts w:ascii="Times New Roman" w:hAnsi="Times New Roman"/>
          <w:b/>
          <w:sz w:val="20"/>
        </w:rPr>
      </w:pPr>
      <w:r>
        <w:rPr>
          <w:rFonts w:ascii="Times New Roman" w:hAnsi="Times New Roman"/>
          <w:b/>
          <w:sz w:val="20"/>
        </w:rPr>
        <w:t>CERTAIN DEFINITIONS</w:t>
      </w:r>
    </w:p>
    <w:p>
      <w:pPr>
        <w:pStyle w:val="TextBody"/>
        <w:bidi w:val="0"/>
        <w:spacing w:lineRule="auto" w:line="288" w:before="0" w:after="200"/>
        <w:ind w:left="0" w:right="0" w:firstLine="720"/>
        <w:jc w:val="left"/>
        <w:rPr>
          <w:rFonts w:ascii="times new roman;times" w:hAnsi="times new roman;times"/>
          <w:sz w:val="20"/>
        </w:rPr>
      </w:pPr>
      <w:r>
        <w:rPr>
          <w:rFonts w:ascii="Times New Roman" w:hAnsi="Times New Roman"/>
          <w:sz w:val="20"/>
        </w:rPr>
        <w:t xml:space="preserve">For purposes of this Agreement, all capitalized terms used but not otherwise defined in the body of this Agreement shall have the meanings set forth in this </w:t>
      </w:r>
      <w:r>
        <w:rPr>
          <w:rFonts w:ascii="Times New Roman" w:hAnsi="Times New Roman"/>
          <w:sz w:val="20"/>
          <w:u w:val="single"/>
        </w:rPr>
        <w:t>Exhibit A</w:t>
      </w:r>
      <w:r>
        <w:rPr>
          <w:rFonts w:ascii="Times New Roman" w:hAnsi="Times New Roman"/>
          <w:sz w:val="20"/>
        </w:rPr>
        <w:t>, and correlative terms used in singular or plural form shall have the corresponding meanings.</w:t>
      </w:r>
    </w:p>
    <w:p>
      <w:pPr>
        <w:pStyle w:val="TextBody"/>
        <w:bidi w:val="0"/>
        <w:spacing w:lineRule="auto" w:line="288" w:before="0" w:after="200"/>
        <w:ind w:left="0" w:right="0" w:firstLine="720"/>
        <w:jc w:val="left"/>
        <w:rPr/>
      </w:pPr>
      <w:r>
        <w:rPr/>
        <w:t>“</w:t>
      </w:r>
      <w:r>
        <w:rPr>
          <w:rFonts w:ascii="Times New Roman" w:hAnsi="Times New Roman"/>
          <w:b/>
          <w:i/>
          <w:sz w:val="20"/>
        </w:rPr>
        <w:t>Acquisition Inquiry</w:t>
      </w:r>
      <w:r>
        <w:rPr>
          <w:rFonts w:ascii="times new roman;times" w:hAnsi="times new roman;times"/>
          <w:sz w:val="20"/>
        </w:rPr>
        <w:t xml:space="preserve">” </w:t>
      </w:r>
      <w:r>
        <w:rPr>
          <w:rFonts w:ascii="Times New Roman" w:hAnsi="Times New Roman"/>
          <w:sz w:val="20"/>
        </w:rPr>
        <w:t>shall mean, with respect to a Party, an inquiry, indication of interest or request for nonpublic information (other than an inquiry, indication of interest or request for information made or submitted by the Company, on the one hand, or Parent, on the other hand, to the other Party) that would reasonably be expected to lead to an Acquisition Proposal with such Party.</w:t>
      </w:r>
    </w:p>
    <w:p>
      <w:pPr>
        <w:pStyle w:val="TextBody"/>
        <w:bidi w:val="0"/>
        <w:spacing w:lineRule="auto" w:line="288" w:before="0" w:after="200"/>
        <w:ind w:left="0" w:right="0" w:firstLine="720"/>
        <w:jc w:val="left"/>
        <w:rPr/>
      </w:pPr>
      <w:r>
        <w:rPr/>
        <w:t>“</w:t>
      </w:r>
      <w:r>
        <w:rPr>
          <w:rFonts w:ascii="Times New Roman" w:hAnsi="Times New Roman"/>
          <w:b/>
          <w:i/>
          <w:sz w:val="20"/>
        </w:rPr>
        <w:t>Acquisition Proposal</w:t>
      </w:r>
      <w:r>
        <w:rPr>
          <w:rFonts w:ascii="times new roman;times" w:hAnsi="times new roman;times"/>
          <w:sz w:val="20"/>
        </w:rPr>
        <w:t xml:space="preserve">” </w:t>
      </w:r>
      <w:r>
        <w:rPr>
          <w:rFonts w:ascii="Times New Roman" w:hAnsi="Times New Roman"/>
          <w:sz w:val="20"/>
        </w:rPr>
        <w:t xml:space="preserve">means, with respect to a Party, any bona fide written offer or proposal made by any Person or </w:t>
      </w:r>
      <w:r>
        <w:rPr>
          <w:rFonts w:ascii="times new roman;times" w:hAnsi="times new roman;times"/>
          <w:sz w:val="20"/>
        </w:rPr>
        <w:t>“</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(as defined in Section 13(d) of the Exchange Act), other than the Contemplated Transactions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Financing, contemplating an Acquisition Transaction involving such Party.</w:t>
      </w:r>
    </w:p>
    <w:p>
      <w:pPr>
        <w:pStyle w:val="TextBody"/>
        <w:bidi w:val="0"/>
        <w:spacing w:lineRule="auto" w:line="288" w:before="0" w:after="200"/>
        <w:ind w:left="0" w:right="0" w:firstLine="720"/>
        <w:jc w:val="left"/>
        <w:rPr/>
      </w:pPr>
      <w:r>
        <w:rPr/>
        <w:t>“</w:t>
      </w:r>
      <w:r>
        <w:rPr>
          <w:rFonts w:ascii="Times New Roman" w:hAnsi="Times New Roman"/>
          <w:b/>
          <w:i/>
          <w:sz w:val="20"/>
        </w:rPr>
        <w:t>Acquisition Transaction</w:t>
      </w:r>
      <w:r>
        <w:rPr>
          <w:rFonts w:ascii="times new roman;times" w:hAnsi="times new roman;times"/>
          <w:sz w:val="20"/>
        </w:rPr>
        <w:t xml:space="preserve">” </w:t>
      </w:r>
      <w:r>
        <w:rPr>
          <w:rFonts w:ascii="Times New Roman" w:hAnsi="Times New Roman"/>
          <w:sz w:val="20"/>
        </w:rPr>
        <w:t xml:space="preserve">means any transaction or series of related transactions involving: (a) any merger, consolidation, amalgamation, share exchange, business combination, recapitalization, tender offer, exchange offer or other similar transaction involving a Party or any of its Subsidiaries pursuant to which any Person or </w:t>
      </w:r>
      <w:r>
        <w:rPr>
          <w:rFonts w:ascii="times new roman;times" w:hAnsi="times new roman;times"/>
          <w:sz w:val="20"/>
        </w:rPr>
        <w:t>“</w:t>
      </w:r>
      <w:r>
        <w:rPr>
          <w:rFonts w:ascii="Times New Roman" w:hAnsi="Times New Roman"/>
          <w:sz w:val="20"/>
        </w:rPr>
        <w:t>group</w:t>
      </w:r>
      <w:r>
        <w:rPr>
          <w:rFonts w:ascii="times new roman;times" w:hAnsi="times new roman;times"/>
          <w:sz w:val="20"/>
        </w:rPr>
        <w:t xml:space="preserve">” </w:t>
      </w:r>
      <w:r>
        <w:rPr>
          <w:rFonts w:ascii="Times New Roman" w:hAnsi="Times New Roman"/>
          <w:sz w:val="20"/>
        </w:rPr>
        <w:t>(as defined in Section 13(d) of the Exchange Act) would directly or indirectly acquire beneficial ownership of securities representing more than fifty percent (50%) of the outstanding voting power of such Party or any of its Subsidiaries; (b) any direct or indirect acquisition by any Person or group of beneficial ownership of securities representing more than fifty percent (50%) of the outstanding voting power of a Party or any of its Subsidiaries; or (c) any sale, lease, exchange, transfer or other disposition of assets, businesses or operations of a Party and its Subsidiaries, taken as a whole, representing more than fifty percent (50%) of the consolidated assets, revenues or earning power of such Party and its Subsidiaries, taken as a whole; in each case, other than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Action</w:t>
      </w:r>
      <w:r>
        <w:rPr>
          <w:rFonts w:ascii="times new roman;times" w:hAnsi="times new roman;times"/>
          <w:sz w:val="20"/>
        </w:rPr>
        <w:t xml:space="preserve">” </w:t>
      </w:r>
      <w:r>
        <w:rPr>
          <w:rFonts w:ascii="Times New Roman" w:hAnsi="Times New Roman"/>
          <w:sz w:val="20"/>
        </w:rPr>
        <w:t>means any claim, action, suit, arbitration, mediation, audit, hearing, charge, complaint, demand, litigation, proceeding, examination, investigation or inquiry, whether civil, criminal, administrative, regulatory or otherwise, at Law or in equity, by or before any Governmental Body or arbitrator.</w:t>
      </w:r>
    </w:p>
    <w:p>
      <w:pPr>
        <w:pStyle w:val="TextBody"/>
        <w:bidi w:val="0"/>
        <w:spacing w:lineRule="auto" w:line="288" w:before="0" w:after="200"/>
        <w:ind w:left="0" w:right="0" w:firstLine="720"/>
        <w:jc w:val="left"/>
        <w:rPr/>
      </w:pPr>
      <w:r>
        <w:rPr/>
        <w:t>“</w:t>
      </w:r>
      <w:r>
        <w:rPr>
          <w:rFonts w:ascii="Times New Roman" w:hAnsi="Times New Roman"/>
          <w:b/>
          <w:i/>
          <w:sz w:val="20"/>
        </w:rPr>
        <w:t>Advisor Shares</w:t>
      </w:r>
      <w:r>
        <w:rPr>
          <w:rFonts w:ascii="times new roman;times" w:hAnsi="times new roman;times"/>
          <w:sz w:val="20"/>
        </w:rPr>
        <w:t xml:space="preserve">” </w:t>
      </w:r>
      <w:r>
        <w:rPr>
          <w:rFonts w:ascii="Times New Roman" w:hAnsi="Times New Roman"/>
          <w:sz w:val="20"/>
        </w:rPr>
        <w:t>means shares of Parent Common Stock issued at or prior to the Closing to certain consultants and advisors designated by Parent, including First Finance Ltd. and/or its designees, in an aggregate amount not to exceed five percent (5%) of the total issued and outstanding Parent Common Stock immediately following the Effective Time, calculated in a manner consistent with Part 5.22 of the Parent Disclosure Schedule.</w:t>
      </w:r>
    </w:p>
    <w:p>
      <w:pPr>
        <w:pStyle w:val="TextBody"/>
        <w:bidi w:val="0"/>
        <w:spacing w:lineRule="auto" w:line="288" w:before="0" w:after="200"/>
        <w:ind w:left="0" w:right="0" w:firstLine="720"/>
        <w:jc w:val="left"/>
        <w:rPr/>
      </w:pPr>
      <w:r>
        <w:rPr/>
        <w:t>“</w:t>
      </w:r>
      <w:r>
        <w:rPr>
          <w:rFonts w:ascii="Times New Roman" w:hAnsi="Times New Roman"/>
          <w:b/>
          <w:i/>
          <w:sz w:val="20"/>
        </w:rPr>
        <w:t>Affiliate</w:t>
      </w:r>
      <w:r>
        <w:rPr>
          <w:rFonts w:ascii="times new roman;times" w:hAnsi="times new roman;times"/>
          <w:sz w:val="20"/>
        </w:rPr>
        <w:t xml:space="preserve">” </w:t>
      </w:r>
      <w:r>
        <w:rPr>
          <w:rFonts w:ascii="Times New Roman" w:hAnsi="Times New Roman"/>
          <w:sz w:val="20"/>
        </w:rPr>
        <w:t xml:space="preserve">means, with respect to any Person, any other Person that directly or indirectly controls, is controlled by, or is under common control with such first Person. For purposes of this definition, </w:t>
      </w:r>
      <w:r>
        <w:rPr>
          <w:rFonts w:ascii="times new roman;times" w:hAnsi="times new roman;times"/>
          <w:sz w:val="20"/>
        </w:rPr>
        <w:t>“</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means the possession, directly or indirectly, of the power to direct or cause the direction of the management or policies of a Person, whether through ownership of voting securities, by Contract or otherwise.</w:t>
      </w:r>
    </w:p>
    <w:p>
      <w:pPr>
        <w:pStyle w:val="TextBody"/>
        <w:bidi w:val="0"/>
        <w:spacing w:lineRule="auto" w:line="288" w:before="0" w:after="0"/>
        <w:ind w:left="0" w:right="0" w:firstLine="720"/>
        <w:jc w:val="left"/>
        <w:rPr/>
      </w:pPr>
      <w:r>
        <w:rPr/>
        <w:t>“</w:t>
      </w:r>
      <w:r>
        <w:rPr>
          <w:rFonts w:ascii="Times New Roman" w:hAnsi="Times New Roman"/>
          <w:b/>
          <w:i/>
          <w:sz w:val="20"/>
        </w:rPr>
        <w:t>Agreement</w:t>
      </w:r>
      <w:r>
        <w:rPr>
          <w:rFonts w:ascii="times new roman;times" w:hAnsi="times new roman;times"/>
          <w:sz w:val="20"/>
        </w:rPr>
        <w:t xml:space="preserve">” </w:t>
      </w:r>
      <w:r>
        <w:rPr>
          <w:rFonts w:ascii="Times New Roman" w:hAnsi="Times New Roman"/>
          <w:sz w:val="20"/>
        </w:rPr>
        <w:t xml:space="preserve">shall mean the Agreement and Plan of Merger to which this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is attached, as it may be amended from time to time.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Anti-Corruption Laws</w:t>
      </w:r>
      <w:r>
        <w:rPr>
          <w:rFonts w:ascii="times new roman;times" w:hAnsi="times new roman;times"/>
          <w:sz w:val="20"/>
        </w:rPr>
        <w:t xml:space="preserve">” </w:t>
      </w:r>
      <w:r>
        <w:rPr>
          <w:rFonts w:ascii="Times New Roman" w:hAnsi="Times New Roman"/>
          <w:sz w:val="20"/>
        </w:rPr>
        <w:t>means mean any applicable Law relating to anti-bribery or anti-corruption (governmental or commercial), including: (a) the U.S. Foreign Corrupt Practices Act of 1977, as amended (15 U.S.C. §§ 78dd-1 et seq.); (b) the U.K. Bribery Act 2010; (c) the anti-bribery provisions of the United Nations Convention Against Corruption; and (d) all other applicable Laws of any jurisdiction in which any Party or any of its Subsidiaries conducts business or has conducted business that prohibit the corrupt payment, offer, promise or authorization of the payment or transfer of anything of value (including gifts, entertainment, travel or other business courtesies), directly or indirectly, to any officer, employee or representative of any Governmental Body or any political party, party official or candidate for political office, or to any other Person, for the purpose of: (i) influencing any act or decision of such Person in his or her official capacity; (ii) inducing such Person to do or omit to do any act in violation of the lawful duty of such Person; (iii) securing any improper advantage; or (iv) inducing such Person to use his or her influence with a Governmental Body to affect or influence any act or decision of such Governmental Body, in each case in order to obtain or retain business for, or direct business to, any Person.</w:t>
      </w:r>
    </w:p>
    <w:p>
      <w:pPr>
        <w:pStyle w:val="TextBody"/>
        <w:bidi w:val="0"/>
        <w:spacing w:lineRule="auto" w:line="288" w:before="0" w:after="200"/>
        <w:ind w:left="0" w:right="0" w:firstLine="720"/>
        <w:jc w:val="left"/>
        <w:rPr/>
      </w:pPr>
      <w:r>
        <w:rPr/>
        <w:t>“</w:t>
      </w:r>
      <w:r>
        <w:rPr>
          <w:rFonts w:ascii="Times New Roman" w:hAnsi="Times New Roman"/>
          <w:b/>
          <w:i/>
          <w:sz w:val="20"/>
        </w:rPr>
        <w:t>Breakthrough Device</w:t>
      </w:r>
      <w:r>
        <w:rPr>
          <w:rFonts w:ascii="times new roman;times" w:hAnsi="times new roman;times"/>
          <w:sz w:val="20"/>
        </w:rPr>
        <w:t xml:space="preserve">” </w:t>
      </w:r>
      <w:r>
        <w:rPr>
          <w:rFonts w:ascii="Times New Roman" w:hAnsi="Times New Roman"/>
          <w:sz w:val="20"/>
        </w:rPr>
        <w:t xml:space="preserve">means a device that has been designated by the FDA as a </w:t>
      </w:r>
      <w:r>
        <w:rPr>
          <w:rFonts w:ascii="times new roman;times" w:hAnsi="times new roman;times"/>
          <w:sz w:val="20"/>
        </w:rPr>
        <w:t>“</w:t>
      </w:r>
      <w:r>
        <w:rPr>
          <w:rFonts w:ascii="Times New Roman" w:hAnsi="Times New Roman"/>
          <w:sz w:val="20"/>
        </w:rPr>
        <w:t>breakthrough device</w:t>
      </w:r>
      <w:r>
        <w:rPr>
          <w:rFonts w:ascii="times new roman;times" w:hAnsi="times new roman;times"/>
          <w:sz w:val="20"/>
        </w:rPr>
        <w:t xml:space="preserve">” </w:t>
      </w:r>
      <w:r>
        <w:rPr>
          <w:rFonts w:ascii="Times New Roman" w:hAnsi="Times New Roman"/>
          <w:sz w:val="20"/>
        </w:rPr>
        <w:t>pursuant to Section 515B of the FDCA, and any comparable designation, status or classification granted by any foreign Governmental Body having jurisdiction over the regulation of medical devices.</w:t>
      </w:r>
    </w:p>
    <w:p>
      <w:pPr>
        <w:pStyle w:val="TextBody"/>
        <w:bidi w:val="0"/>
        <w:spacing w:lineRule="auto" w:line="288" w:before="0" w:after="200"/>
        <w:ind w:left="0" w:right="0" w:firstLine="720"/>
        <w:jc w:val="left"/>
        <w:rPr/>
      </w:pPr>
      <w:r>
        <w:rPr/>
        <w:t>“</w:t>
      </w:r>
      <w:r>
        <w:rPr>
          <w:rFonts w:ascii="Times New Roman" w:hAnsi="Times New Roman"/>
          <w:b/>
          <w:i/>
          <w:sz w:val="20"/>
        </w:rPr>
        <w:t>Breakup Fee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Business Day</w:t>
      </w:r>
      <w:r>
        <w:rPr>
          <w:rFonts w:ascii="times new roman;times" w:hAnsi="times new roman;times"/>
          <w:sz w:val="20"/>
        </w:rPr>
        <w:t xml:space="preserve">” </w:t>
      </w:r>
      <w:r>
        <w:rPr>
          <w:rFonts w:ascii="Times New Roman" w:hAnsi="Times New Roman"/>
          <w:sz w:val="20"/>
        </w:rPr>
        <w:t>shall mean any day other than a day on which banks in the State of New York are authorized or obligated to be closed.</w:t>
      </w:r>
    </w:p>
    <w:p>
      <w:pPr>
        <w:pStyle w:val="TextBody"/>
        <w:bidi w:val="0"/>
        <w:spacing w:lineRule="auto" w:line="288" w:before="0" w:after="200"/>
        <w:ind w:left="0" w:right="0" w:firstLine="720"/>
        <w:jc w:val="left"/>
        <w:rPr/>
      </w:pPr>
      <w:r>
        <w:rPr/>
        <w:t>“</w:t>
      </w:r>
      <w:r>
        <w:rPr>
          <w:rFonts w:ascii="Times New Roman" w:hAnsi="Times New Roman"/>
          <w:b/>
          <w:i/>
          <w:sz w:val="20"/>
        </w:rPr>
        <w:t>CARES Act</w:t>
      </w:r>
      <w:r>
        <w:rPr>
          <w:rFonts w:ascii="times new roman;times" w:hAnsi="times new roman;times"/>
          <w:sz w:val="20"/>
        </w:rPr>
        <w:t xml:space="preserve">” </w:t>
      </w:r>
      <w:r>
        <w:rPr>
          <w:rFonts w:ascii="Times New Roman" w:hAnsi="Times New Roman"/>
          <w:sz w:val="20"/>
        </w:rPr>
        <w:t>shall mean the Coronavirus Aid, Relief, and Economic Security Act (Public Law 116-136) and all rules, any regulations and guidance issued by any Governmental Authority with respect thereto, in each case as in effect from time to time.</w:t>
      </w:r>
    </w:p>
    <w:p>
      <w:pPr>
        <w:pStyle w:val="TextBody"/>
        <w:bidi w:val="0"/>
        <w:spacing w:lineRule="auto" w:line="288" w:before="0" w:after="200"/>
        <w:ind w:left="0" w:right="0" w:firstLine="720"/>
        <w:jc w:val="left"/>
        <w:rPr/>
      </w:pPr>
      <w:r>
        <w:rPr/>
        <w:t>“</w:t>
      </w:r>
      <w:r>
        <w:rPr>
          <w:rFonts w:ascii="Times New Roman" w:hAnsi="Times New Roman"/>
          <w:b/>
          <w:i/>
          <w:sz w:val="20"/>
        </w:rPr>
        <w:t>Cause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5.13(e)</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Certificate of Merger</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Certifications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Closing</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Closing Date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COBRA</w:t>
      </w:r>
      <w:r>
        <w:rPr>
          <w:rFonts w:ascii="times new roman;times" w:hAnsi="times new roman;times"/>
          <w:sz w:val="20"/>
        </w:rPr>
        <w:t xml:space="preserve">” </w:t>
      </w:r>
      <w:r>
        <w:rPr>
          <w:rFonts w:ascii="Times New Roman" w:hAnsi="Times New Roman"/>
          <w:sz w:val="20"/>
        </w:rPr>
        <w:t>means the Consolidated Omnibus Budget Reconciliation Act of 1985, as amended, as set forth in Section 4980B of the Code and Part 6 of Title I of ERISA.</w:t>
      </w:r>
    </w:p>
    <w:p>
      <w:pPr>
        <w:pStyle w:val="TextBody"/>
        <w:bidi w:val="0"/>
        <w:spacing w:lineRule="auto" w:line="288" w:before="0" w:after="200"/>
        <w:ind w:left="0" w:right="0" w:firstLine="720"/>
        <w:jc w:val="left"/>
        <w:rPr/>
      </w:pPr>
      <w:r>
        <w:rPr/>
        <w:t>“</w:t>
      </w:r>
      <w:r>
        <w:rPr>
          <w:rFonts w:ascii="Times New Roman" w:hAnsi="Times New Roman"/>
          <w:b/>
          <w:i/>
          <w:sz w:val="20"/>
        </w:rPr>
        <w:t>Code</w:t>
      </w:r>
      <w:r>
        <w:rPr>
          <w:rFonts w:ascii="times new roman;times" w:hAnsi="times new roman;times"/>
          <w:sz w:val="20"/>
        </w:rPr>
        <w:t xml:space="preserve">” </w:t>
      </w:r>
      <w:r>
        <w:rPr>
          <w:rFonts w:ascii="Times New Roman" w:hAnsi="Times New Roman"/>
          <w:sz w:val="20"/>
        </w:rPr>
        <w:t>shall mean the Internal Revenue Code of 1986, as amended.</w:t>
      </w:r>
    </w:p>
    <w:p>
      <w:pPr>
        <w:pStyle w:val="TextBody"/>
        <w:bidi w:val="0"/>
        <w:spacing w:lineRule="auto" w:line="288" w:before="0" w:after="200"/>
        <w:ind w:left="0" w:right="0" w:firstLine="720"/>
        <w:jc w:val="left"/>
        <w:rPr/>
      </w:pPr>
      <w:r>
        <w:rPr/>
        <w:t>“</w:t>
      </w:r>
      <w:r>
        <w:rPr>
          <w:rFonts w:ascii="Times New Roman" w:hAnsi="Times New Roman"/>
          <w:b/>
          <w:i/>
          <w:sz w:val="20"/>
        </w:rPr>
        <w:t>Company</w:t>
      </w:r>
      <w:r>
        <w:rPr>
          <w:rFonts w:ascii="times new roman;times" w:hAnsi="times new roman;times"/>
          <w:sz w:val="20"/>
        </w:rPr>
        <w:t xml:space="preserve">” </w:t>
      </w:r>
      <w:r>
        <w:rPr>
          <w:rFonts w:ascii="Times New Roman" w:hAnsi="Times New Roman"/>
          <w:sz w:val="20"/>
        </w:rPr>
        <w:t>shall have the meaning set forth in the Preamble.</w:t>
      </w:r>
    </w:p>
    <w:p>
      <w:pPr>
        <w:pStyle w:val="TextBody"/>
        <w:bidi w:val="0"/>
        <w:spacing w:lineRule="auto" w:line="288" w:before="0" w:after="0"/>
        <w:ind w:left="0" w:right="0" w:firstLine="720"/>
        <w:jc w:val="left"/>
        <w:rPr/>
      </w:pPr>
      <w:r>
        <w:rPr/>
        <w:t>“</w:t>
      </w:r>
      <w:r>
        <w:rPr>
          <w:rFonts w:ascii="Times New Roman" w:hAnsi="Times New Roman"/>
          <w:b/>
          <w:i/>
          <w:sz w:val="20"/>
        </w:rPr>
        <w:t>Company Affiliate</w:t>
      </w:r>
      <w:r>
        <w:rPr>
          <w:rFonts w:ascii="times new roman;times" w:hAnsi="times new roman;times"/>
          <w:sz w:val="20"/>
        </w:rPr>
        <w:t xml:space="preserve">” </w:t>
      </w:r>
      <w:r>
        <w:rPr>
          <w:rFonts w:ascii="Times New Roman" w:hAnsi="Times New Roman"/>
          <w:sz w:val="20"/>
        </w:rPr>
        <w:t>shall mean any Person that is (or at any relevant time was) under common control with the Company within the meaning of Sections 414(b), (c), (m) and (o) of the Code, and the regulations issued thereunder.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Company Associate</w:t>
      </w:r>
      <w:r>
        <w:rPr>
          <w:rFonts w:ascii="times new roman;times" w:hAnsi="times new roman;times"/>
          <w:sz w:val="20"/>
        </w:rPr>
        <w:t xml:space="preserve">” </w:t>
      </w:r>
      <w:r>
        <w:rPr>
          <w:rFonts w:ascii="Times New Roman" w:hAnsi="Times New Roman"/>
          <w:sz w:val="20"/>
        </w:rPr>
        <w:t>shall mean any current or former employee, independent contractor, officer or director of the Company or any Company Affiliate.</w:t>
      </w:r>
    </w:p>
    <w:p>
      <w:pPr>
        <w:pStyle w:val="TextBody"/>
        <w:bidi w:val="0"/>
        <w:spacing w:lineRule="auto" w:line="288" w:before="0" w:after="200"/>
        <w:ind w:left="0" w:right="0" w:firstLine="720"/>
        <w:jc w:val="left"/>
        <w:rPr/>
      </w:pPr>
      <w:r>
        <w:rPr/>
        <w:t>“</w:t>
      </w:r>
      <w:r>
        <w:rPr>
          <w:rFonts w:ascii="Times New Roman" w:hAnsi="Times New Roman"/>
          <w:b/>
          <w:i/>
          <w:sz w:val="20"/>
        </w:rPr>
        <w:t>Company Board of Directors</w:t>
      </w:r>
      <w:r>
        <w:rPr>
          <w:rFonts w:ascii="times new roman;times" w:hAnsi="times new roman;times"/>
          <w:sz w:val="20"/>
        </w:rPr>
        <w:t xml:space="preserve">” </w:t>
      </w:r>
      <w:r>
        <w:rPr>
          <w:rFonts w:ascii="Times New Roman" w:hAnsi="Times New Roman"/>
          <w:sz w:val="20"/>
        </w:rPr>
        <w:t>shall mean the Board of Directors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Capital Stock</w:t>
      </w:r>
      <w:r>
        <w:rPr>
          <w:rFonts w:ascii="times new roman;times" w:hAnsi="times new roman;times"/>
          <w:sz w:val="20"/>
        </w:rPr>
        <w:t xml:space="preserve">” </w:t>
      </w:r>
      <w:r>
        <w:rPr>
          <w:rFonts w:ascii="Times New Roman" w:hAnsi="Times New Roman"/>
          <w:sz w:val="20"/>
        </w:rPr>
        <w:t>means the Company Common Stock and any preferred stock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Common Stock</w:t>
      </w:r>
      <w:r>
        <w:rPr>
          <w:rFonts w:ascii="times new roman;times" w:hAnsi="times new roman;times"/>
          <w:sz w:val="20"/>
        </w:rPr>
        <w:t xml:space="preserve">” </w:t>
      </w:r>
      <w:r>
        <w:rPr>
          <w:rFonts w:ascii="Times New Roman" w:hAnsi="Times New Roman"/>
          <w:sz w:val="20"/>
        </w:rPr>
        <w:t>means the common stock, par value $0.001 per share, of the Company.</w:t>
      </w:r>
    </w:p>
    <w:p>
      <w:pPr>
        <w:pStyle w:val="TextBody"/>
        <w:bidi w:val="0"/>
        <w:spacing w:lineRule="auto" w:line="288" w:before="0" w:after="200"/>
        <w:ind w:left="0" w:right="0" w:firstLine="720"/>
        <w:jc w:val="left"/>
        <w:rPr/>
      </w:pPr>
      <w:r>
        <w:rPr/>
        <w:t>“</w:t>
      </w:r>
      <w:r>
        <w:rPr>
          <w:rFonts w:ascii="Times New Roman" w:hAnsi="Times New Roman"/>
          <w:b/>
          <w:i/>
          <w:sz w:val="20"/>
        </w:rPr>
        <w:t>Company Confidential Information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2.8(i)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Contract</w:t>
      </w:r>
      <w:r>
        <w:rPr>
          <w:rFonts w:ascii="times new roman;times" w:hAnsi="times new roman;times"/>
          <w:sz w:val="20"/>
        </w:rPr>
        <w:t xml:space="preserve">” </w:t>
      </w:r>
      <w:r>
        <w:rPr>
          <w:rFonts w:ascii="Times New Roman" w:hAnsi="Times New Roman"/>
          <w:sz w:val="20"/>
        </w:rPr>
        <w:t>shall mean any Contract: (a) to which the Company or any of its Subsidiaries is a Party; (b) by which the Company or any Company Subsidiary or any Company IP Rights or any other asset of Company or its Subsidiaries is or may become bound or under which the Company or any Company Subsidiary has, or may become subject to, any obligation; or (c) under which the Company or Company Subsidiary has or may acquire any right or interest.</w:t>
      </w:r>
    </w:p>
    <w:p>
      <w:pPr>
        <w:pStyle w:val="TextBody"/>
        <w:bidi w:val="0"/>
        <w:spacing w:lineRule="auto" w:line="288" w:before="0" w:after="200"/>
        <w:ind w:left="0" w:right="0" w:firstLine="720"/>
        <w:jc w:val="left"/>
        <w:rPr/>
      </w:pPr>
      <w:r>
        <w:rPr/>
        <w:t>“</w:t>
      </w:r>
      <w:r>
        <w:rPr>
          <w:rFonts w:ascii="Times New Roman" w:hAnsi="Times New Roman"/>
          <w:b/>
          <w:i/>
          <w:sz w:val="20"/>
        </w:rPr>
        <w:t>Company Disclosure Schedule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Article 2</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DSU</w:t>
      </w:r>
      <w:r>
        <w:rPr>
          <w:rFonts w:ascii="times new roman;times" w:hAnsi="times new roman;times"/>
          <w:sz w:val="20"/>
        </w:rPr>
        <w:t xml:space="preserve">” </w:t>
      </w:r>
      <w:r>
        <w:rPr>
          <w:rFonts w:ascii="Times New Roman" w:hAnsi="Times New Roman"/>
          <w:sz w:val="20"/>
        </w:rPr>
        <w:t>means a deferred stock unit of the Company, whether granted under the Equity Incentive Plan or otherwise, including any right to receive shares of Company Common Stock or cash settled by reference to the value of Company Common Stock on a deferred basis.</w:t>
      </w:r>
    </w:p>
    <w:p>
      <w:pPr>
        <w:pStyle w:val="TextBody"/>
        <w:bidi w:val="0"/>
        <w:spacing w:lineRule="auto" w:line="288" w:before="0" w:after="200"/>
        <w:ind w:left="0" w:right="0" w:firstLine="720"/>
        <w:jc w:val="left"/>
        <w:rPr/>
      </w:pPr>
      <w:r>
        <w:rPr/>
        <w:t>“</w:t>
      </w:r>
      <w:r>
        <w:rPr>
          <w:rFonts w:ascii="Times New Roman" w:hAnsi="Times New Roman"/>
          <w:b/>
          <w:i/>
          <w:sz w:val="20"/>
        </w:rPr>
        <w:t>Company Employee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Equity Securities</w:t>
      </w:r>
      <w:r>
        <w:rPr>
          <w:rFonts w:ascii="times new roman;times" w:hAnsi="times new roman;times"/>
          <w:sz w:val="20"/>
        </w:rPr>
        <w:t xml:space="preserve">” </w:t>
      </w:r>
      <w:r>
        <w:rPr>
          <w:rFonts w:ascii="Times New Roman" w:hAnsi="Times New Roman"/>
          <w:sz w:val="20"/>
        </w:rPr>
        <w:t>means all shares of Company Capital Stock and any options, warrants, restricted stock units, deferred stock units, stock appreciation rights, phantom equity, convertible securities or other rights, agreements, arrangements or commitments of any kind relating to the issuance, sale, redemption, repurchase or acquisition of Company Capital Stock or other equity interests in the Company.</w:t>
      </w:r>
    </w:p>
    <w:p>
      <w:pPr>
        <w:pStyle w:val="TextBody"/>
        <w:bidi w:val="0"/>
        <w:spacing w:lineRule="auto" w:line="288" w:before="0" w:after="200"/>
        <w:ind w:left="0" w:right="0" w:firstLine="720"/>
        <w:jc w:val="left"/>
        <w:rPr/>
      </w:pPr>
      <w:r>
        <w:rPr/>
        <w:t>“</w:t>
      </w:r>
      <w:r>
        <w:rPr>
          <w:rFonts w:ascii="Times New Roman" w:hAnsi="Times New Roman"/>
          <w:b/>
          <w:i/>
          <w:sz w:val="20"/>
        </w:rPr>
        <w:t>Company Financials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IP Rights</w:t>
      </w:r>
      <w:r>
        <w:rPr>
          <w:rFonts w:ascii="times new roman;times" w:hAnsi="times new roman;times"/>
          <w:sz w:val="20"/>
        </w:rPr>
        <w:t xml:space="preserve">” </w:t>
      </w:r>
      <w:r>
        <w:rPr>
          <w:rFonts w:ascii="Times New Roman" w:hAnsi="Times New Roman"/>
          <w:sz w:val="20"/>
        </w:rPr>
        <w:t>shall mean (A) any and all Intellectual Property used in the conduct of the business of Company; and (B) any and all Company-Owned IP Rights.</w:t>
      </w:r>
    </w:p>
    <w:p>
      <w:pPr>
        <w:pStyle w:val="TextBody"/>
        <w:bidi w:val="0"/>
        <w:spacing w:lineRule="auto" w:line="288" w:before="0" w:after="0"/>
        <w:ind w:left="0" w:right="0" w:firstLine="720"/>
        <w:jc w:val="left"/>
        <w:rPr/>
      </w:pPr>
      <w:r>
        <w:rPr/>
        <w:t>“</w:t>
      </w:r>
      <w:r>
        <w:rPr>
          <w:rFonts w:ascii="Times New Roman" w:hAnsi="Times New Roman"/>
          <w:b/>
          <w:i/>
          <w:sz w:val="20"/>
        </w:rPr>
        <w:t>Company Material Adverse Effect</w:t>
      </w:r>
      <w:r>
        <w:rPr>
          <w:rFonts w:ascii="times new roman;times" w:hAnsi="times new roman;times"/>
          <w:sz w:val="20"/>
        </w:rPr>
        <w:t xml:space="preserve">” </w:t>
      </w:r>
      <w:r>
        <w:rPr>
          <w:rFonts w:ascii="Times New Roman" w:hAnsi="Times New Roman"/>
          <w:sz w:val="20"/>
        </w:rPr>
        <w:t>means any change, effect, event, occurrence, state of facts or development that, individually or in the aggregate, has had or would reasonably be expected to have a material adverse effect on the business, assets, liabilities, financial condition or results of operations of the Company and the Company Subsidiaries, taken as a whole; provided, however, that none of the following, alone or in combination, shall be deemed to constitute, and none of the following shall be taken into account in determining whether there has been, a Company Material Adverse Effect: (a) changes in general economic, regulatory, political or market conditions; (b) changes generally affecting the industries in which the Company operates; (c) changes in Law or GAAP; (d) acts of war, terrorism, cyberattack, sabotage, civil unrest, force majeure events, epidemics, pandemics or natural disasters; (e) changes in the trading price or trading volume of Parent Common Stock or any failure by the Company or Parent to meet projections, forecasts or estimates, in and of themselves; (f) the execution, announcement or pendency of this Agreement or the Contemplated Transactions, including the impact thereof on relationships with employees, customers, suppliers or regulators; and (g) any action taken by the Company at Parent</w:t>
      </w:r>
      <w:r>
        <w:rPr>
          <w:rFonts w:ascii="times new roman;times" w:hAnsi="times new roman;times"/>
          <w:sz w:val="20"/>
        </w:rPr>
        <w:t>’</w:t>
      </w:r>
      <w:r>
        <w:rPr>
          <w:rFonts w:ascii="Times New Roman" w:hAnsi="Times New Roman"/>
          <w:sz w:val="20"/>
        </w:rPr>
        <w:t>s express written request or with Parent</w:t>
      </w:r>
      <w:r>
        <w:rPr>
          <w:rFonts w:ascii="times new roman;times" w:hAnsi="times new roman;times"/>
          <w:sz w:val="20"/>
        </w:rPr>
        <w:t>’</w:t>
      </w:r>
      <w:r>
        <w:rPr>
          <w:rFonts w:ascii="Times New Roman" w:hAnsi="Times New Roman"/>
          <w:sz w:val="20"/>
        </w:rPr>
        <w:t>s prior written consent; except, in the case of clauses (a), (b), (c) and (d), to the extent the Company and the Company Subsidiaries, taken as a whole, are disproportionately adversely affected relative to other similarly situated participants in the industries in which they operate.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A-79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Company Material Contract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2.9(q)</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Options</w:t>
      </w:r>
      <w:r>
        <w:rPr>
          <w:rFonts w:ascii="times new roman;times" w:hAnsi="times new roman;times"/>
          <w:sz w:val="20"/>
        </w:rPr>
        <w:t xml:space="preserve">” </w:t>
      </w:r>
      <w:r>
        <w:rPr>
          <w:rFonts w:ascii="Times New Roman" w:hAnsi="Times New Roman"/>
          <w:sz w:val="20"/>
        </w:rPr>
        <w:t>shall mean options to purchase shares of Company Common Stock issued or granted by the Company.</w:t>
      </w:r>
    </w:p>
    <w:p>
      <w:pPr>
        <w:pStyle w:val="TextBody"/>
        <w:bidi w:val="0"/>
        <w:spacing w:lineRule="auto" w:line="288" w:before="0" w:after="200"/>
        <w:ind w:left="0" w:right="0" w:firstLine="720"/>
        <w:jc w:val="left"/>
        <w:rPr/>
      </w:pPr>
      <w:r>
        <w:rPr/>
        <w:t>“</w:t>
      </w:r>
      <w:r>
        <w:rPr>
          <w:rFonts w:ascii="Times New Roman" w:hAnsi="Times New Roman"/>
          <w:b/>
          <w:i/>
          <w:sz w:val="20"/>
        </w:rPr>
        <w:t>Company-Owned IP Rights</w:t>
      </w:r>
      <w:r>
        <w:rPr>
          <w:rFonts w:ascii="times new roman;times" w:hAnsi="times new roman;times"/>
          <w:sz w:val="20"/>
        </w:rPr>
        <w:t xml:space="preserve">” </w:t>
      </w:r>
      <w:r>
        <w:rPr>
          <w:rFonts w:ascii="Times New Roman" w:hAnsi="Times New Roman"/>
          <w:sz w:val="20"/>
        </w:rPr>
        <w:t>shall mean any and all Intellectual Property owned (or purported to be owned) by the Company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Company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Product Candidates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Registered Intellectual Property</w:t>
      </w:r>
      <w:r>
        <w:rPr>
          <w:rFonts w:ascii="times new roman;times" w:hAnsi="times new roman;times"/>
          <w:sz w:val="20"/>
        </w:rPr>
        <w:t xml:space="preserve">” </w:t>
      </w:r>
      <w:r>
        <w:rPr>
          <w:rFonts w:ascii="Times New Roman" w:hAnsi="Times New Roman"/>
          <w:sz w:val="20"/>
        </w:rPr>
        <w:t>shall mean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Company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Company Regulatory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RSU</w:t>
      </w:r>
      <w:r>
        <w:rPr>
          <w:rFonts w:ascii="times new roman;times" w:hAnsi="times new roman;times"/>
          <w:sz w:val="20"/>
        </w:rPr>
        <w:t xml:space="preserve">” </w:t>
      </w:r>
      <w:r>
        <w:rPr>
          <w:rFonts w:ascii="Times New Roman" w:hAnsi="Times New Roman"/>
          <w:sz w:val="20"/>
        </w:rPr>
        <w:t>shall mean a restricted stock unit of Company.</w:t>
      </w:r>
    </w:p>
    <w:p>
      <w:pPr>
        <w:pStyle w:val="TextBody"/>
        <w:bidi w:val="0"/>
        <w:spacing w:lineRule="auto" w:line="288" w:before="0" w:after="200"/>
        <w:ind w:left="0" w:right="0" w:firstLine="720"/>
        <w:jc w:val="left"/>
        <w:rPr/>
      </w:pPr>
      <w:r>
        <w:rPr/>
        <w:t>“</w:t>
      </w:r>
      <w:r>
        <w:rPr>
          <w:rFonts w:ascii="Times New Roman" w:hAnsi="Times New Roman"/>
          <w:b/>
          <w:i/>
          <w:sz w:val="20"/>
        </w:rPr>
        <w:t>Company Share Certificate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1.7(a)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Shareholder Written Consent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5.2(a</w:t>
      </w:r>
      <w:r>
        <w:rPr>
          <w:rFonts w:ascii="Times New Roman" w:hAnsi="Times New Roman"/>
          <w:b/>
          <w:sz w:val="20"/>
        </w:rPr>
        <w:t>)</w:t>
      </w:r>
      <w:r>
        <w:rPr>
          <w:rFonts w:ascii="Times New Roman" w:hAnsi="Times New Roman"/>
          <w:i/>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Subsidiaries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Company Unaudited Interim Balance Sheet</w:t>
      </w:r>
      <w:r>
        <w:rPr>
          <w:rFonts w:ascii="times new roman;times" w:hAnsi="times new roman;times"/>
          <w:sz w:val="20"/>
        </w:rPr>
        <w:t xml:space="preserve">” </w:t>
      </w:r>
      <w:r>
        <w:rPr>
          <w:rFonts w:ascii="Times New Roman" w:hAnsi="Times New Roman"/>
          <w:sz w:val="20"/>
        </w:rPr>
        <w:t>means the most recent unaudited consolidated balance sheet of the Company and its consolidated Subsidiaries included in the Company Financials.</w:t>
      </w:r>
    </w:p>
    <w:p>
      <w:pPr>
        <w:pStyle w:val="TextBody"/>
        <w:bidi w:val="0"/>
        <w:spacing w:lineRule="auto" w:line="288" w:before="0" w:after="200"/>
        <w:ind w:left="0" w:right="0" w:firstLine="720"/>
        <w:jc w:val="left"/>
        <w:rPr/>
      </w:pPr>
      <w:r>
        <w:rPr/>
        <w:t>“</w:t>
      </w:r>
      <w:r>
        <w:rPr>
          <w:rFonts w:ascii="Times New Roman" w:hAnsi="Times New Roman"/>
          <w:b/>
          <w:i/>
          <w:sz w:val="20"/>
        </w:rPr>
        <w:t>Company Warrants</w:t>
      </w:r>
      <w:r>
        <w:rPr>
          <w:rFonts w:ascii="times new roman;times" w:hAnsi="times new roman;times"/>
          <w:sz w:val="20"/>
        </w:rPr>
        <w:t xml:space="preserve">” </w:t>
      </w:r>
      <w:r>
        <w:rPr>
          <w:rFonts w:ascii="Times New Roman" w:hAnsi="Times New Roman"/>
          <w:sz w:val="20"/>
        </w:rPr>
        <w:t xml:space="preserve">shall mean all warrants, whether or not currently exercisable, to purchase or otherwise acquire shares of Company Common Stock or other Company Capital Stock, including all warrants identified in Part 2.3(c) of the Company Disclosure Schedule, together with all rights, privileges and obligations attaching thereto pursuant to the terms of the instruments or agreements evidencing such warrants. For the avoidance of doubt, </w:t>
      </w:r>
      <w:r>
        <w:rPr>
          <w:rFonts w:ascii="times new roman;times" w:hAnsi="times new roman;times"/>
          <w:sz w:val="20"/>
        </w:rPr>
        <w:t>“</w:t>
      </w:r>
      <w:r>
        <w:rPr>
          <w:rFonts w:ascii="Times New Roman" w:hAnsi="Times New Roman"/>
          <w:sz w:val="20"/>
        </w:rPr>
        <w:t>Company Warrants</w:t>
      </w:r>
      <w:r>
        <w:rPr>
          <w:rFonts w:ascii="times new roman;times" w:hAnsi="times new roman;times"/>
          <w:sz w:val="20"/>
        </w:rPr>
        <w:t xml:space="preserve">” </w:t>
      </w:r>
      <w:r>
        <w:rPr>
          <w:rFonts w:ascii="Times New Roman" w:hAnsi="Times New Roman"/>
          <w:sz w:val="20"/>
        </w:rPr>
        <w:t xml:space="preserve">shall include any warrant or similar right to acquire Company Capital Stock or other Company Equity Securities that is outstanding as of the date of this Agreement or that is issued after the date of this Agreement in accordance with the terms of this Agreement, and shall include any warrant held by any Person, whether or not such Person is a party to this Agreement. As contemplated by </w:t>
      </w:r>
      <w:r>
        <w:rPr>
          <w:rFonts w:ascii="Times New Roman" w:hAnsi="Times New Roman"/>
          <w:sz w:val="20"/>
          <w:u w:val="single"/>
        </w:rPr>
        <w:t>Section 2.3(c)</w:t>
      </w:r>
      <w:r>
        <w:rPr>
          <w:rFonts w:ascii="Times New Roman" w:hAnsi="Times New Roman"/>
          <w:sz w:val="20"/>
        </w:rPr>
        <w:t>, the Company has made available to Parent accurate and complete copies of all Company Warrants, and except as identified on Part 2.3(c) of the Company Disclosure Schedule, there are no warrants to purchase capital stock of the Company outstanding on the date of this Agreement.</w:t>
      </w:r>
    </w:p>
    <w:p>
      <w:pPr>
        <w:pStyle w:val="TextBody"/>
        <w:bidi w:val="0"/>
        <w:spacing w:lineRule="auto" w:line="288" w:before="0" w:after="200"/>
        <w:ind w:left="0" w:right="0" w:firstLine="720"/>
        <w:jc w:val="left"/>
        <w:rPr/>
      </w:pPr>
      <w:r>
        <w:rPr/>
        <w:t>“</w:t>
      </w:r>
      <w:r>
        <w:rPr>
          <w:rFonts w:ascii="Times New Roman" w:hAnsi="Times New Roman"/>
          <w:b/>
          <w:i/>
          <w:sz w:val="20"/>
        </w:rPr>
        <w:t>Confidentiality Agreement</w:t>
      </w:r>
      <w:r>
        <w:rPr>
          <w:rFonts w:ascii="times new roman;times" w:hAnsi="times new roman;times"/>
          <w:sz w:val="20"/>
        </w:rPr>
        <w:t xml:space="preserve">” </w:t>
      </w:r>
      <w:r>
        <w:rPr>
          <w:rFonts w:ascii="Times New Roman" w:hAnsi="Times New Roman"/>
          <w:sz w:val="20"/>
        </w:rPr>
        <w:t>shall mean the Confidentiality Agreement between the Company and Parent.</w:t>
      </w:r>
    </w:p>
    <w:p>
      <w:pPr>
        <w:pStyle w:val="TextBody"/>
        <w:bidi w:val="0"/>
        <w:spacing w:lineRule="auto" w:line="288" w:before="0" w:after="0"/>
        <w:ind w:left="0" w:right="0" w:firstLine="720"/>
        <w:jc w:val="left"/>
        <w:rPr/>
      </w:pPr>
      <w:r>
        <w:rPr/>
        <w:t>“</w:t>
      </w:r>
      <w:r>
        <w:rPr>
          <w:rFonts w:ascii="Times New Roman" w:hAnsi="Times New Roman"/>
          <w:b/>
          <w:i/>
          <w:sz w:val="20"/>
        </w:rPr>
        <w:t>Consent</w:t>
      </w:r>
      <w:r>
        <w:rPr>
          <w:rFonts w:ascii="times new roman;times" w:hAnsi="times new roman;times"/>
          <w:sz w:val="20"/>
        </w:rPr>
        <w:t xml:space="preserve">” </w:t>
      </w:r>
      <w:r>
        <w:rPr>
          <w:rFonts w:ascii="Times New Roman" w:hAnsi="Times New Roman"/>
          <w:sz w:val="20"/>
        </w:rPr>
        <w:t>shall mean any approval, consent, ratification, permission, waiver or authorization (including any Governmental Authorization).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Consideration</w:t>
      </w:r>
      <w:r>
        <w:rPr>
          <w:rFonts w:ascii="times new roman;times" w:hAnsi="times new roman;times"/>
          <w:sz w:val="20"/>
        </w:rPr>
        <w:t xml:space="preserve"> </w:t>
      </w:r>
      <w:r>
        <w:rPr>
          <w:rFonts w:ascii="Times New Roman" w:hAnsi="Times New Roman"/>
          <w:b/>
          <w:i/>
          <w:sz w:val="20"/>
        </w:rPr>
        <w:t>Shares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1.5(a)(ii)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Contemplated Transactions</w:t>
      </w:r>
      <w:r>
        <w:rPr>
          <w:rFonts w:ascii="times new roman;times" w:hAnsi="times new roman;times"/>
          <w:sz w:val="20"/>
        </w:rPr>
        <w:t xml:space="preserve">” </w:t>
      </w:r>
      <w:r>
        <w:rPr>
          <w:rFonts w:ascii="Times New Roman" w:hAnsi="Times New Roman"/>
          <w:sz w:val="20"/>
        </w:rPr>
        <w:t>means the Merger, the issuance of the Consideration Shares to Seller, the Financing, the Parent Stockholder Proposals, the execution and delivery of the Parent Voting Agreements, the execution and delivery of the Seller Voting Agreement, the Company Shareholder Written Consent, the Lock-up Agreement, the Reverse Split, if effected in accordance with this Agreement, and the other transactions expressly contemplated by this Agreement and the other Transaction Documents.</w:t>
      </w:r>
    </w:p>
    <w:p>
      <w:pPr>
        <w:pStyle w:val="TextBody"/>
        <w:bidi w:val="0"/>
        <w:spacing w:lineRule="auto" w:line="288" w:before="0" w:after="200"/>
        <w:ind w:left="0" w:right="0" w:firstLine="720"/>
        <w:jc w:val="left"/>
        <w:rPr/>
      </w:pPr>
      <w:r>
        <w:rPr/>
        <w:t>“</w:t>
      </w:r>
      <w:r>
        <w:rPr>
          <w:rFonts w:ascii="Times New Roman" w:hAnsi="Times New Roman"/>
          <w:b/>
          <w:i/>
          <w:sz w:val="20"/>
        </w:rPr>
        <w:t>Continuing Corporation</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collectively, Parent and each of its Subsidiaries immediately following the Effective Time.</w:t>
      </w:r>
    </w:p>
    <w:p>
      <w:pPr>
        <w:pStyle w:val="TextBody"/>
        <w:bidi w:val="0"/>
        <w:spacing w:lineRule="auto" w:line="288" w:before="0" w:after="200"/>
        <w:ind w:left="0" w:right="0" w:firstLine="720"/>
        <w:jc w:val="left"/>
        <w:rPr/>
      </w:pPr>
      <w:r>
        <w:rPr/>
        <w:t>“</w:t>
      </w:r>
      <w:r>
        <w:rPr>
          <w:rFonts w:ascii="Times New Roman" w:hAnsi="Times New Roman"/>
          <w:b/>
          <w:i/>
          <w:sz w:val="20"/>
        </w:rPr>
        <w:t>Contract</w:t>
      </w:r>
      <w:r>
        <w:rPr>
          <w:rFonts w:ascii="times new roman;times" w:hAnsi="times new roman;times"/>
          <w:sz w:val="20"/>
        </w:rPr>
        <w:t xml:space="preserve">” </w:t>
      </w:r>
      <w:r>
        <w:rPr>
          <w:rFonts w:ascii="Times New Roman" w:hAnsi="Times New Roman"/>
          <w:sz w:val="20"/>
        </w:rPr>
        <w:t>shall, with respect to any Person, mean any written agreement, contract, subcontract, lease (whether real or personal property), mortgage, understanding, arrangement, instrument, note, option, warranty, purchase order, license, sublicense, insurance policy, benefit plan or legally binding commitment or undertaking of any nature that is currently in force and to which such Person is a party or by which such Person or any of its assets are bound or affected under applicable Law.</w:t>
      </w:r>
    </w:p>
    <w:p>
      <w:pPr>
        <w:pStyle w:val="TextBody"/>
        <w:bidi w:val="0"/>
        <w:spacing w:lineRule="auto" w:line="288" w:before="0" w:after="200"/>
        <w:ind w:left="0" w:right="0" w:firstLine="720"/>
        <w:jc w:val="left"/>
        <w:rPr/>
      </w:pPr>
      <w:r>
        <w:rPr/>
        <w:t>“</w:t>
      </w:r>
      <w:r>
        <w:rPr>
          <w:rFonts w:ascii="Times New Roman" w:hAnsi="Times New Roman"/>
          <w:b/>
          <w:i/>
          <w:sz w:val="20"/>
        </w:rPr>
        <w:t>Costs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Covered Parties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D&amp;O Indemnified Parties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Deferred Payroll Taxes</w:t>
      </w:r>
      <w:r>
        <w:rPr>
          <w:rFonts w:ascii="times new roman;times" w:hAnsi="times new roman;times"/>
          <w:sz w:val="20"/>
        </w:rPr>
        <w:t xml:space="preserve">” </w:t>
      </w:r>
      <w:r>
        <w:rPr>
          <w:rFonts w:ascii="Times New Roman" w:hAnsi="Times New Roman"/>
          <w:sz w:val="20"/>
        </w:rPr>
        <w:t>shall mean any payroll Taxes with respect to any Pre-Closing Period deferred to any taxable period beginning on or after the date immediately following the Closing Date under the CARES Act, the Families First Coronavirus Response Act, the Coronavirus Preparedness and Response Supplemental Appropriations Act or any similar Law enacted or promulgated in response to or in connection with COVID-19.</w:t>
      </w:r>
    </w:p>
    <w:p>
      <w:pPr>
        <w:pStyle w:val="TextBody"/>
        <w:bidi w:val="0"/>
        <w:spacing w:lineRule="auto" w:line="288" w:before="0" w:after="200"/>
        <w:ind w:left="0" w:right="0" w:firstLine="720"/>
        <w:jc w:val="left"/>
        <w:rPr/>
      </w:pPr>
      <w:r>
        <w:rPr/>
        <w:t>“</w:t>
      </w:r>
      <w:r>
        <w:rPr>
          <w:rFonts w:ascii="Times New Roman" w:hAnsi="Times New Roman"/>
          <w:b/>
          <w:i/>
          <w:sz w:val="20"/>
        </w:rPr>
        <w:t>DGCL</w:t>
      </w:r>
      <w:r>
        <w:rPr>
          <w:rFonts w:ascii="times new roman;times" w:hAnsi="times new roman;times"/>
          <w:sz w:val="20"/>
        </w:rPr>
        <w:t xml:space="preserve">” </w:t>
      </w:r>
      <w:r>
        <w:rPr>
          <w:rFonts w:ascii="Times New Roman" w:hAnsi="Times New Roman"/>
          <w:sz w:val="20"/>
        </w:rPr>
        <w:t>shall mean the General Corporation Law of the State of Delaware.</w:t>
      </w:r>
    </w:p>
    <w:p>
      <w:pPr>
        <w:pStyle w:val="TextBody"/>
        <w:bidi w:val="0"/>
        <w:spacing w:lineRule="auto" w:line="288" w:before="0" w:after="200"/>
        <w:ind w:left="0" w:right="0" w:firstLine="720"/>
        <w:jc w:val="left"/>
        <w:rPr/>
      </w:pPr>
      <w:r>
        <w:rPr/>
        <w:t>“</w:t>
      </w:r>
      <w:r>
        <w:rPr>
          <w:rFonts w:ascii="Times New Roman" w:hAnsi="Times New Roman"/>
          <w:b/>
          <w:i/>
          <w:sz w:val="20"/>
        </w:rPr>
        <w:t>Drug/Device Regulatory Agency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EEOC</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2.15(a)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Effect</w:t>
      </w:r>
      <w:r>
        <w:rPr>
          <w:rFonts w:ascii="times new roman;times" w:hAnsi="times new roman;times"/>
          <w:sz w:val="20"/>
        </w:rPr>
        <w:t xml:space="preserve">” </w:t>
      </w:r>
      <w:r>
        <w:rPr>
          <w:rFonts w:ascii="Times New Roman" w:hAnsi="Times New Roman"/>
          <w:sz w:val="20"/>
        </w:rPr>
        <w:t>shall mean any effect, change, condition, event, circumstance, occurrence, result, state of facts, or development.</w:t>
      </w:r>
    </w:p>
    <w:p>
      <w:pPr>
        <w:pStyle w:val="TextBody"/>
        <w:bidi w:val="0"/>
        <w:spacing w:lineRule="auto" w:line="288" w:before="0" w:after="200"/>
        <w:ind w:left="0" w:right="0" w:firstLine="720"/>
        <w:jc w:val="left"/>
        <w:rPr/>
      </w:pPr>
      <w:r>
        <w:rPr/>
        <w:t>“</w:t>
      </w:r>
      <w:r>
        <w:rPr>
          <w:rFonts w:ascii="Times New Roman" w:hAnsi="Times New Roman"/>
          <w:b/>
          <w:i/>
          <w:sz w:val="20"/>
        </w:rPr>
        <w:t>Effective Time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Encumbrance</w:t>
      </w:r>
      <w:r>
        <w:rPr>
          <w:rFonts w:ascii="times new roman;times" w:hAnsi="times new roman;times"/>
          <w:sz w:val="20"/>
        </w:rPr>
        <w:t xml:space="preserve">” </w:t>
      </w:r>
      <w:r>
        <w:rPr>
          <w:rFonts w:ascii="Times New Roman" w:hAnsi="Times New Roman"/>
          <w:sz w:val="20"/>
        </w:rPr>
        <w:t>shall mean any lien, pledge, hypothecation, charge, mortgage, security interest, lease, license, easement, reservation, servitude, adverse title,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lineRule="auto" w:line="288" w:before="0" w:after="200"/>
        <w:ind w:left="0" w:right="0" w:firstLine="720"/>
        <w:jc w:val="left"/>
        <w:rPr/>
      </w:pPr>
      <w:r>
        <w:rPr/>
        <w:t>“</w:t>
      </w:r>
      <w:r>
        <w:rPr>
          <w:rFonts w:ascii="Times New Roman" w:hAnsi="Times New Roman"/>
          <w:b/>
          <w:i/>
          <w:sz w:val="20"/>
        </w:rPr>
        <w:t>End Date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9.1(b)</w:t>
      </w:r>
      <w:r>
        <w:rPr>
          <w:rFonts w:ascii="Times New Roman" w:hAnsi="Times New Roman"/>
          <w:sz w:val="20"/>
        </w:rPr>
        <w:t>.</w:t>
      </w:r>
    </w:p>
    <w:p>
      <w:pPr>
        <w:pStyle w:val="TextBody"/>
        <w:bidi w:val="0"/>
        <w:spacing w:lineRule="auto" w:line="288" w:before="0" w:after="0"/>
        <w:ind w:left="0" w:right="0" w:firstLine="720"/>
        <w:jc w:val="left"/>
        <w:rPr/>
      </w:pPr>
      <w:r>
        <w:rPr/>
        <w:t>“</w:t>
      </w:r>
      <w:r>
        <w:rPr>
          <w:rFonts w:ascii="Times New Roman" w:hAnsi="Times New Roman"/>
          <w:b/>
          <w:i/>
          <w:sz w:val="20"/>
        </w:rPr>
        <w:t>Enforcement Threshold</w:t>
      </w:r>
      <w:r>
        <w:rPr>
          <w:rFonts w:ascii="times new roman;times" w:hAnsi="times new roman;times"/>
          <w:sz w:val="20"/>
        </w:rPr>
        <w:t xml:space="preserve">” </w:t>
      </w:r>
      <w:r>
        <w:rPr>
          <w:rFonts w:ascii="Times New Roman" w:hAnsi="Times New Roman"/>
          <w:sz w:val="20"/>
        </w:rPr>
        <w:t>shall have</w:t>
      </w:r>
      <w:r>
        <w:rPr>
          <w:rFonts w:ascii="times new roman;times" w:hAnsi="times new roman;times"/>
          <w:sz w:val="20"/>
        </w:rPr>
        <w:t xml:space="preserve"> </w:t>
      </w:r>
      <w:r>
        <w:rPr>
          <w:rFonts w:ascii="Times New Roman" w:hAnsi="Times New Roman"/>
          <w:sz w:val="20"/>
        </w:rPr>
        <w:t xml:space="preserve">the meaning set forth in </w:t>
      </w:r>
      <w:r>
        <w:rPr>
          <w:rFonts w:ascii="Times New Roman" w:hAnsi="Times New Roman"/>
          <w:sz w:val="20"/>
          <w:u w:val="single"/>
        </w:rPr>
        <w:t>Section 5.23(d)(ii)</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Entity</w:t>
      </w:r>
      <w:r>
        <w:rPr>
          <w:rFonts w:ascii="times new roman;times" w:hAnsi="times new roman;times"/>
          <w:sz w:val="20"/>
        </w:rPr>
        <w:t xml:space="preserve">” </w:t>
      </w:r>
      <w:r>
        <w:rPr>
          <w:rFonts w:ascii="Times New Roman" w:hAnsi="Times New Roman"/>
          <w:sz w:val="20"/>
        </w:rPr>
        <w:t>shall mean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lineRule="auto" w:line="288" w:before="0" w:after="200"/>
        <w:ind w:left="0" w:right="0" w:firstLine="720"/>
        <w:jc w:val="left"/>
        <w:rPr/>
      </w:pPr>
      <w:r>
        <w:rPr/>
        <w:t>“</w:t>
      </w:r>
      <w:r>
        <w:rPr>
          <w:rFonts w:ascii="Times New Roman" w:hAnsi="Times New Roman"/>
          <w:b/>
          <w:i/>
          <w:sz w:val="20"/>
        </w:rPr>
        <w:t>Environmental Law</w:t>
      </w:r>
      <w:r>
        <w:rPr>
          <w:rFonts w:ascii="times new roman;times" w:hAnsi="times new roman;times"/>
          <w:sz w:val="20"/>
        </w:rPr>
        <w:t xml:space="preserve">” </w:t>
      </w:r>
      <w:r>
        <w:rPr>
          <w:rFonts w:ascii="Times New Roman" w:hAnsi="Times New Roman"/>
          <w:sz w:val="20"/>
        </w:rPr>
        <w:t>means any federal, state, local or foreign Legal Requirement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lineRule="auto" w:line="288" w:before="0" w:after="200"/>
        <w:ind w:left="0" w:right="0" w:firstLine="720"/>
        <w:jc w:val="left"/>
        <w:rPr/>
      </w:pPr>
      <w:r>
        <w:rPr/>
        <w:t>“</w:t>
      </w:r>
      <w:r>
        <w:rPr>
          <w:rFonts w:ascii="Times New Roman" w:hAnsi="Times New Roman"/>
          <w:b/>
          <w:i/>
          <w:sz w:val="20"/>
        </w:rPr>
        <w:t>Equity Incentive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2.3(b)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Equity Moratorium</w:t>
      </w:r>
      <w:r>
        <w:rPr>
          <w:rFonts w:ascii="times new roman;times" w:hAnsi="times new roman;times"/>
          <w:sz w:val="20"/>
        </w:rPr>
        <w:t xml:space="preserve">” </w:t>
      </w:r>
      <w:r>
        <w:rPr>
          <w:rFonts w:ascii="Times New Roman" w:hAnsi="Times New Roman"/>
          <w:sz w:val="20"/>
        </w:rPr>
        <w:t xml:space="preserve">means the restrictions on the issuance of New Equity Securities during the Equity Moratorium Period set forth in </w:t>
      </w:r>
      <w:r>
        <w:rPr>
          <w:rFonts w:ascii="Times New Roman" w:hAnsi="Times New Roman"/>
          <w:sz w:val="20"/>
          <w:u w:val="single"/>
        </w:rPr>
        <w:t>Section 5.23</w:t>
      </w:r>
      <w:r>
        <w:rPr>
          <w:rFonts w:ascii="times new roman;times" w:hAnsi="times new roman;times"/>
          <w:sz w:val="20"/>
          <w:u w:val="single"/>
        </w:rPr>
        <w:t xml:space="preserve"> </w:t>
      </w:r>
      <w:r>
        <w:rPr>
          <w:rFonts w:ascii="Times New Roman" w:hAnsi="Times New Roman"/>
          <w:sz w:val="20"/>
          <w:u w:val="single"/>
        </w:rPr>
        <w:t>which restrictions shall terminate in their entirety upon the Financing Warrants Expiration Date</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Equity Moratorium Period</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Equity Plans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5.23(c)(i)</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ERISA</w:t>
      </w:r>
      <w:r>
        <w:rPr>
          <w:rFonts w:ascii="times new roman;times" w:hAnsi="times new roman;times"/>
          <w:sz w:val="20"/>
        </w:rPr>
        <w:t xml:space="preserve">” </w:t>
      </w:r>
      <w:r>
        <w:rPr>
          <w:rFonts w:ascii="Times New Roman" w:hAnsi="Times New Roman"/>
          <w:sz w:val="20"/>
        </w:rPr>
        <w:t>shall mean the Employee Retirement Income Security Act of 1974, as amended.</w:t>
      </w:r>
    </w:p>
    <w:p>
      <w:pPr>
        <w:pStyle w:val="TextBody"/>
        <w:bidi w:val="0"/>
        <w:spacing w:lineRule="auto" w:line="288" w:before="0" w:after="200"/>
        <w:ind w:left="0" w:right="0" w:firstLine="720"/>
        <w:jc w:val="left"/>
        <w:rPr/>
      </w:pPr>
      <w:r>
        <w:rPr/>
        <w:t>“</w:t>
      </w:r>
      <w:r>
        <w:rPr>
          <w:rFonts w:ascii="Times New Roman" w:hAnsi="Times New Roman"/>
          <w:b/>
          <w:i/>
          <w:sz w:val="20"/>
        </w:rPr>
        <w:t>Exchange Act</w:t>
      </w:r>
      <w:r>
        <w:rPr>
          <w:rFonts w:ascii="times new roman;times" w:hAnsi="times new roman;times"/>
          <w:sz w:val="20"/>
        </w:rPr>
        <w:t xml:space="preserve">” </w:t>
      </w:r>
      <w:r>
        <w:rPr>
          <w:rFonts w:ascii="Times New Roman" w:hAnsi="Times New Roman"/>
          <w:sz w:val="20"/>
        </w:rPr>
        <w:t>shall mean the Securities Exchange Act of 1934, as amended.</w:t>
      </w:r>
    </w:p>
    <w:p>
      <w:pPr>
        <w:pStyle w:val="TextBody"/>
        <w:bidi w:val="0"/>
        <w:spacing w:lineRule="auto" w:line="288" w:before="0" w:after="200"/>
        <w:ind w:left="0" w:right="0" w:firstLine="720"/>
        <w:jc w:val="left"/>
        <w:rPr/>
      </w:pPr>
      <w:r>
        <w:rPr/>
        <w:t>“</w:t>
      </w:r>
      <w:r>
        <w:rPr>
          <w:rFonts w:ascii="Times New Roman" w:hAnsi="Times New Roman"/>
          <w:b/>
          <w:i/>
          <w:sz w:val="20"/>
        </w:rPr>
        <w:t>Existing Company D&amp;O Policies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2.17(b)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Existing Parent D&amp;O Policies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3.15(b)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FDA</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FDCA</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2.11(c)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Filing Fees</w:t>
      </w:r>
      <w:r>
        <w:rPr>
          <w:rFonts w:ascii="times new roman;times" w:hAnsi="times new roman;times"/>
          <w:sz w:val="20"/>
        </w:rPr>
        <w:t xml:space="preserve">” </w:t>
      </w:r>
      <w:r>
        <w:rPr>
          <w:rFonts w:ascii="Times New Roman" w:hAnsi="Times New Roman"/>
          <w:sz w:val="20"/>
        </w:rPr>
        <w:t>means all filing, registration, application and similar fees payable to the SEC, Nasdaq or any other Governmental Body or securities exchange in connection with the filing of the Registration Statement, the Parent</w:t>
      </w:r>
      <w:r>
        <w:rPr>
          <w:rFonts w:ascii="times new roman;times" w:hAnsi="times new roman;times"/>
          <w:sz w:val="20"/>
        </w:rPr>
        <w:t xml:space="preserve"> </w:t>
      </w:r>
      <w:r>
        <w:rPr>
          <w:rFonts w:ascii="Times New Roman" w:hAnsi="Times New Roman"/>
          <w:sz w:val="20"/>
        </w:rPr>
        <w:t>Schedule 14C, the Nasdaq listing application and the listing of the shares of Parent Common Stock to be issued pursuant to this Agreement.</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Unit</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720" w:right="0" w:hanging="0"/>
        <w:jc w:val="left"/>
        <w:rPr/>
      </w:pPr>
      <w:r>
        <w:rP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 Shares</w:t>
      </w:r>
      <w:r>
        <w:rPr>
          <w:rFonts w:ascii="times new roman;times" w:hAnsi="times new roman;times"/>
          <w:sz w:val="20"/>
        </w:rPr>
        <w:t xml:space="preserve">” </w:t>
      </w:r>
      <w:r>
        <w:rPr>
          <w:rFonts w:ascii="Times New Roman" w:hAnsi="Times New Roman"/>
          <w:sz w:val="20"/>
        </w:rPr>
        <w:t>shall have the meaning set forth in the Recitals.</w:t>
      </w:r>
      <w:r>
        <w:rPr>
          <w:rFonts w:ascii="times new roman;times" w:hAnsi="times new roman;times"/>
          <w:sz w:val="20"/>
        </w:rPr>
        <w:br/>
        <w:t xml:space="preserve">              </w:t>
        <w:br/>
        <w:t>“</w:t>
      </w:r>
      <w:r>
        <w:rPr>
          <w:rFonts w:ascii="Times New Roman" w:hAnsi="Times New Roman"/>
          <w:b/>
          <w:i/>
          <w:sz w:val="20"/>
        </w:rPr>
        <w:t>Financing</w:t>
      </w:r>
      <w:r>
        <w:rPr>
          <w:rFonts w:ascii="times new roman;times" w:hAnsi="times new roman;times"/>
          <w:sz w:val="20"/>
        </w:rPr>
        <w:t xml:space="preserve"> </w:t>
      </w:r>
      <w:r>
        <w:rPr>
          <w:rFonts w:ascii="Times New Roman" w:hAnsi="Times New Roman"/>
          <w:b/>
          <w:i/>
          <w:sz w:val="20"/>
        </w:rPr>
        <w:t>Warrants Expiration Date</w:t>
      </w:r>
      <w:r>
        <w:rPr>
          <w:rFonts w:ascii="times new roman;times" w:hAnsi="times new roman;times"/>
          <w:sz w:val="20"/>
        </w:rPr>
        <w:t xml:space="preserve">” </w:t>
      </w:r>
      <w:r>
        <w:rPr>
          <w:rFonts w:ascii="Times New Roman" w:hAnsi="Times New Roman"/>
          <w:sz w:val="20"/>
        </w:rPr>
        <w:t>shall have the meaning set forth in Section 3.26.</w:t>
      </w:r>
    </w:p>
    <w:p>
      <w:pPr>
        <w:pStyle w:val="TextBody"/>
        <w:bidi w:val="0"/>
        <w:spacing w:lineRule="auto" w:line="288" w:before="0" w:after="0"/>
        <w:ind w:left="0" w:right="0" w:firstLine="720"/>
        <w:jc w:val="left"/>
        <w:rPr/>
      </w:pPr>
      <w:r>
        <w:rPr/>
        <w:t>“</w:t>
      </w:r>
      <w:r>
        <w:rPr>
          <w:rFonts w:ascii="Times New Roman" w:hAnsi="Times New Roman"/>
          <w:b/>
          <w:i/>
          <w:sz w:val="20"/>
        </w:rPr>
        <w:t>First Finance Waiver</w:t>
      </w:r>
      <w:r>
        <w:rPr>
          <w:rFonts w:ascii="times new roman;times" w:hAnsi="times new roman;times"/>
          <w:sz w:val="20"/>
        </w:rPr>
        <w:t xml:space="preserve">” </w:t>
      </w:r>
      <w:r>
        <w:rPr>
          <w:rFonts w:ascii="Times New Roman" w:hAnsi="Times New Roman"/>
          <w:sz w:val="20"/>
        </w:rPr>
        <w:t>means the written waiver by First Finance Ltd. of any right to receive value in respect of any warrants held by it or its Affiliates, in form and substance reasonably satisfactory to Seller.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 xml:space="preserve">means common law fraud under Delaware law with respect to the making of the representations and warranties expressly set forth in this Agreement or in any certificate delivered pursuant to this Agreement, and shall require: (a) a false representation of a material fact; (b) actual knowledge that such representation was false when made; (c) an intent to induce the other Party to act or refrain from acting; (d) justifiable reliance by the other Party on such representation; and (e) resulting damages. For the avoidance of doubt, </w:t>
      </w:r>
      <w:r>
        <w:rPr>
          <w:rFonts w:ascii="times new roman;times" w:hAnsi="times new roman;times"/>
          <w:sz w:val="20"/>
        </w:rPr>
        <w:t>“</w:t>
      </w:r>
      <w:r>
        <w:rPr>
          <w:rFonts w:ascii="Times New Roman" w:hAnsi="Times New Roman"/>
          <w:b/>
          <w:i/>
          <w:sz w:val="20"/>
        </w:rPr>
        <w:t>Fraud</w:t>
      </w:r>
      <w:r>
        <w:rPr>
          <w:rFonts w:ascii="times new roman;times" w:hAnsi="times new roman;times"/>
          <w:sz w:val="20"/>
        </w:rPr>
        <w:t xml:space="preserve">” </w:t>
      </w:r>
      <w:r>
        <w:rPr>
          <w:rFonts w:ascii="Times New Roman" w:hAnsi="Times New Roman"/>
          <w:sz w:val="20"/>
        </w:rPr>
        <w:t>shall not include constructive fraud, equitable fraud, promissory fraud, unfair dealing fraud, negligent misrepresentation, recklessness, or any claim based on a representation or warranty not expressly set forth in this Agreement or in any certificate delivered pursuant to this Agreement.</w:t>
      </w:r>
    </w:p>
    <w:p>
      <w:pPr>
        <w:pStyle w:val="TextBody"/>
        <w:bidi w:val="0"/>
        <w:spacing w:lineRule="auto" w:line="288" w:before="0" w:after="200"/>
        <w:ind w:left="0" w:right="0" w:firstLine="720"/>
        <w:jc w:val="left"/>
        <w:rPr/>
      </w:pPr>
      <w:r>
        <w:rPr/>
        <w:t>“</w:t>
      </w:r>
      <w:r>
        <w:rPr>
          <w:rFonts w:ascii="Times New Roman" w:hAnsi="Times New Roman"/>
          <w:b/>
          <w:i/>
          <w:sz w:val="20"/>
        </w:rPr>
        <w:t>Funded Welfare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GAAP</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Governmental Authority</w:t>
      </w:r>
      <w:r>
        <w:rPr>
          <w:rFonts w:ascii="times new roman;times" w:hAnsi="times new roman;times"/>
          <w:sz w:val="20"/>
        </w:rPr>
        <w:t xml:space="preserve">” </w:t>
      </w:r>
      <w:r>
        <w:rPr>
          <w:rFonts w:ascii="Times New Roman" w:hAnsi="Times New Roman"/>
          <w:sz w:val="20"/>
        </w:rPr>
        <w:t>shall mean any court or tribunal, governmental, quasi-governmental or regulatory body, administrative agency or bureau, commission or authority or other body entitled to exercise similar powers or authority.</w:t>
      </w:r>
    </w:p>
    <w:p>
      <w:pPr>
        <w:pStyle w:val="TextBody"/>
        <w:bidi w:val="0"/>
        <w:spacing w:lineRule="auto" w:line="288" w:before="0" w:after="200"/>
        <w:ind w:left="0" w:right="0" w:firstLine="720"/>
        <w:jc w:val="left"/>
        <w:rPr/>
      </w:pPr>
      <w:r>
        <w:rPr/>
        <w:t>“</w:t>
      </w:r>
      <w:r>
        <w:rPr>
          <w:rFonts w:ascii="Times New Roman" w:hAnsi="Times New Roman"/>
          <w:b/>
          <w:i/>
          <w:sz w:val="20"/>
        </w:rPr>
        <w:t>Governmental Authorization</w:t>
      </w:r>
      <w:r>
        <w:rPr>
          <w:rFonts w:ascii="times new roman;times" w:hAnsi="times new roman;times"/>
          <w:sz w:val="20"/>
        </w:rPr>
        <w:t xml:space="preserve">” </w:t>
      </w:r>
      <w:r>
        <w:rPr>
          <w:rFonts w:ascii="Times New Roman" w:hAnsi="Times New Roman"/>
          <w:sz w:val="20"/>
        </w:rPr>
        <w:t>shall mean any: (a) permit, license, certificate, franchise, permission, variance, exceptions, orders, clearance, registration, qualification or authorization issued, granted, given or otherwise made available by or under the authority of any Governmental Body or pursuant to any Legal Requirement; or (b) right under any Contract with any Governmental Body.</w:t>
      </w:r>
    </w:p>
    <w:p>
      <w:pPr>
        <w:pStyle w:val="TextBody"/>
        <w:bidi w:val="0"/>
        <w:spacing w:lineRule="auto" w:line="288" w:before="0" w:after="200"/>
        <w:ind w:left="0" w:right="0" w:firstLine="720"/>
        <w:jc w:val="left"/>
        <w:rPr/>
      </w:pPr>
      <w:r>
        <w:rPr/>
        <w:t>“</w:t>
      </w:r>
      <w:r>
        <w:rPr>
          <w:rFonts w:ascii="Times New Roman" w:hAnsi="Times New Roman"/>
          <w:b/>
          <w:i/>
          <w:sz w:val="20"/>
        </w:rPr>
        <w:t>Governmental Body</w:t>
      </w:r>
      <w:r>
        <w:rPr>
          <w:rFonts w:ascii="times new roman;times" w:hAnsi="times new roman;times"/>
          <w:sz w:val="20"/>
        </w:rPr>
        <w:t xml:space="preserve">” </w:t>
      </w:r>
      <w:r>
        <w:rPr>
          <w:rFonts w:ascii="Times New Roman" w:hAnsi="Times New Roman"/>
          <w:sz w:val="20"/>
        </w:rPr>
        <w:t>shall mean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lineRule="auto" w:line="288" w:before="0" w:after="200"/>
        <w:ind w:left="0" w:right="0" w:firstLine="720"/>
        <w:jc w:val="left"/>
        <w:rPr/>
      </w:pPr>
      <w:r>
        <w:rPr/>
        <w:t>“</w:t>
      </w:r>
      <w:r>
        <w:rPr>
          <w:rFonts w:ascii="Times New Roman" w:hAnsi="Times New Roman"/>
          <w:b/>
          <w:i/>
          <w:sz w:val="20"/>
        </w:rPr>
        <w:t>Hazardous Materials</w:t>
      </w:r>
      <w:r>
        <w:rPr>
          <w:rFonts w:ascii="times new roman;times" w:hAnsi="times new roman;times"/>
          <w:sz w:val="20"/>
        </w:rPr>
        <w:t xml:space="preserve">” </w:t>
      </w:r>
      <w:r>
        <w:rPr>
          <w:rFonts w:ascii="Times New Roman" w:hAnsi="Times New Roman"/>
          <w:sz w:val="20"/>
        </w:rPr>
        <w:t>shall mean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pStyle w:val="TextBody"/>
        <w:bidi w:val="0"/>
        <w:spacing w:lineRule="auto" w:line="288" w:before="0" w:after="200"/>
        <w:ind w:left="0" w:right="0" w:firstLine="720"/>
        <w:jc w:val="left"/>
        <w:rPr/>
      </w:pPr>
      <w:r>
        <w:rPr/>
        <w:t>“</w:t>
      </w:r>
      <w:r>
        <w:rPr>
          <w:rFonts w:ascii="Times New Roman" w:hAnsi="Times New Roman"/>
          <w:b/>
          <w:i/>
          <w:sz w:val="20"/>
        </w:rPr>
        <w:t>IDEs</w:t>
      </w:r>
      <w:r>
        <w:rPr>
          <w:rFonts w:ascii="times new roman;times" w:hAnsi="times new roman;times"/>
          <w:sz w:val="20"/>
        </w:rPr>
        <w:t xml:space="preserve">” </w:t>
      </w:r>
      <w:r>
        <w:rPr>
          <w:rFonts w:ascii="Times New Roman" w:hAnsi="Times New Roman"/>
          <w:sz w:val="20"/>
        </w:rPr>
        <w:t>means investigational device exemptions granted or deemed granted by the FDA under 21 C.F.R. Part 812, and any comparable approvals, authorizations or exemptions issued by any foreign Governmental Body, in each case that are required to permit the clinical investigation of a medical device.</w:t>
      </w:r>
    </w:p>
    <w:p>
      <w:pPr>
        <w:pStyle w:val="TextBody"/>
        <w:bidi w:val="0"/>
        <w:spacing w:lineRule="auto" w:line="288" w:before="0" w:after="0"/>
        <w:ind w:left="0" w:right="0" w:firstLine="720"/>
        <w:jc w:val="left"/>
        <w:rPr/>
      </w:pPr>
      <w:r>
        <w:rPr/>
        <w:t>“</w:t>
      </w:r>
      <w:r>
        <w:rPr>
          <w:rFonts w:ascii="Times New Roman" w:hAnsi="Times New Roman"/>
          <w:b/>
          <w:i/>
          <w:sz w:val="20"/>
        </w:rPr>
        <w:t>Intellectual Property</w:t>
      </w:r>
      <w:r>
        <w:rPr>
          <w:rFonts w:ascii="times new roman;times" w:hAnsi="times new roman;times"/>
          <w:sz w:val="20"/>
        </w:rPr>
        <w:t xml:space="preserve">” </w:t>
      </w:r>
      <w:r>
        <w:rPr>
          <w:rFonts w:ascii="Times New Roman" w:hAnsi="Times New Roman"/>
          <w:sz w:val="20"/>
        </w:rPr>
        <w:t>shall mean any and all industrial and intellectual property rights and other similar proprietary rights, and all rights associated therewith, throughout the world, including all patents and applications therefor and all reissues, divisions, renewals, extensions, provisionals, continuations and continuations-in-part thereof, all inventions (whether patentable or not), all rights in invention disclosures, improvements, trade secrets, proprietary information, know how, technology, technical data, proprietary processes and formulae, algorithms, specifications, customer lists and supplier lists, all designs and any registrations and applications therefor, all trade names, logos, trade dress, trademarks and service marks, trademark and service mark registrations, trademark and service mark applications, and any and all goodwill associated with and symbolized by the foregoing items, Internet domain name registrations, all copyrights, copyright registrations and applications therefor (including copyrights in computer software, source code, object code, firmware, development tools, files, records, data, schematics and reports), and all other rights corresponding thereto, all rights in databases and data collections, all moral rights of authors and inventors, however denominated, and any similar or equivalent rights to any of the foregoing and, including in each case any and all (1) rights of action arising from the foregoing, including all claims for damages by reason of present, past and future infringement, misappropriation, violation misuse or breach of contract in respect of the foregoing, and present, past and future rights to sue and collect damages or seek injunctive relief for any such infringement, misappropriation, violation, misuse or breach; and (2) income, royalties and any other payments now and hereafter due and/or payable in respect of the foregoing.</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Investor Agreements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5.17(a)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IRB</w:t>
      </w:r>
      <w:r>
        <w:rPr>
          <w:rFonts w:ascii="times new roman;times" w:hAnsi="times new roman;times"/>
          <w:sz w:val="20"/>
        </w:rPr>
        <w:t xml:space="preserve">” </w:t>
      </w:r>
      <w:r>
        <w:rPr>
          <w:rFonts w:ascii="Times New Roman" w:hAnsi="Times New Roman"/>
          <w:sz w:val="20"/>
        </w:rPr>
        <w:t>means an institutional review board, independent ethics committee or other similar committee or board responsible for reviewing and approving the conduct of clinical investigations involving human subjects under applicable Law.</w:t>
      </w:r>
    </w:p>
    <w:p>
      <w:pPr>
        <w:pStyle w:val="TextBody"/>
        <w:bidi w:val="0"/>
        <w:spacing w:lineRule="auto" w:line="288" w:before="0" w:after="200"/>
        <w:ind w:left="0" w:right="0" w:firstLine="720"/>
        <w:jc w:val="left"/>
        <w:rPr/>
      </w:pPr>
      <w:r>
        <w:rPr/>
        <w:t>“</w:t>
      </w:r>
      <w:r>
        <w:rPr>
          <w:rFonts w:ascii="Times New Roman" w:hAnsi="Times New Roman"/>
          <w:b/>
          <w:i/>
          <w:sz w:val="20"/>
        </w:rPr>
        <w:t>IRS</w:t>
      </w:r>
      <w:r>
        <w:rPr>
          <w:rFonts w:ascii="times new roman;times" w:hAnsi="times new roman;times"/>
          <w:sz w:val="20"/>
        </w:rPr>
        <w:t xml:space="preserve">” </w:t>
      </w:r>
      <w:r>
        <w:rPr>
          <w:rFonts w:ascii="Times New Roman" w:hAnsi="Times New Roman"/>
          <w:sz w:val="20"/>
        </w:rPr>
        <w:t>shall mean the United States Internal Revenue Service.</w:t>
      </w:r>
    </w:p>
    <w:p>
      <w:pPr>
        <w:pStyle w:val="TextBody"/>
        <w:bidi w:val="0"/>
        <w:spacing w:lineRule="auto" w:line="288" w:before="0" w:after="200"/>
        <w:ind w:left="0" w:right="0" w:firstLine="720"/>
        <w:jc w:val="left"/>
        <w:rPr/>
      </w:pPr>
      <w:r>
        <w:rPr/>
        <w:t>“</w:t>
      </w:r>
      <w:r>
        <w:rPr>
          <w:rFonts w:ascii="Times New Roman" w:hAnsi="Times New Roman"/>
          <w:b/>
          <w:i/>
          <w:sz w:val="20"/>
        </w:rPr>
        <w:t>Key Employee</w:t>
      </w:r>
      <w:r>
        <w:rPr>
          <w:rFonts w:ascii="times new roman;times" w:hAnsi="times new roman;times"/>
          <w:sz w:val="20"/>
        </w:rPr>
        <w:t xml:space="preserve">” </w:t>
      </w:r>
      <w:r>
        <w:rPr>
          <w:rFonts w:ascii="Times New Roman" w:hAnsi="Times New Roman"/>
          <w:sz w:val="20"/>
        </w:rPr>
        <w:t>shall mean, with respect to the Company or Parent, an executive officer or any employee that reports directly to the Board of Directors or Chief Executive Officer or Chief Operating Officer, as applicable.</w:t>
      </w:r>
    </w:p>
    <w:p>
      <w:pPr>
        <w:pStyle w:val="TextBody"/>
        <w:bidi w:val="0"/>
        <w:spacing w:lineRule="auto" w:line="288" w:before="0" w:after="200"/>
        <w:ind w:left="0" w:right="0" w:firstLine="720"/>
        <w:jc w:val="left"/>
        <w:rPr/>
      </w:pPr>
      <w:r>
        <w:rPr/>
        <w:t>“</w:t>
      </w:r>
      <w:r>
        <w:rPr>
          <w:rFonts w:ascii="Times New Roman" w:hAnsi="Times New Roman"/>
          <w:b/>
          <w:i/>
          <w:sz w:val="20"/>
        </w:rPr>
        <w:t>Knowledge</w:t>
      </w:r>
      <w:r>
        <w:rPr>
          <w:rFonts w:ascii="times new roman;times" w:hAnsi="times new roman;times"/>
          <w:sz w:val="20"/>
        </w:rPr>
        <w:t xml:space="preserve">” </w:t>
      </w:r>
      <w:r>
        <w:rPr>
          <w:rFonts w:ascii="Times New Roman" w:hAnsi="Times New Roman"/>
          <w:sz w:val="20"/>
        </w:rPr>
        <w:t>of the Company, Seller, Parent or any other Person means the actual knowledge of the executive officers of such Person identified on the Parent Disclosure Schedule, after reasonable inquiry of their respective direct reports who would reasonably be expected to have responsibility for the relevant subject matter, and without any duty to conduct any independent investigation, forensic review or review of archived materials except as expressly required by this Agreement.</w:t>
      </w:r>
    </w:p>
    <w:p>
      <w:pPr>
        <w:pStyle w:val="TextBody"/>
        <w:bidi w:val="0"/>
        <w:spacing w:lineRule="auto" w:line="288" w:before="0" w:after="200"/>
        <w:ind w:left="0" w:right="0" w:firstLine="720"/>
        <w:jc w:val="left"/>
        <w:rPr/>
      </w:pPr>
      <w:r>
        <w:rPr/>
        <w:t>“</w:t>
      </w:r>
      <w:r>
        <w:rPr>
          <w:rFonts w:ascii="Times New Roman" w:hAnsi="Times New Roman"/>
          <w:b/>
          <w:i/>
          <w:sz w:val="20"/>
        </w:rPr>
        <w:t>Laws</w:t>
      </w:r>
      <w:r>
        <w:rPr>
          <w:rFonts w:ascii="times new roman;times" w:hAnsi="times new roman;times"/>
          <w:sz w:val="20"/>
        </w:rPr>
        <w:t xml:space="preserve">” </w:t>
      </w:r>
      <w:r>
        <w:rPr>
          <w:rFonts w:ascii="Times New Roman" w:hAnsi="Times New Roman"/>
          <w:sz w:val="20"/>
        </w:rPr>
        <w:t>means all</w:t>
      </w:r>
      <w:r>
        <w:rPr>
          <w:rFonts w:ascii="times new roman;times" w:hAnsi="times new roman;times"/>
          <w:sz w:val="20"/>
        </w:rPr>
        <w:t xml:space="preserve"> </w:t>
      </w:r>
      <w:r>
        <w:rPr>
          <w:rFonts w:ascii="Times New Roman" w:hAnsi="Times New Roman"/>
          <w:sz w:val="20"/>
        </w:rPr>
        <w:t>laws, statutes, by-laws, rules, regulations, orders, ordinances, protocols, codes, treaties, policies, notices, directions, decrees, judgements, awards or requirements, in each case of any Governmental Authority.</w:t>
      </w:r>
    </w:p>
    <w:p>
      <w:pPr>
        <w:pStyle w:val="TextBody"/>
        <w:bidi w:val="0"/>
        <w:spacing w:lineRule="auto" w:line="288" w:before="0" w:after="200"/>
        <w:ind w:left="0" w:right="0" w:firstLine="720"/>
        <w:jc w:val="left"/>
        <w:rPr/>
      </w:pPr>
      <w:r>
        <w:rPr/>
        <w:t>“</w:t>
      </w:r>
      <w:r>
        <w:rPr>
          <w:rFonts w:ascii="Times New Roman" w:hAnsi="Times New Roman"/>
          <w:b/>
          <w:i/>
          <w:sz w:val="20"/>
        </w:rPr>
        <w:t>Legal Proceeding</w:t>
      </w:r>
      <w:r>
        <w:rPr>
          <w:rFonts w:ascii="times new roman;times" w:hAnsi="times new roman;times"/>
          <w:sz w:val="20"/>
        </w:rPr>
        <w:t xml:space="preserve">” </w:t>
      </w:r>
      <w:r>
        <w:rPr>
          <w:rFonts w:ascii="Times New Roman" w:hAnsi="Times New Roman"/>
          <w:sz w:val="20"/>
        </w:rPr>
        <w:t>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lineRule="auto" w:line="288" w:before="0" w:after="200"/>
        <w:ind w:left="0" w:right="0" w:firstLine="720"/>
        <w:jc w:val="left"/>
        <w:rPr/>
      </w:pPr>
      <w:r>
        <w:rPr/>
        <w:t>“</w:t>
      </w:r>
      <w:r>
        <w:rPr>
          <w:rFonts w:ascii="Times New Roman" w:hAnsi="Times New Roman"/>
          <w:b/>
          <w:i/>
          <w:sz w:val="20"/>
        </w:rPr>
        <w:t>Legal Requirement</w:t>
      </w:r>
      <w:r>
        <w:rPr>
          <w:rFonts w:ascii="times new roman;times" w:hAnsi="times new roman;times"/>
          <w:sz w:val="20"/>
        </w:rPr>
        <w:t xml:space="preserve">” </w:t>
      </w:r>
      <w:r>
        <w:rPr>
          <w:rFonts w:ascii="Times New Roman" w:hAnsi="Times New Roman"/>
          <w:sz w:val="20"/>
        </w:rPr>
        <w:t>shall mean any federal, state, foreign, material local or municipal or other treaty, law, statute, constitution, resolution, ordinance, code, edict, decree, rule, regulation, code, ordinance, ruling or other requirement having the force of Law issued, enacted, adopted, promulgated, implemented or otherwise put into effect by or under the authority of any Governmental Body (or under the authority of Nasdaq or the Financial Industry Regulatory Authority).</w:t>
      </w:r>
    </w:p>
    <w:p>
      <w:pPr>
        <w:pStyle w:val="TextBody"/>
        <w:bidi w:val="0"/>
        <w:spacing w:lineRule="auto" w:line="288" w:before="0" w:after="200"/>
        <w:ind w:left="0" w:right="0" w:firstLine="720"/>
        <w:jc w:val="left"/>
        <w:rPr/>
      </w:pPr>
      <w:r>
        <w:rPr/>
        <w:t>“</w:t>
      </w:r>
      <w:r>
        <w:rPr>
          <w:rFonts w:ascii="Times New Roman" w:hAnsi="Times New Roman"/>
          <w:b/>
          <w:i/>
          <w:sz w:val="20"/>
        </w:rPr>
        <w:t>Liability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2.10</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Lock-up Agreement</w:t>
      </w:r>
      <w:r>
        <w:rPr>
          <w:rFonts w:ascii="times new roman;times" w:hAnsi="times new roman;times"/>
          <w:sz w:val="20"/>
        </w:rPr>
        <w:t xml:space="preserve">” </w:t>
      </w:r>
      <w:r>
        <w:rPr>
          <w:rFonts w:ascii="Times New Roman" w:hAnsi="Times New Roman"/>
          <w:sz w:val="20"/>
        </w:rPr>
        <w:t>shall have the meaning set forth in the Recitals and refers to the agreement in a form to be mutually agreed to by Parent and Seller.</w:t>
      </w:r>
    </w:p>
    <w:p>
      <w:pPr>
        <w:pStyle w:val="TextBody"/>
        <w:bidi w:val="0"/>
        <w:spacing w:lineRule="auto" w:line="288" w:before="0" w:after="200"/>
        <w:ind w:left="0" w:right="0" w:firstLine="720"/>
        <w:jc w:val="left"/>
        <w:rPr/>
      </w:pPr>
      <w:r>
        <w:rPr/>
        <w:t>“</w:t>
      </w:r>
      <w:r>
        <w:rPr>
          <w:rFonts w:ascii="Times New Roman" w:hAnsi="Times New Roman"/>
          <w:b/>
          <w:i/>
          <w:sz w:val="20"/>
        </w:rPr>
        <w:t>LOI</w:t>
      </w:r>
      <w:r>
        <w:rPr>
          <w:rFonts w:ascii="times new roman;times" w:hAnsi="times new roman;times"/>
          <w:sz w:val="20"/>
        </w:rPr>
        <w:t xml:space="preserve">” </w:t>
      </w:r>
      <w:r>
        <w:rPr>
          <w:rFonts w:ascii="Times New Roman" w:hAnsi="Times New Roman"/>
          <w:sz w:val="20"/>
        </w:rPr>
        <w:t>means that certain Letter of Intent dated as of May 20, 2026, by and between Parent and Seller, setting forth the principal terms of the transactions contemplated by this Agreement, as the same may have been amended, supplemented or otherwise modified in writing prior to the date of this Agreement; provided, however, that from and after the execution of this Agreement, the LOI shall be of no further force or effect except to the extent expressly referenced in this Agreement.</w:t>
      </w:r>
    </w:p>
    <w:p>
      <w:pPr>
        <w:pStyle w:val="TextBody"/>
        <w:bidi w:val="0"/>
        <w:spacing w:lineRule="auto" w:line="288" w:before="0" w:after="200"/>
        <w:ind w:left="0" w:right="0" w:firstLine="720"/>
        <w:jc w:val="left"/>
        <w:rPr/>
      </w:pPr>
      <w:r>
        <w:rPr/>
        <w:t>“</w:t>
      </w:r>
      <w:r>
        <w:rPr>
          <w:rFonts w:ascii="Times New Roman" w:hAnsi="Times New Roman"/>
          <w:b/>
          <w:i/>
          <w:sz w:val="20"/>
        </w:rPr>
        <w:t>Merger</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Merger Sub</w:t>
      </w:r>
      <w:r>
        <w:rPr>
          <w:rFonts w:ascii="times new roman;times" w:hAnsi="times new roman;times"/>
          <w:sz w:val="20"/>
        </w:rPr>
        <w:t xml:space="preserve">” </w:t>
      </w:r>
      <w:r>
        <w:rPr>
          <w:rFonts w:ascii="Times New Roman" w:hAnsi="Times New Roman"/>
          <w:sz w:val="20"/>
        </w:rPr>
        <w:t>shall have the meaning set forth in the Preamble.</w:t>
      </w:r>
    </w:p>
    <w:p>
      <w:pPr>
        <w:pStyle w:val="TextBody"/>
        <w:bidi w:val="0"/>
        <w:spacing w:lineRule="auto" w:line="288" w:before="0" w:after="200"/>
        <w:ind w:left="0" w:right="0" w:firstLine="720"/>
        <w:jc w:val="left"/>
        <w:rPr/>
      </w:pPr>
      <w:r>
        <w:rPr/>
        <w:t>“</w:t>
      </w:r>
      <w:r>
        <w:rPr>
          <w:rFonts w:ascii="Times New Roman" w:hAnsi="Times New Roman"/>
          <w:b/>
          <w:i/>
          <w:sz w:val="20"/>
        </w:rPr>
        <w:t>Multiemployer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Multiple Employer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2.14(c)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Nasdaq</w:t>
      </w:r>
      <w:r>
        <w:rPr>
          <w:rFonts w:ascii="times new roman;times" w:hAnsi="times new roman;times"/>
          <w:sz w:val="20"/>
        </w:rPr>
        <w:t xml:space="preserve">” </w:t>
      </w:r>
      <w:r>
        <w:rPr>
          <w:rFonts w:ascii="Times New Roman" w:hAnsi="Times New Roman"/>
          <w:sz w:val="20"/>
        </w:rPr>
        <w:t>means The Nasdaq Stock Market LLC.</w:t>
      </w:r>
    </w:p>
    <w:p>
      <w:pPr>
        <w:pStyle w:val="TextBody"/>
        <w:bidi w:val="0"/>
        <w:spacing w:lineRule="auto" w:line="288" w:before="0" w:after="0"/>
        <w:ind w:left="0" w:right="0" w:firstLine="720"/>
        <w:jc w:val="left"/>
        <w:rPr/>
      </w:pPr>
      <w:r>
        <w:rPr/>
        <w:t>“</w:t>
      </w:r>
      <w:r>
        <w:rPr>
          <w:rFonts w:ascii="Times New Roman" w:hAnsi="Times New Roman"/>
          <w:b/>
          <w:i/>
          <w:sz w:val="20"/>
        </w:rPr>
        <w:t>New Equity Securities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Order</w:t>
      </w:r>
      <w:r>
        <w:rPr>
          <w:rFonts w:ascii="times new roman;times" w:hAnsi="times new roman;times"/>
          <w:sz w:val="20"/>
        </w:rPr>
        <w:t xml:space="preserve">” </w:t>
      </w:r>
      <w:r>
        <w:rPr>
          <w:rFonts w:ascii="Times New Roman" w:hAnsi="Times New Roman"/>
          <w:sz w:val="20"/>
        </w:rPr>
        <w:t>means any order, judgment, injunction, decree, ruling, writ, award, assessment, determination or directive entered, issued, made or rendered by any Governmental Body or arbitrator.</w:t>
      </w:r>
    </w:p>
    <w:p>
      <w:pPr>
        <w:pStyle w:val="TextBody"/>
        <w:bidi w:val="0"/>
        <w:spacing w:lineRule="auto" w:line="288" w:before="0" w:after="200"/>
        <w:ind w:left="0" w:right="0" w:firstLine="720"/>
        <w:jc w:val="left"/>
        <w:rPr/>
      </w:pPr>
      <w:r>
        <w:rPr/>
        <w:t>“</w:t>
      </w:r>
      <w:r>
        <w:rPr>
          <w:rFonts w:ascii="Times New Roman" w:hAnsi="Times New Roman"/>
          <w:b/>
          <w:i/>
          <w:sz w:val="20"/>
        </w:rPr>
        <w:t>Ordinary Course of Business</w:t>
      </w:r>
      <w:r>
        <w:rPr>
          <w:rFonts w:ascii="times new roman;times" w:hAnsi="times new roman;times"/>
          <w:sz w:val="20"/>
        </w:rPr>
        <w:t xml:space="preserve">” </w:t>
      </w:r>
      <w:r>
        <w:rPr>
          <w:rFonts w:ascii="Times New Roman" w:hAnsi="Times New Roman"/>
          <w:sz w:val="20"/>
        </w:rPr>
        <w:t>means, with respect to any Person, the ordinary course of business of such Person consistent with its past practice in all material respects, including with respect to nature, scope and frequency, and excluding any action taken in contemplation of the transactions contemplated by this Agreement, except as expressly required or permitted by this Agreement.</w:t>
      </w:r>
    </w:p>
    <w:p>
      <w:pPr>
        <w:pStyle w:val="TextBody"/>
        <w:bidi w:val="0"/>
        <w:spacing w:lineRule="auto" w:line="288" w:before="0" w:after="200"/>
        <w:ind w:left="0" w:right="0" w:firstLine="720"/>
        <w:jc w:val="left"/>
        <w:rPr/>
      </w:pPr>
      <w:r>
        <w:rPr/>
        <w:t>“</w:t>
      </w:r>
      <w:r>
        <w:rPr>
          <w:rFonts w:ascii="Times New Roman" w:hAnsi="Times New Roman"/>
          <w:b/>
          <w:i/>
          <w:sz w:val="20"/>
        </w:rPr>
        <w:t>Organizational Documents</w:t>
      </w:r>
      <w:r>
        <w:rPr>
          <w:rFonts w:ascii="times new roman;times" w:hAnsi="times new roman;times"/>
          <w:sz w:val="20"/>
        </w:rPr>
        <w:t xml:space="preserve">” </w:t>
      </w:r>
      <w:r>
        <w:rPr>
          <w:rFonts w:ascii="Times New Roman" w:hAnsi="Times New Roman"/>
          <w:sz w:val="20"/>
        </w:rPr>
        <w:t>means, with respect to any Entity, such Entity</w:t>
      </w:r>
      <w:r>
        <w:rPr>
          <w:rFonts w:ascii="times new roman;times" w:hAnsi="times new roman;times"/>
          <w:sz w:val="20"/>
        </w:rPr>
        <w:t>’</w:t>
      </w:r>
      <w:r>
        <w:rPr>
          <w:rFonts w:ascii="Times New Roman" w:hAnsi="Times New Roman"/>
          <w:sz w:val="20"/>
        </w:rPr>
        <w:t>s certificate or articles of incorporation, formation or organization, bylaws, limited liability company agreement, operating agreement, partnership agreement, limited partnership agreement, certificate of limited partnership, memorandum and articles of association, and any other charter, constitutional or similar organizational or governing documents of such Entity, in each case as amended, restated, supplemented or otherwise modified from time to time.</w:t>
      </w:r>
    </w:p>
    <w:p>
      <w:pPr>
        <w:pStyle w:val="TextBody"/>
        <w:bidi w:val="0"/>
        <w:spacing w:lineRule="auto" w:line="288" w:before="0" w:after="200"/>
        <w:ind w:left="0" w:right="0" w:firstLine="720"/>
        <w:jc w:val="left"/>
        <w:rPr/>
      </w:pPr>
      <w:r>
        <w:rPr/>
        <w:t>“</w:t>
      </w:r>
      <w:r>
        <w:rPr>
          <w:rFonts w:ascii="Times New Roman" w:hAnsi="Times New Roman"/>
          <w:b/>
          <w:i/>
          <w:sz w:val="20"/>
        </w:rPr>
        <w:t>Parent</w:t>
      </w:r>
      <w:r>
        <w:rPr>
          <w:rFonts w:ascii="times new roman;times" w:hAnsi="times new roman;times"/>
          <w:sz w:val="20"/>
        </w:rPr>
        <w:t xml:space="preserve">” </w:t>
      </w:r>
      <w:r>
        <w:rPr>
          <w:rFonts w:ascii="Times New Roman" w:hAnsi="Times New Roman"/>
          <w:sz w:val="20"/>
        </w:rPr>
        <w:t>shall have the meaning set forth in the Preamble.</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Parent Affiliate</w:t>
      </w:r>
      <w:r>
        <w:rPr>
          <w:rFonts w:ascii="times new roman;times" w:hAnsi="times new roman;times"/>
          <w:sz w:val="20"/>
        </w:rPr>
        <w:t xml:space="preserve">” </w:t>
      </w:r>
      <w:r>
        <w:rPr>
          <w:rFonts w:ascii="Times New Roman" w:hAnsi="Times New Roman"/>
          <w:sz w:val="20"/>
        </w:rPr>
        <w:t>shall mean any Person that is (or at any relevant time was) under common control with Parent within the meaning of Sections 414(b), (c), (m) and (o) of the Code, and the regulations issued thereunder.</w:t>
      </w:r>
    </w:p>
    <w:p>
      <w:pPr>
        <w:pStyle w:val="TextBody"/>
        <w:bidi w:val="0"/>
        <w:spacing w:lineRule="auto" w:line="288" w:before="0" w:after="200"/>
        <w:ind w:left="0" w:right="0" w:firstLine="720"/>
        <w:jc w:val="left"/>
        <w:rPr/>
      </w:pPr>
      <w:r>
        <w:rPr/>
        <w:t>“</w:t>
      </w:r>
      <w:r>
        <w:rPr>
          <w:rFonts w:ascii="Times New Roman" w:hAnsi="Times New Roman"/>
          <w:b/>
          <w:i/>
          <w:sz w:val="20"/>
        </w:rPr>
        <w:t>Parent Board Adverse Recommendation Change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5.3(c)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Board of Directors</w:t>
      </w:r>
      <w:r>
        <w:rPr>
          <w:rFonts w:ascii="times new roman;times" w:hAnsi="times new roman;times"/>
          <w:sz w:val="20"/>
        </w:rPr>
        <w:t xml:space="preserve">” </w:t>
      </w:r>
      <w:r>
        <w:rPr>
          <w:rFonts w:ascii="Times New Roman" w:hAnsi="Times New Roman"/>
          <w:sz w:val="20"/>
        </w:rPr>
        <w:t>shall mean the board of directors of Parent.</w:t>
      </w:r>
    </w:p>
    <w:p>
      <w:pPr>
        <w:pStyle w:val="TextBody"/>
        <w:bidi w:val="0"/>
        <w:spacing w:lineRule="auto" w:line="288" w:before="0" w:after="200"/>
        <w:ind w:left="0" w:right="0" w:firstLine="720"/>
        <w:jc w:val="left"/>
        <w:rPr/>
      </w:pPr>
      <w:r>
        <w:rPr/>
        <w:t>“</w:t>
      </w:r>
      <w:r>
        <w:rPr>
          <w:rFonts w:ascii="Times New Roman" w:hAnsi="Times New Roman"/>
          <w:b/>
          <w:i/>
          <w:sz w:val="20"/>
        </w:rPr>
        <w:t>Parent Board Recommendation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5.3(b)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Capital Stock</w:t>
      </w:r>
      <w:r>
        <w:rPr>
          <w:rFonts w:ascii="times new roman;times" w:hAnsi="times new roman;times"/>
          <w:sz w:val="20"/>
        </w:rPr>
        <w:t xml:space="preserve">” </w:t>
      </w:r>
      <w:r>
        <w:rPr>
          <w:rFonts w:ascii="Times New Roman" w:hAnsi="Times New Roman"/>
          <w:sz w:val="20"/>
        </w:rPr>
        <w:t>shall mean the Parent Common Stock.</w:t>
      </w:r>
    </w:p>
    <w:p>
      <w:pPr>
        <w:pStyle w:val="TextBody"/>
        <w:bidi w:val="0"/>
        <w:spacing w:lineRule="auto" w:line="288" w:before="0" w:after="200"/>
        <w:ind w:left="0" w:right="0" w:firstLine="720"/>
        <w:jc w:val="left"/>
        <w:rPr/>
      </w:pPr>
      <w:r>
        <w:rPr/>
        <w:t>“</w:t>
      </w:r>
      <w:r>
        <w:rPr>
          <w:rFonts w:ascii="Times New Roman" w:hAnsi="Times New Roman"/>
          <w:b/>
          <w:i/>
          <w:sz w:val="20"/>
        </w:rPr>
        <w:t>Parent Closing Financial Certificate</w:t>
      </w:r>
      <w:r>
        <w:rPr>
          <w:rFonts w:ascii="times new roman;times" w:hAnsi="times new roman;times"/>
          <w:sz w:val="20"/>
        </w:rPr>
        <w:t xml:space="preserve">” </w:t>
      </w:r>
      <w:r>
        <w:rPr>
          <w:rFonts w:ascii="Times New Roman" w:hAnsi="Times New Roman"/>
          <w:sz w:val="20"/>
        </w:rPr>
        <w:t>means a certificate executed by the Chief Executive Officer of Parent, on behalf of Parent and not in his personal capacity, dated as of the Closing Date, certifying (A) (i) an itemized list of each element of Parent</w:t>
      </w:r>
      <w:r>
        <w:rPr>
          <w:rFonts w:ascii="times new roman;times" w:hAnsi="times new roman;times"/>
          <w:sz w:val="20"/>
        </w:rPr>
        <w:t>’</w:t>
      </w:r>
      <w:r>
        <w:rPr>
          <w:rFonts w:ascii="Times New Roman" w:hAnsi="Times New Roman"/>
          <w:sz w:val="20"/>
        </w:rPr>
        <w:t>s consolidated current assets and (ii) an itemized list of each element of Parent</w:t>
      </w:r>
      <w:r>
        <w:rPr>
          <w:rFonts w:ascii="times new roman;times" w:hAnsi="times new roman;times"/>
          <w:sz w:val="20"/>
        </w:rPr>
        <w:t>’</w:t>
      </w:r>
      <w:r>
        <w:rPr>
          <w:rFonts w:ascii="Times New Roman" w:hAnsi="Times New Roman"/>
          <w:sz w:val="20"/>
        </w:rPr>
        <w:t>s consolidated total current liabilities, (B) the amount of Parent Transaction Expenses incurred but unpaid as of the Closing Date (including an itemized list of each Parent Transaction Expense and the Person to whom such expense is owed), (C) the amount of Parent Debt as of the Closing Date (including an itemized list of each Parent Debt and the Person to whom such Parent Debt is owed) and (D) the amount of Parent Net Cash as of the Closing Date. The Parent Closing Financial Certificate shall include a representation of Parent, certified by the Chief Executive Officer of Parent, that such certificate includes an accurate and correct accounting and calculation of (i) all of the Parent Transaction Expenses paid or payable at any time prior to, at or following the Closing Date, (ii) all of the Parent Debt outstanding as of the Closing Date and (iii) the amount of Parent Net Cash as of the Closing Date.</w:t>
      </w:r>
    </w:p>
    <w:p>
      <w:pPr>
        <w:pStyle w:val="TextBody"/>
        <w:bidi w:val="0"/>
        <w:spacing w:lineRule="auto" w:line="288" w:before="0" w:after="200"/>
        <w:ind w:left="0" w:right="0" w:firstLine="720"/>
        <w:jc w:val="left"/>
        <w:rPr/>
      </w:pPr>
      <w:r>
        <w:rPr/>
        <w:t>“</w:t>
      </w:r>
      <w:r>
        <w:rPr>
          <w:rFonts w:ascii="Times New Roman" w:hAnsi="Times New Roman"/>
          <w:b/>
          <w:i/>
          <w:sz w:val="20"/>
        </w:rPr>
        <w:t>Parent Common Stock</w:t>
      </w:r>
      <w:r>
        <w:rPr>
          <w:rFonts w:ascii="times new roman;times" w:hAnsi="times new roman;times"/>
          <w:sz w:val="20"/>
        </w:rPr>
        <w:t xml:space="preserve">” </w:t>
      </w:r>
      <w:r>
        <w:rPr>
          <w:rFonts w:ascii="Times New Roman" w:hAnsi="Times New Roman"/>
          <w:sz w:val="20"/>
        </w:rPr>
        <w:t>shall mean the Common Stock, $0.001 par value per share, of Parent.</w:t>
      </w:r>
    </w:p>
    <w:p>
      <w:pPr>
        <w:pStyle w:val="TextBody"/>
        <w:bidi w:val="0"/>
        <w:spacing w:lineRule="auto" w:line="288" w:before="0" w:after="200"/>
        <w:ind w:left="0" w:right="0" w:firstLine="720"/>
        <w:jc w:val="left"/>
        <w:rPr/>
      </w:pPr>
      <w:r>
        <w:rPr/>
        <w:t>“</w:t>
      </w:r>
      <w:r>
        <w:rPr>
          <w:rFonts w:ascii="Times New Roman" w:hAnsi="Times New Roman"/>
          <w:b/>
          <w:i/>
          <w:sz w:val="20"/>
        </w:rPr>
        <w:t>Parent Confidential Information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3.6(i)</w:t>
      </w:r>
      <w:r>
        <w:rPr>
          <w:rFonts w:ascii="Times New Roman" w:hAnsi="Times New Roman"/>
          <w:sz w:val="20"/>
        </w:rPr>
        <w:t>.</w:t>
      </w:r>
    </w:p>
    <w:p>
      <w:pPr>
        <w:pStyle w:val="TextBody"/>
        <w:bidi w:val="0"/>
        <w:spacing w:lineRule="auto" w:line="288" w:before="0" w:after="0"/>
        <w:ind w:left="0" w:right="0" w:firstLine="720"/>
        <w:jc w:val="left"/>
        <w:rPr/>
      </w:pPr>
      <w:r>
        <w:rPr/>
        <w:t>“</w:t>
      </w:r>
      <w:r>
        <w:rPr>
          <w:rFonts w:ascii="Times New Roman" w:hAnsi="Times New Roman"/>
          <w:b/>
          <w:i/>
          <w:sz w:val="20"/>
        </w:rPr>
        <w:t>Parent Contract</w:t>
      </w:r>
      <w:r>
        <w:rPr>
          <w:rFonts w:ascii="times new roman;times" w:hAnsi="times new roman;times"/>
          <w:sz w:val="20"/>
        </w:rPr>
        <w:t xml:space="preserve">” </w:t>
      </w:r>
      <w:r>
        <w:rPr>
          <w:rFonts w:ascii="Times New Roman" w:hAnsi="Times New Roman"/>
          <w:sz w:val="20"/>
        </w:rPr>
        <w:t>shall mean any Contract: (a) to which Parent or any of its Subsidiaries is a party; (b) by which Parent or any of its Subsidiaries or any Parent IP Rights or any other asset of Parent or any of its Subsidiaries is or may become bound or under which Parent has, or may become subject to, any obligation; or (c) under which Parent or any of its Subsidiaries has or may acquire any right or interest.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Debt</w:t>
      </w:r>
      <w:r>
        <w:rPr>
          <w:rFonts w:ascii="times new roman;times" w:hAnsi="times new roman;times"/>
          <w:sz w:val="20"/>
        </w:rPr>
        <w:t xml:space="preserve">” </w:t>
      </w:r>
      <w:r>
        <w:rPr>
          <w:rFonts w:ascii="Times New Roman" w:hAnsi="Times New Roman"/>
          <w:sz w:val="20"/>
        </w:rPr>
        <w:t>means with respect to Parent and the Parent Subsidiaries, any of the following and, in each case, including all accrued and unpaid interest thereon and any premiums, prepayment penalties, breakage costs and other fees and expenses arising as a result of the payment of any such amount owed: (i) any indebtedness evidenced by any note, bond, debenture or other debt security, (ii) any indebtedness to any lender or creditor under credit facilities of Parent, (iii) any indebtedness for the deferred purchase price of property with respect to which Parent is liable, contingently or otherwise, as obligor or otherwise, (iv) any drawn amounts under letter of credit arrangements, (v) any cash overdrafts, (vi) any capitalized leases, (vii) any indebtedness under any financial instrument classified as debt, (viii) any notes payable to any of Parent</w:t>
      </w:r>
      <w:r>
        <w:rPr>
          <w:rFonts w:ascii="times new roman;times" w:hAnsi="times new roman;times"/>
          <w:sz w:val="20"/>
        </w:rPr>
        <w:t>’</w:t>
      </w:r>
      <w:r>
        <w:rPr>
          <w:rFonts w:ascii="Times New Roman" w:hAnsi="Times New Roman"/>
          <w:sz w:val="20"/>
        </w:rPr>
        <w:t>s equity holders or Parent</w:t>
      </w:r>
      <w:r>
        <w:rPr>
          <w:rFonts w:ascii="times new roman;times" w:hAnsi="times new roman;times"/>
          <w:sz w:val="20"/>
        </w:rPr>
        <w:t>’</w:t>
      </w:r>
      <w:r>
        <w:rPr>
          <w:rFonts w:ascii="Times New Roman" w:hAnsi="Times New Roman"/>
          <w:sz w:val="20"/>
        </w:rPr>
        <w:t>s vendors, customers or third parties, (ix) any accrued and unpaid Taxes of Parent for any Pre-Closing Period, whether due before, on or after the Closing Date, (x) any Deferred Payroll Taxes and (xi) any Liability of other Persons of the type described in the preceding clauses (i)-(x) that Parent has guaranteed, that is recourse to Parent or any of its assets, or that is otherwise the legal Liability of Parent. Notwithstanding the foregoing, in no case shall Parent Debt include any costs or expenses, including attorney</w:t>
      </w:r>
      <w:r>
        <w:rPr>
          <w:rFonts w:ascii="times new roman;times" w:hAnsi="times new roman;times"/>
          <w:sz w:val="20"/>
        </w:rPr>
        <w:t>’</w:t>
      </w:r>
      <w:r>
        <w:rPr>
          <w:rFonts w:ascii="Times New Roman" w:hAnsi="Times New Roman"/>
          <w:sz w:val="20"/>
        </w:rPr>
        <w:t>s fees or settlement costs, incurred in connection with any Transaction Litigation. For purposes of clarity, any liabilities or obligations that reduce the calculation of Parent Net Cash as of the Closing Date shall not also be included in the definition of Parent Debt as of the Closing Date.</w:t>
      </w:r>
    </w:p>
    <w:p>
      <w:pPr>
        <w:pStyle w:val="TextBody"/>
        <w:bidi w:val="0"/>
        <w:spacing w:lineRule="auto" w:line="288" w:before="0" w:after="200"/>
        <w:ind w:left="0" w:right="0" w:firstLine="720"/>
        <w:jc w:val="left"/>
        <w:rPr/>
      </w:pPr>
      <w:r>
        <w:rPr/>
        <w:t>“</w:t>
      </w:r>
      <w:r>
        <w:rPr>
          <w:rFonts w:ascii="Times New Roman" w:hAnsi="Times New Roman"/>
          <w:b/>
          <w:i/>
          <w:sz w:val="20"/>
        </w:rPr>
        <w:t>Parent Disclosure Schedule</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Article 3</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Employee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3.12(a)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Equity Incentive Plan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5.5(b)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IP Rights</w:t>
      </w:r>
      <w:r>
        <w:rPr>
          <w:rFonts w:ascii="times new roman;times" w:hAnsi="times new roman;times"/>
          <w:sz w:val="20"/>
        </w:rPr>
        <w:t xml:space="preserve">” </w:t>
      </w:r>
      <w:r>
        <w:rPr>
          <w:rFonts w:ascii="Times New Roman" w:hAnsi="Times New Roman"/>
          <w:sz w:val="20"/>
        </w:rPr>
        <w:t>shall mean (A) any and all Intellectual Property used in the conduct of the business of Parent; and (B) any and all Parent-Owned IP Rights.</w:t>
      </w:r>
    </w:p>
    <w:p>
      <w:pPr>
        <w:pStyle w:val="TextBody"/>
        <w:bidi w:val="0"/>
        <w:spacing w:lineRule="auto" w:line="288" w:before="0" w:after="200"/>
        <w:ind w:left="0" w:right="0" w:firstLine="720"/>
        <w:jc w:val="left"/>
        <w:rPr/>
      </w:pPr>
      <w:r>
        <w:rPr/>
        <w:t>“</w:t>
      </w:r>
      <w:r>
        <w:rPr>
          <w:rFonts w:ascii="Times New Roman" w:hAnsi="Times New Roman"/>
          <w:b/>
          <w:i/>
          <w:sz w:val="20"/>
        </w:rPr>
        <w:t>Parent Material Adverse Effect</w:t>
      </w:r>
      <w:r>
        <w:rPr>
          <w:rFonts w:ascii="times new roman;times" w:hAnsi="times new roman;times"/>
          <w:sz w:val="20"/>
        </w:rPr>
        <w:t xml:space="preserve">” </w:t>
      </w:r>
      <w:r>
        <w:rPr>
          <w:rFonts w:ascii="Times New Roman" w:hAnsi="Times New Roman"/>
          <w:sz w:val="20"/>
        </w:rPr>
        <w:t>means any change, effect, event, occurrence, state of facts or development that, individually or in the aggregate, has had or would reasonably be expected to have a material adverse effect on (a) the business, assets, liabilities, financial condition or results of operations of Parent and the Parent Subsidiaries, taken as a whole, or (b) Parent</w:t>
      </w:r>
      <w:r>
        <w:rPr>
          <w:rFonts w:ascii="times new roman;times" w:hAnsi="times new roman;times"/>
          <w:sz w:val="20"/>
        </w:rPr>
        <w:t>’</w:t>
      </w:r>
      <w:r>
        <w:rPr>
          <w:rFonts w:ascii="Times New Roman" w:hAnsi="Times New Roman"/>
          <w:sz w:val="20"/>
        </w:rPr>
        <w:t>s ability to consummate the Contemplated Transactions, including the effectiveness of the Registration Statement, the listing of the shares issuable in the Contemplated Transactions on Nasdaq and the valid issuance of the Consideration Shares and any Financing shares; provided, however, that the exclusions and disproportionate impact exception applicable to Company Material Adverse Effect shall apply mutatis mutandis to this definition.</w:t>
      </w:r>
    </w:p>
    <w:p>
      <w:pPr>
        <w:pStyle w:val="TextBody"/>
        <w:bidi w:val="0"/>
        <w:spacing w:lineRule="auto" w:line="288" w:before="0" w:after="200"/>
        <w:ind w:left="0" w:right="0" w:firstLine="720"/>
        <w:jc w:val="left"/>
        <w:rPr/>
      </w:pPr>
      <w:r>
        <w:rPr/>
        <w:t>“</w:t>
      </w:r>
      <w:r>
        <w:rPr>
          <w:rFonts w:ascii="Times New Roman" w:hAnsi="Times New Roman"/>
          <w:b/>
          <w:i/>
          <w:sz w:val="20"/>
        </w:rPr>
        <w:t>Parent Material Contract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3.7(p)</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Net Cash</w:t>
      </w:r>
      <w:r>
        <w:rPr>
          <w:rFonts w:ascii="times new roman;times" w:hAnsi="times new roman;times"/>
          <w:sz w:val="20"/>
        </w:rPr>
        <w:t xml:space="preserve">” </w:t>
      </w:r>
      <w:r>
        <w:rPr>
          <w:rFonts w:ascii="Times New Roman" w:hAnsi="Times New Roman"/>
          <w:sz w:val="20"/>
        </w:rPr>
        <w:t>means, as of the Closing, an amount equal to (a) the consolidated cash and cash equivalents of Parent and the Parent Subsidiaries, determined in accordance with GAAP, minus (b) Parent Debt and Parent Transaction Expenses, in each case as of immediately prior to the Closing and calculated without duplication. For the avoidance of doubt, no item shall be counted more than once in calculating Parent Net Cash.</w:t>
      </w:r>
    </w:p>
    <w:p>
      <w:pPr>
        <w:pStyle w:val="TextBody"/>
        <w:bidi w:val="0"/>
        <w:spacing w:lineRule="auto" w:line="288" w:before="0" w:after="200"/>
        <w:ind w:left="0" w:right="0" w:firstLine="720"/>
        <w:jc w:val="left"/>
        <w:rPr/>
      </w:pPr>
      <w:r>
        <w:rPr/>
        <w:t>“</w:t>
      </w:r>
      <w:r>
        <w:rPr>
          <w:rFonts w:ascii="Times New Roman" w:hAnsi="Times New Roman"/>
          <w:b/>
          <w:i/>
          <w:sz w:val="20"/>
        </w:rPr>
        <w:t>Parent Net Cash Requirement</w:t>
      </w:r>
      <w:r>
        <w:rPr>
          <w:rFonts w:ascii="times new roman;times" w:hAnsi="times new roman;times"/>
          <w:sz w:val="20"/>
        </w:rPr>
        <w:t xml:space="preserve">” </w:t>
      </w:r>
      <w:r>
        <w:rPr>
          <w:rFonts w:ascii="Times New Roman" w:hAnsi="Times New Roman"/>
          <w:sz w:val="20"/>
        </w:rPr>
        <w:t>means that Parent Net Cash, determined immediately prior to the Closing and excluding the net proceeds of the Financing, shall be not less than $50,000.</w:t>
      </w:r>
    </w:p>
    <w:p>
      <w:pPr>
        <w:pStyle w:val="TextBody"/>
        <w:bidi w:val="0"/>
        <w:spacing w:lineRule="auto" w:line="288" w:before="0" w:after="200"/>
        <w:ind w:left="0" w:right="0" w:firstLine="720"/>
        <w:jc w:val="left"/>
        <w:rPr/>
      </w:pPr>
      <w:r>
        <w:rPr/>
        <w:t>“</w:t>
      </w:r>
      <w:r>
        <w:rPr>
          <w:rFonts w:ascii="Times New Roman" w:hAnsi="Times New Roman"/>
          <w:b/>
          <w:i/>
          <w:sz w:val="20"/>
        </w:rPr>
        <w:t>Parent Options</w:t>
      </w:r>
      <w:r>
        <w:rPr>
          <w:rFonts w:ascii="times new roman;times" w:hAnsi="times new roman;times"/>
          <w:sz w:val="20"/>
        </w:rPr>
        <w:t xml:space="preserve">” </w:t>
      </w:r>
      <w:r>
        <w:rPr>
          <w:rFonts w:ascii="Times New Roman" w:hAnsi="Times New Roman"/>
          <w:sz w:val="20"/>
        </w:rPr>
        <w:t>shall mean options to purchase shares of Parent Common Stock issued or granted by Parent.</w:t>
      </w:r>
    </w:p>
    <w:p>
      <w:pPr>
        <w:pStyle w:val="TextBody"/>
        <w:bidi w:val="0"/>
        <w:spacing w:lineRule="auto" w:line="288" w:before="0" w:after="0"/>
        <w:ind w:left="0" w:right="0" w:firstLine="720"/>
        <w:jc w:val="left"/>
        <w:rPr/>
      </w:pPr>
      <w:r>
        <w:rPr/>
        <w:t>“</w:t>
      </w:r>
      <w:r>
        <w:rPr>
          <w:rFonts w:ascii="Times New Roman" w:hAnsi="Times New Roman"/>
          <w:b/>
          <w:i/>
          <w:sz w:val="20"/>
        </w:rPr>
        <w:t>Parent-Owned IP Rights</w:t>
      </w:r>
      <w:r>
        <w:rPr>
          <w:rFonts w:ascii="times new roman;times" w:hAnsi="times new roman;times"/>
          <w:sz w:val="20"/>
        </w:rPr>
        <w:t xml:space="preserve">” </w:t>
      </w:r>
      <w:r>
        <w:rPr>
          <w:rFonts w:ascii="Times New Roman" w:hAnsi="Times New Roman"/>
          <w:sz w:val="20"/>
        </w:rPr>
        <w:t>shall mean any and all Intellectual Property owned (or purported to be owned) by Parent or any of its Subsidiaries.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3.9(b)</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Product Candidates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Registered Intellectual Property</w:t>
      </w:r>
      <w:r>
        <w:rPr>
          <w:rFonts w:ascii="times new roman;times" w:hAnsi="times new roman;times"/>
          <w:sz w:val="20"/>
        </w:rPr>
        <w:t xml:space="preserve">” </w:t>
      </w:r>
      <w:r>
        <w:rPr>
          <w:rFonts w:ascii="Times New Roman" w:hAnsi="Times New Roman"/>
          <w:sz w:val="20"/>
        </w:rPr>
        <w:t>shall mean all United States, international and foreign: (A) patents and patent applications (including provisional applications), (B) registered trademarks, applications to register trademarks, intent-to-use applications, or other registrations or applications related to trademarks, (C) registered Internet domain names, (D) registered copyrights and applications for copyright registration and (E) any other Intellectual Property that is the subject of an application, certificate, filing, registration or other document issued, filed with, or recorded by any governmental authority owned by, registered or filed in the name of, Parent or any of its Subsidiaries.</w:t>
      </w:r>
    </w:p>
    <w:p>
      <w:pPr>
        <w:pStyle w:val="TextBody"/>
        <w:bidi w:val="0"/>
        <w:spacing w:lineRule="auto" w:line="288" w:before="0" w:after="200"/>
        <w:ind w:left="0" w:right="0" w:firstLine="720"/>
        <w:jc w:val="left"/>
        <w:rPr/>
      </w:pPr>
      <w:r>
        <w:rPr/>
        <w:t>“</w:t>
      </w:r>
      <w:r>
        <w:rPr>
          <w:rFonts w:ascii="Times New Roman" w:hAnsi="Times New Roman"/>
          <w:b/>
          <w:i/>
          <w:sz w:val="20"/>
        </w:rPr>
        <w:t>Parent Regulatory Permits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3.9(d)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RSA</w:t>
      </w:r>
      <w:r>
        <w:rPr>
          <w:rFonts w:ascii="times new roman;times" w:hAnsi="times new roman;times"/>
          <w:sz w:val="20"/>
        </w:rPr>
        <w:t xml:space="preserve">” </w:t>
      </w:r>
      <w:r>
        <w:rPr>
          <w:rFonts w:ascii="Times New Roman" w:hAnsi="Times New Roman"/>
          <w:sz w:val="20"/>
        </w:rPr>
        <w:t>shall mean a restricted stock award of Parent.</w:t>
      </w:r>
    </w:p>
    <w:p>
      <w:pPr>
        <w:pStyle w:val="TextBody"/>
        <w:bidi w:val="0"/>
        <w:spacing w:lineRule="auto" w:line="288" w:before="0" w:after="200"/>
        <w:ind w:left="0" w:right="0" w:firstLine="720"/>
        <w:jc w:val="left"/>
        <w:rPr/>
      </w:pPr>
      <w:r>
        <w:rPr/>
        <w:t>“</w:t>
      </w:r>
      <w:r>
        <w:rPr>
          <w:rFonts w:ascii="Times New Roman" w:hAnsi="Times New Roman"/>
          <w:b/>
          <w:i/>
          <w:sz w:val="20"/>
        </w:rPr>
        <w:t>Parent RSU</w:t>
      </w:r>
      <w:r>
        <w:rPr>
          <w:rFonts w:ascii="times new roman;times" w:hAnsi="times new roman;times"/>
          <w:sz w:val="20"/>
        </w:rPr>
        <w:t xml:space="preserve">” </w:t>
      </w:r>
      <w:r>
        <w:rPr>
          <w:rFonts w:ascii="Times New Roman" w:hAnsi="Times New Roman"/>
          <w:sz w:val="20"/>
        </w:rPr>
        <w:t>shall mean a restricted stock unit of Parent.</w:t>
      </w:r>
    </w:p>
    <w:p>
      <w:pPr>
        <w:pStyle w:val="TextBody"/>
        <w:bidi w:val="0"/>
        <w:spacing w:lineRule="auto" w:line="288" w:before="0" w:after="200"/>
        <w:ind w:left="0" w:right="0" w:firstLine="720"/>
        <w:jc w:val="left"/>
        <w:rPr/>
      </w:pPr>
      <w:r>
        <w:rPr>
          <w:spacing w:val="1"/>
        </w:rPr>
        <w:t>“</w:t>
      </w:r>
      <w:r>
        <w:rPr>
          <w:rFonts w:ascii="Times New Roman" w:hAnsi="Times New Roman"/>
          <w:b/>
          <w:i/>
          <w:spacing w:val="1"/>
          <w:sz w:val="20"/>
        </w:rPr>
        <w:t>Parent</w:t>
      </w:r>
      <w:r>
        <w:rPr>
          <w:rFonts w:ascii="times new roman;times" w:hAnsi="times new roman;times"/>
          <w:spacing w:val="1"/>
          <w:sz w:val="20"/>
        </w:rPr>
        <w:t xml:space="preserve"> </w:t>
      </w:r>
      <w:r>
        <w:rPr>
          <w:rFonts w:ascii="Times New Roman" w:hAnsi="Times New Roman"/>
          <w:b/>
          <w:i/>
          <w:spacing w:val="1"/>
          <w:sz w:val="20"/>
        </w:rPr>
        <w:t>Schedule 14C</w:t>
      </w:r>
      <w:r>
        <w:rPr>
          <w:rFonts w:ascii="times new roman;times" w:hAnsi="times new roman;times"/>
          <w:spacing w:val="1"/>
          <w:sz w:val="20"/>
        </w:rPr>
        <w: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5.1(b)</w:t>
      </w:r>
      <w:r>
        <w:rPr>
          <w:rFonts w:ascii="Times New Roman" w:hAnsi="Times New Roman"/>
          <w:spacing w:val="1"/>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SEC Documents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Parent Stockholder Proposals</w:t>
      </w:r>
      <w:r>
        <w:rPr>
          <w:rFonts w:ascii="times new roman;times" w:hAnsi="times new roman;times"/>
          <w:sz w:val="20"/>
        </w:rPr>
        <w:t xml:space="preserve">” </w:t>
      </w:r>
      <w:r>
        <w:rPr>
          <w:rFonts w:ascii="Times New Roman" w:hAnsi="Times New Roman"/>
          <w:sz w:val="20"/>
        </w:rPr>
        <w:t>means the proposals required to be submitted to Parent</w:t>
      </w:r>
      <w:r>
        <w:rPr>
          <w:rFonts w:ascii="times new roman;times" w:hAnsi="times new roman;times"/>
          <w:sz w:val="20"/>
        </w:rPr>
        <w:t>’</w:t>
      </w:r>
      <w:r>
        <w:rPr>
          <w:rFonts w:ascii="Times New Roman" w:hAnsi="Times New Roman"/>
          <w:sz w:val="20"/>
        </w:rPr>
        <w:t>s stockholders for approval in connection with the Contemplated Transactions, including (a) the approval of the issuance of the Consideration Shares to Seller, (b) the approval of the Financing and any shares of Parent Common Stock issuable in connection therewith to the extent required by applicable Law, Nasdaq rules or Parent</w:t>
      </w:r>
      <w:r>
        <w:rPr>
          <w:rFonts w:ascii="times new roman;times" w:hAnsi="times new roman;times"/>
          <w:sz w:val="20"/>
        </w:rPr>
        <w:t>’</w:t>
      </w:r>
      <w:r>
        <w:rPr>
          <w:rFonts w:ascii="Times New Roman" w:hAnsi="Times New Roman"/>
          <w:sz w:val="20"/>
        </w:rPr>
        <w:t xml:space="preserve">s Organizational Documents, (c) the approval of the Reverse Split, if submitted pursuant to this Agreement, (d) the approval of the Equity Moratorium provisions set forth in </w:t>
      </w:r>
      <w:r>
        <w:rPr>
          <w:rFonts w:ascii="Times New Roman" w:hAnsi="Times New Roman"/>
          <w:sz w:val="20"/>
          <w:u w:val="single"/>
        </w:rPr>
        <w:t>Section 5.23</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 if required, approval of the Parent Equity Incentive Plan and the Permitted Option Closing Grant,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 any other proposal expressly required by this Agreement, applicable Law, Nasdaq rules or Parent</w:t>
      </w:r>
      <w:r>
        <w:rPr>
          <w:rFonts w:ascii="times new roman;times" w:hAnsi="times new roman;times"/>
          <w:sz w:val="20"/>
        </w:rPr>
        <w:t>’</w:t>
      </w:r>
      <w:r>
        <w:rPr>
          <w:rFonts w:ascii="Times New Roman" w:hAnsi="Times New Roman"/>
          <w:sz w:val="20"/>
        </w:rPr>
        <w:t>s Organizational Documents to consummate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Parent Subsidiaries</w:t>
      </w:r>
      <w:r>
        <w:rPr>
          <w:rFonts w:ascii="times new roman;times" w:hAnsi="times new roman;times"/>
          <w:sz w:val="20"/>
        </w:rPr>
        <w:t xml:space="preserve">” </w:t>
      </w:r>
      <w:r>
        <w:rPr>
          <w:rFonts w:ascii="Times New Roman" w:hAnsi="Times New Roman"/>
          <w:sz w:val="20"/>
        </w:rPr>
        <w:t>means any Subsidiary of Parent.</w:t>
      </w:r>
    </w:p>
    <w:p>
      <w:pPr>
        <w:pStyle w:val="TextBody"/>
        <w:bidi w:val="0"/>
        <w:spacing w:lineRule="auto" w:line="288" w:before="0" w:after="200"/>
        <w:ind w:left="0" w:right="0" w:firstLine="720"/>
        <w:jc w:val="left"/>
        <w:rPr/>
      </w:pPr>
      <w:r>
        <w:rPr/>
        <w:t>“</w:t>
      </w:r>
      <w:r>
        <w:rPr>
          <w:rFonts w:ascii="Times New Roman" w:hAnsi="Times New Roman"/>
          <w:b/>
          <w:i/>
          <w:sz w:val="20"/>
        </w:rPr>
        <w:t>Parent Transaction Expenses</w:t>
      </w:r>
      <w:r>
        <w:rPr>
          <w:rFonts w:ascii="times new roman;times" w:hAnsi="times new roman;times"/>
          <w:sz w:val="20"/>
        </w:rPr>
        <w:t xml:space="preserve">” </w:t>
      </w:r>
      <w:r>
        <w:rPr>
          <w:rFonts w:ascii="Times New Roman" w:hAnsi="Times New Roman"/>
          <w:sz w:val="20"/>
        </w:rPr>
        <w:t xml:space="preserve">means all fees and expenses incurred by Parent in connection with the Contemplated Transactions and this Agreement and the transactions contemplated by this Agreement, including as set forth in </w:t>
      </w:r>
      <w:r>
        <w:rPr>
          <w:rFonts w:ascii="Times New Roman" w:hAnsi="Times New Roman"/>
          <w:sz w:val="20"/>
          <w:u w:val="single"/>
        </w:rPr>
        <w:t>Section 9.3</w:t>
      </w:r>
      <w:r>
        <w:rPr>
          <w:rFonts w:ascii="times new roman;times" w:hAnsi="times new roman;times"/>
          <w:sz w:val="20"/>
        </w:rPr>
        <w:t xml:space="preserve"> </w:t>
      </w:r>
      <w:r>
        <w:rPr>
          <w:rFonts w:ascii="Times New Roman" w:hAnsi="Times New Roman"/>
          <w:sz w:val="20"/>
        </w:rPr>
        <w:t xml:space="preserve">and including the Filing Fees, whether or not billed or accrued (including any documented fees and expenses of legal counsel and accountants, the maximum amount of fees and expenses payable to financial advisors, investment bankers, brokers, consultants and other advisors of Parent and the Parent Subsidiaries notwithstanding any contingencies for earn outs or escrows and any unpaid amounts payable by Parent in satisfaction of its obligations under </w:t>
      </w:r>
      <w:r>
        <w:rPr>
          <w:rFonts w:ascii="Times New Roman" w:hAnsi="Times New Roman"/>
          <w:sz w:val="20"/>
          <w:u w:val="single"/>
        </w:rPr>
        <w:t>Section 5.6(c)</w:t>
      </w:r>
      <w:r>
        <w:rPr>
          <w:rFonts w:ascii="times new roman;times" w:hAnsi="times new roman;times"/>
          <w:sz w:val="20"/>
        </w:rPr>
        <w:t xml:space="preserve"> </w:t>
      </w:r>
      <w:r>
        <w:rPr>
          <w:rFonts w:ascii="Times New Roman" w:hAnsi="Times New Roman"/>
          <w:sz w:val="20"/>
        </w:rPr>
        <w:t>for the period after the Closing).</w:t>
      </w:r>
    </w:p>
    <w:p>
      <w:pPr>
        <w:pStyle w:val="TextBody"/>
        <w:bidi w:val="0"/>
        <w:spacing w:lineRule="auto" w:line="288" w:before="0" w:after="200"/>
        <w:ind w:left="0" w:right="0" w:firstLine="720"/>
        <w:jc w:val="left"/>
        <w:rPr/>
      </w:pPr>
      <w:r>
        <w:rPr/>
        <w:t>“</w:t>
      </w:r>
      <w:r>
        <w:rPr>
          <w:rFonts w:ascii="Times New Roman" w:hAnsi="Times New Roman"/>
          <w:b/>
          <w:i/>
          <w:sz w:val="20"/>
        </w:rPr>
        <w:t>Parent Unaudited Interim Balance Sheet</w:t>
      </w:r>
      <w:r>
        <w:rPr>
          <w:rFonts w:ascii="times new roman;times" w:hAnsi="times new roman;times"/>
          <w:sz w:val="20"/>
        </w:rPr>
        <w:t xml:space="preserve">” </w:t>
      </w:r>
      <w:r>
        <w:rPr>
          <w:rFonts w:ascii="Times New Roman" w:hAnsi="Times New Roman"/>
          <w:sz w:val="20"/>
        </w:rPr>
        <w:t>means the most recent unaudited consolidated balance sheet of Parent included in Parent</w:t>
      </w:r>
      <w:r>
        <w:rPr>
          <w:rFonts w:ascii="times new roman;times" w:hAnsi="times new roman;times"/>
          <w:sz w:val="20"/>
        </w:rPr>
        <w:t>’</w:t>
      </w:r>
      <w:r>
        <w:rPr>
          <w:rFonts w:ascii="Times New Roman" w:hAnsi="Times New Roman"/>
          <w:sz w:val="20"/>
        </w:rPr>
        <w:t>s SEC Documents.</w:t>
      </w:r>
    </w:p>
    <w:p>
      <w:pPr>
        <w:pStyle w:val="TextBody"/>
        <w:bidi w:val="0"/>
        <w:spacing w:lineRule="auto" w:line="288" w:before="0" w:after="0"/>
        <w:ind w:left="0" w:right="0" w:firstLine="720"/>
        <w:jc w:val="left"/>
        <w:rPr/>
      </w:pPr>
      <w:r>
        <w:rPr/>
        <w:t>“</w:t>
      </w:r>
      <w:r>
        <w:rPr>
          <w:rFonts w:ascii="Times New Roman" w:hAnsi="Times New Roman"/>
          <w:b/>
          <w:i/>
          <w:sz w:val="20"/>
        </w:rPr>
        <w:t>Parent Voting Agreements</w:t>
      </w:r>
      <w:r>
        <w:rPr>
          <w:rFonts w:ascii="times new roman;times" w:hAnsi="times new roman;times"/>
          <w:sz w:val="20"/>
        </w:rPr>
        <w:t xml:space="preserve">” </w:t>
      </w:r>
      <w:r>
        <w:rPr>
          <w:rFonts w:ascii="Times New Roman" w:hAnsi="Times New Roman"/>
          <w:sz w:val="20"/>
        </w:rPr>
        <w:t>shall have the meaning set forth in the recitals.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Parent Warrants</w:t>
      </w:r>
      <w:r>
        <w:rPr>
          <w:rFonts w:ascii="times new roman;times" w:hAnsi="times new roman;times"/>
          <w:sz w:val="20"/>
        </w:rPr>
        <w:t xml:space="preserve">” </w:t>
      </w:r>
      <w:r>
        <w:rPr>
          <w:rFonts w:ascii="Times New Roman" w:hAnsi="Times New Roman"/>
          <w:sz w:val="20"/>
        </w:rPr>
        <w:t xml:space="preserve">shall mean all warrants, whether or not currently exercisable, to purchase or otherwise acquire shares of Parent Common Stock or other Parent Capital Stock, including all warrants identified in Part 3.3(b) of the Parent Disclosure Schedule, together with all rights, privileges and obligations attaching thereto pursuant to the terms of the instruments or agreements evidencing such warrants. For the avoidance of doubt, </w:t>
      </w:r>
      <w:r>
        <w:rPr>
          <w:rFonts w:ascii="times new roman;times" w:hAnsi="times new roman;times"/>
          <w:sz w:val="20"/>
        </w:rPr>
        <w:t>“</w:t>
      </w:r>
      <w:r>
        <w:rPr>
          <w:rFonts w:ascii="Times New Roman" w:hAnsi="Times New Roman"/>
          <w:sz w:val="20"/>
        </w:rPr>
        <w:t>Parent Warrants</w:t>
      </w:r>
      <w:r>
        <w:rPr>
          <w:rFonts w:ascii="times new roman;times" w:hAnsi="times new roman;times"/>
          <w:sz w:val="20"/>
        </w:rPr>
        <w:t xml:space="preserve">” </w:t>
      </w:r>
      <w:r>
        <w:rPr>
          <w:rFonts w:ascii="Times New Roman" w:hAnsi="Times New Roman"/>
          <w:sz w:val="20"/>
        </w:rPr>
        <w:t xml:space="preserve">shall include any warrant or similar right to acquire Parent Capital Stock or other securities of Parent or any Parent Subsidiary that is outstanding as of the date of this Agreement or that is issued after the date of this Agreement in accordance with the terms of this Agreement. As contemplated by </w:t>
      </w:r>
      <w:r>
        <w:rPr>
          <w:rFonts w:ascii="Times New Roman" w:hAnsi="Times New Roman"/>
          <w:sz w:val="20"/>
          <w:u w:val="single"/>
        </w:rPr>
        <w:t>Section 3.3(b)</w:t>
      </w:r>
      <w:r>
        <w:rPr>
          <w:rFonts w:ascii="Times New Roman" w:hAnsi="Times New Roman"/>
          <w:sz w:val="20"/>
        </w:rPr>
        <w:t>, Part 3.3(b) of the Parent Disclosure Schedule sets forth a true, correct and complete list of all outstanding Parent Warrants, together with the holder, the number or amount outstanding, the exercise or conversion price, if any, and the treatment of each such security in connection with the Contemplated Transactions, if applicable.</w:t>
      </w:r>
      <w:r>
        <w:rPr>
          <w:rFonts w:ascii="times new roman;times" w:hAnsi="times new roman;times"/>
          <w:sz w:val="20"/>
        </w:rPr>
        <w:t xml:space="preserve"> </w:t>
      </w:r>
      <w:r>
        <w:rPr>
          <w:rFonts w:ascii="Times New Roman" w:hAnsi="Times New Roman"/>
          <w:sz w:val="20"/>
        </w:rPr>
        <w:t xml:space="preserve">For the avoidance of doubt, Financing Warrants are </w:t>
      </w:r>
      <w:r>
        <w:rPr>
          <w:rFonts w:ascii="times new roman;times" w:hAnsi="times new roman;times"/>
          <w:sz w:val="20"/>
        </w:rPr>
        <w:t>“</w:t>
      </w:r>
      <w:r>
        <w:rPr>
          <w:rFonts w:ascii="Times New Roman" w:hAnsi="Times New Roman"/>
          <w:sz w:val="20"/>
        </w:rPr>
        <w:t>Parent Warrants</w:t>
      </w:r>
      <w:r>
        <w:rPr>
          <w:rFonts w:ascii="times new roman;times" w:hAnsi="times new roman;times"/>
          <w:sz w:val="20"/>
        </w:rPr>
        <w:t xml:space="preserve">” </w:t>
      </w:r>
      <w:r>
        <w:rPr>
          <w:rFonts w:ascii="Times New Roman" w:hAnsi="Times New Roman"/>
          <w:sz w:val="20"/>
        </w:rPr>
        <w:t xml:space="preserve">for purposes of this Agreement and the shares of Parent Common Stock issuable upon exercise thereof are </w:t>
      </w:r>
      <w:r>
        <w:rPr>
          <w:rFonts w:ascii="times new roman;times" w:hAnsi="times new roman;times"/>
          <w:sz w:val="20"/>
        </w:rPr>
        <w:t>“</w:t>
      </w:r>
      <w:r>
        <w:rPr>
          <w:rFonts w:ascii="Times New Roman" w:hAnsi="Times New Roman"/>
          <w:sz w:val="20"/>
        </w:rPr>
        <w:t>Permitted Equity Issuances</w:t>
      </w:r>
      <w:r>
        <w:rPr>
          <w:rFonts w:ascii="times new roman;times" w:hAnsi="times new roman;times"/>
          <w:sz w:val="20"/>
        </w:rPr>
        <w:t xml:space="preserve">” </w:t>
      </w:r>
      <w:r>
        <w:rPr>
          <w:rFonts w:ascii="Times New Roman" w:hAnsi="Times New Roman"/>
          <w:sz w:val="20"/>
        </w:rPr>
        <w:t xml:space="preserve">under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Party</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b/>
          <w:i/>
          <w:sz w:val="20"/>
        </w:rPr>
        <w:t>Parties</w:t>
      </w:r>
      <w:r>
        <w:rPr>
          <w:rFonts w:ascii="times new roman;times" w:hAnsi="times new roman;times"/>
          <w:sz w:val="20"/>
        </w:rPr>
        <w:t xml:space="preserve">” </w:t>
      </w:r>
      <w:r>
        <w:rPr>
          <w:rFonts w:ascii="Times New Roman" w:hAnsi="Times New Roman"/>
          <w:sz w:val="20"/>
        </w:rPr>
        <w:t>shall mean the Company, Merger Sub, Seller</w:t>
      </w:r>
      <w:r>
        <w:rPr>
          <w:rFonts w:ascii="times new roman;times" w:hAnsi="times new roman;times"/>
          <w:sz w:val="20"/>
        </w:rPr>
        <w:t xml:space="preserve"> </w:t>
      </w:r>
      <w:r>
        <w:rPr>
          <w:rFonts w:ascii="Times New Roman" w:hAnsi="Times New Roman"/>
          <w:sz w:val="20"/>
        </w:rPr>
        <w:t>and Parent, except where so indicated.</w:t>
      </w:r>
    </w:p>
    <w:p>
      <w:pPr>
        <w:pStyle w:val="TextBody"/>
        <w:bidi w:val="0"/>
        <w:spacing w:lineRule="auto" w:line="288" w:before="0" w:after="200"/>
        <w:ind w:left="0" w:right="0" w:firstLine="720"/>
        <w:jc w:val="left"/>
        <w:rPr/>
      </w:pPr>
      <w:r>
        <w:rPr/>
        <w:t>“</w:t>
      </w:r>
      <w:r>
        <w:rPr>
          <w:rFonts w:ascii="Times New Roman" w:hAnsi="Times New Roman"/>
          <w:b/>
          <w:i/>
          <w:sz w:val="20"/>
        </w:rPr>
        <w:t>Paying Party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Permitted Closing Option Grant</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5.5</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Permitted Encumbrances</w:t>
      </w:r>
      <w:r>
        <w:rPr>
          <w:rFonts w:ascii="times new roman;times" w:hAnsi="times new roman;times"/>
          <w:sz w:val="20"/>
        </w:rPr>
        <w:t xml:space="preserve">” </w:t>
      </w:r>
      <w:r>
        <w:rPr>
          <w:rFonts w:ascii="Times New Roman" w:hAnsi="Times New Roman"/>
          <w:sz w:val="20"/>
        </w:rPr>
        <w:t>means (a) statutory liens for current Taxes not yet due and payable or being contested in good faith and for which adequate reserves have been established in accordance with GAAP, (b) mechanics</w:t>
      </w:r>
      <w:r>
        <w:rPr>
          <w:rFonts w:ascii="times new roman;times" w:hAnsi="times new roman;times"/>
          <w:sz w:val="20"/>
        </w:rPr>
        <w:t>’</w:t>
      </w:r>
      <w:r>
        <w:rPr>
          <w:rFonts w:ascii="Times New Roman" w:hAnsi="Times New Roman"/>
          <w:sz w:val="20"/>
        </w:rPr>
        <w:t>, carriers</w:t>
      </w:r>
      <w:r>
        <w:rPr>
          <w:rFonts w:ascii="times new roman;times" w:hAnsi="times new roman;times"/>
          <w:sz w:val="20"/>
        </w:rPr>
        <w:t>’</w:t>
      </w:r>
      <w:r>
        <w:rPr>
          <w:rFonts w:ascii="Times New Roman" w:hAnsi="Times New Roman"/>
          <w:sz w:val="20"/>
        </w:rPr>
        <w:t>, warehousemen</w:t>
      </w:r>
      <w:r>
        <w:rPr>
          <w:rFonts w:ascii="times new roman;times" w:hAnsi="times new roman;times"/>
          <w:sz w:val="20"/>
        </w:rPr>
        <w:t>’</w:t>
      </w:r>
      <w:r>
        <w:rPr>
          <w:rFonts w:ascii="Times New Roman" w:hAnsi="Times New Roman"/>
          <w:sz w:val="20"/>
        </w:rPr>
        <w:t>s, landlords</w:t>
      </w:r>
      <w:r>
        <w:rPr>
          <w:rFonts w:ascii="times new roman;times" w:hAnsi="times new roman;times"/>
          <w:sz w:val="20"/>
        </w:rPr>
        <w:t xml:space="preserve">’ </w:t>
      </w:r>
      <w:r>
        <w:rPr>
          <w:rFonts w:ascii="Times New Roman" w:hAnsi="Times New Roman"/>
          <w:sz w:val="20"/>
        </w:rPr>
        <w:t>and similar statutory liens arising in the Ordinary Course of Business for amounts not yet due and payable or being contested in good faith, (c) zoning, entitlement, conservation restriction and other land use and similar restrictions that do not materially impair current use, (d) non-exclusive licenses of Intellectual Property granted in the Ordinary Course of Business, and (e) such other Encumbrances as do not, individually or in the aggregate, materially impair the value, use or operation of the applicable asset.</w:t>
      </w:r>
    </w:p>
    <w:p>
      <w:pPr>
        <w:pStyle w:val="TextBody"/>
        <w:bidi w:val="0"/>
        <w:spacing w:lineRule="auto" w:line="288" w:before="0" w:after="200"/>
        <w:ind w:left="0" w:right="0" w:firstLine="720"/>
        <w:jc w:val="left"/>
        <w:rPr/>
      </w:pPr>
      <w:r>
        <w:rPr/>
        <w:t>“</w:t>
      </w:r>
      <w:r>
        <w:rPr>
          <w:rFonts w:ascii="Times New Roman" w:hAnsi="Times New Roman"/>
          <w:b/>
          <w:i/>
          <w:sz w:val="20"/>
        </w:rPr>
        <w:t>Permitted Equity Issuances</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Person</w:t>
      </w:r>
      <w:r>
        <w:rPr>
          <w:rFonts w:ascii="times new roman;times" w:hAnsi="times new roman;times"/>
          <w:sz w:val="20"/>
        </w:rPr>
        <w:t xml:space="preserve">” </w:t>
      </w:r>
      <w:r>
        <w:rPr>
          <w:rFonts w:ascii="Times New Roman" w:hAnsi="Times New Roman"/>
          <w:sz w:val="20"/>
        </w:rPr>
        <w:t>shall mean any individual, Entity or Governmental Body.</w:t>
      </w:r>
    </w:p>
    <w:p>
      <w:pPr>
        <w:pStyle w:val="TextBody"/>
        <w:bidi w:val="0"/>
        <w:spacing w:lineRule="auto" w:line="288" w:before="0" w:after="200"/>
        <w:ind w:left="0" w:right="0" w:firstLine="720"/>
        <w:jc w:val="left"/>
        <w:rPr/>
      </w:pPr>
      <w:r>
        <w:rPr/>
        <w:t>“</w:t>
      </w:r>
      <w:r>
        <w:rPr>
          <w:rFonts w:ascii="Times New Roman" w:hAnsi="Times New Roman"/>
          <w:b/>
          <w:i/>
          <w:sz w:val="20"/>
        </w:rPr>
        <w:t>Personal Information</w:t>
      </w:r>
      <w:r>
        <w:rPr>
          <w:rFonts w:ascii="times new roman;times" w:hAnsi="times new roman;times"/>
          <w:sz w:val="20"/>
        </w:rPr>
        <w:t xml:space="preserve">” </w:t>
      </w:r>
      <w:r>
        <w:rPr>
          <w:rFonts w:ascii="Times New Roman" w:hAnsi="Times New Roman"/>
          <w:sz w:val="20"/>
        </w:rPr>
        <w:t xml:space="preserve">means any data or information that identifies, relates to, describes, is capable of being associated with, or could reasonably be linked, directly or indirectly, with a particular natural person or household or any other data or information that constitutes </w:t>
      </w:r>
      <w:r>
        <w:rPr>
          <w:rFonts w:ascii="times new roman;times" w:hAnsi="times new roman;times"/>
          <w:sz w:val="20"/>
        </w:rPr>
        <w:t>“</w:t>
      </w:r>
      <w:r>
        <w:rPr>
          <w:rFonts w:ascii="Times New Roman" w:hAnsi="Times New Roman"/>
          <w:sz w:val="20"/>
        </w:rPr>
        <w:t>personal data</w:t>
      </w:r>
      <w:r>
        <w:rPr>
          <w:rFonts w:ascii="times new roman;times" w:hAnsi="times new roman;times"/>
          <w:sz w:val="20"/>
        </w:rPr>
        <w:t>”</w:t>
      </w:r>
      <w:r>
        <w:rPr>
          <w:rFonts w:ascii="Times New Roman" w:hAnsi="Times New Roman"/>
          <w:sz w:val="20"/>
        </w:rPr>
        <w:t xml:space="preserve">, </w:t>
      </w:r>
      <w:r>
        <w:rPr>
          <w:rFonts w:ascii="times new roman;times" w:hAnsi="times new roman;times"/>
          <w:sz w:val="20"/>
        </w:rPr>
        <w:t>“</w:t>
      </w:r>
      <w:r>
        <w:rPr>
          <w:rFonts w:ascii="Times New Roman" w:hAnsi="Times New Roman"/>
          <w:sz w:val="20"/>
        </w:rPr>
        <w:t>personal information,</w:t>
      </w:r>
      <w:r>
        <w:rPr>
          <w:rFonts w:ascii="times new roman;times" w:hAnsi="times new roman;times"/>
          <w:sz w:val="20"/>
        </w:rPr>
        <w:t>” “</w:t>
      </w:r>
      <w:r>
        <w:rPr>
          <w:rFonts w:ascii="Times New Roman" w:hAnsi="Times New Roman"/>
          <w:sz w:val="20"/>
        </w:rPr>
        <w:t>protected health information,</w:t>
      </w:r>
      <w:r>
        <w:rPr>
          <w:rFonts w:ascii="times new roman;times" w:hAnsi="times new roman;times"/>
          <w:sz w:val="20"/>
        </w:rPr>
        <w:t xml:space="preserve">” </w:t>
      </w:r>
      <w:r>
        <w:rPr>
          <w:rFonts w:ascii="Times New Roman" w:hAnsi="Times New Roman"/>
          <w:sz w:val="20"/>
        </w:rPr>
        <w:t xml:space="preserve">or </w:t>
      </w:r>
      <w:r>
        <w:rPr>
          <w:rFonts w:ascii="times new roman;times" w:hAnsi="times new roman;times"/>
          <w:sz w:val="20"/>
        </w:rPr>
        <w:t>“</w:t>
      </w:r>
      <w:r>
        <w:rPr>
          <w:rFonts w:ascii="Times New Roman" w:hAnsi="Times New Roman"/>
          <w:sz w:val="20"/>
        </w:rPr>
        <w:t>personally identifiable information</w:t>
      </w:r>
      <w:r>
        <w:rPr>
          <w:rFonts w:ascii="times new roman;times" w:hAnsi="times new roman;times"/>
          <w:sz w:val="20"/>
        </w:rPr>
        <w:t xml:space="preserve">” </w:t>
      </w:r>
      <w:r>
        <w:rPr>
          <w:rFonts w:ascii="Times New Roman" w:hAnsi="Times New Roman"/>
          <w:sz w:val="20"/>
        </w:rPr>
        <w:t>under any Privacy Obligation.</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Pre-Closing Parent Stockholders</w:t>
      </w:r>
      <w:r>
        <w:rPr>
          <w:rFonts w:ascii="times new roman;times" w:hAnsi="times new roman;times"/>
          <w:sz w:val="20"/>
        </w:rPr>
        <w:t xml:space="preserve">” </w:t>
      </w:r>
      <w:r>
        <w:rPr>
          <w:rFonts w:ascii="Times New Roman" w:hAnsi="Times New Roman"/>
          <w:sz w:val="20"/>
        </w:rPr>
        <w:t>means First Finance ltd., Andrew Hromyk and</w:t>
      </w:r>
      <w:r>
        <w:rPr>
          <w:rFonts w:ascii="times new roman;times" w:hAnsi="times new roman;times"/>
          <w:sz w:val="20"/>
        </w:rPr>
        <w:t xml:space="preserve"> </w:t>
      </w:r>
      <w:r>
        <w:rPr>
          <w:rFonts w:ascii="Times New Roman" w:hAnsi="Times New Roman"/>
          <w:sz w:val="20"/>
        </w:rPr>
        <w:t>those holders of Parent Common Stock who acquire Parent Common Stock in the Financing.</w:t>
      </w:r>
    </w:p>
    <w:p>
      <w:pPr>
        <w:pStyle w:val="TextBody"/>
        <w:bidi w:val="0"/>
        <w:spacing w:lineRule="auto" w:line="288" w:before="0" w:after="0"/>
        <w:ind w:left="0" w:right="0" w:firstLine="720"/>
        <w:jc w:val="left"/>
        <w:rPr/>
      </w:pPr>
      <w:r>
        <w:rPr/>
        <w:t>“</w:t>
      </w:r>
      <w:r>
        <w:rPr>
          <w:rFonts w:ascii="Times New Roman" w:hAnsi="Times New Roman"/>
          <w:b/>
          <w:i/>
          <w:sz w:val="20"/>
        </w:rPr>
        <w:t>Pre-Closing Parent Stockholder Board Seat</w:t>
      </w:r>
      <w:r>
        <w:rPr>
          <w:rFonts w:ascii="times new roman;times" w:hAnsi="times new roman;times"/>
          <w:sz w:val="20"/>
        </w:rPr>
        <w:t xml:space="preserve">” </w:t>
      </w:r>
      <w:r>
        <w:rPr>
          <w:rFonts w:ascii="Times New Roman" w:hAnsi="Times New Roman"/>
          <w:sz w:val="20"/>
        </w:rPr>
        <w:t>means the seat on the Parent Board of Directors reserved for the Pre-Closing Parent Stockholder Director (or any successor thereto designated in accordance with</w:t>
      </w:r>
      <w:r>
        <w:rPr>
          <w:rFonts w:ascii="times new roman;times" w:hAnsi="times new roman;times"/>
          <w:sz w:val="20"/>
        </w:rPr>
        <w:t xml:space="preserve"> </w:t>
      </w:r>
      <w:r>
        <w:rPr>
          <w:rFonts w:ascii="Times New Roman" w:hAnsi="Times New Roman"/>
          <w:sz w:val="20"/>
          <w:u w:val="single"/>
        </w:rPr>
        <w:t>Section 5.13</w:t>
      </w:r>
      <w:r>
        <w:rPr>
          <w:rFonts w:ascii="Times New Roman" w:hAnsi="Times New Roman"/>
          <w:sz w:val="20"/>
        </w:rPr>
        <w:t>), and may not be eliminated, reduced or modified during the Equity Moratorium Period except (i) with the affirmative vote of the holders of at least sixty-six and two-thirds percent (66⅔%) of the outstanding shares of Parent Common Stock held by the Pre-Closing Parent Stockholders, voting as a separate group</w:t>
      </w:r>
      <w:r>
        <w:rPr>
          <w:rFonts w:ascii="times new roman;times" w:hAnsi="times new roman;times"/>
          <w:sz w:val="20"/>
        </w:rPr>
        <w:t xml:space="preserve"> </w:t>
      </w:r>
      <w:r>
        <w:rPr>
          <w:rFonts w:ascii="Times New Roman" w:hAnsi="Times New Roman"/>
          <w:sz w:val="20"/>
        </w:rPr>
        <w:t>or (ii) 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Pre-Closing Parent Stockholders</w:t>
      </w:r>
      <w:r>
        <w:rPr>
          <w:rFonts w:ascii="times new roman;times" w:hAnsi="times new roman;times"/>
          <w:sz w:val="20"/>
        </w:rPr>
        <w:t xml:space="preserve"> </w:t>
      </w:r>
      <w:r>
        <w:rPr>
          <w:rFonts w:ascii="Times New Roman" w:hAnsi="Times New Roman"/>
          <w:sz w:val="20"/>
        </w:rPr>
        <w:t>owning less than</w:t>
      </w:r>
      <w:r>
        <w:rPr>
          <w:rFonts w:ascii="times new roman;times" w:hAnsi="times new roman;times"/>
          <w:sz w:val="20"/>
        </w:rPr>
        <w:t xml:space="preserve"> </w:t>
      </w:r>
      <w:r>
        <w:rPr>
          <w:rFonts w:ascii="Times New Roman" w:hAnsi="Times New Roman"/>
          <w:sz w:val="20"/>
        </w:rPr>
        <w:t>five percent (5%) of the then</w:t>
      </w:r>
      <w:r>
        <w:rPr>
          <w:rFonts w:ascii="times new roman;times" w:hAnsi="times new roman;times"/>
          <w:sz w:val="20"/>
        </w:rPr>
        <w:t xml:space="preserve"> </w:t>
      </w:r>
      <w:r>
        <w:rPr>
          <w:rFonts w:ascii="Times New Roman" w:hAnsi="Times New Roman"/>
          <w:sz w:val="20"/>
        </w:rPr>
        <w:t>outstanding shares of Parent Common Stock.</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Pre-Closing Parent Stockholder Director</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5.13(a)</w:t>
      </w:r>
      <w:r>
        <w:rPr>
          <w:rFonts w:ascii="Times New Roman" w:hAnsi="Times New Roman"/>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Pre-Closing Period</w:t>
      </w:r>
      <w:r>
        <w:rPr>
          <w:rFonts w:ascii="times new roman;times" w:hAnsi="times new roman;times"/>
          <w:sz w:val="20"/>
        </w:rPr>
        <w:t xml:space="preserve">” </w:t>
      </w:r>
      <w:r>
        <w:rPr>
          <w:rFonts w:ascii="Times New Roman" w:hAnsi="Times New Roman"/>
          <w:sz w:val="20"/>
        </w:rPr>
        <w:t>means the period beginning on the date of this Agreement and ending at the Effective Time.</w:t>
      </w:r>
    </w:p>
    <w:p>
      <w:pPr>
        <w:pStyle w:val="TextBody"/>
        <w:bidi w:val="0"/>
        <w:spacing w:lineRule="auto" w:line="288" w:before="0" w:after="200"/>
        <w:ind w:left="0" w:right="0" w:firstLine="720"/>
        <w:jc w:val="left"/>
        <w:rPr/>
      </w:pPr>
      <w:r>
        <w:rPr/>
        <w:t>“</w:t>
      </w:r>
      <w:r>
        <w:rPr>
          <w:rFonts w:ascii="Times New Roman" w:hAnsi="Times New Roman"/>
          <w:b/>
          <w:i/>
          <w:sz w:val="20"/>
        </w:rPr>
        <w:t>Privacy Obligation</w:t>
      </w:r>
      <w:r>
        <w:rPr>
          <w:rFonts w:ascii="times new roman;times" w:hAnsi="times new roman;times"/>
          <w:sz w:val="20"/>
        </w:rPr>
        <w:t xml:space="preserve">” </w:t>
      </w:r>
      <w:r>
        <w:rPr>
          <w:rFonts w:ascii="Times New Roman" w:hAnsi="Times New Roman"/>
          <w:sz w:val="20"/>
        </w:rPr>
        <w:t>means any applicable Law, contractual obligation, self-regulatory standard, industry standard, or any consent obtained that is related to privacy, security, data protection, transfer, or other processing of Personal Information.</w:t>
      </w:r>
    </w:p>
    <w:p>
      <w:pPr>
        <w:pStyle w:val="TextBody"/>
        <w:bidi w:val="0"/>
        <w:spacing w:lineRule="auto" w:line="288" w:before="0" w:after="200"/>
        <w:ind w:left="0" w:right="0" w:firstLine="720"/>
        <w:jc w:val="left"/>
        <w:rPr/>
      </w:pPr>
      <w:r>
        <w:rPr/>
        <w:t>“</w:t>
      </w:r>
      <w:r>
        <w:rPr>
          <w:rFonts w:ascii="Times New Roman" w:hAnsi="Times New Roman"/>
          <w:b/>
          <w:i/>
          <w:sz w:val="20"/>
        </w:rPr>
        <w:t>Prohibited Issuance</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5.13(d)</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Receiving Party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4.6</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Registered Intellectual Property</w:t>
      </w:r>
      <w:r>
        <w:rPr>
          <w:rFonts w:ascii="times new roman;times" w:hAnsi="times new roman;times"/>
          <w:sz w:val="20"/>
        </w:rPr>
        <w:t xml:space="preserve">” </w:t>
      </w:r>
      <w:r>
        <w:rPr>
          <w:rFonts w:ascii="Times New Roman" w:hAnsi="Times New Roman"/>
          <w:sz w:val="20"/>
        </w:rPr>
        <w:t>means all Intellectual Property that is the subject of an application, certificate, filing, registration or other document issued, filed with, or recorded by any Governmental Body, domain name registrar or other public authority, including: (a) issued patents and pending patent applications; (b) registered trademarks, service marks, trade names, logos and pending applications therefor; (c) registered copyrights and pending applications therefor; (d) registered domain names; and (e) any other Intellectual Property that is the subject of a registration, application or similar filing.</w:t>
      </w:r>
    </w:p>
    <w:p>
      <w:pPr>
        <w:pStyle w:val="TextBody"/>
        <w:bidi w:val="0"/>
        <w:spacing w:lineRule="auto" w:line="288" w:before="0" w:after="200"/>
        <w:ind w:left="0" w:right="0" w:firstLine="720"/>
        <w:jc w:val="left"/>
        <w:rPr/>
      </w:pPr>
      <w:r>
        <w:rPr/>
        <w:t>“</w:t>
      </w:r>
      <w:r>
        <w:rPr>
          <w:rFonts w:ascii="Times New Roman" w:hAnsi="Times New Roman"/>
          <w:b/>
          <w:i/>
          <w:sz w:val="20"/>
        </w:rPr>
        <w:t>Registration Statement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5.1(b)</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0" w:after="200"/>
        <w:ind w:left="0" w:right="0" w:firstLine="720"/>
        <w:jc w:val="left"/>
        <w:rPr/>
      </w:pPr>
      <w:r>
        <w:rPr/>
        <w:t>“</w:t>
      </w:r>
      <w:r>
        <w:rPr>
          <w:rFonts w:ascii="Times New Roman" w:hAnsi="Times New Roman"/>
          <w:b/>
          <w:i/>
          <w:sz w:val="20"/>
        </w:rPr>
        <w:t>Related Party</w:t>
      </w:r>
      <w:r>
        <w:rPr>
          <w:rFonts w:ascii="times new roman;times" w:hAnsi="times new roman;times"/>
          <w:sz w:val="20"/>
        </w:rPr>
        <w:t xml:space="preserve">” </w:t>
      </w:r>
      <w:r>
        <w:rPr>
          <w:rFonts w:ascii="Times New Roman" w:hAnsi="Times New Roman"/>
          <w:sz w:val="20"/>
        </w:rPr>
        <w:t>means, with respect to any Person, (a) such Person</w:t>
      </w:r>
      <w:r>
        <w:rPr>
          <w:rFonts w:ascii="times new roman;times" w:hAnsi="times new roman;times"/>
          <w:sz w:val="20"/>
        </w:rPr>
        <w:t>’</w:t>
      </w:r>
      <w:r>
        <w:rPr>
          <w:rFonts w:ascii="Times New Roman" w:hAnsi="Times New Roman"/>
          <w:sz w:val="20"/>
        </w:rPr>
        <w:t>s Affiliates, (b) such Person</w:t>
      </w:r>
      <w:r>
        <w:rPr>
          <w:rFonts w:ascii="times new roman;times" w:hAnsi="times new roman;times"/>
          <w:sz w:val="20"/>
        </w:rPr>
        <w:t>’</w:t>
      </w:r>
      <w:r>
        <w:rPr>
          <w:rFonts w:ascii="Times New Roman" w:hAnsi="Times New Roman"/>
          <w:sz w:val="20"/>
        </w:rPr>
        <w:t>s directors, managers, officers, and employees, (c) the holders of any equity or voting interest in such Person, (d) any immediate family member of any of the Persons described in clauses (b) or (c), and (e) any trust, partnership, corporation, limited liability company or other Entity that is directly or indirectly controlled by, controls, or is under common control with, any of the Persons described in clauses (b), (c) or (d).</w:t>
      </w:r>
    </w:p>
    <w:p>
      <w:pPr>
        <w:pStyle w:val="TextBody"/>
        <w:bidi w:val="0"/>
        <w:spacing w:lineRule="auto" w:line="288" w:before="0" w:after="200"/>
        <w:ind w:left="0" w:right="0" w:firstLine="720"/>
        <w:jc w:val="left"/>
        <w:rPr/>
      </w:pPr>
      <w:r>
        <w:rPr/>
        <w:t>“</w:t>
      </w:r>
      <w:r>
        <w:rPr>
          <w:rFonts w:ascii="Times New Roman" w:hAnsi="Times New Roman"/>
          <w:b/>
          <w:i/>
          <w:sz w:val="20"/>
        </w:rPr>
        <w:t>Representatives</w:t>
      </w:r>
      <w:r>
        <w:rPr>
          <w:rFonts w:ascii="times new roman;times" w:hAnsi="times new roman;times"/>
          <w:sz w:val="20"/>
        </w:rPr>
        <w:t xml:space="preserve">” </w:t>
      </w:r>
      <w:r>
        <w:rPr>
          <w:rFonts w:ascii="Times New Roman" w:hAnsi="Times New Roman"/>
          <w:sz w:val="20"/>
        </w:rPr>
        <w:t>shall mean directors, officers, other employees, agents, attorneys, accountants, advisors, consultants</w:t>
      </w:r>
      <w:r>
        <w:rPr>
          <w:rFonts w:ascii="times new roman;times" w:hAnsi="times new roman;times"/>
          <w:sz w:val="20"/>
        </w:rPr>
        <w:t xml:space="preserve"> </w:t>
      </w:r>
      <w:r>
        <w:rPr>
          <w:rFonts w:ascii="Times New Roman" w:hAnsi="Times New Roman"/>
          <w:sz w:val="20"/>
        </w:rPr>
        <w:t>and representatives.</w:t>
      </w:r>
    </w:p>
    <w:p>
      <w:pPr>
        <w:pStyle w:val="TextBody"/>
        <w:bidi w:val="0"/>
        <w:spacing w:lineRule="auto" w:line="288" w:before="0" w:after="200"/>
        <w:ind w:left="0" w:right="0" w:firstLine="720"/>
        <w:jc w:val="left"/>
        <w:rPr/>
      </w:pPr>
      <w:r>
        <w:rPr/>
        <w:t>“</w:t>
      </w:r>
      <w:r>
        <w:rPr>
          <w:rFonts w:ascii="Times New Roman" w:hAnsi="Times New Roman"/>
          <w:b/>
          <w:i/>
          <w:sz w:val="20"/>
        </w:rPr>
        <w:t>Required Company Financials</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5.1(a)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Required Company Shareholder Vote</w:t>
      </w:r>
      <w:r>
        <w:rPr>
          <w:rFonts w:ascii="times new roman;times" w:hAnsi="times new roman;times"/>
          <w:sz w:val="20"/>
        </w:rPr>
        <w:t xml:space="preserve">” </w:t>
      </w:r>
      <w:r>
        <w:rPr>
          <w:rFonts w:ascii="Times New Roman" w:hAnsi="Times New Roman"/>
          <w:sz w:val="20"/>
        </w:rPr>
        <w:t>shall have the meaning set forth in</w:t>
      </w:r>
      <w:r>
        <w:rPr>
          <w:rFonts w:ascii="times new roman;times" w:hAnsi="times new roman;times"/>
          <w:sz w:val="20"/>
          <w:u w:val="single"/>
        </w:rPr>
        <w:t xml:space="preserve"> </w:t>
      </w:r>
      <w:r>
        <w:rPr>
          <w:rFonts w:ascii="Times New Roman" w:hAnsi="Times New Roman"/>
          <w:sz w:val="20"/>
          <w:u w:val="single"/>
        </w:rPr>
        <w:t>Section 2.20</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Required Parent Stockholder Consent</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3.18</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Reverse Split</w:t>
      </w:r>
      <w:r>
        <w:rPr>
          <w:rFonts w:ascii="times new roman;times" w:hAnsi="times new roman;times"/>
          <w:sz w:val="20"/>
        </w:rPr>
        <w:t xml:space="preserve">” </w:t>
      </w:r>
      <w:r>
        <w:rPr>
          <w:rFonts w:ascii="Times New Roman" w:hAnsi="Times New Roman"/>
          <w:sz w:val="20"/>
        </w:rPr>
        <w:t xml:space="preserve">means the reverse stock split of Parent Common Stock contemplated by </w:t>
      </w:r>
      <w:r>
        <w:rPr>
          <w:rFonts w:ascii="Times New Roman" w:hAnsi="Times New Roman"/>
          <w:sz w:val="20"/>
          <w:u w:val="single"/>
        </w:rPr>
        <w:t>Section 5.15</w:t>
      </w:r>
      <w:r>
        <w:rPr>
          <w:rFonts w:ascii="times new roman;times" w:hAnsi="times new roman;times"/>
          <w:sz w:val="20"/>
        </w:rPr>
        <w:t xml:space="preserve"> </w:t>
      </w:r>
      <w:r>
        <w:rPr>
          <w:rFonts w:ascii="Times New Roman" w:hAnsi="Times New Roman"/>
          <w:sz w:val="20"/>
        </w:rPr>
        <w:t>of this Agreement, if effected in accordance with this Agreement and approved to the extent required by applicable Law and Parent</w:t>
      </w:r>
      <w:r>
        <w:rPr>
          <w:rFonts w:ascii="times new roman;times" w:hAnsi="times new roman;times"/>
          <w:sz w:val="20"/>
        </w:rPr>
        <w:t>’</w:t>
      </w:r>
      <w:r>
        <w:rPr>
          <w:rFonts w:ascii="Times New Roman" w:hAnsi="Times New Roman"/>
          <w:sz w:val="20"/>
        </w:rPr>
        <w:t>s Organizational Documents.</w:t>
      </w:r>
    </w:p>
    <w:p>
      <w:pPr>
        <w:pStyle w:val="TextBody"/>
        <w:bidi w:val="0"/>
        <w:spacing w:lineRule="auto" w:line="288" w:before="0" w:after="200"/>
        <w:ind w:left="0" w:right="0" w:firstLine="720"/>
        <w:jc w:val="left"/>
        <w:rPr/>
      </w:pPr>
      <w:r>
        <w:rPr/>
        <w:t>“</w:t>
      </w:r>
      <w:r>
        <w:rPr>
          <w:rFonts w:ascii="Times New Roman" w:hAnsi="Times New Roman"/>
          <w:b/>
          <w:i/>
          <w:sz w:val="20"/>
        </w:rPr>
        <w:t>Sanctioned Person</w:t>
      </w:r>
      <w:r>
        <w:rPr>
          <w:rFonts w:ascii="times new roman;times" w:hAnsi="times new roman;times"/>
          <w:sz w:val="20"/>
        </w:rPr>
        <w:t xml:space="preserve">” </w:t>
      </w:r>
      <w:r>
        <w:rPr>
          <w:rFonts w:ascii="Times New Roman" w:hAnsi="Times New Roman"/>
          <w:sz w:val="20"/>
        </w:rPr>
        <w:t>means any Person that is the target of Sanctions, including, without limitation, (i) any Person listed in any Sanctions-related list of designated Persons maintained by OFAC or the U.S. Department of State, by the United Nations Security Council, Her Majesty</w:t>
      </w:r>
      <w:r>
        <w:rPr>
          <w:rFonts w:ascii="times new roman;times" w:hAnsi="times new roman;times"/>
          <w:sz w:val="20"/>
        </w:rPr>
        <w:t>’</w:t>
      </w:r>
      <w:r>
        <w:rPr>
          <w:rFonts w:ascii="Times New Roman" w:hAnsi="Times New Roman"/>
          <w:sz w:val="20"/>
        </w:rPr>
        <w:t>s Treasury of the United Kingdom, the European Union, or any EU member state, (ii) any Person operating, organized or resident in a Sanctioned Territory, or (iii) any Person owned or controlled by any such Person or Persons.</w:t>
      </w:r>
    </w:p>
    <w:p>
      <w:pPr>
        <w:pStyle w:val="TextBody"/>
        <w:bidi w:val="0"/>
        <w:spacing w:lineRule="auto" w:line="288" w:before="0" w:after="0"/>
        <w:ind w:left="0" w:right="0" w:firstLine="720"/>
        <w:jc w:val="left"/>
        <w:rPr/>
      </w:pPr>
      <w:r>
        <w:rPr/>
        <w:t>“</w:t>
      </w:r>
      <w:r>
        <w:rPr>
          <w:rFonts w:ascii="Times New Roman" w:hAnsi="Times New Roman"/>
          <w:b/>
          <w:i/>
          <w:sz w:val="20"/>
        </w:rPr>
        <w:t>Sanctioned Territory</w:t>
      </w:r>
      <w:r>
        <w:rPr>
          <w:rFonts w:ascii="times new roman;times" w:hAnsi="times new roman;times"/>
          <w:sz w:val="20"/>
        </w:rPr>
        <w:t xml:space="preserve">” </w:t>
      </w:r>
      <w:r>
        <w:rPr>
          <w:rFonts w:ascii="Times New Roman" w:hAnsi="Times New Roman"/>
          <w:sz w:val="20"/>
        </w:rPr>
        <w:t>means, at any time, any country or territory that is itself the subject of comprehensive trade, investment or financial sanctions administered or enforced by OFAC, including any country or territory with respect to which substantially all dealings by U.S. persons are prohibited absent authorization from OFAC (which, as of the date of this Agreement, includes Cuba, Iran, North Korea, the Crimea region of Ukraine, and the covered regions of Donetsk and Luhansk in Ukraine).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A-89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Sanctions</w:t>
      </w:r>
      <w:r>
        <w:rPr>
          <w:rFonts w:ascii="times new roman;times" w:hAnsi="times new roman;times"/>
          <w:sz w:val="20"/>
        </w:rPr>
        <w:t xml:space="preserve">” </w:t>
      </w:r>
      <w:r>
        <w:rPr>
          <w:rFonts w:ascii="Times New Roman" w:hAnsi="Times New Roman"/>
          <w:sz w:val="20"/>
        </w:rPr>
        <w:t>means any trade, economic or financial sanctions, restrictive measures, embargoes, asset-freezing measures, anti-boycott measures, export or reexport controls, import restrictions, prohibitions, or related laws, regulations, rules or orders enacted, administered, imposed or enforced from time to time by or under the authority of: (a) the United States, including the U.S. Department of the Treasury (including OFAC), the U.S. Department of Commerce (including BIS), and the U.S. Department of State (including DDTC); (b) the United Nations Security Council; (c) the European Union or any of its member states; or (d) HM Treasury or the United Kingdom.</w:t>
      </w:r>
    </w:p>
    <w:p>
      <w:pPr>
        <w:pStyle w:val="TextBody"/>
        <w:bidi w:val="0"/>
        <w:spacing w:lineRule="auto" w:line="288" w:before="0" w:after="200"/>
        <w:ind w:left="0" w:right="0" w:firstLine="720"/>
        <w:jc w:val="left"/>
        <w:rPr/>
      </w:pPr>
      <w:r>
        <w:rPr/>
        <w:t>“</w:t>
      </w:r>
      <w:r>
        <w:rPr>
          <w:rFonts w:ascii="Times New Roman" w:hAnsi="Times New Roman"/>
          <w:b/>
          <w:i/>
          <w:sz w:val="20"/>
        </w:rPr>
        <w:t>Sarbanes-Oxley Act</w:t>
      </w:r>
      <w:r>
        <w:rPr>
          <w:rFonts w:ascii="times new roman;times" w:hAnsi="times new roman;times"/>
          <w:sz w:val="20"/>
        </w:rPr>
        <w:t xml:space="preserve">” </w:t>
      </w:r>
      <w:r>
        <w:rPr>
          <w:rFonts w:ascii="Times New Roman" w:hAnsi="Times New Roman"/>
          <w:sz w:val="20"/>
        </w:rPr>
        <w:t>shall mean the Sarbanes-Oxley Act of 2002, as it may be amended from time to time.</w:t>
      </w:r>
    </w:p>
    <w:p>
      <w:pPr>
        <w:pStyle w:val="TextBody"/>
        <w:bidi w:val="0"/>
        <w:spacing w:lineRule="auto" w:line="288" w:before="0" w:after="200"/>
        <w:ind w:left="0" w:right="0" w:firstLine="720"/>
        <w:jc w:val="left"/>
        <w:rPr/>
      </w:pPr>
      <w:r>
        <w:rPr/>
        <w:t>“</w:t>
      </w:r>
      <w:r>
        <w:rPr>
          <w:rFonts w:ascii="Times New Roman" w:hAnsi="Times New Roman"/>
          <w:b/>
          <w:i/>
          <w:sz w:val="20"/>
        </w:rPr>
        <w:t>SEC</w:t>
      </w:r>
      <w:r>
        <w:rPr>
          <w:rFonts w:ascii="times new roman;times" w:hAnsi="times new roman;times"/>
          <w:sz w:val="20"/>
        </w:rPr>
        <w:t xml:space="preserve">” </w:t>
      </w:r>
      <w:r>
        <w:rPr>
          <w:rFonts w:ascii="Times New Roman" w:hAnsi="Times New Roman"/>
          <w:sz w:val="20"/>
        </w:rPr>
        <w:t>shall mean the United States Securities and Exchange Commission.</w:t>
      </w:r>
    </w:p>
    <w:p>
      <w:pPr>
        <w:pStyle w:val="TextBody"/>
        <w:bidi w:val="0"/>
        <w:spacing w:lineRule="auto" w:line="288" w:before="0" w:after="200"/>
        <w:ind w:left="0" w:right="0" w:firstLine="720"/>
        <w:jc w:val="left"/>
        <w:rPr/>
      </w:pPr>
      <w:r>
        <w:rPr/>
        <w:t>“</w:t>
      </w:r>
      <w:r>
        <w:rPr>
          <w:rFonts w:ascii="Times New Roman" w:hAnsi="Times New Roman"/>
          <w:b/>
          <w:i/>
          <w:sz w:val="20"/>
        </w:rPr>
        <w:t>Second Sight</w:t>
      </w:r>
      <w:r>
        <w:rPr>
          <w:rFonts w:ascii="times new roman;times" w:hAnsi="times new roman;times"/>
          <w:sz w:val="20"/>
        </w:rPr>
        <w:t xml:space="preserve">” </w:t>
      </w:r>
      <w:r>
        <w:rPr>
          <w:rFonts w:ascii="Times New Roman" w:hAnsi="Times New Roman"/>
          <w:sz w:val="20"/>
        </w:rPr>
        <w:t>means SECOND SIGHT MEDICAL PRODUCTS (SWITZERLAND) SARL en</w:t>
      </w:r>
      <w:r>
        <w:rPr>
          <w:rFonts w:ascii="times new roman;times" w:hAnsi="times new roman;times"/>
          <w:sz w:val="20"/>
        </w:rPr>
        <w:t xml:space="preserve"> </w:t>
      </w:r>
      <w:r>
        <w:rPr>
          <w:rFonts w:ascii="Times New Roman" w:hAnsi="Times New Roman"/>
          <w:sz w:val="20"/>
        </w:rPr>
        <w:t>liquidation, a Swiss société à responsabilité</w:t>
      </w:r>
      <w:r>
        <w:rPr>
          <w:rFonts w:ascii="times new roman;times" w:hAnsi="times new roman;times"/>
          <w:sz w:val="20"/>
        </w:rPr>
        <w:t xml:space="preserve"> </w:t>
      </w:r>
      <w:r>
        <w:rPr>
          <w:rFonts w:ascii="Times New Roman" w:hAnsi="Times New Roman"/>
          <w:sz w:val="20"/>
        </w:rPr>
        <w:t>limitée</w:t>
      </w:r>
      <w:r>
        <w:rPr>
          <w:rFonts w:ascii="times new roman;times" w:hAnsi="times new roman;times"/>
          <w:sz w:val="20"/>
        </w:rPr>
        <w:t xml:space="preserve"> </w:t>
      </w:r>
      <w:r>
        <w:rPr>
          <w:rFonts w:ascii="Times New Roman" w:hAnsi="Times New Roman"/>
          <w:sz w:val="20"/>
        </w:rPr>
        <w:t>in liquidation.</w:t>
      </w:r>
    </w:p>
    <w:p>
      <w:pPr>
        <w:pStyle w:val="TextBody"/>
        <w:bidi w:val="0"/>
        <w:spacing w:lineRule="auto" w:line="288" w:before="0" w:after="200"/>
        <w:ind w:left="0" w:right="0" w:firstLine="720"/>
        <w:jc w:val="left"/>
        <w:rPr/>
      </w:pPr>
      <w:r>
        <w:rPr/>
        <w:t>“</w:t>
      </w:r>
      <w:r>
        <w:rPr>
          <w:rFonts w:ascii="Times New Roman" w:hAnsi="Times New Roman"/>
          <w:b/>
          <w:i/>
          <w:sz w:val="20"/>
        </w:rPr>
        <w:t>Securities Act</w:t>
      </w:r>
      <w:r>
        <w:rPr>
          <w:rFonts w:ascii="times new roman;times" w:hAnsi="times new roman;times"/>
          <w:sz w:val="20"/>
        </w:rPr>
        <w:t xml:space="preserve">” </w:t>
      </w:r>
      <w:r>
        <w:rPr>
          <w:rFonts w:ascii="Times New Roman" w:hAnsi="Times New Roman"/>
          <w:sz w:val="20"/>
        </w:rPr>
        <w:t>shall mean the Securities Act of 1933, as amended.</w:t>
      </w:r>
    </w:p>
    <w:p>
      <w:pPr>
        <w:pStyle w:val="TextBody"/>
        <w:bidi w:val="0"/>
        <w:spacing w:lineRule="auto" w:line="288" w:before="0" w:after="200"/>
        <w:ind w:left="0" w:right="0" w:firstLine="720"/>
        <w:jc w:val="left"/>
        <w:rPr/>
      </w:pPr>
      <w:r>
        <w:rPr/>
        <w:t>“</w:t>
      </w:r>
      <w:r>
        <w:rPr>
          <w:rFonts w:ascii="Times New Roman" w:hAnsi="Times New Roman"/>
          <w:b/>
          <w:i/>
          <w:sz w:val="20"/>
        </w:rPr>
        <w:t>Seller Debt</w:t>
      </w:r>
      <w:r>
        <w:rPr>
          <w:rFonts w:ascii="times new roman;times" w:hAnsi="times new roman;times"/>
          <w:sz w:val="20"/>
        </w:rPr>
        <w:t xml:space="preserve">” </w:t>
      </w:r>
      <w:r>
        <w:rPr>
          <w:rFonts w:ascii="Times New Roman" w:hAnsi="Times New Roman"/>
          <w:sz w:val="20"/>
        </w:rPr>
        <w:t>means any indebtedness, liability or obligation of the Company or any Company Subsidiary owing to Seller or any Affiliate of Seller, whether direct or indirect, absolute or contingent, matured or unmatured, secured or unsecured, including any note payable, loan, advance, accrued interest, reimbursement obligation, intercompany balance or other funding arrangement.</w:t>
      </w:r>
    </w:p>
    <w:p>
      <w:pPr>
        <w:pStyle w:val="TextBody"/>
        <w:bidi w:val="0"/>
        <w:spacing w:lineRule="auto" w:line="288" w:before="0" w:after="200"/>
        <w:ind w:left="0" w:right="0" w:firstLine="720"/>
        <w:jc w:val="left"/>
        <w:rPr/>
      </w:pPr>
      <w:r>
        <w:rPr/>
        <w:t>“</w:t>
      </w:r>
      <w:r>
        <w:rPr>
          <w:rFonts w:ascii="Times New Roman" w:hAnsi="Times New Roman"/>
          <w:b/>
          <w:i/>
          <w:sz w:val="20"/>
        </w:rPr>
        <w:t>Seller Director</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w:t>
      </w:r>
      <w:r>
        <w:rPr>
          <w:rFonts w:ascii="times new roman;times" w:hAnsi="times new roman;times"/>
          <w:sz w:val="20"/>
          <w:u w:val="single"/>
        </w:rPr>
        <w:t xml:space="preserve"> </w:t>
      </w:r>
      <w:r>
        <w:rPr>
          <w:rFonts w:ascii="Times New Roman" w:hAnsi="Times New Roman"/>
          <w:sz w:val="20"/>
          <w:u w:val="single"/>
        </w:rPr>
        <w:t>5.13(a)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Seller Voting Agreement</w:t>
      </w:r>
      <w:r>
        <w:rPr>
          <w:rFonts w:ascii="times new roman;times" w:hAnsi="times new roman;times"/>
          <w:sz w:val="20"/>
        </w:rPr>
        <w:t xml:space="preserve">” </w:t>
      </w:r>
      <w:r>
        <w:rPr>
          <w:rFonts w:ascii="Times New Roman" w:hAnsi="Times New Roman"/>
          <w:sz w:val="20"/>
        </w:rPr>
        <w:t>has the meaning set forth in the recitals.</w:t>
      </w:r>
    </w:p>
    <w:p>
      <w:pPr>
        <w:pStyle w:val="TextBody"/>
        <w:bidi w:val="0"/>
        <w:spacing w:lineRule="auto" w:line="288" w:before="0" w:after="200"/>
        <w:ind w:left="0" w:right="0" w:firstLine="720"/>
        <w:jc w:val="left"/>
        <w:rPr/>
      </w:pPr>
      <w:r>
        <w:rPr/>
        <w:t>“</w:t>
      </w:r>
      <w:r>
        <w:rPr>
          <w:rFonts w:ascii="Times New Roman" w:hAnsi="Times New Roman"/>
          <w:b/>
          <w:i/>
          <w:sz w:val="20"/>
        </w:rPr>
        <w:t>Seller Voting Agreement Period</w:t>
      </w:r>
      <w:r>
        <w:rPr>
          <w:rFonts w:ascii="times new roman;times" w:hAnsi="times new roman;times"/>
          <w:sz w:val="20"/>
        </w:rPr>
        <w:t xml:space="preserve">” </w:t>
      </w:r>
      <w:r>
        <w:rPr>
          <w:rFonts w:ascii="Times New Roman" w:hAnsi="Times New Roman"/>
          <w:sz w:val="20"/>
        </w:rPr>
        <w:t xml:space="preserve">has the meaning set forth in </w:t>
      </w:r>
      <w:r>
        <w:rPr>
          <w:rFonts w:ascii="Times New Roman" w:hAnsi="Times New Roman"/>
          <w:sz w:val="20"/>
          <w:u w:val="single"/>
        </w:rPr>
        <w:t>Section 5.24(a)</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Sensitive Data</w:t>
      </w:r>
      <w:r>
        <w:rPr>
          <w:rFonts w:ascii="times new roman;times" w:hAnsi="times new roman;times"/>
          <w:sz w:val="20"/>
        </w:rPr>
        <w:t xml:space="preserve">” </w:t>
      </w:r>
      <w:r>
        <w:rPr>
          <w:rFonts w:ascii="Times New Roman" w:hAnsi="Times New Roman"/>
          <w:sz w:val="20"/>
        </w:rPr>
        <w:t>means any: (a) Personal Information or (b) trade secret or confidential or proprietary business information.</w:t>
      </w:r>
    </w:p>
    <w:p>
      <w:pPr>
        <w:pStyle w:val="TextBody"/>
        <w:bidi w:val="0"/>
        <w:spacing w:lineRule="auto" w:line="288" w:before="0" w:after="200"/>
        <w:ind w:left="0" w:right="0" w:firstLine="720"/>
        <w:jc w:val="left"/>
        <w:rPr/>
      </w:pPr>
      <w:r>
        <w:rPr/>
        <w:t>“</w:t>
      </w:r>
      <w:r>
        <w:rPr>
          <w:rFonts w:ascii="Times New Roman" w:hAnsi="Times New Roman"/>
          <w:b/>
          <w:i/>
          <w:sz w:val="20"/>
        </w:rPr>
        <w:t>Straddle Period</w:t>
      </w:r>
      <w:r>
        <w:rPr>
          <w:rFonts w:ascii="times new roman;times" w:hAnsi="times new roman;times"/>
          <w:sz w:val="20"/>
        </w:rPr>
        <w:t xml:space="preserve">” </w:t>
      </w:r>
      <w:r>
        <w:rPr>
          <w:rFonts w:ascii="Times New Roman" w:hAnsi="Times New Roman"/>
          <w:sz w:val="20"/>
        </w:rPr>
        <w:t>shall mean any taxable period that begins on or before and ends after the Closing Date.</w:t>
      </w:r>
    </w:p>
    <w:p>
      <w:pPr>
        <w:pStyle w:val="TextBody"/>
        <w:bidi w:val="0"/>
        <w:spacing w:lineRule="auto" w:line="288" w:before="0" w:after="200"/>
        <w:ind w:left="0" w:right="0" w:firstLine="720"/>
        <w:jc w:val="left"/>
        <w:rPr>
          <w:rFonts w:ascii="times new roman;times" w:hAnsi="times new roman;times"/>
          <w:sz w:val="20"/>
        </w:rPr>
      </w:pPr>
      <w:r>
        <w:rPr>
          <w:rFonts w:ascii="Times New Roman" w:hAnsi="Times New Roman"/>
          <w:sz w:val="20"/>
        </w:rPr>
        <w:t xml:space="preserve">An entity shall be deemed to be a </w:t>
      </w:r>
      <w:r>
        <w:rPr>
          <w:rFonts w:ascii="times new roman;times" w:hAnsi="times new roman;times"/>
          <w:sz w:val="20"/>
        </w:rPr>
        <w:t>“</w:t>
      </w:r>
      <w:r>
        <w:rPr>
          <w:rFonts w:ascii="Times New Roman" w:hAnsi="Times New Roman"/>
          <w:b/>
          <w:i/>
          <w:sz w:val="20"/>
        </w:rPr>
        <w:t>Subsidiary</w:t>
      </w:r>
      <w:r>
        <w:rPr>
          <w:rFonts w:ascii="times new roman;times" w:hAnsi="times new roman;times"/>
          <w:sz w:val="20"/>
        </w:rPr>
        <w:t xml:space="preserve">” </w:t>
      </w:r>
      <w:r>
        <w:rPr>
          <w:rFonts w:ascii="Times New Roman" w:hAnsi="Times New Roman"/>
          <w:sz w:val="20"/>
        </w:rPr>
        <w:t>of another Person if such Person directly or indirectly owns or purports to own, beneficially or of record, (a) an amount of voting securities or other interests in such entity that is sufficient to enable such Person to elect at least a majority of the members of such entity</w:t>
      </w:r>
      <w:r>
        <w:rPr>
          <w:rFonts w:ascii="times new roman;times" w:hAnsi="times new roman;times"/>
          <w:sz w:val="20"/>
        </w:rPr>
        <w:t>’</w:t>
      </w:r>
      <w:r>
        <w:rPr>
          <w:rFonts w:ascii="Times New Roman" w:hAnsi="Times New Roman"/>
          <w:sz w:val="20"/>
        </w:rPr>
        <w:t>s board of directors or other governing body, or (b) at least 50% of the outstanding equity, voting, beneficial or financial interests in such Entity.</w:t>
      </w:r>
    </w:p>
    <w:p>
      <w:pPr>
        <w:pStyle w:val="TextBody"/>
        <w:bidi w:val="0"/>
        <w:spacing w:lineRule="auto" w:line="288" w:before="0" w:after="0"/>
        <w:ind w:left="0" w:right="0" w:firstLine="720"/>
        <w:jc w:val="left"/>
        <w:rPr/>
      </w:pPr>
      <w:r>
        <w:rPr/>
        <w:t>“</w:t>
      </w:r>
      <w:r>
        <w:rPr>
          <w:rFonts w:ascii="Times New Roman" w:hAnsi="Times New Roman"/>
          <w:b/>
          <w:i/>
          <w:sz w:val="20"/>
        </w:rPr>
        <w:t>Superior Offer</w:t>
      </w:r>
      <w:r>
        <w:rPr>
          <w:rFonts w:ascii="times new roman;times" w:hAnsi="times new roman;times"/>
          <w:sz w:val="20"/>
        </w:rPr>
        <w:t xml:space="preserve">” </w:t>
      </w:r>
      <w:r>
        <w:rPr>
          <w:rFonts w:ascii="Times New Roman" w:hAnsi="Times New Roman"/>
          <w:sz w:val="20"/>
        </w:rPr>
        <w:t>means, with respect to a Party, a bona fide written Acquisition Proposal made by a third party that did not result from such Party</w:t>
      </w:r>
      <w:r>
        <w:rPr>
          <w:rFonts w:ascii="times new roman;times" w:hAnsi="times new roman;times"/>
          <w:sz w:val="20"/>
        </w:rPr>
        <w:t>’</w:t>
      </w:r>
      <w:r>
        <w:rPr>
          <w:rFonts w:ascii="Times New Roman" w:hAnsi="Times New Roman"/>
          <w:sz w:val="20"/>
        </w:rPr>
        <w:t>s material breach of this Agreement and that the board of directors of such Party determines in good faith, after consultation with its outside legal counsel and outside financial advisor, is more favorable, from a financial point of view, to the holders of such Party</w:t>
      </w:r>
      <w:r>
        <w:rPr>
          <w:rFonts w:ascii="times new roman;times" w:hAnsi="times new roman;times"/>
          <w:sz w:val="20"/>
        </w:rPr>
        <w:t>’</w:t>
      </w:r>
      <w:r>
        <w:rPr>
          <w:rFonts w:ascii="Times New Roman" w:hAnsi="Times New Roman"/>
          <w:sz w:val="20"/>
        </w:rPr>
        <w:t>s voting securities than the Contemplated Transactions, taking into account all legal, financial, regulatory, timing and other aspects of such Acquisition Proposal and this Agreement, and that is reasonably capable of being consummated in accordance with its terms; provided, however, that no Acquisition Proposal shall constitute a Superior Offer unless it involves: (a) the direct or indirect acquisition of more than fifty percent (50%) of the outstanding voting power of such Party or any successor thereto; or (b) the sale, lease, exchange, transfer, exclusive license or other disposition of assets, businesses or operations representing more than fifty percent (50%) of the consolidated assets, revenues or earning power of such Party and its Subsidiaries, taken as a whole.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firstLine="720"/>
        <w:jc w:val="left"/>
        <w:rPr/>
      </w:pPr>
      <w:r>
        <w:rPr/>
        <w:t>“</w:t>
      </w:r>
      <w:r>
        <w:rPr>
          <w:rFonts w:ascii="Times New Roman" w:hAnsi="Times New Roman"/>
          <w:b/>
          <w:i/>
          <w:sz w:val="20"/>
        </w:rPr>
        <w:t>Surviving Corporation</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1.1</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Tail Policy</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5.6(c)</w:t>
      </w:r>
      <w:r>
        <w:rPr>
          <w:rFonts w:ascii="Times New Roman" w:hAnsi="Times New Roman"/>
          <w:sz w:val="20"/>
        </w:rPr>
        <w:t>.</w:t>
      </w:r>
    </w:p>
    <w:p>
      <w:pPr>
        <w:pStyle w:val="TextBody"/>
        <w:bidi w:val="0"/>
        <w:spacing w:lineRule="auto" w:line="288" w:before="0" w:after="200"/>
        <w:ind w:left="0" w:right="0" w:firstLine="720"/>
        <w:jc w:val="left"/>
        <w:rPr/>
      </w:pPr>
      <w:r>
        <w:rPr/>
        <w:t>“</w:t>
      </w:r>
      <w:r>
        <w:rPr>
          <w:rFonts w:ascii="Times New Roman" w:hAnsi="Times New Roman"/>
          <w:b/>
          <w:i/>
          <w:sz w:val="20"/>
        </w:rPr>
        <w:t>Tax</w:t>
      </w:r>
      <w:r>
        <w:rPr>
          <w:rFonts w:ascii="times new roman;times" w:hAnsi="times new roman;times"/>
          <w:sz w:val="20"/>
        </w:rPr>
        <w:t xml:space="preserve">” </w:t>
      </w:r>
      <w:r>
        <w:rPr>
          <w:rFonts w:ascii="Times New Roman" w:hAnsi="Times New Roman"/>
          <w:sz w:val="20"/>
        </w:rPr>
        <w:t xml:space="preserve">(and with correlative meaning, </w:t>
      </w:r>
      <w:r>
        <w:rPr>
          <w:rFonts w:ascii="times new roman;times" w:hAnsi="times new roman;times"/>
          <w:sz w:val="20"/>
        </w:rPr>
        <w:t>“</w:t>
      </w:r>
      <w:r>
        <w:rPr>
          <w:rFonts w:ascii="Times New Roman" w:hAnsi="Times New Roman"/>
          <w:b/>
          <w:i/>
          <w:sz w:val="20"/>
        </w:rPr>
        <w:t>Taxes</w:t>
      </w:r>
      <w:r>
        <w:rPr>
          <w:rFonts w:ascii="times new roman;times" w:hAnsi="times new roman;times"/>
          <w:sz w:val="20"/>
        </w:rPr>
        <w:t>”</w:t>
      </w:r>
      <w:r>
        <w:rPr>
          <w:rFonts w:ascii="Times New Roman" w:hAnsi="Times New Roman"/>
          <w:sz w:val="20"/>
        </w:rPr>
        <w:t>) shall mean federal, state, local, non-U.S.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w:t>
      </w:r>
      <w:r>
        <w:rPr>
          <w:rFonts w:ascii="times new roman;times" w:hAnsi="times new roman;times"/>
          <w:sz w:val="20"/>
        </w:rPr>
        <w:t xml:space="preserve">’ </w:t>
      </w:r>
      <w:r>
        <w:rPr>
          <w:rFonts w:ascii="Times New Roman" w:hAnsi="Times New Roman"/>
          <w:sz w:val="20"/>
        </w:rPr>
        <w:t>compensation, national health insurance, withholding or other taxes, duties, fees, assessments or governmental charges, surtaxes or deficiencies thereof of any kind whatsoever, however denominated, and including any fine, penalty, addition to tax or interest imposed by a Governmental Body with respect thereto.</w:t>
      </w:r>
    </w:p>
    <w:p>
      <w:pPr>
        <w:pStyle w:val="TextBody"/>
        <w:bidi w:val="0"/>
        <w:spacing w:lineRule="auto" w:line="288" w:before="0" w:after="200"/>
        <w:ind w:left="0" w:right="0" w:firstLine="720"/>
        <w:jc w:val="left"/>
        <w:rPr/>
      </w:pPr>
      <w:r>
        <w:rPr/>
        <w:t>“</w:t>
      </w:r>
      <w:r>
        <w:rPr>
          <w:rFonts w:ascii="Times New Roman" w:hAnsi="Times New Roman"/>
          <w:b/>
          <w:i/>
          <w:sz w:val="20"/>
        </w:rPr>
        <w:t>Tax Return</w:t>
      </w:r>
      <w:r>
        <w:rPr>
          <w:rFonts w:ascii="times new roman;times" w:hAnsi="times new roman;times"/>
          <w:sz w:val="20"/>
        </w:rPr>
        <w:t xml:space="preserve">” </w:t>
      </w:r>
      <w:r>
        <w:rPr>
          <w:rFonts w:ascii="Times New Roman" w:hAnsi="Times New Roman"/>
          <w:sz w:val="20"/>
        </w:rPr>
        <w:t>shall mean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pStyle w:val="TextBody"/>
        <w:bidi w:val="0"/>
        <w:spacing w:lineRule="auto" w:line="288" w:before="0" w:after="200"/>
        <w:ind w:left="0" w:right="0" w:firstLine="720"/>
        <w:jc w:val="left"/>
        <w:rPr/>
      </w:pPr>
      <w:r>
        <w:rPr/>
        <w:t>“</w:t>
      </w:r>
      <w:r>
        <w:rPr>
          <w:rFonts w:ascii="Times New Roman" w:hAnsi="Times New Roman"/>
          <w:b/>
          <w:i/>
          <w:sz w:val="20"/>
        </w:rPr>
        <w:t>Third-Party IP Rights</w:t>
      </w:r>
      <w:r>
        <w:rPr>
          <w:rFonts w:ascii="times new roman;times" w:hAnsi="times new roman;times"/>
          <w:sz w:val="20"/>
        </w:rPr>
        <w:t xml:space="preserve">” </w:t>
      </w:r>
      <w:r>
        <w:rPr>
          <w:rFonts w:ascii="Times New Roman" w:hAnsi="Times New Roman"/>
          <w:sz w:val="20"/>
        </w:rPr>
        <w:t>shall mean any Intellectual Property owned by a third party.</w:t>
      </w:r>
    </w:p>
    <w:p>
      <w:pPr>
        <w:pStyle w:val="TextBody"/>
        <w:bidi w:val="0"/>
        <w:spacing w:lineRule="auto" w:line="288" w:before="0" w:after="200"/>
        <w:ind w:left="0" w:right="0" w:firstLine="720"/>
        <w:jc w:val="left"/>
        <w:rPr/>
      </w:pPr>
      <w:r>
        <w:rPr/>
        <w:t>“</w:t>
      </w:r>
      <w:r>
        <w:rPr>
          <w:rFonts w:ascii="Times New Roman" w:hAnsi="Times New Roman"/>
          <w:b/>
          <w:i/>
          <w:sz w:val="20"/>
        </w:rPr>
        <w:t>Trade Control Laws</w:t>
      </w:r>
      <w:r>
        <w:rPr>
          <w:rFonts w:ascii="times new roman;times" w:hAnsi="times new roman;times"/>
          <w:sz w:val="20"/>
        </w:rPr>
        <w:t xml:space="preserve">” </w:t>
      </w:r>
      <w:r>
        <w:rPr>
          <w:rFonts w:ascii="Times New Roman" w:hAnsi="Times New Roman"/>
          <w:sz w:val="20"/>
        </w:rPr>
        <w:t>means any Laws regulating the export, reexport, transfer, release, disclosure, import, provision or brokering of commodities, software, technology, defense articles or defense services, or otherwise imposing trade control restrictions or prohibitions on countries, territories, Persons or transactions, including: (a) the Export Control Reform Act of 2018, as amended (50 U.S.C. §§ 4801-4852); (b) the Export Administration Regulations (15 C.F.R. Parts 730-774); (c) Laws authorizing or implementing Sanctions, including the International Emergency Economic Powers Act (50 U.S.C. §§ 1701-1708), the Trading with the Enemy Act (50 U.S.C. §§ 4301 et seq.), and regulations administered by OFAC in 31 C.F.R. Chapter V; (d) the Arms Export Control Act, as amended (22 U.S.C. § 2751 et seq.); (e) the International Traffic in Arms Regulations (22 C.F.R. Parts 120-130); (f) import control Laws and regulations administered by the Bureau of Alcohol, Tobacco, Firearms and Explosives, including 27 C.F.R. Part 447; (g) the Foreign Trade Regulations (15 C.F.R. Part 30); (h) U.S. customs Laws and regulations; and (i) any similar export controls, import controls, customs Laws, anti-boycott Laws or trade restrictions administered or enforced by any other applicable Governmental Body, in each case to the extent compliance therewith is not prohibited by applicable U.S. Law.</w:t>
      </w:r>
    </w:p>
    <w:p>
      <w:pPr>
        <w:pStyle w:val="TextBody"/>
        <w:bidi w:val="0"/>
        <w:spacing w:lineRule="auto" w:line="288" w:before="0" w:after="200"/>
        <w:ind w:left="0" w:right="0" w:firstLine="720"/>
        <w:jc w:val="left"/>
        <w:rPr/>
      </w:pPr>
      <w:r>
        <w:rPr/>
        <w:t>“</w:t>
      </w:r>
      <w:r>
        <w:rPr>
          <w:rFonts w:ascii="Times New Roman" w:hAnsi="Times New Roman"/>
          <w:b/>
          <w:i/>
          <w:sz w:val="20"/>
        </w:rPr>
        <w:t>Transaction Documents</w:t>
      </w:r>
      <w:r>
        <w:rPr>
          <w:rFonts w:ascii="times new roman;times" w:hAnsi="times new roman;times"/>
          <w:sz w:val="20"/>
        </w:rPr>
        <w:t xml:space="preserve">” </w:t>
      </w:r>
      <w:r>
        <w:rPr>
          <w:rFonts w:ascii="Times New Roman" w:hAnsi="Times New Roman"/>
          <w:sz w:val="20"/>
        </w:rPr>
        <w:t>means this Agreement, the Parent Voting Agreements,</w:t>
      </w:r>
      <w:r>
        <w:rPr>
          <w:rFonts w:ascii="times new roman;times" w:hAnsi="times new roman;times"/>
          <w:sz w:val="20"/>
        </w:rPr>
        <w:t xml:space="preserve"> </w:t>
      </w:r>
      <w:r>
        <w:rPr>
          <w:rFonts w:ascii="Times New Roman" w:hAnsi="Times New Roman"/>
          <w:sz w:val="20"/>
        </w:rPr>
        <w:t>the Seller Voting Agreement,</w:t>
      </w:r>
      <w:r>
        <w:rPr>
          <w:rFonts w:ascii="times new roman;times" w:hAnsi="times new roman;times"/>
          <w:sz w:val="20"/>
        </w:rPr>
        <w:t xml:space="preserve"> </w:t>
      </w:r>
      <w:r>
        <w:rPr>
          <w:rFonts w:ascii="Times New Roman" w:hAnsi="Times New Roman"/>
          <w:sz w:val="20"/>
        </w:rPr>
        <w:t>the Lock-up Agreement, the Certificate of Merger, and each other agreement, certificate, instrument or document executed or delivered by any of the parties hereto in connection with the consummation of the Contemplated Transactions.</w:t>
      </w:r>
    </w:p>
    <w:p>
      <w:pPr>
        <w:pStyle w:val="TextBody"/>
        <w:bidi w:val="0"/>
        <w:spacing w:lineRule="auto" w:line="288" w:before="0" w:after="200"/>
        <w:ind w:left="0" w:right="0" w:firstLine="720"/>
        <w:jc w:val="left"/>
        <w:rPr/>
      </w:pPr>
      <w:r>
        <w:rPr/>
        <w:t>“</w:t>
      </w:r>
      <w:r>
        <w:rPr>
          <w:rFonts w:ascii="Times New Roman" w:hAnsi="Times New Roman"/>
          <w:b/>
          <w:i/>
          <w:sz w:val="20"/>
        </w:rPr>
        <w:t>Transaction Litigation</w:t>
      </w:r>
      <w:r>
        <w:rPr>
          <w:rFonts w:ascii="times new roman;times" w:hAnsi="times new roman;times"/>
          <w:sz w:val="20"/>
        </w:rPr>
        <w:t xml:space="preserve">” </w:t>
      </w:r>
      <w:r>
        <w:rPr>
          <w:rFonts w:ascii="Times New Roman" w:hAnsi="Times New Roman"/>
          <w:sz w:val="20"/>
        </w:rPr>
        <w:t>means any Legal Proceeding (including any class action or derivative litigation) asserted, threatened in writing or commenced by, on behalf of or in the name of, against or otherwise involving Parent, the Board of Directors of Parent, any committee thereof or any of Parent</w:t>
      </w:r>
      <w:r>
        <w:rPr>
          <w:rFonts w:ascii="times new roman;times" w:hAnsi="times new roman;times"/>
          <w:sz w:val="20"/>
        </w:rPr>
        <w:t>’</w:t>
      </w:r>
      <w:r>
        <w:rPr>
          <w:rFonts w:ascii="Times New Roman" w:hAnsi="Times New Roman"/>
          <w:sz w:val="20"/>
        </w:rPr>
        <w:t>s directors or officers, in each case to the extent relating directly or indirectly to this Agreement, the Merger or any of the Contemplated Transactions or disclosures of a party relating to the Contemplated Transactions (including any such Legal Proceeding based on allegations that Parent</w:t>
      </w:r>
      <w:r>
        <w:rPr>
          <w:rFonts w:ascii="times new roman;times" w:hAnsi="times new roman;times"/>
          <w:sz w:val="20"/>
        </w:rPr>
        <w:t>’</w:t>
      </w:r>
      <w:r>
        <w:rPr>
          <w:rFonts w:ascii="Times New Roman" w:hAnsi="Times New Roman"/>
          <w:sz w:val="20"/>
        </w:rPr>
        <w:t>s entry into this Agreement or the terms and conditions of this Agreement or any of the Contemplated Transactions constituted a breach of the fiduciary duties of any member of the Board of Directors of Parent or any officer of Parent).</w:t>
      </w:r>
    </w:p>
    <w:p>
      <w:pPr>
        <w:pStyle w:val="TextBody"/>
        <w:bidi w:val="0"/>
        <w:spacing w:lineRule="auto" w:line="288" w:before="0" w:after="200"/>
        <w:ind w:left="0" w:right="0" w:firstLine="720"/>
        <w:jc w:val="left"/>
        <w:rPr/>
      </w:pPr>
      <w:r>
        <w:rPr/>
        <w:t>“</w:t>
      </w:r>
      <w:r>
        <w:rPr>
          <w:rFonts w:ascii="Times New Roman" w:hAnsi="Times New Roman"/>
          <w:b/>
          <w:i/>
          <w:sz w:val="20"/>
        </w:rPr>
        <w:t>Treasury Regulations</w:t>
      </w:r>
      <w:r>
        <w:rPr>
          <w:rFonts w:ascii="times new roman;times" w:hAnsi="times new roman;times"/>
          <w:sz w:val="20"/>
        </w:rPr>
        <w:t xml:space="preserve">” </w:t>
      </w:r>
      <w:r>
        <w:rPr>
          <w:rFonts w:ascii="Times New Roman" w:hAnsi="Times New Roman"/>
          <w:sz w:val="20"/>
        </w:rPr>
        <w:t>shall mean the United States Treasury regulations promulgated under the Code.</w:t>
      </w:r>
    </w:p>
    <w:p>
      <w:pPr>
        <w:pStyle w:val="TextBody"/>
        <w:bidi w:val="0"/>
        <w:spacing w:lineRule="auto" w:line="288" w:before="0" w:after="0"/>
        <w:ind w:left="0" w:right="0" w:firstLine="720"/>
        <w:jc w:val="left"/>
        <w:rPr/>
      </w:pPr>
      <w:r>
        <w:rPr/>
        <w:t>“</w:t>
      </w:r>
      <w:r>
        <w:rPr>
          <w:rFonts w:ascii="Times New Roman" w:hAnsi="Times New Roman"/>
          <w:b/>
          <w:i/>
          <w:sz w:val="20"/>
        </w:rPr>
        <w:t>Willful Breach</w:t>
      </w:r>
      <w:r>
        <w:rPr>
          <w:rFonts w:ascii="times new roman;times" w:hAnsi="times new roman;times"/>
          <w:sz w:val="20"/>
        </w:rPr>
        <w:t xml:space="preserve">” </w:t>
      </w:r>
      <w:r>
        <w:rPr>
          <w:rFonts w:ascii="Times New Roman" w:hAnsi="Times New Roman"/>
          <w:sz w:val="20"/>
        </w:rPr>
        <w:t xml:space="preserve">shall have the meaning set forth in </w:t>
      </w:r>
      <w:r>
        <w:rPr>
          <w:rFonts w:ascii="Times New Roman" w:hAnsi="Times New Roman"/>
          <w:sz w:val="20"/>
          <w:u w:val="single"/>
        </w:rPr>
        <w:t>Section 9.2</w:t>
      </w:r>
      <w:r>
        <w:rPr>
          <w:rFonts w:ascii="Times New Roman" w:hAnsi="Times New Roman"/>
          <w:b/>
          <w:sz w:val="20"/>
        </w:rPr>
        <w: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center"/>
        <w:rPr/>
      </w:pPr>
      <w:hyperlink w:anchor="TOC">
        <w:r>
          <w:rPr>
            <w:rStyle w:val="InternetLink"/>
            <w:rFonts w:ascii="Times New Roman" w:hAnsi="Times New Roman"/>
            <w:b/>
            <w:strike w:val="false"/>
            <w:dstrike w:val="false"/>
            <w:color w:val="000000"/>
            <w:sz w:val="20"/>
            <w:u w:val="none"/>
            <w:effect w:val="none"/>
          </w:rPr>
          <w:t>SCHEDULE</w:t>
        </w:r>
      </w:hyperlink>
      <w:hyperlink w:anchor="TOC">
        <w:r>
          <w:rPr>
            <w:rStyle w:val="InternetLink"/>
            <w:rFonts w:ascii="times new roman;times" w:hAnsi="times new roman;times"/>
            <w:strike w:val="false"/>
            <w:dstrike w:val="false"/>
            <w:color w:val="000000"/>
            <w:sz w:val="20"/>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5.25</w:t>
        </w:r>
      </w:hyperlink>
      <w:r>
        <w:rPr>
          <w:rFonts w:ascii="times new roman;times" w:hAnsi="times new roman;times"/>
          <w:sz w:val="20"/>
        </w:rPr>
        <w:br/>
      </w:r>
      <w:r>
        <w:rPr>
          <w:rFonts w:ascii="Times New Roman" w:hAnsi="Times New Roman"/>
          <w:b/>
          <w:sz w:val="20"/>
        </w:rPr>
        <w:t>PRE-EXISTING CONTRACTUAL OBLIGATIONS</w:t>
      </w:r>
      <w:r>
        <w:rPr>
          <w:rFonts w:ascii="times new roman;times" w:hAnsi="times new roman;times"/>
          <w:sz w:val="20"/>
        </w:rPr>
        <w:t xml:space="preserve"> </w:t>
      </w:r>
      <w:r>
        <w:rPr>
          <w:rFonts w:ascii="Times New Roman" w:hAnsi="Times New Roman"/>
          <w:b/>
          <w:sz w:val="20"/>
        </w:rPr>
        <w:t>REQUIRING EQUITY ISSUANCES</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None</w:t>
      </w:r>
      <w:r>
        <w:rPr>
          <w:rFonts w:ascii="times new roman;times" w:hAnsi="times new roman;times"/>
          <w:sz w:val="20"/>
        </w:rPr>
        <w:t xml:space="preserve"> </w:t>
      </w:r>
      <w:r>
        <w:rPr>
          <w:rFonts w:ascii="Times New Roman" w:hAnsi="Times New Roman"/>
          <w:sz w:val="20"/>
        </w:rPr>
        <w:t>other than options grants will be made</w:t>
      </w:r>
      <w:r>
        <w:rPr>
          <w:rFonts w:ascii="times new roman;times" w:hAnsi="times new roman;times"/>
          <w:sz w:val="20"/>
        </w:rPr>
        <w:t xml:space="preserve"> </w:t>
      </w:r>
      <w:r>
        <w:rPr>
          <w:rFonts w:ascii="Times New Roman" w:hAnsi="Times New Roman"/>
          <w:sz w:val="20"/>
        </w:rPr>
        <w:t>other than as set forth in Part 5.5 of the Parent Disclosure Schedule.</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A-92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r>
    </w:p>
    <w:p>
      <w:pPr>
        <w:pStyle w:val="TextBody"/>
        <w:bidi w:val="0"/>
        <w:spacing w:lineRule="auto" w:line="288" w:before="0" w:after="200"/>
        <w:ind w:left="0" w:right="0" w:hanging="0"/>
        <w:jc w:val="center"/>
        <w:rPr>
          <w:rFonts w:ascii="times new roman;times" w:hAnsi="times new roman;times"/>
          <w:b/>
          <w:sz w:val="20"/>
        </w:rPr>
      </w:pPr>
      <w:r>
        <w:rPr>
          <w:rFonts w:ascii="times new roman;times" w:hAnsi="times new roman;times"/>
          <w:b/>
          <w:sz w:val="20"/>
        </w:rPr>
        <w:t>APPENDIX B</w:t>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2026</w:t>
      </w:r>
      <w:r>
        <w:rPr>
          <w:rFonts w:ascii="times new roman;times" w:hAnsi="times new roman;times"/>
          <w:sz w:val="20"/>
        </w:rPr>
        <w:t xml:space="preserve"> </w:t>
      </w:r>
      <w:r>
        <w:rPr>
          <w:rFonts w:ascii="times new roman;times" w:hAnsi="times new roman;times"/>
          <w:b/>
          <w:sz w:val="20"/>
        </w:rPr>
        <w:t>OMNIBUS INCENTIVE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1.</w:t>
      </w:r>
      <w:r>
        <w:rPr>
          <w:rFonts w:ascii="times new roman;times" w:hAnsi="times new roman;times"/>
          <w:caps w:val="false"/>
          <w:smallCaps w:val="false"/>
          <w:sz w:val="20"/>
        </w:rPr>
        <w:t> </w:t>
      </w:r>
      <w:r>
        <w:rPr>
          <w:rFonts w:ascii="times new roman;times" w:hAnsi="times new roman;times"/>
          <w:b/>
          <w:sz w:val="20"/>
        </w:rPr>
        <w:t>GENERAL PURPOSE OF THE PLAN; DEFINITIONS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name of the plan is the ClearOne, Inc. 2026 Omnibus Incentive Plan (the “</w:t>
      </w:r>
      <w:r>
        <w:rPr>
          <w:rFonts w:ascii="times new roman;times" w:hAnsi="times new roman;times"/>
          <w:b/>
          <w:sz w:val="20"/>
        </w:rPr>
        <w:t>Plan</w:t>
      </w:r>
      <w:r>
        <w:rPr>
          <w:rFonts w:ascii="times new roman;times" w:hAnsi="times new roman;times"/>
          <w:sz w:val="20"/>
        </w:rPr>
        <w:t>”). The purpose of the Plan is to encourage and enable the officers, employees, directors, Non-Employee Directors and Consultants of ClearOne, Inc. (the “</w:t>
      </w:r>
      <w:r>
        <w:rPr>
          <w:rFonts w:ascii="times new roman;times" w:hAnsi="times new roman;times"/>
          <w:b/>
          <w:sz w:val="20"/>
        </w:rPr>
        <w:t>Company</w:t>
      </w:r>
      <w:r>
        <w:rPr>
          <w:rFonts w:ascii="times new roman;times" w:hAnsi="times new roman;times"/>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following terms shall be defined as set forth below:</w:t>
      </w:r>
    </w:p>
    <w:p>
      <w:pPr>
        <w:pStyle w:val="TextBody"/>
        <w:bidi w:val="0"/>
        <w:spacing w:lineRule="auto" w:line="288" w:before="0" w:after="240"/>
        <w:ind w:left="0" w:right="0" w:hanging="0"/>
        <w:jc w:val="both"/>
        <w:rPr/>
      </w:pPr>
      <w:r>
        <w:rPr/>
        <w:t>“</w:t>
      </w:r>
      <w:r>
        <w:rPr>
          <w:rFonts w:ascii="times new roman;times" w:hAnsi="times new roman;times"/>
          <w:i/>
          <w:sz w:val="20"/>
        </w:rPr>
        <w:t>Act”</w:t>
      </w:r>
      <w:r>
        <w:rPr>
          <w:rFonts w:ascii="times new roman;times" w:hAnsi="times new roman;times"/>
          <w:sz w:val="20"/>
        </w:rPr>
        <w:t xml:space="preserve"> means the Securities Act of 1933, as amended, and the rules and regulations thereunder.</w:t>
      </w:r>
    </w:p>
    <w:p>
      <w:pPr>
        <w:pStyle w:val="TextBody"/>
        <w:bidi w:val="0"/>
        <w:spacing w:lineRule="auto" w:line="288" w:before="0" w:after="240"/>
        <w:ind w:left="0" w:right="0" w:hanging="0"/>
        <w:jc w:val="both"/>
        <w:rPr/>
      </w:pPr>
      <w:r>
        <w:rPr/>
        <w:t>“</w:t>
      </w:r>
      <w:r>
        <w:rPr>
          <w:rFonts w:ascii="times new roman;times" w:hAnsi="times new roman;times"/>
          <w:i/>
          <w:sz w:val="20"/>
        </w:rPr>
        <w:t>Administrator”</w:t>
      </w:r>
      <w:r>
        <w:rPr>
          <w:rFonts w:ascii="times new roman;times" w:hAnsi="times new roman;times"/>
          <w:sz w:val="20"/>
        </w:rPr>
        <w:t xml:space="preserve"> 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88" w:before="0" w:after="240"/>
        <w:ind w:left="0" w:right="0" w:hanging="0"/>
        <w:jc w:val="both"/>
        <w:rPr/>
      </w:pPr>
      <w:r>
        <w:rPr/>
        <w:t>“</w:t>
      </w:r>
      <w:r>
        <w:rPr>
          <w:rFonts w:ascii="times new roman;times" w:hAnsi="times new roman;times"/>
          <w:i/>
          <w:sz w:val="20"/>
        </w:rPr>
        <w:t>Affiliate”</w:t>
      </w:r>
      <w:r>
        <w:rPr>
          <w:rFonts w:ascii="times new roman;times" w:hAnsi="times new roman;times"/>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pStyle w:val="TextBody"/>
        <w:bidi w:val="0"/>
        <w:spacing w:lineRule="auto" w:line="288" w:before="0" w:after="240"/>
        <w:ind w:left="0" w:right="0" w:hanging="0"/>
        <w:jc w:val="both"/>
        <w:rPr/>
      </w:pPr>
      <w:r>
        <w:rPr/>
        <w:t>“</w:t>
      </w:r>
      <w:r>
        <w:rPr>
          <w:rFonts w:ascii="times new roman;times" w:hAnsi="times new roman;times"/>
          <w:i/>
          <w:sz w:val="20"/>
        </w:rPr>
        <w:t>Award”</w:t>
      </w:r>
      <w:r>
        <w:rPr>
          <w:rFonts w:ascii="times new roman;times" w:hAnsi="times new roman;times"/>
          <w:sz w:val="20"/>
        </w:rPr>
        <w:t xml:space="preserve"> or “</w:t>
      </w:r>
      <w:r>
        <w:rPr>
          <w:rFonts w:ascii="times new roman;times" w:hAnsi="times new roman;times"/>
          <w:i/>
          <w:sz w:val="20"/>
        </w:rPr>
        <w:t>Awards,”</w:t>
      </w:r>
      <w:r>
        <w:rPr>
          <w:rFonts w:ascii="times new roman;times" w:hAnsi="times new roman;times"/>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lineRule="auto" w:line="288" w:before="0" w:after="240"/>
        <w:ind w:left="0" w:right="0" w:hanging="0"/>
        <w:jc w:val="both"/>
        <w:rPr/>
      </w:pPr>
      <w:r>
        <w:rPr/>
        <w:t>“</w:t>
      </w:r>
      <w:r>
        <w:rPr>
          <w:rFonts w:ascii="times new roman;times" w:hAnsi="times new roman;times"/>
          <w:i/>
          <w:sz w:val="20"/>
        </w:rPr>
        <w:t>Award Agreement”</w:t>
      </w:r>
      <w:r>
        <w:rPr>
          <w:rFonts w:ascii="times new roman;times" w:hAnsi="times new roman;times"/>
          <w:sz w:val="20"/>
        </w:rPr>
        <w:t xml:space="preserve"> means a written or electronic document setting forth the terms and provisions applicable to an Award granted under the Plan. Each Award Agreement is subject to the terms and conditions of the Plan.</w:t>
      </w:r>
    </w:p>
    <w:p>
      <w:pPr>
        <w:pStyle w:val="TextBody"/>
        <w:bidi w:val="0"/>
        <w:spacing w:lineRule="auto" w:line="288" w:before="0" w:after="240"/>
        <w:ind w:left="0" w:right="0" w:hanging="0"/>
        <w:jc w:val="both"/>
        <w:rPr/>
      </w:pPr>
      <w:r>
        <w:rPr/>
        <w:t>“</w:t>
      </w:r>
      <w:r>
        <w:rPr>
          <w:rFonts w:ascii="times new roman;times" w:hAnsi="times new roman;times"/>
          <w:i/>
          <w:sz w:val="20"/>
        </w:rPr>
        <w:t>Board”</w:t>
      </w:r>
      <w:r>
        <w:rPr>
          <w:rFonts w:ascii="times new roman;times" w:hAnsi="times new roman;times"/>
          <w:sz w:val="20"/>
        </w:rPr>
        <w:t xml:space="preserve"> means the Board of Directors of the Company.</w:t>
      </w:r>
    </w:p>
    <w:p>
      <w:pPr>
        <w:pStyle w:val="TextBody"/>
        <w:bidi w:val="0"/>
        <w:spacing w:lineRule="auto" w:line="288" w:before="0" w:after="240"/>
        <w:ind w:left="0" w:right="0" w:hanging="0"/>
        <w:jc w:val="both"/>
        <w:rPr/>
      </w:pPr>
      <w:r>
        <w:rPr/>
        <w:t>“</w:t>
      </w:r>
      <w:r>
        <w:rPr>
          <w:rFonts w:ascii="times new roman;times" w:hAnsi="times new roman;times"/>
          <w:i/>
          <w:sz w:val="20"/>
        </w:rPr>
        <w:t>Cash-Based Award”</w:t>
      </w:r>
      <w:r>
        <w:rPr>
          <w:rFonts w:ascii="times new roman;times" w:hAnsi="times new roman;times"/>
          <w:sz w:val="20"/>
        </w:rPr>
        <w:t xml:space="preserve"> means an Award entitling the recipient to receive a cash-denominated payment.</w:t>
      </w:r>
    </w:p>
    <w:p>
      <w:pPr>
        <w:pStyle w:val="TextBody"/>
        <w:bidi w:val="0"/>
        <w:spacing w:lineRule="auto" w:line="288" w:before="0" w:after="240"/>
        <w:ind w:left="0" w:right="0" w:hanging="0"/>
        <w:jc w:val="both"/>
        <w:rPr/>
      </w:pPr>
      <w:r>
        <w:rPr/>
        <w:t>“</w:t>
      </w:r>
      <w:r>
        <w:rPr>
          <w:rFonts w:ascii="times new roman;times" w:hAnsi="times new roman;times"/>
          <w:i/>
          <w:sz w:val="20"/>
        </w:rPr>
        <w:t>Code”</w:t>
      </w:r>
      <w:r>
        <w:rPr>
          <w:rFonts w:ascii="times new roman;times" w:hAnsi="times new roman;times"/>
          <w:sz w:val="20"/>
        </w:rPr>
        <w:t xml:space="preserve"> means the Internal Revenue Code of 1986, as amended, and any successor Code, and related rules, regulations and interpretations.</w:t>
      </w:r>
    </w:p>
    <w:p>
      <w:pPr>
        <w:pStyle w:val="TextBody"/>
        <w:bidi w:val="0"/>
        <w:spacing w:lineRule="auto" w:line="288" w:before="0" w:after="240"/>
        <w:ind w:left="0" w:right="0" w:hanging="0"/>
        <w:jc w:val="both"/>
        <w:rPr/>
      </w:pPr>
      <w:r>
        <w:rPr/>
        <w:t>“</w:t>
      </w:r>
      <w:r>
        <w:rPr>
          <w:rFonts w:ascii="times new roman;times" w:hAnsi="times new roman;times"/>
          <w:i/>
          <w:sz w:val="20"/>
          <w:lang w:val="en-US"/>
        </w:rPr>
        <w:t>Committee”</w:t>
      </w:r>
      <w:r>
        <w:rPr>
          <w:rFonts w:ascii="times new roman;times" w:hAnsi="times new roman;times"/>
          <w:sz w:val="20"/>
        </w:rPr>
        <w:t xml:space="preserve"> </w:t>
      </w:r>
      <w:r>
        <w:rPr>
          <w:rFonts w:ascii="times new roman;times" w:hAnsi="times new roman;times"/>
          <w:sz w:val="20"/>
          <w:lang w:val="en-US"/>
        </w:rPr>
        <w:t>means the compensation committee of the Board responsible for overseeing, reviewing, and approving the Company’s executive compensation and benefit programs and for administering the Company’s equity incentive plans.</w:t>
      </w:r>
    </w:p>
    <w:p>
      <w:pPr>
        <w:pStyle w:val="TextBody"/>
        <w:bidi w:val="0"/>
        <w:spacing w:lineRule="auto" w:line="288" w:before="0" w:after="240"/>
        <w:ind w:left="0" w:right="0" w:hanging="0"/>
        <w:jc w:val="both"/>
        <w:rPr/>
      </w:pPr>
      <w:r>
        <w:rPr/>
        <w:t>“</w:t>
      </w:r>
      <w:r>
        <w:rPr>
          <w:rFonts w:ascii="times new roman;times" w:hAnsi="times new roman;times"/>
          <w:i/>
          <w:sz w:val="20"/>
        </w:rPr>
        <w:t xml:space="preserve">Consultant” </w:t>
      </w:r>
      <w:r>
        <w:rPr>
          <w:rFonts w:ascii="times new roman;times" w:hAnsi="times new roman;times"/>
          <w:sz w:val="20"/>
        </w:rPr>
        <w:t xml:space="preserve">means a consultant or adviser who provides </w:t>
      </w:r>
      <w:r>
        <w:rPr>
          <w:rFonts w:ascii="times new roman;times" w:hAnsi="times new roman;times"/>
          <w:i/>
          <w:sz w:val="20"/>
        </w:rPr>
        <w:t>bona fide</w:t>
      </w:r>
      <w:r>
        <w:rPr>
          <w:rFonts w:ascii="times new roman;times" w:hAnsi="times new roman;times"/>
          <w:sz w:val="20"/>
        </w:rPr>
        <w:t xml:space="preserve"> services to the Company or an Affiliate as an independent contractor and who qualifies as a consultant or advisor under Instruction A.1.(a)(1) of Form S-8 under the Act.</w:t>
      </w:r>
    </w:p>
    <w:p>
      <w:pPr>
        <w:pStyle w:val="TextBody"/>
        <w:bidi w:val="0"/>
        <w:spacing w:lineRule="auto" w:line="288" w:before="0" w:after="240"/>
        <w:ind w:left="0" w:right="0" w:hanging="0"/>
        <w:jc w:val="both"/>
        <w:rPr/>
      </w:pPr>
      <w:r>
        <w:rPr/>
        <w:t>“</w:t>
      </w:r>
      <w:r>
        <w:rPr>
          <w:rFonts w:ascii="times new roman;times" w:hAnsi="times new roman;times"/>
          <w:i/>
          <w:sz w:val="20"/>
        </w:rPr>
        <w:t>Dividend Equivalent Right”</w:t>
      </w:r>
      <w:r>
        <w:rPr>
          <w:rFonts w:ascii="times new roman;times" w:hAnsi="times new roman;times"/>
          <w:sz w:val="20"/>
        </w:rPr>
        <w:t xml:space="preserve"> means an Award entitling the grantee to receive credits based on ordinary cash dividends that would have been paid on the shares of Stock specified in the Dividend Equivalent Right (or other award to which it relates) if such shares of stock had been issued to and held by the grantee.</w:t>
      </w:r>
    </w:p>
    <w:p>
      <w:pPr>
        <w:pStyle w:val="TextBody"/>
        <w:bidi w:val="0"/>
        <w:spacing w:lineRule="auto" w:line="288" w:before="0" w:after="240"/>
        <w:ind w:left="0" w:right="0" w:hanging="0"/>
        <w:jc w:val="both"/>
        <w:rPr/>
      </w:pPr>
      <w:r>
        <w:rPr/>
        <w:t>“</w:t>
      </w:r>
      <w:r>
        <w:rPr>
          <w:rFonts w:ascii="times new roman;times" w:hAnsi="times new roman;times"/>
          <w:i/>
          <w:sz w:val="20"/>
        </w:rPr>
        <w:t>Effective Date”</w:t>
      </w:r>
      <w:r>
        <w:rPr>
          <w:rFonts w:ascii="times new roman;times" w:hAnsi="times new roman;times"/>
          <w:sz w:val="20"/>
        </w:rPr>
        <w:t xml:space="preserve"> means the date on which the Plan becomes effective as set forth in Section 19.</w:t>
      </w:r>
    </w:p>
    <w:p>
      <w:pPr>
        <w:pStyle w:val="TextBody"/>
        <w:bidi w:val="0"/>
        <w:spacing w:lineRule="auto" w:line="288" w:before="0" w:after="240"/>
        <w:ind w:left="0" w:right="0" w:hanging="0"/>
        <w:jc w:val="both"/>
        <w:rPr/>
      </w:pPr>
      <w:r>
        <w:rPr/>
        <w:t>“</w:t>
      </w:r>
      <w:r>
        <w:rPr>
          <w:rFonts w:ascii="times new roman;times" w:hAnsi="times new roman;times"/>
          <w:i/>
          <w:sz w:val="20"/>
        </w:rPr>
        <w:t>Exchange Act”</w:t>
      </w:r>
      <w:r>
        <w:rPr>
          <w:rFonts w:ascii="times new roman;times" w:hAnsi="times new roman;times"/>
          <w:sz w:val="20"/>
        </w:rPr>
        <w:t xml:space="preserve"> means the Securities Exchange Act of 1934, as amended, and the rules and regulations thereunder.</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Fair Market Value”</w:t>
      </w:r>
      <w:r>
        <w:rPr>
          <w:rFonts w:ascii="times new roman;times" w:hAnsi="times new roman;times"/>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 w:hAnsi="times new roman;times"/>
          <w:b/>
          <w:sz w:val="20"/>
        </w:rPr>
        <w:t>Nasdaq</w:t>
      </w:r>
      <w:r>
        <w:rPr>
          <w:rFonts w:ascii="times new roman;times" w:hAnsi="times new roman;times"/>
          <w:sz w:val="20"/>
        </w:rPr>
        <w:t>”), The New York Stock Exchange or another national securities exchange or traded on any established market, the determination shall be made by reference to market quotations.</w:t>
      </w:r>
    </w:p>
    <w:p>
      <w:pPr>
        <w:pStyle w:val="TextBody"/>
        <w:bidi w:val="0"/>
        <w:spacing w:lineRule="auto" w:line="288" w:before="0" w:after="240"/>
        <w:ind w:left="0" w:right="0" w:hanging="0"/>
        <w:jc w:val="both"/>
        <w:rPr/>
      </w:pPr>
      <w:r>
        <w:rPr/>
        <w:t>“</w:t>
      </w:r>
      <w:r>
        <w:rPr>
          <w:rFonts w:ascii="times new roman;times" w:hAnsi="times new roman;times"/>
          <w:i/>
          <w:sz w:val="20"/>
        </w:rPr>
        <w:t>Incentive Stock Option”</w:t>
      </w:r>
      <w:r>
        <w:rPr>
          <w:rFonts w:ascii="times new roman;times" w:hAnsi="times new roman;times"/>
          <w:sz w:val="20"/>
        </w:rPr>
        <w:t xml:space="preserve"> means any Stock Option designated and qualified as an “incentive stock option” as defined in Section 422 of the Code.</w:t>
      </w:r>
    </w:p>
    <w:p>
      <w:pPr>
        <w:pStyle w:val="TextBody"/>
        <w:bidi w:val="0"/>
        <w:spacing w:lineRule="auto" w:line="288" w:before="0" w:after="240"/>
        <w:ind w:left="0" w:right="0" w:hanging="0"/>
        <w:jc w:val="both"/>
        <w:rPr/>
      </w:pPr>
      <w:r>
        <w:rPr/>
        <w:t>“</w:t>
      </w:r>
      <w:r>
        <w:rPr>
          <w:rFonts w:ascii="times new roman;times" w:hAnsi="times new roman;times"/>
          <w:i/>
          <w:sz w:val="20"/>
        </w:rPr>
        <w:t>Non-Employee Director”</w:t>
      </w:r>
      <w:r>
        <w:rPr>
          <w:rFonts w:ascii="times new roman;times" w:hAnsi="times new roman;times"/>
          <w:sz w:val="20"/>
        </w:rPr>
        <w:t xml:space="preserve"> means a member of the Board who is not also an employee of the Company or any Subsidiary.</w:t>
      </w:r>
    </w:p>
    <w:p>
      <w:pPr>
        <w:pStyle w:val="TextBody"/>
        <w:bidi w:val="0"/>
        <w:spacing w:lineRule="auto" w:line="288" w:before="0" w:after="240"/>
        <w:ind w:left="0" w:right="0" w:hanging="0"/>
        <w:jc w:val="both"/>
        <w:rPr/>
      </w:pPr>
      <w:r>
        <w:rPr/>
        <w:t>“</w:t>
      </w:r>
      <w:r>
        <w:rPr>
          <w:rFonts w:ascii="times new roman;times" w:hAnsi="times new roman;times"/>
          <w:i/>
          <w:sz w:val="20"/>
        </w:rPr>
        <w:t>Non-Qualified Stock Option”</w:t>
      </w:r>
      <w:r>
        <w:rPr>
          <w:rFonts w:ascii="times new roman;times" w:hAnsi="times new roman;times"/>
          <w:sz w:val="20"/>
        </w:rPr>
        <w:t xml:space="preserve"> means any Stock Option that is not an Incentive Stock Option.</w:t>
      </w:r>
    </w:p>
    <w:p>
      <w:pPr>
        <w:pStyle w:val="TextBody"/>
        <w:bidi w:val="0"/>
        <w:spacing w:lineRule="auto" w:line="288" w:before="0" w:after="240"/>
        <w:ind w:left="0" w:right="0" w:hanging="0"/>
        <w:jc w:val="both"/>
        <w:rPr/>
      </w:pPr>
      <w:r>
        <w:rPr/>
        <w:t>“</w:t>
      </w:r>
      <w:r>
        <w:rPr>
          <w:rFonts w:ascii="times new roman;times" w:hAnsi="times new roman;times"/>
          <w:i/>
          <w:sz w:val="20"/>
        </w:rPr>
        <w:t>Option”</w:t>
      </w:r>
      <w:r>
        <w:rPr>
          <w:rFonts w:ascii="times new roman;times" w:hAnsi="times new roman;times"/>
          <w:sz w:val="20"/>
        </w:rPr>
        <w:t xml:space="preserve"> or “</w:t>
      </w:r>
      <w:r>
        <w:rPr>
          <w:rFonts w:ascii="times new roman;times" w:hAnsi="times new roman;times"/>
          <w:i/>
          <w:sz w:val="20"/>
        </w:rPr>
        <w:t>Stock Option”</w:t>
      </w:r>
      <w:r>
        <w:rPr>
          <w:rFonts w:ascii="times new roman;times" w:hAnsi="times new roman;times"/>
          <w:sz w:val="20"/>
        </w:rPr>
        <w:t xml:space="preserve"> means any option to purchase shares of Stock granted pursuant to Section 5.</w:t>
      </w:r>
    </w:p>
    <w:p>
      <w:pPr>
        <w:pStyle w:val="TextBody"/>
        <w:bidi w:val="0"/>
        <w:spacing w:lineRule="auto" w:line="288" w:before="0" w:after="240"/>
        <w:ind w:left="0" w:right="0" w:hanging="0"/>
        <w:jc w:val="both"/>
        <w:rPr/>
      </w:pPr>
      <w:r>
        <w:rPr/>
        <w:t>“</w:t>
      </w:r>
      <w:r>
        <w:rPr>
          <w:rFonts w:ascii="times new roman;times" w:hAnsi="times new roman;times"/>
          <w:i/>
          <w:sz w:val="20"/>
        </w:rPr>
        <w:t>Restricted Shares”</w:t>
      </w:r>
      <w:r>
        <w:rPr>
          <w:rFonts w:ascii="times new roman;times" w:hAnsi="times new roman;times"/>
          <w:sz w:val="20"/>
        </w:rPr>
        <w:t xml:space="preserve"> means the shares of Stock underlying a Restricted Stock Award that remain subject to a risk of forfeiture or the Company’s right of repurchase.</w:t>
      </w:r>
    </w:p>
    <w:p>
      <w:pPr>
        <w:pStyle w:val="TextBody"/>
        <w:bidi w:val="0"/>
        <w:spacing w:lineRule="auto" w:line="288" w:before="0" w:after="240"/>
        <w:ind w:left="0" w:right="0" w:hanging="0"/>
        <w:jc w:val="both"/>
        <w:rPr/>
      </w:pPr>
      <w:r>
        <w:rPr/>
        <w:t>“</w:t>
      </w:r>
      <w:r>
        <w:rPr>
          <w:rFonts w:ascii="times new roman;times" w:hAnsi="times new roman;times"/>
          <w:i/>
          <w:sz w:val="20"/>
        </w:rPr>
        <w:t>Restricted Stock Award”</w:t>
      </w:r>
      <w:r>
        <w:rPr>
          <w:rFonts w:ascii="times new roman;times" w:hAnsi="times new roman;times"/>
          <w:sz w:val="20"/>
        </w:rPr>
        <w:t xml:space="preserve"> means an Award of Restricted Shares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Restricted Stock Units”</w:t>
      </w:r>
      <w:r>
        <w:rPr>
          <w:rFonts w:ascii="times new roman;times" w:hAnsi="times new roman;times"/>
          <w:sz w:val="20"/>
        </w:rPr>
        <w:t xml:space="preserve"> means an Award of Stock units subject to such restrictions and conditions as the Administrator may determine at the time of grant.</w:t>
      </w:r>
    </w:p>
    <w:p>
      <w:pPr>
        <w:pStyle w:val="TextBody"/>
        <w:bidi w:val="0"/>
        <w:spacing w:lineRule="auto" w:line="288" w:before="0" w:after="240"/>
        <w:ind w:left="0" w:right="0" w:hanging="0"/>
        <w:jc w:val="both"/>
        <w:rPr/>
      </w:pPr>
      <w:r>
        <w:rPr/>
        <w:t>“</w:t>
      </w:r>
      <w:r>
        <w:rPr>
          <w:rFonts w:ascii="times new roman;times" w:hAnsi="times new roman;times"/>
          <w:i/>
          <w:sz w:val="20"/>
        </w:rPr>
        <w:t>Sale Event”</w:t>
      </w:r>
      <w:r>
        <w:rPr>
          <w:rFonts w:ascii="times new roman;times" w:hAnsi="times new roman;times"/>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term “Sale Event” is being used in a context where it is required to meet the definition of “change in control” under Section 409A of the Code, then a “Sale Event” shall not be deemed to have occurred under the foregoing definition unless the transaction or occurrence constitutes a change in control for purposes of Section 409A of the Code.</w:t>
      </w:r>
    </w:p>
    <w:p>
      <w:pPr>
        <w:pStyle w:val="TextBody"/>
        <w:bidi w:val="0"/>
        <w:spacing w:lineRule="auto" w:line="288" w:before="0" w:after="240"/>
        <w:ind w:left="0" w:right="0" w:hanging="0"/>
        <w:jc w:val="both"/>
        <w:rPr/>
      </w:pPr>
      <w:r>
        <w:rPr/>
        <w:t>“</w:t>
      </w:r>
      <w:r>
        <w:rPr>
          <w:rFonts w:ascii="times new roman;times" w:hAnsi="times new roman;times"/>
          <w:i/>
          <w:sz w:val="20"/>
        </w:rPr>
        <w:t>Sale Price”</w:t>
      </w:r>
      <w:r>
        <w:rPr>
          <w:rFonts w:ascii="times new roman;times" w:hAnsi="times new roman;times"/>
          <w:sz w:val="20"/>
        </w:rPr>
        <w:t xml:space="preserve"> means the value as determined by the Administrator of the consideration payable, or otherwise to be received by stockholders, per share of Stock pursuant to a Sale Event.</w:t>
      </w:r>
    </w:p>
    <w:p>
      <w:pPr>
        <w:pStyle w:val="TextBody"/>
        <w:bidi w:val="0"/>
        <w:spacing w:lineRule="auto" w:line="288" w:before="0" w:after="240"/>
        <w:ind w:left="0" w:right="0" w:hanging="0"/>
        <w:jc w:val="both"/>
        <w:rPr/>
      </w:pPr>
      <w:r>
        <w:rPr/>
        <w:t>“</w:t>
      </w:r>
      <w:r>
        <w:rPr>
          <w:rFonts w:ascii="times new roman;times" w:hAnsi="times new roman;times"/>
          <w:i/>
          <w:sz w:val="20"/>
        </w:rPr>
        <w:t>Section 409A”</w:t>
      </w:r>
      <w:r>
        <w:rPr>
          <w:rFonts w:ascii="times new roman;times" w:hAnsi="times new roman;times"/>
          <w:sz w:val="20"/>
        </w:rPr>
        <w:t xml:space="preserve"> means Section 409A of the Code and the regulations and other guidance promulgated thereunder.</w:t>
      </w:r>
    </w:p>
    <w:p>
      <w:pPr>
        <w:pStyle w:val="TextBody"/>
        <w:bidi w:val="0"/>
        <w:spacing w:lineRule="auto" w:line="288" w:before="0" w:after="240"/>
        <w:ind w:left="0" w:right="0" w:hanging="0"/>
        <w:jc w:val="both"/>
        <w:rPr/>
      </w:pPr>
      <w:r>
        <w:rPr/>
        <w:t>“</w:t>
      </w:r>
      <w:r>
        <w:rPr>
          <w:rFonts w:ascii="times new roman;times" w:hAnsi="times new roman;times"/>
          <w:i/>
          <w:sz w:val="20"/>
        </w:rPr>
        <w:t xml:space="preserve">Service Relationship” </w:t>
      </w:r>
      <w:r>
        <w:rPr>
          <w:rFonts w:ascii="times new roman;times" w:hAnsi="times new roman;times"/>
          <w:sz w:val="20"/>
        </w:rPr>
        <w:t>means any relationship as an employee, officer, director or Consultant of the Company or any Affiliate (e.g., a Service Relationship shall be deemed to continue without interruption in the event an individual’s status changes from full-time employee to part-time employee or Consultant).</w:t>
      </w:r>
    </w:p>
    <w:p>
      <w:pPr>
        <w:pStyle w:val="TextBody"/>
        <w:bidi w:val="0"/>
        <w:spacing w:lineRule="auto" w:line="288" w:before="0" w:after="240"/>
        <w:ind w:left="0" w:right="0" w:hanging="0"/>
        <w:jc w:val="both"/>
        <w:rPr/>
      </w:pPr>
      <w:r>
        <w:rPr/>
        <w:t>“</w:t>
      </w:r>
      <w:r>
        <w:rPr>
          <w:rFonts w:ascii="times new roman;times" w:hAnsi="times new roman;times"/>
          <w:i/>
          <w:sz w:val="20"/>
        </w:rPr>
        <w:t>Stock”</w:t>
      </w:r>
      <w:r>
        <w:rPr>
          <w:rFonts w:ascii="times new roman;times" w:hAnsi="times new roman;times"/>
          <w:sz w:val="20"/>
        </w:rPr>
        <w:t xml:space="preserve"> means the Common Stock of the Company, subject to adjustments pursuant to Section 3.</w:t>
      </w:r>
    </w:p>
    <w:p>
      <w:pPr>
        <w:pStyle w:val="TextBody"/>
        <w:bidi w:val="0"/>
        <w:spacing w:lineRule="auto" w:line="288" w:before="0" w:after="240"/>
        <w:ind w:left="0" w:right="0" w:hanging="0"/>
        <w:jc w:val="both"/>
        <w:rPr/>
      </w:pPr>
      <w:r>
        <w:rPr/>
        <w:t>“</w:t>
      </w:r>
      <w:r>
        <w:rPr>
          <w:rFonts w:ascii="times new roman;times" w:hAnsi="times new roman;times"/>
          <w:i/>
          <w:sz w:val="20"/>
        </w:rPr>
        <w:t>Stock Appreciation Right”</w:t>
      </w:r>
      <w:r>
        <w:rPr>
          <w:rFonts w:ascii="times new roman;times" w:hAnsi="times new roman;times"/>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0" w:right="0" w:hanging="0"/>
        <w:jc w:val="both"/>
        <w:rPr/>
      </w:pPr>
      <w:r>
        <w:rPr/>
        <w:t>“</w:t>
      </w:r>
      <w:r>
        <w:rPr>
          <w:rFonts w:ascii="times new roman;times" w:hAnsi="times new roman;times"/>
          <w:i/>
          <w:sz w:val="20"/>
        </w:rPr>
        <w:t>Subsidiary”</w:t>
      </w:r>
      <w:r>
        <w:rPr>
          <w:rFonts w:ascii="times new roman;times" w:hAnsi="times new roman;times"/>
          <w:sz w:val="20"/>
        </w:rPr>
        <w:t xml:space="preserve"> means any corporation or other entity (other than the Company) in which the Company has at least a 50 percent interest, either directly or indirectly.</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240"/>
        <w:ind w:left="0" w:right="0" w:hanging="0"/>
        <w:jc w:val="both"/>
        <w:rPr/>
      </w:pPr>
      <w:r>
        <w:rPr/>
        <w:t>“</w:t>
      </w:r>
      <w:r>
        <w:rPr>
          <w:rFonts w:ascii="times new roman;times" w:hAnsi="times new roman;times"/>
          <w:i/>
          <w:sz w:val="20"/>
        </w:rPr>
        <w:t>Ten Percent Owner”</w:t>
      </w:r>
      <w:r>
        <w:rPr>
          <w:rFonts w:ascii="times new roman;times" w:hAnsi="times new roman;times"/>
          <w:sz w:val="20"/>
        </w:rPr>
        <w:t xml:space="preserve"> means an employee who owns or is deemed to own (by reason of the attribution rules of Section 424(d) of the Code) more than 10 percent of the combined voting power of all classes of stock of the Company or any parent or subsidiary corporation.</w:t>
      </w:r>
    </w:p>
    <w:p>
      <w:pPr>
        <w:pStyle w:val="TextBody"/>
        <w:bidi w:val="0"/>
        <w:spacing w:lineRule="auto" w:line="288" w:before="0" w:after="240"/>
        <w:ind w:left="0" w:right="0" w:hanging="0"/>
        <w:jc w:val="left"/>
        <w:rPr/>
      </w:pPr>
      <w:r>
        <w:rPr/>
        <w:t>“</w:t>
      </w:r>
      <w:r>
        <w:rPr>
          <w:rFonts w:ascii="times new roman;times" w:hAnsi="times new roman;times"/>
          <w:i/>
          <w:sz w:val="20"/>
        </w:rPr>
        <w:t>Unrestricted Stock Award”</w:t>
      </w:r>
      <w:r>
        <w:rPr>
          <w:rFonts w:ascii="times new roman;times" w:hAnsi="times new roman;times"/>
          <w:sz w:val="20"/>
        </w:rPr>
        <w:t xml:space="preserve"> means an Award of shares of Stock free of any restrictions.</w:t>
      </w:r>
    </w:p>
    <w:p>
      <w:pPr>
        <w:pStyle w:val="TextBody"/>
        <w:bidi w:val="0"/>
        <w:spacing w:lineRule="auto" w:line="288" w:before="0" w:after="240"/>
        <w:ind w:left="1815" w:right="0" w:hanging="1440"/>
        <w:jc w:val="both"/>
        <w:rPr>
          <w:rFonts w:ascii="times new roman;times" w:hAnsi="times new roman;times"/>
          <w:sz w:val="20"/>
        </w:rPr>
      </w:pPr>
      <w:r>
        <w:rPr>
          <w:rFonts w:ascii="times new roman;times" w:hAnsi="times new roman;times"/>
          <w:b/>
          <w:sz w:val="20"/>
        </w:rPr>
        <w:t>SECTION 2.</w:t>
      </w:r>
      <w:r>
        <w:rPr>
          <w:rFonts w:ascii="times new roman;times" w:hAnsi="times new roman;times"/>
          <w:caps w:val="false"/>
          <w:smallCaps w:val="false"/>
          <w:sz w:val="20"/>
        </w:rPr>
        <w:t> </w:t>
      </w:r>
      <w:r>
        <w:rPr>
          <w:rFonts w:ascii="times new roman;times" w:hAnsi="times new roman;times"/>
          <w:b/>
          <w:sz w:val="20"/>
        </w:rPr>
        <w:t>ADMINISTRATION OF PLAN; ADMINISTRATOR AUTHORITY TO SELECT GRANTEES AND DETERMINE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2.1</w:t>
      </w:r>
      <w:r>
        <w:rPr>
          <w:rFonts w:ascii="times new roman;times" w:hAnsi="times new roman;times"/>
          <w:caps w:val="false"/>
          <w:smallCaps w:val="false"/>
          <w:sz w:val="20"/>
        </w:rPr>
        <w:t> </w:t>
      </w:r>
      <w:r>
        <w:rPr>
          <w:rFonts w:ascii="times new roman;times" w:hAnsi="times new roman;times"/>
          <w:b/>
          <w:sz w:val="20"/>
        </w:rPr>
        <w:t xml:space="preserve">Administration of Plan. </w:t>
      </w:r>
    </w:p>
    <w:p>
      <w:pPr>
        <w:pStyle w:val="TextBody"/>
        <w:bidi w:val="0"/>
        <w:spacing w:lineRule="auto" w:line="288" w:before="0" w:after="240"/>
        <w:ind w:left="1440" w:right="0" w:hanging="720"/>
        <w:jc w:val="left"/>
        <w:rPr>
          <w:rFonts w:ascii="times new roman;times" w:hAnsi="times new roman;times"/>
          <w:sz w:val="20"/>
        </w:rPr>
      </w:pPr>
      <w:r>
        <w:rPr>
          <w:rFonts w:ascii="times new roman;times" w:hAnsi="times new roman;times"/>
          <w:sz w:val="20"/>
        </w:rPr>
        <w:t>The Plan shall be administered by the Administrator.</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2.2</w:t>
      </w:r>
      <w:r>
        <w:rPr>
          <w:rFonts w:ascii="times new roman;times" w:hAnsi="times new roman;times"/>
          <w:caps w:val="false"/>
          <w:smallCaps w:val="false"/>
          <w:sz w:val="20"/>
        </w:rPr>
        <w:t> </w:t>
      </w:r>
      <w:r>
        <w:rPr>
          <w:rFonts w:ascii="times new roman;times" w:hAnsi="times new roman;times"/>
          <w:b/>
          <w:sz w:val="20"/>
        </w:rPr>
        <w:t>Powers of Administrator.</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The Administrator shall have the power and authority to grant Awards consistent with the terms of the Plan, including the power and authority:</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 </w:t>
      </w:r>
      <w:r>
        <w:rPr>
          <w:rFonts w:ascii="times new roman;times" w:hAnsi="times new roman;times"/>
          <w:caps w:val="false"/>
          <w:smallCaps w:val="false"/>
          <w:sz w:val="20"/>
        </w:rPr>
        <w:t> </w:t>
      </w:r>
      <w:r>
        <w:rPr>
          <w:rFonts w:ascii="times new roman;times" w:hAnsi="times new roman;times"/>
          <w:sz w:val="20"/>
        </w:rPr>
        <w:t>to select the individuals to whom Awards may from time to time be granted;</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 </w:t>
      </w:r>
      <w:r>
        <w:rPr>
          <w:rFonts w:ascii="times new roman;times" w:hAnsi="times new roman;times"/>
          <w:caps w:val="false"/>
          <w:smallCaps w:val="false"/>
          <w:sz w:val="20"/>
        </w:rPr>
        <w:t> </w:t>
      </w:r>
      <w:r>
        <w:rPr>
          <w:rFonts w:ascii="times new roman;times" w:hAnsi="times new roman;times"/>
          <w:sz w:val="20"/>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caps w:val="false"/>
          <w:smallCaps w:val="false"/>
          <w:sz w:val="20"/>
        </w:rPr>
        <w:t> </w:t>
      </w:r>
      <w:r>
        <w:rPr>
          <w:rFonts w:ascii="times new roman;times" w:hAnsi="times new roman;times"/>
          <w:sz w:val="20"/>
        </w:rPr>
        <w:t>to determine the number of shares of Stock to be covered by any Award;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caps w:val="false"/>
          <w:smallCaps w:val="false"/>
          <w:sz w:val="20"/>
        </w:rPr>
        <w:t> </w:t>
      </w:r>
      <w:r>
        <w:rPr>
          <w:rFonts w:ascii="times new roman;times" w:hAnsi="times new roman;times"/>
          <w:sz w:val="20"/>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caps w:val="false"/>
          <w:smallCaps w:val="false"/>
          <w:sz w:val="20"/>
        </w:rPr>
        <w:t> </w:t>
      </w:r>
      <w:r>
        <w:rPr>
          <w:rFonts w:ascii="times new roman;times" w:hAnsi="times new roman;times"/>
          <w:sz w:val="20"/>
        </w:rPr>
        <w:t>to accelerate the exercisability or vesting of all or any portion of any Award in connection with the death of a grantee, disability of a grantee, or actual or constructive discharge of a grantee following a Sale Event;</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(f) </w:t>
      </w:r>
      <w:r>
        <w:rPr>
          <w:rFonts w:ascii="times new roman;times" w:hAnsi="times new roman;times"/>
          <w:caps w:val="false"/>
          <w:smallCaps w:val="false"/>
          <w:sz w:val="20"/>
        </w:rPr>
        <w:t> </w:t>
      </w:r>
      <w:r>
        <w:rPr>
          <w:rFonts w:ascii="times new roman;times" w:hAnsi="times new roman;times"/>
          <w:sz w:val="20"/>
        </w:rPr>
        <w:t>subject to the provisions of Section 5.3, to extend at any time the period in which Stock Options and Stock Appreciation Rights may be exercised;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(g) </w:t>
      </w:r>
      <w:r>
        <w:rPr>
          <w:rFonts w:ascii="times new roman;times" w:hAnsi="times new roman;times"/>
          <w:caps w:val="false"/>
          <w:smallCaps w:val="false"/>
          <w:sz w:val="20"/>
        </w:rPr>
        <w:t> </w:t>
      </w:r>
      <w:r>
        <w:rPr>
          <w:rFonts w:ascii="times new roman;times" w:hAnsi="times new roman;times"/>
          <w:sz w:val="20"/>
        </w:rPr>
        <w:t>at any time, to alter any performance goals upon which grant, vesting, exercise, settlement or payment of any Award is contingent, to reflect material changes in circumstances, as determined by the Administrator in its discretion; and</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(h) </w:t>
      </w:r>
      <w:r>
        <w:rPr>
          <w:rFonts w:ascii="times new roman;times" w:hAnsi="times new roman;times"/>
          <w:caps w:val="false"/>
          <w:smallCaps w:val="false"/>
          <w:sz w:val="20"/>
        </w:rPr>
        <w:t> </w:t>
      </w:r>
      <w:r>
        <w:rPr>
          <w:rFonts w:ascii="times new roman;times" w:hAnsi="times new roman;times"/>
          <w:sz w:val="20"/>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88" w:before="0" w:after="240"/>
        <w:ind w:left="720" w:right="0" w:hanging="0"/>
        <w:jc w:val="left"/>
        <w:rPr>
          <w:rFonts w:ascii="times new roman;times" w:hAnsi="times new roman;times"/>
          <w:sz w:val="20"/>
        </w:rPr>
      </w:pPr>
      <w:r>
        <w:rPr>
          <w:rFonts w:ascii="times new roman;times" w:hAnsi="times new roman;times"/>
          <w:sz w:val="20"/>
        </w:rPr>
        <w:t>All decisions and interpretations of the Administrator shall be binding on all persons, including the Company and Plan grantees.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2.3</w:t>
      </w:r>
      <w:r>
        <w:rPr>
          <w:rFonts w:ascii="times new roman;times" w:hAnsi="times new roman;times"/>
          <w:caps w:val="false"/>
          <w:smallCaps w:val="false"/>
          <w:sz w:val="20"/>
        </w:rPr>
        <w:t> </w:t>
      </w:r>
      <w:r>
        <w:rPr>
          <w:rFonts w:ascii="times new roman;times" w:hAnsi="times new roman;times"/>
          <w:b/>
          <w:sz w:val="20"/>
        </w:rPr>
        <w:t>Award Agreement.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Awards under the Plan shall be evidenced by Award Agreements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2.4</w:t>
      </w:r>
      <w:r>
        <w:rPr>
          <w:rFonts w:ascii="times new roman;times" w:hAnsi="times new roman;times"/>
          <w:caps w:val="false"/>
          <w:smallCaps w:val="false"/>
          <w:sz w:val="20"/>
        </w:rPr>
        <w:t> </w:t>
      </w:r>
      <w:r>
        <w:rPr>
          <w:rFonts w:ascii="times new roman;times" w:hAnsi="times new roman;times"/>
          <w:b/>
          <w:sz w:val="20"/>
        </w:rPr>
        <w:t>Indemnification.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Neither the Board nor the Administrator, nor any member of either, shall be liable for any act, omission, interpretation, construction or determination made in good faith in connection with the Plan, and the members of the Board and the Administrator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2.5</w:t>
      </w:r>
      <w:r>
        <w:rPr>
          <w:rFonts w:ascii="times new roman;times" w:hAnsi="times new roman;times"/>
          <w:caps w:val="false"/>
          <w:smallCaps w:val="false"/>
          <w:sz w:val="20"/>
        </w:rPr>
        <w:t> </w:t>
      </w:r>
      <w:r>
        <w:rPr>
          <w:rFonts w:ascii="times new roman;times" w:hAnsi="times new roman;times"/>
          <w:b/>
          <w:sz w:val="20"/>
        </w:rPr>
        <w:t xml:space="preserve">Foreign Award Recipients.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3.1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3.</w:t>
      </w:r>
      <w:r>
        <w:rPr>
          <w:rFonts w:ascii="times new roman;times" w:hAnsi="times new roman;times"/>
          <w:caps w:val="false"/>
          <w:smallCaps w:val="false"/>
          <w:sz w:val="20"/>
        </w:rPr>
        <w:t> </w:t>
      </w:r>
      <w:r>
        <w:rPr>
          <w:rFonts w:ascii="times new roman;times" w:hAnsi="times new roman;times"/>
          <w:b/>
          <w:sz w:val="20"/>
        </w:rPr>
        <w:t>STOCK ISSUABLE UNDER THE PLAN</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3.1</w:t>
      </w:r>
      <w:r>
        <w:rPr>
          <w:rFonts w:ascii="times new roman;times" w:hAnsi="times new roman;times"/>
          <w:caps w:val="false"/>
          <w:smallCaps w:val="false"/>
          <w:sz w:val="20"/>
        </w:rPr>
        <w:t> </w:t>
      </w:r>
      <w:r>
        <w:rPr>
          <w:rFonts w:ascii="times new roman;times" w:hAnsi="times new roman;times"/>
          <w:b/>
          <w:sz w:val="20"/>
        </w:rPr>
        <w:t>Stock Issuable.</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maximum number of shares of Stock reserved and available for issuance under the Plan shall be 2,500,000 shares of Stock shall be reserved and available for issuance under the Plan (if applicable, the “</w:t>
      </w:r>
      <w:r>
        <w:rPr>
          <w:rFonts w:ascii="times new roman;times" w:hAnsi="times new roman;times"/>
          <w:b/>
          <w:sz w:val="20"/>
        </w:rPr>
        <w:t>Limit</w:t>
      </w:r>
      <w:r>
        <w:rPr>
          <w:rFonts w:ascii="times new roman;times" w:hAnsi="times new roman;times"/>
          <w:sz w:val="20"/>
        </w:rPr>
        <w:t>”). The Limit is subject to adjustment as provided in this Section 3. The maximum aggregate number of shares of Stock that may be issued in the form of Incentive Stock Options shall not exceed the Limit, subject to adjustment as provided in Section 3.2.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3.2</w:t>
      </w:r>
      <w:r>
        <w:rPr>
          <w:rFonts w:ascii="times new roman;times" w:hAnsi="times new roman;times"/>
          <w:caps w:val="false"/>
          <w:smallCaps w:val="false"/>
          <w:sz w:val="20"/>
        </w:rPr>
        <w:t> </w:t>
      </w:r>
      <w:r>
        <w:rPr>
          <w:rFonts w:ascii="times new roman;times" w:hAnsi="times new roman;times"/>
          <w:b/>
          <w:sz w:val="20"/>
        </w:rPr>
        <w:t>Changes in Stock.</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Subject to Section 3.3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3.3</w:t>
      </w:r>
      <w:r>
        <w:rPr>
          <w:rFonts w:ascii="times new roman;times" w:hAnsi="times new roman;times"/>
          <w:caps w:val="false"/>
          <w:smallCaps w:val="false"/>
          <w:sz w:val="20"/>
        </w:rPr>
        <w:t> </w:t>
      </w:r>
      <w:r>
        <w:rPr>
          <w:rFonts w:ascii="times new roman;times" w:hAnsi="times new roman;times"/>
          <w:b/>
          <w:sz w:val="20"/>
        </w:rPr>
        <w:t>Mergers and Other Transactions.</w:t>
      </w:r>
      <w:r>
        <w:rPr>
          <w:rFonts w:ascii="times new roman;times" w:hAnsi="times new roman;times"/>
          <w:sz w:val="20"/>
        </w:rPr>
        <w:t xml:space="preserve">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3.4</w:t>
      </w:r>
      <w:r>
        <w:rPr>
          <w:rFonts w:ascii="times new roman;times" w:hAnsi="times new roman;times"/>
          <w:caps w:val="false"/>
          <w:smallCaps w:val="false"/>
          <w:sz w:val="20"/>
        </w:rPr>
        <w:t> </w:t>
      </w:r>
      <w:r>
        <w:rPr>
          <w:rFonts w:ascii="times new roman;times" w:hAnsi="times new roman;times"/>
          <w:b/>
          <w:sz w:val="20"/>
        </w:rPr>
        <w:t xml:space="preserve">Maximum Awards to Non-Employee Directors. </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anything to the contrary in this Plan, the value of all Awards awarded under this Plan and all other cash compensation paid by the Company to any Non-Employee Director in any calendar year for service as a Non-Employee Director shall not exceed $500,000, provided, however that such amount shall be $750,000 for the calendar year in which the applicable Non-Employee Director is initially elected or appointed to the Board, and $750,000 for any Non-Employee Director who serves as Board chair (should one be appointed). For the purpose of this limitation, the value of any Award shall be its grant date fair value, as determined in accordance with FASB ASC 718 or successor provision but excluding the impact of estimated forfeitures related to service-based vesting provisions. Notwithstanding the forgoing, the independent members of the Board may make exceptions to this limit in extraordinary circumstances, provided that the Non-Employee Director receiving such additional compensation may not participate in the decision to award such compensation.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4.</w:t>
      </w:r>
      <w:r>
        <w:rPr>
          <w:rFonts w:ascii="times new roman;times" w:hAnsi="times new roman;times"/>
          <w:caps w:val="false"/>
          <w:smallCaps w:val="false"/>
          <w:sz w:val="20"/>
        </w:rPr>
        <w:t> </w:t>
      </w:r>
      <w:r>
        <w:rPr>
          <w:rFonts w:ascii="times new roman;times" w:hAnsi="times new roman;times"/>
          <w:b/>
          <w:sz w:val="20"/>
        </w:rPr>
        <w:t>ELIGIBILITY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Grantees under the Plan will be such employees, officers, directors, Non-Employee Directors and Consultants of the Company and its Affiliates as are selected from time to time by the Administrator in its sole discretion; provided that Awards may not be granted to employees, officers,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5.</w:t>
      </w:r>
      <w:r>
        <w:rPr>
          <w:rFonts w:ascii="times new roman;times" w:hAnsi="times new roman;times"/>
          <w:caps w:val="false"/>
          <w:smallCaps w:val="false"/>
          <w:sz w:val="20"/>
        </w:rPr>
        <w:t> </w:t>
      </w:r>
      <w:r>
        <w:rPr>
          <w:rFonts w:ascii="times new roman;times" w:hAnsi="times new roman;times"/>
          <w:b/>
          <w:sz w:val="20"/>
        </w:rPr>
        <w:t>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5.1</w:t>
      </w:r>
      <w:r>
        <w:rPr>
          <w:rFonts w:ascii="times new roman;times" w:hAnsi="times new roman;times"/>
          <w:caps w:val="false"/>
          <w:smallCaps w:val="false"/>
          <w:sz w:val="20"/>
        </w:rPr>
        <w:t> </w:t>
      </w:r>
      <w:r>
        <w:rPr>
          <w:rFonts w:ascii="times new roman;times" w:hAnsi="times new roman;times"/>
          <w:b/>
          <w:sz w:val="20"/>
        </w:rPr>
        <w:t>Award of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Options under the Plan. Any Stock Option granted under the Plan shall be in such form as the Administrator may from time to time approve.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under the Plan may be either Incentive Stock Options or Non-Qualified Stock Options. Incentive Stock Options may be granted only to employees of the Company or any parent that is a “parent corporation” or Subsidiary that is a “subsidiary corporation” within the meaning of Section 424(f) of the Code. To the extent that any Option does not qualify as an Incentive Stock Option, it shall be deemed a Non-Qualified Stock Option.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granted pursuant to this Section 5 shall be subject to the following terms and conditions and shall contain such additional terms and conditions, not inconsistent with the terms of the Plan, as the Administrator shall deem desirable.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5.2</w:t>
      </w:r>
      <w:r>
        <w:rPr>
          <w:rFonts w:ascii="times new roman;times" w:hAnsi="times new roman;times"/>
          <w:caps w:val="false"/>
          <w:smallCaps w:val="false"/>
          <w:sz w:val="20"/>
        </w:rPr>
        <w:t> </w:t>
      </w:r>
      <w:r>
        <w:rPr>
          <w:rFonts w:ascii="times new roman;times" w:hAnsi="times new roman;times"/>
          <w:b/>
          <w:sz w:val="20"/>
        </w:rPr>
        <w:t>Exercise Price.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5.3</w:t>
      </w:r>
      <w:r>
        <w:rPr>
          <w:rFonts w:ascii="times new roman;times" w:hAnsi="times new roman;times"/>
          <w:caps w:val="false"/>
          <w:smallCaps w:val="false"/>
          <w:sz w:val="20"/>
        </w:rPr>
        <w:t> </w:t>
      </w:r>
      <w:r>
        <w:rPr>
          <w:rFonts w:ascii="times new roman;times" w:hAnsi="times new roman;times"/>
          <w:b/>
          <w:sz w:val="20"/>
        </w:rPr>
        <w:t>Option Term.</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5.4</w:t>
      </w:r>
      <w:r>
        <w:rPr>
          <w:rFonts w:ascii="times new roman;times" w:hAnsi="times new roman;times"/>
          <w:caps w:val="false"/>
          <w:smallCaps w:val="false"/>
          <w:sz w:val="20"/>
        </w:rPr>
        <w:t> </w:t>
      </w:r>
      <w:r>
        <w:rPr>
          <w:rFonts w:ascii="times new roman;times" w:hAnsi="times new roman;times"/>
          <w:b/>
          <w:sz w:val="20"/>
        </w:rPr>
        <w:t>Exercisability; Rights of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5.5</w:t>
      </w:r>
      <w:r>
        <w:rPr>
          <w:rFonts w:ascii="times new roman;times" w:hAnsi="times new roman;times"/>
          <w:caps w:val="false"/>
          <w:smallCaps w:val="false"/>
          <w:sz w:val="20"/>
        </w:rPr>
        <w:t> </w:t>
      </w:r>
      <w:r>
        <w:rPr>
          <w:rFonts w:ascii="times new roman;times" w:hAnsi="times new roman;times"/>
          <w:b/>
          <w:sz w:val="20"/>
        </w:rPr>
        <w:t>Method of Exercise.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Options may be exercised in whole or in part, by giving written or electronic notice of exercise to the Company, specifying the number of shares to be purchased. Payment of the purchase price may be made by one or more of the following methods, as permitted in the sole discretion of the Administrator, except to the extent otherwise provided in the Option Award Agreement:</w:t>
      </w:r>
    </w:p>
    <w:p>
      <w:pPr>
        <w:pStyle w:val="TextBody"/>
        <w:bidi w:val="0"/>
        <w:spacing w:lineRule="auto" w:line="288" w:before="0" w:after="240"/>
        <w:ind w:left="1815" w:right="0" w:hanging="720"/>
        <w:jc w:val="left"/>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in cash, by certified or bank check or other instrument acceptable to the Administrator;</w:t>
      </w:r>
    </w:p>
    <w:p>
      <w:pPr>
        <w:pStyle w:val="TextBody"/>
        <w:bidi w:val="0"/>
        <w:spacing w:lineRule="auto" w:line="288" w:before="0" w:after="240"/>
        <w:ind w:left="1775" w:right="0" w:hanging="680"/>
        <w:jc w:val="left"/>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 or</w:t>
      </w:r>
    </w:p>
    <w:p>
      <w:pPr>
        <w:pStyle w:val="TextBody"/>
        <w:bidi w:val="0"/>
        <w:spacing w:lineRule="auto" w:line="288" w:before="0" w:after="240"/>
        <w:ind w:left="1735" w:right="0" w:hanging="640"/>
        <w:jc w:val="left"/>
        <w:rPr>
          <w:rFonts w:ascii="times new roman;times" w:hAnsi="times new roman;times"/>
          <w:sz w:val="20"/>
        </w:rPr>
      </w:pPr>
      <w:r>
        <w:rPr>
          <w:rFonts w:ascii="times new roman;times" w:hAnsi="times new roman;times"/>
          <w:b w:val="false"/>
          <w:sz w:val="20"/>
        </w:rPr>
        <w:t>(c)</w:t>
      </w:r>
      <w:r>
        <w:rPr>
          <w:rFonts w:ascii="times new roman;times" w:hAnsi="times new roman;times"/>
          <w:caps w:val="false"/>
          <w:smallCaps w:val="false"/>
          <w:sz w:val="20"/>
        </w:rPr>
        <w:t> </w:t>
      </w:r>
      <w:r>
        <w:rPr>
          <w:rFonts w:ascii="times new roman;times" w:hAnsi="times new roman;times"/>
          <w:sz w:val="20"/>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88" w:before="0" w:after="240"/>
        <w:ind w:left="1170" w:right="0" w:hanging="720"/>
        <w:jc w:val="left"/>
        <w:rPr>
          <w:rFonts w:ascii="times new roman;times" w:hAnsi="times new roman;times"/>
          <w:sz w:val="20"/>
        </w:rPr>
      </w:pPr>
      <w:r>
        <w:rPr>
          <w:rFonts w:ascii="times new roman;times" w:hAnsi="times new roman;times"/>
          <w:b/>
          <w:sz w:val="20"/>
        </w:rPr>
        <w:t>5.6</w:t>
      </w:r>
      <w:r>
        <w:rPr>
          <w:rFonts w:ascii="times new roman;times" w:hAnsi="times new roman;times"/>
          <w:caps w:val="false"/>
          <w:smallCaps w:val="false"/>
          <w:sz w:val="20"/>
        </w:rPr>
        <w:t> </w:t>
      </w:r>
      <w:r>
        <w:rPr>
          <w:rFonts w:ascii="times new roman;times" w:hAnsi="times new roman;times"/>
          <w:b/>
          <w:sz w:val="20"/>
        </w:rPr>
        <w:t>Annual Limit on Incentive Stock Options.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6.</w:t>
      </w:r>
      <w:r>
        <w:rPr>
          <w:rFonts w:ascii="times new roman;times" w:hAnsi="times new roman;times"/>
          <w:caps w:val="false"/>
          <w:smallCaps w:val="false"/>
          <w:sz w:val="20"/>
        </w:rPr>
        <w:t> </w:t>
      </w:r>
      <w:r>
        <w:rPr>
          <w:rFonts w:ascii="times new roman;times" w:hAnsi="times new roman;times"/>
          <w:b/>
          <w:sz w:val="20"/>
        </w:rPr>
        <w:t>STOCK APPRECIATION RIGHTS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6.1</w:t>
      </w:r>
      <w:r>
        <w:rPr>
          <w:rFonts w:ascii="times new roman;times" w:hAnsi="times new roman;times"/>
          <w:caps w:val="false"/>
          <w:smallCaps w:val="false"/>
          <w:sz w:val="20"/>
        </w:rPr>
        <w:t> </w:t>
      </w:r>
      <w:r>
        <w:rPr>
          <w:rFonts w:ascii="times new roman;times" w:hAnsi="times new roman;times"/>
          <w:b/>
          <w:sz w:val="20"/>
        </w:rPr>
        <w:t>Award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6.2</w:t>
      </w:r>
      <w:r>
        <w:rPr>
          <w:rFonts w:ascii="times new roman;times" w:hAnsi="times new roman;times"/>
          <w:caps w:val="false"/>
          <w:smallCaps w:val="false"/>
          <w:sz w:val="20"/>
        </w:rPr>
        <w:t> </w:t>
      </w:r>
      <w:r>
        <w:rPr>
          <w:rFonts w:ascii="times new roman;times" w:hAnsi="times new roman;times"/>
          <w:b/>
          <w:sz w:val="20"/>
        </w:rPr>
        <w:t>Exercise Price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exercise price of a Stock Appreciation Right shall not be less than 100 percent of the Fair Market Value of the Stock on the date of grant.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6.3</w:t>
      </w:r>
      <w:r>
        <w:rPr>
          <w:rFonts w:ascii="times new roman;times" w:hAnsi="times new roman;times"/>
          <w:caps w:val="false"/>
          <w:smallCaps w:val="false"/>
          <w:sz w:val="20"/>
        </w:rPr>
        <w:t> </w:t>
      </w:r>
      <w:r>
        <w:rPr>
          <w:rFonts w:ascii="times new roman;times" w:hAnsi="times new roman;times"/>
          <w:b/>
          <w:sz w:val="20"/>
        </w:rPr>
        <w:t>Grant and Exercise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Appreciation Rights may be granted by the Administrator independently of any Stock Option granted pursuant to Section 5 of the Plan.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6.4</w:t>
      </w:r>
      <w:r>
        <w:rPr>
          <w:rFonts w:ascii="times new roman;times" w:hAnsi="times new roman;times"/>
          <w:caps w:val="false"/>
          <w:smallCaps w:val="false"/>
          <w:sz w:val="20"/>
        </w:rPr>
        <w:t> </w:t>
      </w:r>
      <w:r>
        <w:rPr>
          <w:rFonts w:ascii="times new roman;times" w:hAnsi="times new roman;times"/>
          <w:b/>
          <w:sz w:val="20"/>
        </w:rPr>
        <w:t>Terms and Conditions of Stock Appreciation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7.</w:t>
      </w:r>
      <w:r>
        <w:rPr>
          <w:rFonts w:ascii="times new roman;times" w:hAnsi="times new roman;times"/>
          <w:caps w:val="false"/>
          <w:smallCaps w:val="false"/>
          <w:sz w:val="20"/>
        </w:rPr>
        <w:t> </w:t>
      </w:r>
      <w:r>
        <w:rPr>
          <w:rFonts w:ascii="times new roman;times" w:hAnsi="times new roman;times"/>
          <w:b/>
          <w:sz w:val="20"/>
        </w:rPr>
        <w:t>RESTRICTED STOCK AWARDS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7.1</w:t>
      </w:r>
      <w:r>
        <w:rPr>
          <w:rFonts w:ascii="times new roman;times" w:hAnsi="times new roman;times"/>
          <w:caps w:val="false"/>
          <w:smallCaps w:val="false"/>
          <w:sz w:val="20"/>
        </w:rPr>
        <w:t> </w:t>
      </w:r>
      <w:r>
        <w:rPr>
          <w:rFonts w:ascii="times new roman;times" w:hAnsi="times new roman;times"/>
          <w:b/>
          <w:sz w:val="20"/>
        </w:rPr>
        <w:t>Nature of Restricted Stock Awards.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7.2</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Upon the grant of the Restricted Stock Award and payment of any applicable purchase price, a grantee shall have the rights of a stockholder with respect to the voting of the Restricted Shares but not with respect to the receipt of dividends with respect the Restricted Shares (unless otherwise provided in an Award Agreement).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7.4 below, and (ii) certificated Restricted Shares shall remain in the possession of the Company until such Restricted Shares are vested as provided in Section 7.4 below, and the grantee shall be required, as a condition of the grant, to deliver to the Company such instruments of transfer as the Administrator may prescribe.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7.3</w:t>
      </w:r>
      <w:r>
        <w:rPr>
          <w:rFonts w:ascii="times new roman;times" w:hAnsi="times new roman;times"/>
          <w:caps w:val="false"/>
          <w:smallCaps w:val="false"/>
          <w:sz w:val="20"/>
        </w:rPr>
        <w:t> </w:t>
      </w:r>
      <w:r>
        <w:rPr>
          <w:rFonts w:ascii="times new roman;times" w:hAnsi="times new roman;times"/>
          <w:b/>
          <w:sz w:val="20"/>
        </w:rPr>
        <w:t>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7.4</w:t>
      </w:r>
      <w:r>
        <w:rPr>
          <w:rFonts w:ascii="times new roman;times" w:hAnsi="times new roman;times"/>
          <w:caps w:val="false"/>
          <w:smallCaps w:val="false"/>
          <w:sz w:val="20"/>
        </w:rPr>
        <w:t> </w:t>
      </w:r>
      <w:r>
        <w:rPr>
          <w:rFonts w:ascii="times new roman;times" w:hAnsi="times new roman;times"/>
          <w:b/>
          <w:sz w:val="20"/>
        </w:rPr>
        <w:t>Vesting of Restricted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8.</w:t>
      </w:r>
      <w:r>
        <w:rPr>
          <w:rFonts w:ascii="times new roman;times" w:hAnsi="times new roman;times"/>
          <w:caps w:val="false"/>
          <w:smallCaps w:val="false"/>
          <w:sz w:val="20"/>
        </w:rPr>
        <w:t> </w:t>
      </w:r>
      <w:r>
        <w:rPr>
          <w:rFonts w:ascii="times new roman;times" w:hAnsi="times new roman;times"/>
          <w:b/>
          <w:sz w:val="20"/>
        </w:rPr>
        <w:t>RESTRICTED STOCK UNITS</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8.1</w:t>
      </w:r>
      <w:r>
        <w:rPr>
          <w:rFonts w:ascii="times new roman;times" w:hAnsi="times new roman;times"/>
          <w:caps w:val="false"/>
          <w:smallCaps w:val="false"/>
          <w:sz w:val="20"/>
        </w:rPr>
        <w:t> </w:t>
      </w:r>
      <w:r>
        <w:rPr>
          <w:rFonts w:ascii="times new roman;times" w:hAnsi="times new roman;times"/>
          <w:b/>
          <w:sz w:val="20"/>
        </w:rPr>
        <w:t>Nature of Restricted Stock Units.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in the sole discretion of the Company.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8.2</w:t>
      </w:r>
      <w:r>
        <w:rPr>
          <w:rFonts w:ascii="times new roman;times" w:hAnsi="times new roman;times"/>
          <w:caps w:val="false"/>
          <w:smallCaps w:val="false"/>
          <w:sz w:val="20"/>
        </w:rPr>
        <w:t> </w:t>
      </w:r>
      <w:r>
        <w:rPr>
          <w:rFonts w:ascii="times new roman;times" w:hAnsi="times new roman;times"/>
          <w:b/>
          <w:sz w:val="20"/>
        </w:rPr>
        <w:t>Election to Receive Restricted Stock Units in Lieu of Compensation.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8.3</w:t>
      </w:r>
      <w:r>
        <w:rPr>
          <w:rFonts w:ascii="times new roman;times" w:hAnsi="times new roman;times"/>
          <w:caps w:val="false"/>
          <w:smallCaps w:val="false"/>
          <w:sz w:val="20"/>
        </w:rPr>
        <w:t> </w:t>
      </w:r>
      <w:r>
        <w:rPr>
          <w:rFonts w:ascii="times new roman;times" w:hAnsi="times new roman;times"/>
          <w:b/>
          <w:sz w:val="20"/>
        </w:rPr>
        <w:t>Rights as a Stockholder.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8.4</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pStyle w:val="TextBody"/>
        <w:bidi w:val="0"/>
        <w:spacing w:lineRule="auto" w:line="288" w:before="0" w:after="240"/>
        <w:ind w:left="1095" w:right="0" w:hanging="720"/>
        <w:jc w:val="left"/>
        <w:rPr>
          <w:rFonts w:ascii="times new roman;times" w:hAnsi="times new roman;times"/>
          <w:sz w:val="20"/>
        </w:rPr>
      </w:pPr>
      <w:r>
        <w:rPr>
          <w:rFonts w:ascii="times new roman;times" w:hAnsi="times new roman;times"/>
          <w:b/>
          <w:sz w:val="20"/>
        </w:rPr>
        <w:t>SECTION 9.</w:t>
      </w:r>
      <w:r>
        <w:rPr>
          <w:rFonts w:ascii="times new roman;times" w:hAnsi="times new roman;times"/>
          <w:caps w:val="false"/>
          <w:smallCaps w:val="false"/>
          <w:sz w:val="20"/>
        </w:rPr>
        <w:t> </w:t>
      </w:r>
      <w:r>
        <w:rPr>
          <w:rFonts w:ascii="times new roman;times" w:hAnsi="times new roman;times"/>
          <w:b/>
          <w:sz w:val="20"/>
        </w:rPr>
        <w:t>UNRESTRICTED STOCK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or Sale of Unrestricted Stock.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10.</w:t>
      </w:r>
      <w:r>
        <w:rPr>
          <w:rFonts w:ascii="times new roman;times" w:hAnsi="times new roman;times"/>
          <w:caps w:val="false"/>
          <w:smallCaps w:val="false"/>
          <w:sz w:val="20"/>
        </w:rPr>
        <w:t> </w:t>
      </w:r>
      <w:r>
        <w:rPr>
          <w:rFonts w:ascii="times new roman;times" w:hAnsi="times new roman;times"/>
          <w:b/>
          <w:sz w:val="20"/>
        </w:rPr>
        <w:t>CASH-BASED AWARDS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Grant of Cash-Based Awards.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11.1</w:t>
      </w:r>
      <w:r>
        <w:rPr>
          <w:rFonts w:ascii="times new roman;times" w:hAnsi="times new roman;times"/>
          <w:caps w:val="false"/>
          <w:smallCaps w:val="false"/>
          <w:sz w:val="20"/>
        </w:rPr>
        <w:t> </w:t>
      </w:r>
      <w:r>
        <w:rPr>
          <w:rFonts w:ascii="times new roman;times" w:hAnsi="times new roman;times"/>
          <w:b/>
          <w:sz w:val="20"/>
        </w:rPr>
        <w:t>Dividend Equivalent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11.2</w:t>
      </w:r>
      <w:r>
        <w:rPr>
          <w:rFonts w:ascii="times new roman;times" w:hAnsi="times new roman;times"/>
          <w:caps w:val="false"/>
          <w:smallCaps w:val="false"/>
          <w:sz w:val="20"/>
        </w:rPr>
        <w:t> </w:t>
      </w:r>
      <w:r>
        <w:rPr>
          <w:rFonts w:ascii="times new roman;times" w:hAnsi="times new roman;times"/>
          <w:b/>
          <w:sz w:val="20"/>
        </w:rPr>
        <w:t>Termination.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12.</w:t>
      </w:r>
      <w:r>
        <w:rPr>
          <w:rFonts w:ascii="times new roman;times" w:hAnsi="times new roman;times"/>
          <w:caps w:val="false"/>
          <w:smallCaps w:val="false"/>
          <w:sz w:val="20"/>
        </w:rPr>
        <w:t> </w:t>
      </w:r>
      <w:r>
        <w:rPr>
          <w:rFonts w:ascii="times new roman;times" w:hAnsi="times new roman;times"/>
          <w:b/>
          <w:sz w:val="20"/>
        </w:rPr>
        <w:t>TRANSFERABILITY OF AWARDS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12.1</w:t>
      </w:r>
      <w:r>
        <w:rPr>
          <w:rFonts w:ascii="times new roman;times" w:hAnsi="times new roman;times"/>
          <w:caps w:val="false"/>
          <w:smallCaps w:val="false"/>
          <w:sz w:val="20"/>
        </w:rPr>
        <w:t> </w:t>
      </w:r>
      <w:r>
        <w:rPr>
          <w:rFonts w:ascii="times new roman;times" w:hAnsi="times new roman;times"/>
          <w:b/>
          <w:sz w:val="20"/>
        </w:rPr>
        <w:t>Transferability.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Except as provided in Section 12.2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12.2</w:t>
      </w:r>
      <w:r>
        <w:rPr>
          <w:rFonts w:ascii="times new roman;times" w:hAnsi="times new roman;times"/>
          <w:caps w:val="false"/>
          <w:smallCaps w:val="false"/>
          <w:sz w:val="20"/>
        </w:rPr>
        <w:t> </w:t>
      </w:r>
      <w:r>
        <w:rPr>
          <w:rFonts w:ascii="times new roman;times" w:hAnsi="times new roman;times"/>
          <w:b/>
          <w:sz w:val="20"/>
        </w:rPr>
        <w:t>Administrator Action.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Notwithstanding Section 12.1,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12.3</w:t>
      </w:r>
      <w:r>
        <w:rPr>
          <w:rFonts w:ascii="times new roman;times" w:hAnsi="times new roman;times"/>
          <w:caps w:val="false"/>
          <w:smallCaps w:val="false"/>
          <w:sz w:val="20"/>
        </w:rPr>
        <w:t> </w:t>
      </w:r>
      <w:r>
        <w:rPr>
          <w:rFonts w:ascii="times new roman;times" w:hAnsi="times new roman;times"/>
          <w:b/>
          <w:sz w:val="20"/>
        </w:rPr>
        <w:t>Family Member.</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For purposes of Section 12.2,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12.4</w:t>
      </w:r>
      <w:r>
        <w:rPr>
          <w:rFonts w:ascii="times new roman;times" w:hAnsi="times new roman;times"/>
          <w:caps w:val="false"/>
          <w:smallCaps w:val="false"/>
          <w:sz w:val="20"/>
        </w:rPr>
        <w:t> </w:t>
      </w:r>
      <w:r>
        <w:rPr>
          <w:rFonts w:ascii="times new roman;times" w:hAnsi="times new roman;times"/>
          <w:b/>
          <w:sz w:val="20"/>
        </w:rPr>
        <w:t>Designation of Beneficiary.</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13.</w:t>
      </w:r>
      <w:r>
        <w:rPr>
          <w:rFonts w:ascii="times new roman;times" w:hAnsi="times new roman;times"/>
          <w:caps w:val="false"/>
          <w:smallCaps w:val="false"/>
          <w:sz w:val="20"/>
        </w:rPr>
        <w:t> </w:t>
      </w:r>
      <w:r>
        <w:rPr>
          <w:rFonts w:ascii="times new roman;times" w:hAnsi="times new roman;times"/>
          <w:b/>
          <w:sz w:val="20"/>
        </w:rPr>
        <w:t>TAX WITHHOLDING</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13.1</w:t>
      </w:r>
      <w:r>
        <w:rPr>
          <w:rFonts w:ascii="times new roman;times" w:hAnsi="times new roman;times"/>
          <w:caps w:val="false"/>
          <w:smallCaps w:val="false"/>
          <w:sz w:val="20"/>
        </w:rPr>
        <w:t> </w:t>
      </w:r>
      <w:r>
        <w:rPr>
          <w:rFonts w:ascii="times new roman;times" w:hAnsi="times new roman;times"/>
          <w:b/>
          <w:sz w:val="20"/>
        </w:rPr>
        <w:t>Payment by Grantee.</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13.2</w:t>
      </w:r>
      <w:r>
        <w:rPr>
          <w:rFonts w:ascii="times new roman;times" w:hAnsi="times new roman;times"/>
          <w:caps w:val="false"/>
          <w:smallCaps w:val="false"/>
          <w:sz w:val="20"/>
        </w:rPr>
        <w:t> </w:t>
      </w:r>
      <w:r>
        <w:rPr>
          <w:rFonts w:ascii="times new roman;times" w:hAnsi="times new roman;times"/>
          <w:b/>
          <w:sz w:val="20"/>
        </w:rPr>
        <w:t>Payment in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14.</w:t>
      </w:r>
      <w:r>
        <w:rPr>
          <w:rFonts w:ascii="times new roman;times" w:hAnsi="times new roman;times"/>
          <w:caps w:val="false"/>
          <w:smallCaps w:val="false"/>
          <w:sz w:val="20"/>
        </w:rPr>
        <w:t> </w:t>
      </w:r>
      <w:r>
        <w:rPr>
          <w:rFonts w:ascii="times new roman;times" w:hAnsi="times new roman;times"/>
          <w:b/>
          <w:sz w:val="20"/>
        </w:rPr>
        <w:t>SECTION 409A AWARDS; SECTION 280G CUTBACK</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times" w:hAnsi="times new roman;times"/>
          <w:b/>
          <w:sz w:val="20"/>
        </w:rPr>
        <w:t>409A Award</w:t>
      </w:r>
      <w:r>
        <w:rPr>
          <w:rFonts w:ascii="times new roman;times" w:hAnsi="times new roman;times"/>
          <w:sz w:val="20"/>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Notwithstanding any provision of this Plan to the contrary, if any payment or benefit that a Participant would otherwise receive from the Company pursuant to an Award under the Plan or otherwise (a “</w:t>
      </w:r>
      <w:r>
        <w:rPr>
          <w:rFonts w:ascii="times new roman;times" w:hAnsi="times new roman;times"/>
          <w:b/>
          <w:sz w:val="20"/>
        </w:rPr>
        <w:t>Payment</w:t>
      </w:r>
      <w:r>
        <w:rPr>
          <w:rFonts w:ascii="times new roman;times" w:hAnsi="times new roman;times"/>
          <w:sz w:val="20"/>
        </w:rPr>
        <w:t>”) would (a) constitute a “parachute payment” within the meaning of Section 280G of the Code and (b) but for this paragraph, be subject to the excise tax imposed by Section 4999 of the Code (the “</w:t>
      </w:r>
      <w:r>
        <w:rPr>
          <w:rFonts w:ascii="times new roman;times" w:hAnsi="times new roman;times"/>
          <w:b/>
          <w:sz w:val="20"/>
        </w:rPr>
        <w:t xml:space="preserve">Excise Tax”), </w:t>
      </w:r>
      <w:r>
        <w:rPr>
          <w:rFonts w:ascii="times new roman;times" w:hAnsi="times new roman;times"/>
          <w:sz w:val="20"/>
        </w:rPr>
        <w:t>then such Payment will be equal to the Reduced Amount (as defined below). The “Reduced Amount” will be either (1) the largest portion of the Payment that would result in no portion of the Payment (after reduction) being subject to the Excise Tax or (2)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Participant’s receipt, on an after-tax basis, of the greatest amount of the Payment. If a reduction is to be made, the Payment or Payments to which reduction will apply will based on the date as of which the Payment is due, starting with the Payment due latest. In no event will the Company be liable to a Participant for any amounts not paid as a result of the operation of this paragraph (other than for the Company’s obligations to pay the Reduced Amount or the entire Payment, as applicable). The Company makes no representation that any or all of the payments or benefits described in the Plan will be exempt from the Excise Tax, and the Participant shall be responsible for payment of any Excise Tax (if applicable).</w:t>
      </w:r>
    </w:p>
    <w:p>
      <w:pPr>
        <w:pStyle w:val="TextBody"/>
        <w:bidi w:val="0"/>
        <w:spacing w:lineRule="auto" w:line="288" w:before="0" w:after="240"/>
        <w:ind w:left="1740" w:right="0" w:hanging="1440"/>
        <w:jc w:val="left"/>
        <w:rPr>
          <w:rFonts w:ascii="times new roman;times" w:hAnsi="times new roman;times"/>
          <w:sz w:val="20"/>
        </w:rPr>
      </w:pPr>
      <w:r>
        <w:rPr>
          <w:rFonts w:ascii="times new roman;times" w:hAnsi="times new roman;times"/>
          <w:b/>
          <w:sz w:val="20"/>
        </w:rPr>
        <w:t>SECTION 15.</w:t>
      </w:r>
      <w:r>
        <w:rPr>
          <w:rFonts w:ascii="times new roman;times" w:hAnsi="times new roman;times"/>
          <w:caps w:val="false"/>
          <w:smallCaps w:val="false"/>
          <w:sz w:val="20"/>
        </w:rPr>
        <w:t> </w:t>
      </w:r>
      <w:r>
        <w:rPr>
          <w:rFonts w:ascii="times new roman;times" w:hAnsi="times new roman;times"/>
          <w:b/>
          <w:sz w:val="20"/>
        </w:rPr>
        <w:t>TERMINATION OF SERVICE RELATIONSHIP, TRANSFER, LEAVE OF ABSENCE, ETC.</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If the grantee’s Service Relationship is with an Affiliate and such Affiliate ceases to be an Affiliate, the grantee shall be deemed to have terminated his or her Service Relationship for purposes of the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For purposes of the Plan, the following events shall not be deemed a termination of a Service Relationship:</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b w:val="false"/>
          <w:sz w:val="20"/>
        </w:rPr>
        <w:t>(a)</w:t>
      </w:r>
      <w:r>
        <w:rPr>
          <w:rFonts w:ascii="times new roman;times" w:hAnsi="times new roman;times"/>
          <w:caps w:val="false"/>
          <w:smallCaps w:val="false"/>
          <w:sz w:val="20"/>
        </w:rPr>
        <w:t> </w:t>
      </w:r>
      <w:r>
        <w:rPr>
          <w:rFonts w:ascii="times new roman;times" w:hAnsi="times new roman;times"/>
          <w:sz w:val="20"/>
        </w:rPr>
        <w:t>a transfer to the employment of the Company from an Affiliate or from the Company to an Affiliate, or from one Affiliate to another; or</w:t>
      </w:r>
    </w:p>
    <w:p>
      <w:pPr>
        <w:pStyle w:val="TextBody"/>
        <w:bidi w:val="0"/>
        <w:spacing w:lineRule="auto" w:line="288" w:before="0" w:after="240"/>
        <w:ind w:left="1775" w:right="0" w:hanging="680"/>
        <w:jc w:val="both"/>
        <w:rPr>
          <w:rFonts w:ascii="times new roman;times" w:hAnsi="times new roman;times"/>
          <w:sz w:val="20"/>
        </w:rPr>
      </w:pPr>
      <w:r>
        <w:rPr>
          <w:rFonts w:ascii="times new roman;times" w:hAnsi="times new roman;times"/>
          <w:b w:val="false"/>
          <w:sz w:val="20"/>
        </w:rPr>
        <w:t>(b)</w:t>
      </w:r>
      <w:r>
        <w:rPr>
          <w:rFonts w:ascii="times new roman;times" w:hAnsi="times new roman;times"/>
          <w:caps w:val="false"/>
          <w:smallCaps w:val="false"/>
          <w:sz w:val="20"/>
        </w:rPr>
        <w:t> </w:t>
      </w:r>
      <w:r>
        <w:rPr>
          <w:rFonts w:ascii="times new roman;times" w:hAnsi="times new roman;times"/>
          <w:sz w:val="20"/>
        </w:rPr>
        <w:t>an approved leave of absence for military service or sickness, or for any other purpose approved by the Company, if the employee’s right to re-employment is guaranteed either by a statute or by agreement or under the policy pursuant to which the leave of absence was granted or if the Administrator otherwise so provides in writing.</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16.</w:t>
      </w:r>
      <w:r>
        <w:rPr>
          <w:rFonts w:ascii="times new roman;times" w:hAnsi="times new roman;times"/>
          <w:caps w:val="false"/>
          <w:smallCaps w:val="false"/>
          <w:sz w:val="20"/>
        </w:rPr>
        <w:t> </w:t>
      </w:r>
      <w:r>
        <w:rPr>
          <w:rFonts w:ascii="times new roman;times" w:hAnsi="times new roman;times"/>
          <w:b/>
          <w:sz w:val="20"/>
        </w:rPr>
        <w:t>AMENDMENTS AND TERMINATION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3.2 or 3.3,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3.2 or 3.3.</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17.</w:t>
      </w:r>
      <w:r>
        <w:rPr>
          <w:rFonts w:ascii="times new roman;times" w:hAnsi="times new roman;times"/>
          <w:caps w:val="false"/>
          <w:smallCaps w:val="false"/>
          <w:sz w:val="20"/>
        </w:rPr>
        <w:t> </w:t>
      </w:r>
      <w:r>
        <w:rPr>
          <w:rFonts w:ascii="times new roman;times" w:hAnsi="times new roman;times"/>
          <w:b/>
          <w:sz w:val="20"/>
        </w:rPr>
        <w:t>STATUS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18.</w:t>
      </w:r>
      <w:r>
        <w:rPr>
          <w:rFonts w:ascii="times new roman;times" w:hAnsi="times new roman;times"/>
          <w:caps w:val="false"/>
          <w:smallCaps w:val="false"/>
          <w:sz w:val="20"/>
        </w:rPr>
        <w:t> </w:t>
      </w:r>
      <w:r>
        <w:rPr>
          <w:rFonts w:ascii="times new roman;times" w:hAnsi="times new roman;times"/>
          <w:b/>
          <w:sz w:val="20"/>
        </w:rPr>
        <w:t>GENERAL PROVISIONS</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18.1</w:t>
      </w:r>
      <w:r>
        <w:rPr>
          <w:rFonts w:ascii="times new roman;times" w:hAnsi="times new roman;times"/>
          <w:caps w:val="false"/>
          <w:smallCaps w:val="false"/>
          <w:sz w:val="20"/>
        </w:rPr>
        <w:t> </w:t>
      </w:r>
      <w:r>
        <w:rPr>
          <w:rFonts w:ascii="times new roman;times" w:hAnsi="times new roman;times"/>
          <w:b/>
          <w:sz w:val="20"/>
        </w:rPr>
        <w:t>No Distribution.</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18.2</w:t>
      </w:r>
      <w:r>
        <w:rPr>
          <w:rFonts w:ascii="times new roman;times" w:hAnsi="times new roman;times"/>
          <w:caps w:val="false"/>
          <w:smallCaps w:val="false"/>
          <w:sz w:val="20"/>
        </w:rPr>
        <w:t> </w:t>
      </w:r>
      <w:r>
        <w:rPr>
          <w:rFonts w:ascii="times new roman;times" w:hAnsi="times new roman;times"/>
          <w:b/>
          <w:sz w:val="20"/>
        </w:rPr>
        <w:t>Issuance of Stock.</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18.3</w:t>
      </w:r>
      <w:r>
        <w:rPr>
          <w:rFonts w:ascii="times new roman;times" w:hAnsi="times new roman;times"/>
          <w:caps w:val="false"/>
          <w:smallCaps w:val="false"/>
          <w:sz w:val="20"/>
        </w:rPr>
        <w:t> </w:t>
      </w:r>
      <w:r>
        <w:rPr>
          <w:rFonts w:ascii="times new roman;times" w:hAnsi="times new roman;times"/>
          <w:b/>
          <w:sz w:val="20"/>
        </w:rPr>
        <w:t>Stockholder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Until Stock is deemed delivered in accordance with Section 18.2,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18.4</w:t>
      </w:r>
      <w:r>
        <w:rPr>
          <w:rFonts w:ascii="times new roman;times" w:hAnsi="times new roman;times"/>
          <w:caps w:val="false"/>
          <w:smallCaps w:val="false"/>
          <w:sz w:val="20"/>
        </w:rPr>
        <w:t> </w:t>
      </w:r>
      <w:r>
        <w:rPr>
          <w:rFonts w:ascii="times new roman;times" w:hAnsi="times new roman;times"/>
          <w:b/>
          <w:sz w:val="20"/>
        </w:rPr>
        <w:t>Other Compensation Arrangements; No Employment Rights.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18.5</w:t>
      </w:r>
      <w:r>
        <w:rPr>
          <w:rFonts w:ascii="times new roman;times" w:hAnsi="times new roman;times"/>
          <w:caps w:val="false"/>
          <w:smallCaps w:val="false"/>
          <w:sz w:val="20"/>
        </w:rPr>
        <w:t> </w:t>
      </w:r>
      <w:r>
        <w:rPr>
          <w:rFonts w:ascii="times new roman;times" w:hAnsi="times new roman;times"/>
          <w:b/>
          <w:sz w:val="20"/>
        </w:rPr>
        <w:t>Trading Policy Restrictions.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Option exercises and other Awards under the Plan shall be subject to the Company’s insider trading policies and procedures, as in effect from time to time.</w:t>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18.6</w:t>
      </w:r>
      <w:r>
        <w:rPr>
          <w:rFonts w:ascii="times new roman;times" w:hAnsi="times new roman;times"/>
          <w:caps w:val="false"/>
          <w:smallCaps w:val="false"/>
          <w:sz w:val="20"/>
        </w:rPr>
        <w:t> </w:t>
      </w:r>
      <w:r>
        <w:rPr>
          <w:rFonts w:ascii="times new roman;times" w:hAnsi="times new roman;times"/>
          <w:b/>
          <w:sz w:val="20"/>
        </w:rPr>
        <w:t>Clawback/Repayment.</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All Awards shall be subject to reduction, cancellation, forfeiture or recoupment to the extent necessary to comply with (i) any clawback, forfeiture or other similar policy adopted by the Board or Committee and as in effect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may be required to repay any such excess amount to the Company at the discretion of the Board or Committee.</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1050" w:right="0" w:hanging="720"/>
        <w:jc w:val="left"/>
        <w:rPr>
          <w:rFonts w:ascii="times new roman;times" w:hAnsi="times new roman;times"/>
          <w:sz w:val="20"/>
        </w:rPr>
      </w:pPr>
      <w:r>
        <w:rPr>
          <w:rFonts w:ascii="times new roman;times" w:hAnsi="times new roman;times"/>
          <w:b/>
          <w:sz w:val="20"/>
        </w:rPr>
        <w:t>18.7</w:t>
      </w:r>
      <w:r>
        <w:rPr>
          <w:rFonts w:ascii="times new roman;times" w:hAnsi="times new roman;times"/>
          <w:caps w:val="false"/>
          <w:smallCaps w:val="false"/>
          <w:sz w:val="20"/>
        </w:rPr>
        <w:t> </w:t>
      </w:r>
      <w:r>
        <w:rPr>
          <w:rFonts w:ascii="times new roman;times" w:hAnsi="times new roman;times"/>
          <w:b/>
          <w:sz w:val="20"/>
        </w:rPr>
        <w:t>Fractional Shares.</w:t>
      </w:r>
    </w:p>
    <w:p>
      <w:pPr>
        <w:pStyle w:val="TextBody"/>
        <w:bidi w:val="0"/>
        <w:spacing w:lineRule="auto" w:line="288" w:before="0" w:after="240"/>
        <w:ind w:left="720" w:right="0" w:hanging="0"/>
        <w:jc w:val="both"/>
        <w:rPr>
          <w:rFonts w:ascii="times new roman;times" w:hAnsi="times new roman;times"/>
          <w:sz w:val="20"/>
        </w:rPr>
      </w:pPr>
      <w:r>
        <w:rPr>
          <w:rFonts w:ascii="times new roman;times" w:hAnsi="times new roman;times"/>
          <w:sz w:val="20"/>
        </w:rPr>
        <w:t>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19.</w:t>
      </w:r>
      <w:r>
        <w:rPr>
          <w:rFonts w:ascii="times new roman;times" w:hAnsi="times new roman;times"/>
          <w:caps w:val="false"/>
          <w:smallCaps w:val="false"/>
          <w:sz w:val="20"/>
        </w:rPr>
        <w:t> </w:t>
      </w:r>
      <w:r>
        <w:rPr>
          <w:rFonts w:ascii="times new roman;times" w:hAnsi="times new roman;times"/>
          <w:b/>
          <w:sz w:val="20"/>
        </w:rPr>
        <w:t>EFFECTIVE DATE OF PLAN</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shall become effective immediately following approval by stockholder in accordance with applicable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pStyle w:val="TextBody"/>
        <w:bidi w:val="0"/>
        <w:spacing w:lineRule="auto" w:line="288" w:before="0" w:after="240"/>
        <w:ind w:left="1020" w:right="0" w:hanging="720"/>
        <w:jc w:val="left"/>
        <w:rPr>
          <w:rFonts w:ascii="times new roman;times" w:hAnsi="times new roman;times"/>
          <w:sz w:val="20"/>
        </w:rPr>
      </w:pPr>
      <w:r>
        <w:rPr>
          <w:rFonts w:ascii="times new roman;times" w:hAnsi="times new roman;times"/>
          <w:b/>
          <w:sz w:val="20"/>
        </w:rPr>
        <w:t>SECTION 20.</w:t>
      </w:r>
      <w:r>
        <w:rPr>
          <w:rFonts w:ascii="times new roman;times" w:hAnsi="times new roman;times"/>
          <w:caps w:val="false"/>
          <w:smallCaps w:val="false"/>
          <w:sz w:val="20"/>
        </w:rPr>
        <w:t> </w:t>
      </w:r>
      <w:r>
        <w:rPr>
          <w:rFonts w:ascii="times new roman;times" w:hAnsi="times new roman;times"/>
          <w:b/>
          <w:sz w:val="20"/>
        </w:rPr>
        <w:t>GOVERNING LAW</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This Plan and all Awards and actions taken thereunder shall be governed by, and construed in accordance with, the laws of the State of Nevada, applied without regard to conflict of law principles, except to the extent preempted by federal law.</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DATE APPROVED BY BOARD OF DIRECTORS: July 17, 2026</w:t>
      </w:r>
    </w:p>
    <w:p>
      <w:pPr>
        <w:pStyle w:val="TextBody"/>
        <w:bidi w:val="0"/>
        <w:spacing w:lineRule="auto" w:line="288" w:before="0" w:after="240"/>
        <w:ind w:left="0" w:right="0" w:firstLine="360"/>
        <w:jc w:val="left"/>
        <w:rPr>
          <w:rFonts w:ascii="times new roman;times" w:hAnsi="times new roman;times"/>
          <w:sz w:val="20"/>
        </w:rPr>
      </w:pPr>
      <w:r>
        <w:rPr>
          <w:rFonts w:ascii="times new roman;times" w:hAnsi="times new roman;times"/>
          <w:sz w:val="20"/>
        </w:rPr>
        <w:t>DATE APPROVED BY STOCKHOLDER: August 3, 2026</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B-13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center"/>
        <w:rPr>
          <w:rFonts w:ascii="Times New Roman" w:hAnsi="Times New Roman"/>
          <w:b/>
          <w:sz w:val="20"/>
        </w:rPr>
      </w:pPr>
      <w:r>
        <w:rPr>
          <w:rFonts w:ascii="Times New Roman" w:hAnsi="Times New Roman"/>
          <w:b/>
          <w:sz w:val="20"/>
        </w:rPr>
        <w:t>APPENDIX 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Annual Consolidated Financial Statements for the Years Ended December 31, 2025 and 2024</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center"/>
              <w:rPr/>
            </w:pPr>
            <w:r>
              <w:rPr/>
            </w:r>
          </w:p>
        </w:tc>
        <w:tc>
          <w:tcPr>
            <w:tcW w:w="485" w:type="dxa"/>
            <w:tcBorders/>
            <w:vAlign w:val="center"/>
          </w:tcPr>
          <w:p>
            <w:pPr>
              <w:pStyle w:val="TableContents"/>
              <w:bidi w:val="0"/>
              <w:spacing w:before="0" w:after="0"/>
              <w:ind w:left="0" w:right="0" w:hanging="0"/>
              <w:jc w:val="right"/>
              <w:rPr/>
            </w:pPr>
            <w:r>
              <w:rPr/>
              <w:t>Page</w:t>
            </w:r>
          </w:p>
        </w:tc>
      </w:tr>
      <w:tr>
        <w:trPr/>
        <w:tc>
          <w:tcPr>
            <w:tcW w:w="9720" w:type="dxa"/>
            <w:tcBorders/>
            <w:vAlign w:val="center"/>
          </w:tcPr>
          <w:p>
            <w:pPr>
              <w:pStyle w:val="TableContents"/>
              <w:bidi w:val="0"/>
              <w:spacing w:before="0" w:after="283"/>
              <w:ind w:left="0" w:right="0" w:hanging="0"/>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283"/>
              <w:jc w:val="left"/>
              <w:rPr/>
            </w:pPr>
            <w:hyperlink w:anchor="BdN1_1662026224248541">
              <w:r>
                <w:rPr>
                  <w:rStyle w:val="InternetLink"/>
                </w:rPr>
                <w:t>REPORT OF INDEPENDENT REGISTERED PUBLIC ACCOUNTING FIRM (PCAOB ID: 207)</w:t>
              </w:r>
            </w:hyperlink>
          </w:p>
        </w:tc>
        <w:tc>
          <w:tcPr>
            <w:tcW w:w="485" w:type="dxa"/>
            <w:tcBorders/>
            <w:shd w:fill="CCEEFF" w:val="clear"/>
            <w:vAlign w:val="center"/>
          </w:tcPr>
          <w:p>
            <w:pPr>
              <w:pStyle w:val="TableContents"/>
              <w:bidi w:val="0"/>
              <w:spacing w:before="0" w:after="283"/>
              <w:jc w:val="right"/>
              <w:rPr/>
            </w:pPr>
            <w:r>
              <w:rPr/>
              <w:t>C-2</w:t>
            </w:r>
          </w:p>
        </w:tc>
      </w:tr>
      <w:tr>
        <w:trPr/>
        <w:tc>
          <w:tcPr>
            <w:tcW w:w="9720" w:type="dxa"/>
            <w:tcBorders/>
            <w:vAlign w:val="center"/>
          </w:tcPr>
          <w:p>
            <w:pPr>
              <w:pStyle w:val="TableContents"/>
              <w:bidi w:val="0"/>
              <w:spacing w:before="0" w:after="283"/>
              <w:jc w:val="left"/>
              <w:rPr/>
            </w:pPr>
            <w:hyperlink w:anchor="BDD1_166202623541795">
              <w:r>
                <w:rPr>
                  <w:rStyle w:val="InternetLink"/>
                </w:rPr>
                <w:t>CONSOLIDATED BALANCE SHEETS AS OF DECEMBER 31, 2025 AND 2024</w:t>
              </w:r>
            </w:hyperlink>
          </w:p>
        </w:tc>
        <w:tc>
          <w:tcPr>
            <w:tcW w:w="485" w:type="dxa"/>
            <w:tcBorders/>
            <w:vAlign w:val="center"/>
          </w:tcPr>
          <w:p>
            <w:pPr>
              <w:pStyle w:val="TableContents"/>
              <w:bidi w:val="0"/>
              <w:spacing w:before="0" w:after="283"/>
              <w:jc w:val="right"/>
              <w:rPr/>
            </w:pPr>
            <w:r>
              <w:rPr/>
              <w:t>C-3</w:t>
            </w:r>
          </w:p>
        </w:tc>
      </w:tr>
      <w:tr>
        <w:trPr/>
        <w:tc>
          <w:tcPr>
            <w:tcW w:w="9720" w:type="dxa"/>
            <w:tcBorders/>
            <w:shd w:fill="CCEEFF" w:val="clear"/>
            <w:vAlign w:val="center"/>
          </w:tcPr>
          <w:p>
            <w:pPr>
              <w:pStyle w:val="TableContents"/>
              <w:bidi w:val="0"/>
              <w:spacing w:before="0" w:after="283"/>
              <w:jc w:val="left"/>
              <w:rPr/>
            </w:pPr>
            <w:hyperlink w:anchor="BDD2_166202623549346">
              <w:r>
                <w:rPr>
                  <w:rStyle w:val="InternetLink"/>
                </w:rPr>
                <w:t>CONSOLIDATED STATEMENTS OF OPERATIONS FOR THE YEARS ENDED DECEMBER 31, 2025 AND 2024</w:t>
              </w:r>
            </w:hyperlink>
          </w:p>
        </w:tc>
        <w:tc>
          <w:tcPr>
            <w:tcW w:w="485" w:type="dxa"/>
            <w:tcBorders/>
            <w:shd w:fill="CCEEFF" w:val="clear"/>
            <w:vAlign w:val="center"/>
          </w:tcPr>
          <w:p>
            <w:pPr>
              <w:pStyle w:val="TableContents"/>
              <w:bidi w:val="0"/>
              <w:spacing w:before="0" w:after="283"/>
              <w:jc w:val="right"/>
              <w:rPr/>
            </w:pPr>
            <w:r>
              <w:rPr/>
              <w:t>C-4</w:t>
            </w:r>
          </w:p>
        </w:tc>
      </w:tr>
      <w:tr>
        <w:trPr/>
        <w:tc>
          <w:tcPr>
            <w:tcW w:w="9720" w:type="dxa"/>
            <w:tcBorders/>
            <w:vAlign w:val="center"/>
          </w:tcPr>
          <w:p>
            <w:pPr>
              <w:pStyle w:val="TableContents"/>
              <w:bidi w:val="0"/>
              <w:spacing w:before="0" w:after="283"/>
              <w:jc w:val="left"/>
              <w:rPr/>
            </w:pPr>
            <w:hyperlink w:anchor="BDD3_1662026235417130">
              <w:r>
                <w:rPr>
                  <w:rStyle w:val="InternetLink"/>
                </w:rPr>
                <w:t>CONSOLIDATED STATEMENTS OF COMPREHENSIVE LOSS FOR THE YEARS ENDED DECEMBER 31, 2025 AND 2024</w:t>
              </w:r>
            </w:hyperlink>
          </w:p>
        </w:tc>
        <w:tc>
          <w:tcPr>
            <w:tcW w:w="485" w:type="dxa"/>
            <w:tcBorders/>
            <w:vAlign w:val="center"/>
          </w:tcPr>
          <w:p>
            <w:pPr>
              <w:pStyle w:val="TableContents"/>
              <w:bidi w:val="0"/>
              <w:spacing w:before="0" w:after="283"/>
              <w:jc w:val="right"/>
              <w:rPr/>
            </w:pPr>
            <w:r>
              <w:rPr/>
              <w:t>C-5</w:t>
            </w:r>
          </w:p>
        </w:tc>
      </w:tr>
      <w:tr>
        <w:trPr/>
        <w:tc>
          <w:tcPr>
            <w:tcW w:w="9720" w:type="dxa"/>
            <w:tcBorders/>
            <w:shd w:fill="CCEEFF" w:val="clear"/>
            <w:vAlign w:val="center"/>
          </w:tcPr>
          <w:p>
            <w:pPr>
              <w:pStyle w:val="TableContents"/>
              <w:bidi w:val="0"/>
              <w:spacing w:before="0" w:after="283"/>
              <w:jc w:val="left"/>
              <w:rPr/>
            </w:pPr>
            <w:hyperlink w:anchor="BDD5_1662026235425282">
              <w:r>
                <w:rPr>
                  <w:rStyle w:val="InternetLink"/>
                </w:rPr>
                <w:t>CONSOLIDATED STATEMENTS OF NET PARENT INVESTMENT (DEFICIT) FOR THE YEARS ENDED DECEMBER 31, 2025 AND 2024</w:t>
              </w:r>
            </w:hyperlink>
          </w:p>
        </w:tc>
        <w:tc>
          <w:tcPr>
            <w:tcW w:w="485" w:type="dxa"/>
            <w:tcBorders/>
            <w:shd w:fill="CCEEFF" w:val="clear"/>
            <w:vAlign w:val="center"/>
          </w:tcPr>
          <w:p>
            <w:pPr>
              <w:pStyle w:val="TableContents"/>
              <w:bidi w:val="0"/>
              <w:spacing w:before="0" w:after="283"/>
              <w:jc w:val="right"/>
              <w:rPr/>
            </w:pPr>
            <w:r>
              <w:rPr/>
              <w:t>C-6</w:t>
            </w:r>
          </w:p>
        </w:tc>
      </w:tr>
      <w:tr>
        <w:trPr/>
        <w:tc>
          <w:tcPr>
            <w:tcW w:w="9720" w:type="dxa"/>
            <w:tcBorders/>
            <w:vAlign w:val="center"/>
          </w:tcPr>
          <w:p>
            <w:pPr>
              <w:pStyle w:val="TableContents"/>
              <w:bidi w:val="0"/>
              <w:spacing w:before="0" w:after="283"/>
              <w:jc w:val="left"/>
              <w:rPr/>
            </w:pPr>
            <w:hyperlink w:anchor="BDD6_1662026235433105">
              <w:r>
                <w:rPr>
                  <w:rStyle w:val="InternetLink"/>
                </w:rPr>
                <w:t>CONSOLIDATED STATEMENTS OF CASH FLOWS FOR THE YEARS ENDED DECEMBER 31, 2025 AND 2024</w:t>
              </w:r>
            </w:hyperlink>
          </w:p>
        </w:tc>
        <w:tc>
          <w:tcPr>
            <w:tcW w:w="485" w:type="dxa"/>
            <w:tcBorders/>
            <w:vAlign w:val="center"/>
          </w:tcPr>
          <w:p>
            <w:pPr>
              <w:pStyle w:val="TableContents"/>
              <w:bidi w:val="0"/>
              <w:spacing w:before="0" w:after="283"/>
              <w:jc w:val="right"/>
              <w:rPr/>
            </w:pPr>
            <w:r>
              <w:rPr/>
              <w:t>C-7</w:t>
            </w:r>
          </w:p>
        </w:tc>
      </w:tr>
      <w:tr>
        <w:trPr/>
        <w:tc>
          <w:tcPr>
            <w:tcW w:w="9720" w:type="dxa"/>
            <w:tcBorders/>
            <w:shd w:fill="CCEEFF" w:val="clear"/>
            <w:vAlign w:val="center"/>
          </w:tcPr>
          <w:p>
            <w:pPr>
              <w:pStyle w:val="TableContents"/>
              <w:bidi w:val="0"/>
              <w:spacing w:before="0" w:after="283"/>
              <w:jc w:val="left"/>
              <w:rPr/>
            </w:pPr>
            <w:hyperlink w:anchor="BDn11_1662026232250248">
              <w:r>
                <w:rPr>
                  <w:rStyle w:val="InternetLink"/>
                </w:rPr>
                <w:t>NOTES TO CONSOLIDATED FINANCIAL STATEMENTS</w:t>
              </w:r>
            </w:hyperlink>
          </w:p>
        </w:tc>
        <w:tc>
          <w:tcPr>
            <w:tcW w:w="485" w:type="dxa"/>
            <w:tcBorders/>
            <w:shd w:fill="CCEEFF" w:val="clear"/>
            <w:vAlign w:val="center"/>
          </w:tcPr>
          <w:p>
            <w:pPr>
              <w:pStyle w:val="TableContents"/>
              <w:bidi w:val="0"/>
              <w:spacing w:before="0" w:after="283"/>
              <w:jc w:val="right"/>
              <w:rPr/>
            </w:pPr>
            <w:r>
              <w:rPr/>
              <w:t>C-8</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Unaudited Interim Condensed Consolidated Financial Statements as of and for the three months ended March 31, 2026 and 2025</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9718"/>
        <w:gridCol w:w="487"/>
      </w:tblGrid>
      <w:tr>
        <w:trPr/>
        <w:tc>
          <w:tcPr>
            <w:tcW w:w="9718" w:type="dxa"/>
            <w:tcBorders/>
            <w:vAlign w:val="center"/>
          </w:tcPr>
          <w:p>
            <w:pPr>
              <w:pStyle w:val="TableContents"/>
              <w:bidi w:val="0"/>
              <w:spacing w:before="0" w:after="0"/>
              <w:ind w:left="0" w:right="0" w:hanging="0"/>
              <w:jc w:val="center"/>
              <w:rPr/>
            </w:pPr>
            <w:r>
              <w:rPr/>
            </w:r>
          </w:p>
        </w:tc>
        <w:tc>
          <w:tcPr>
            <w:tcW w:w="487" w:type="dxa"/>
            <w:tcBorders>
              <w:bottom w:val="single" w:sz="8" w:space="0" w:color="000000"/>
            </w:tcBorders>
            <w:tcMar>
              <w:bottom w:w="28" w:type="dxa"/>
            </w:tcMar>
            <w:vAlign w:val="center"/>
          </w:tcPr>
          <w:p>
            <w:pPr>
              <w:pStyle w:val="TableContents"/>
              <w:bidi w:val="0"/>
              <w:spacing w:before="0" w:after="283"/>
              <w:jc w:val="right"/>
              <w:rPr>
                <w:sz w:val="20"/>
              </w:rPr>
            </w:pPr>
            <w:r>
              <w:rPr>
                <w:sz w:val="20"/>
              </w:rPr>
              <w:t>Page </w:t>
            </w:r>
          </w:p>
        </w:tc>
      </w:tr>
      <w:tr>
        <w:trPr/>
        <w:tc>
          <w:tcPr>
            <w:tcW w:w="9718" w:type="dxa"/>
            <w:tcBorders/>
            <w:vAlign w:val="center"/>
          </w:tcPr>
          <w:p>
            <w:pPr>
              <w:pStyle w:val="TableContents"/>
              <w:bidi w:val="0"/>
              <w:spacing w:before="0" w:after="283"/>
              <w:jc w:val="left"/>
              <w:rPr/>
            </w:pPr>
            <w:r>
              <w:rPr/>
            </w:r>
          </w:p>
        </w:tc>
        <w:tc>
          <w:tcPr>
            <w:tcW w:w="487" w:type="dxa"/>
            <w:tcBorders/>
            <w:vAlign w:val="center"/>
          </w:tcPr>
          <w:p>
            <w:pPr>
              <w:pStyle w:val="TableContents"/>
              <w:bidi w:val="0"/>
              <w:spacing w:before="0" w:after="283"/>
              <w:jc w:val="left"/>
              <w:rPr/>
            </w:pPr>
            <w:r>
              <w:rPr/>
            </w:r>
          </w:p>
        </w:tc>
      </w:tr>
      <w:tr>
        <w:trPr/>
        <w:tc>
          <w:tcPr>
            <w:tcW w:w="9718" w:type="dxa"/>
            <w:tcBorders/>
            <w:shd w:fill="CCEEFF" w:val="clear"/>
            <w:vAlign w:val="center"/>
          </w:tcPr>
          <w:p>
            <w:pPr>
              <w:pStyle w:val="TableContents"/>
              <w:bidi w:val="0"/>
              <w:spacing w:before="0" w:after="283"/>
              <w:jc w:val="left"/>
              <w:rPr/>
            </w:pPr>
            <w:hyperlink w:anchor="BD15_1662026233950914">
              <w:r>
                <w:rPr>
                  <w:rStyle w:val="InternetLink"/>
                  <w:sz w:val="20"/>
                </w:rPr>
                <w:t>CONDENSED CONSOLIDATED BALANCE SHEETS AS OF MARCH 31, 2026 AND DECEMBER 31, 2025</w:t>
              </w:r>
            </w:hyperlink>
          </w:p>
        </w:tc>
        <w:tc>
          <w:tcPr>
            <w:tcW w:w="487" w:type="dxa"/>
            <w:tcBorders/>
            <w:shd w:fill="CCEEFF" w:val="clear"/>
            <w:vAlign w:val="center"/>
          </w:tcPr>
          <w:p>
            <w:pPr>
              <w:pStyle w:val="TableContents"/>
              <w:bidi w:val="0"/>
              <w:spacing w:before="0" w:after="283"/>
              <w:jc w:val="right"/>
              <w:rPr/>
            </w:pPr>
            <w:r>
              <w:rPr/>
              <w:t>C-16</w:t>
            </w:r>
          </w:p>
        </w:tc>
      </w:tr>
      <w:tr>
        <w:trPr/>
        <w:tc>
          <w:tcPr>
            <w:tcW w:w="9718" w:type="dxa"/>
            <w:tcBorders/>
            <w:vAlign w:val="center"/>
          </w:tcPr>
          <w:p>
            <w:pPr>
              <w:pStyle w:val="TableContents"/>
              <w:bidi w:val="0"/>
              <w:spacing w:before="0" w:after="283"/>
              <w:jc w:val="left"/>
              <w:rPr/>
            </w:pPr>
            <w:hyperlink w:anchor="BD16_166202623401594">
              <w:r>
                <w:rPr>
                  <w:rStyle w:val="InternetLink"/>
                  <w:sz w:val="20"/>
                </w:rPr>
                <w:t>CONDENSED CONSOLIDATED STATEMENTS OF OPERATIONS FOR THE THREE MONTHS ENDED MARCH 31, 2026 AND 2025</w:t>
              </w:r>
            </w:hyperlink>
          </w:p>
        </w:tc>
        <w:tc>
          <w:tcPr>
            <w:tcW w:w="487" w:type="dxa"/>
            <w:tcBorders/>
            <w:vAlign w:val="center"/>
          </w:tcPr>
          <w:p>
            <w:pPr>
              <w:pStyle w:val="TableContents"/>
              <w:bidi w:val="0"/>
              <w:spacing w:before="0" w:after="283"/>
              <w:jc w:val="right"/>
              <w:rPr/>
            </w:pPr>
            <w:r>
              <w:rPr/>
              <w:t>C-17</w:t>
            </w:r>
          </w:p>
        </w:tc>
      </w:tr>
      <w:tr>
        <w:trPr/>
        <w:tc>
          <w:tcPr>
            <w:tcW w:w="9718" w:type="dxa"/>
            <w:tcBorders/>
            <w:shd w:fill="CCEEFF" w:val="clear"/>
            <w:vAlign w:val="center"/>
          </w:tcPr>
          <w:p>
            <w:pPr>
              <w:pStyle w:val="TableContents"/>
              <w:bidi w:val="0"/>
              <w:spacing w:before="0" w:after="283"/>
              <w:jc w:val="left"/>
              <w:rPr/>
            </w:pPr>
            <w:hyperlink w:anchor="BD17_1662026234011297">
              <w:r>
                <w:rPr>
                  <w:rStyle w:val="InternetLink"/>
                  <w:sz w:val="20"/>
                </w:rPr>
                <w:t>CONDENSED CONSOLIDATED STATEMENTS OF COMPREHENSIVE LOSS FOR THE THREE MONTHS ENDED MARCH 31, 2026 AND 2025</w:t>
              </w:r>
            </w:hyperlink>
          </w:p>
        </w:tc>
        <w:tc>
          <w:tcPr>
            <w:tcW w:w="487" w:type="dxa"/>
            <w:tcBorders/>
            <w:shd w:fill="CCEEFF" w:val="clear"/>
            <w:vAlign w:val="center"/>
          </w:tcPr>
          <w:p>
            <w:pPr>
              <w:pStyle w:val="TableContents"/>
              <w:bidi w:val="0"/>
              <w:spacing w:before="0" w:after="283"/>
              <w:jc w:val="right"/>
              <w:rPr/>
            </w:pPr>
            <w:r>
              <w:rPr/>
              <w:t>C-18</w:t>
            </w:r>
          </w:p>
        </w:tc>
      </w:tr>
      <w:tr>
        <w:trPr/>
        <w:tc>
          <w:tcPr>
            <w:tcW w:w="9718" w:type="dxa"/>
            <w:tcBorders/>
            <w:vAlign w:val="center"/>
          </w:tcPr>
          <w:p>
            <w:pPr>
              <w:pStyle w:val="TableContents"/>
              <w:bidi w:val="0"/>
              <w:spacing w:before="0" w:after="283"/>
              <w:jc w:val="left"/>
              <w:rPr/>
            </w:pPr>
            <w:hyperlink w:anchor="BD18_1662026234022530">
              <w:r>
                <w:rPr>
                  <w:rStyle w:val="InternetLink"/>
                  <w:sz w:val="20"/>
                </w:rPr>
                <w:t>CONDENSED CONSOLIDATED STATEMENTS OF NET PARENT INVESTMENT (DEFICIT) FOR THE THREE MONTHS ENDED MARCH 31, 2026 AND 2025</w:t>
              </w:r>
            </w:hyperlink>
          </w:p>
        </w:tc>
        <w:tc>
          <w:tcPr>
            <w:tcW w:w="487" w:type="dxa"/>
            <w:tcBorders/>
            <w:vAlign w:val="center"/>
          </w:tcPr>
          <w:p>
            <w:pPr>
              <w:pStyle w:val="TableContents"/>
              <w:bidi w:val="0"/>
              <w:spacing w:before="0" w:after="283"/>
              <w:jc w:val="right"/>
              <w:rPr/>
            </w:pPr>
            <w:r>
              <w:rPr/>
              <w:t>C-19</w:t>
            </w:r>
          </w:p>
        </w:tc>
      </w:tr>
      <w:tr>
        <w:trPr/>
        <w:tc>
          <w:tcPr>
            <w:tcW w:w="9718" w:type="dxa"/>
            <w:tcBorders/>
            <w:shd w:fill="CCEEFF" w:val="clear"/>
            <w:vAlign w:val="center"/>
          </w:tcPr>
          <w:p>
            <w:pPr>
              <w:pStyle w:val="TableContents"/>
              <w:bidi w:val="0"/>
              <w:spacing w:before="0" w:after="283"/>
              <w:jc w:val="left"/>
              <w:rPr/>
            </w:pPr>
            <w:hyperlink w:anchor="BD20_1662026234412403">
              <w:r>
                <w:rPr>
                  <w:rStyle w:val="InternetLink"/>
                  <w:sz w:val="20"/>
                </w:rPr>
                <w:t>CONDENSED CONSOLIDATED STATEMENTS OF CASH FLOWS FOR THE THREE MONTHS ENDED MARCH 31, 2026 AND 2025</w:t>
              </w:r>
            </w:hyperlink>
          </w:p>
        </w:tc>
        <w:tc>
          <w:tcPr>
            <w:tcW w:w="487" w:type="dxa"/>
            <w:tcBorders/>
            <w:shd w:fill="CCEEFF" w:val="clear"/>
            <w:vAlign w:val="center"/>
          </w:tcPr>
          <w:p>
            <w:pPr>
              <w:pStyle w:val="TableContents"/>
              <w:bidi w:val="0"/>
              <w:spacing w:before="0" w:after="283"/>
              <w:jc w:val="right"/>
              <w:rPr/>
            </w:pPr>
            <w:r>
              <w:rPr/>
              <w:t>C-20</w:t>
            </w:r>
          </w:p>
        </w:tc>
      </w:tr>
      <w:tr>
        <w:trPr/>
        <w:tc>
          <w:tcPr>
            <w:tcW w:w="9718" w:type="dxa"/>
            <w:tcBorders/>
            <w:vAlign w:val="center"/>
          </w:tcPr>
          <w:p>
            <w:pPr>
              <w:pStyle w:val="TableContents"/>
              <w:bidi w:val="0"/>
              <w:spacing w:before="0" w:after="283"/>
              <w:jc w:val="left"/>
              <w:rPr/>
            </w:pPr>
            <w:hyperlink w:anchor="BD226_1662026234815671">
              <w:r>
                <w:rPr>
                  <w:rStyle w:val="InternetLink"/>
                  <w:sz w:val="20"/>
                </w:rPr>
                <w:t>NOTES TO UNAUDITED CONDENSED CONSOLIDATED FINANCIAL STATEMENTS</w:t>
              </w:r>
            </w:hyperlink>
          </w:p>
        </w:tc>
        <w:tc>
          <w:tcPr>
            <w:tcW w:w="487" w:type="dxa"/>
            <w:tcBorders/>
            <w:vAlign w:val="center"/>
          </w:tcPr>
          <w:p>
            <w:pPr>
              <w:pStyle w:val="TableContents"/>
              <w:bidi w:val="0"/>
              <w:spacing w:before="0" w:after="283"/>
              <w:jc w:val="right"/>
              <w:rPr/>
            </w:pPr>
            <w:r>
              <w:rPr/>
              <w:t>C-21</w:t>
            </w:r>
          </w:p>
        </w:tc>
      </w:tr>
    </w:tbl>
    <w:p>
      <w:pPr>
        <w:pStyle w:val="TextBody"/>
        <w:bidi w:val="0"/>
        <w:spacing w:lineRule="auto" w:line="288"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ind w:left="0" w:right="0" w:hanging="0"/>
        <w:jc w:val="both"/>
        <w:rPr/>
      </w:pPr>
      <w:hyperlink w:anchor="TOC">
        <w:r>
          <w:rPr>
            <w:rStyle w:val="InternetLink"/>
            <w:rFonts w:ascii="Times New Roman" w:hAnsi="Times New Roman"/>
            <w:b/>
            <w:strike w:val="false"/>
            <w:dstrike w:val="false"/>
            <w:color w:val="000000"/>
            <w:sz w:val="20"/>
            <w:u w:val="none"/>
            <w:effect w:val="none"/>
          </w:rPr>
          <w:t>REPORT OF INDEPENDENT REGISTERED PUBLIC ACCOUNTING FIRM</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To the Board of Directors and Shareholder of Cortigent, Inc. and Subsidiary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Opinion on the Consolidated Financial Statements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Cortigent, Inc. and Subsidiary (the “Company”) as of December 31, 2025 and 2024, and the related consolidated statements of operations, comprehensive loss, net parent investment (deficit), and cash flows, for the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Going Concern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accompanying consolidated financial statements have been prepared assuming that the Company will continue as a going concern. As discussed in Note 1 to the consolidated financial statements, the Company has suffered recurring losses from operations and negative operating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Basis for Opinion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Formation of Company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Cortigent, Inc. was formed in 2022 by Vivani Medical, Inc. (“Vivani”) as further discussed in Note 1. These consolidated financial statements have been prepared assuming the operating activities of the Neuromodulation business of Vivani were a part of Cortigent as of January 1, 2022 and the shares issued to Vivani upon formation have been outstanding since such date.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/s/ BPM LLP</w:t>
      </w:r>
      <w:r>
        <w:rPr>
          <w:rFonts w:ascii="times new roman;times" w:hAnsi="times new roman;times"/>
          <w:sz w:val="20"/>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We have served as the Company’s auditor since 2022.</w:t>
      </w:r>
      <w:r>
        <w:rPr>
          <w:rFonts w:ascii="times new roman;times" w:hAnsi="times new roman;times"/>
          <w:sz w:val="20"/>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Walnut Creek, California</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March 3, 2026</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Balance Sheets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047"/>
        <w:gridCol w:w="95"/>
        <w:gridCol w:w="343"/>
        <w:gridCol w:w="1503"/>
        <w:gridCol w:w="126"/>
        <w:gridCol w:w="95"/>
        <w:gridCol w:w="342"/>
        <w:gridCol w:w="1504"/>
        <w:gridCol w:w="150"/>
      </w:tblGrid>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vAlign w:val="center"/>
          </w:tcPr>
          <w:p>
            <w:pPr>
              <w:pStyle w:val="TableContents"/>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846"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105</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902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Right-of-use asset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111</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371</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343</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4,432</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 </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pPr>
            <w:r>
              <w:rPr/>
              <w:t> </w:t>
            </w:r>
          </w:p>
        </w:tc>
        <w:tc>
          <w:tcPr>
            <w:tcW w:w="150" w:type="dxa"/>
            <w:tcBorders/>
            <w:shd w:fill="CCEEFF" w:val="clear"/>
            <w:vAlign w:val="bottom"/>
          </w:tcPr>
          <w:p>
            <w:pPr>
              <w:pStyle w:val="TableContents"/>
              <w:pBdr/>
              <w:bidi w:val="0"/>
              <w:spacing w:before="0" w:after="0"/>
              <w:ind w:left="0" w:right="0" w:hanging="0"/>
              <w:jc w:val="left"/>
              <w:rPr/>
            </w:pPr>
            <w:r>
              <w:rPr/>
              <w:t> </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pPr>
            <w:r>
              <w:rPr/>
              <w:t> </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047" w:type="dxa"/>
            <w:tcBorders/>
            <w:shd w:fill="FFFFFF" w:val="clear"/>
            <w:vAlign w:val="center"/>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3"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42" w:type="dxa"/>
            <w:tcBorders/>
            <w:shd w:fill="FFFFFF" w:val="clear"/>
            <w:vAlign w:val="bottom"/>
          </w:tcPr>
          <w:p>
            <w:pPr>
              <w:pStyle w:val="TableContents"/>
              <w:pBdr/>
              <w:bidi w:val="0"/>
              <w:spacing w:before="0" w:after="0"/>
              <w:ind w:left="0" w:right="0" w:hanging="0"/>
              <w:jc w:val="left"/>
              <w:rPr/>
            </w:pPr>
            <w:r>
              <w:rPr/>
              <w:t> </w:t>
            </w:r>
          </w:p>
        </w:tc>
        <w:tc>
          <w:tcPr>
            <w:tcW w:w="1504"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604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5" w:type="dxa"/>
            <w:tcBorders/>
            <w:shd w:fill="CCEEFF" w:val="clear"/>
            <w:vAlign w:val="bottom"/>
          </w:tcPr>
          <w:p>
            <w:pPr>
              <w:pStyle w:val="TableContents"/>
              <w:pBdr/>
              <w:bidi w:val="0"/>
              <w:spacing w:before="0" w:after="0"/>
              <w:ind w:left="0" w:right="0" w:hanging="0"/>
              <w:jc w:val="left"/>
              <w:rPr/>
            </w:pPr>
            <w:r>
              <w:rPr/>
              <w:t> </w:t>
            </w:r>
          </w:p>
        </w:tc>
        <w:tc>
          <w:tcPr>
            <w:tcW w:w="34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26"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4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1,026</w:t>
            </w:r>
          </w:p>
        </w:tc>
        <w:tc>
          <w:tcPr>
            <w:tcW w:w="150"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Operations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835"/>
        <w:gridCol w:w="87"/>
        <w:gridCol w:w="181"/>
        <w:gridCol w:w="790"/>
        <w:gridCol w:w="116"/>
        <w:gridCol w:w="87"/>
        <w:gridCol w:w="181"/>
        <w:gridCol w:w="790"/>
        <w:gridCol w:w="138"/>
      </w:tblGrid>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2145"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vAlign w:val="center"/>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16" w:type="dxa"/>
            <w:tcBorders/>
            <w:vAlign w:val="bottom"/>
          </w:tcPr>
          <w:p>
            <w:pPr>
              <w:pStyle w:val="TableContents"/>
              <w:pBdr/>
              <w:bidi w:val="0"/>
              <w:spacing w:before="0" w:after="0"/>
              <w:ind w:left="0" w:right="0" w:hanging="0"/>
              <w:jc w:val="left"/>
              <w:rPr/>
            </w:pPr>
            <w:r>
              <w:rPr/>
              <w:t> </w:t>
            </w:r>
          </w:p>
        </w:tc>
        <w:tc>
          <w:tcPr>
            <w:tcW w:w="87" w:type="dxa"/>
            <w:tcBorders/>
            <w:vAlign w:val="bottom"/>
          </w:tcPr>
          <w:p>
            <w:pPr>
              <w:pStyle w:val="TableContents"/>
              <w:pBdr/>
              <w:bidi w:val="0"/>
              <w:spacing w:before="0" w:after="0"/>
              <w:ind w:left="0" w:right="0" w:hanging="0"/>
              <w:jc w:val="left"/>
              <w:rPr/>
            </w:pPr>
            <w:r>
              <w:rPr/>
              <w:t> </w:t>
            </w:r>
          </w:p>
        </w:tc>
        <w:tc>
          <w:tcPr>
            <w:tcW w:w="97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38" w:type="dxa"/>
            <w:tcBorders/>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pPr>
            <w:r>
              <w:rPr/>
              <w:t> </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570</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324</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2,062</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1,752</w:t>
            </w:r>
          </w:p>
        </w:tc>
        <w:tc>
          <w:tcPr>
            <w:tcW w:w="138" w:type="dxa"/>
            <w:tcBorders/>
            <w:shd w:fill="CCEEFF" w:val="clear"/>
            <w:vAlign w:val="bottom"/>
          </w:tcPr>
          <w:p>
            <w:pPr>
              <w:pStyle w:val="TableContents"/>
              <w:pBdr/>
              <w:bidi w:val="0"/>
              <w:spacing w:before="0" w:after="0"/>
              <w:ind w:left="0" w:right="0" w:hanging="0"/>
              <w:jc w:val="left"/>
              <w:rPr/>
            </w:pPr>
            <w:r>
              <w:rPr/>
              <w:t> </w:t>
            </w:r>
          </w:p>
        </w:tc>
      </w:tr>
      <w:tr>
        <w:trPr/>
        <w:tc>
          <w:tcPr>
            <w:tcW w:w="78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FFFFFF" w:val="clear"/>
            <w:vAlign w:val="bottom"/>
          </w:tcPr>
          <w:p>
            <w:pPr>
              <w:pStyle w:val="TableContents"/>
              <w:pBdr/>
              <w:bidi w:val="0"/>
              <w:spacing w:before="0" w:after="0"/>
              <w:ind w:left="0" w:right="0" w:hanging="0"/>
              <w:jc w:val="left"/>
              <w:rPr/>
            </w:pPr>
            <w:r>
              <w:rPr/>
              <w:t> </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FFFFFF" w:val="clear"/>
            <w:vAlign w:val="bottom"/>
          </w:tcPr>
          <w:p>
            <w:pPr>
              <w:pStyle w:val="TableContents"/>
              <w:pBdr/>
              <w:bidi w:val="0"/>
              <w:spacing w:before="0" w:after="0"/>
              <w:ind w:left="0" w:right="0" w:hanging="0"/>
              <w:jc w:val="left"/>
              <w:rPr/>
            </w:pPr>
            <w:r>
              <w:rPr/>
              <w:t> </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(2,632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(2,076</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(480</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pPr>
            <w:r>
              <w:rPr/>
              <w:t> </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(156</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1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3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(0.62</w:t>
            </w:r>
          </w:p>
        </w:tc>
        <w:tc>
          <w:tcPr>
            <w:tcW w:w="116"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pBdr/>
              <w:bidi w:val="0"/>
              <w:spacing w:before="0" w:after="0"/>
              <w:ind w:left="0" w:right="0" w:hanging="0"/>
              <w:jc w:val="left"/>
              <w:rPr/>
            </w:pPr>
            <w:r>
              <w:rPr/>
              <w:t> </w:t>
            </w:r>
          </w:p>
        </w:tc>
        <w:tc>
          <w:tcPr>
            <w:tcW w:w="18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(0.45</w:t>
            </w:r>
          </w:p>
        </w:tc>
        <w:tc>
          <w:tcPr>
            <w:tcW w:w="13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16" w:type="dxa"/>
            <w:tcBorders/>
            <w:shd w:fill="CCEEFF" w:val="clear"/>
            <w:vAlign w:val="bottom"/>
          </w:tcPr>
          <w:p>
            <w:pPr>
              <w:pStyle w:val="TableContents"/>
              <w:pBdr/>
              <w:bidi w:val="0"/>
              <w:spacing w:before="0" w:after="0"/>
              <w:ind w:left="0" w:right="0" w:hanging="0"/>
              <w:jc w:val="left"/>
              <w:rPr/>
            </w:pPr>
            <w:r>
              <w:rPr/>
              <w:t> </w:t>
            </w:r>
          </w:p>
        </w:tc>
        <w:tc>
          <w:tcPr>
            <w:tcW w:w="87" w:type="dxa"/>
            <w:tcBorders/>
            <w:shd w:fill="CCEEFF" w:val="clear"/>
            <w:vAlign w:val="bottom"/>
          </w:tcPr>
          <w:p>
            <w:pPr>
              <w:pStyle w:val="TableContents"/>
              <w:pBdr/>
              <w:bidi w:val="0"/>
              <w:spacing w:before="0" w:after="0"/>
              <w:ind w:left="0" w:right="0" w:hanging="0"/>
              <w:jc w:val="left"/>
              <w:rPr/>
            </w:pPr>
            <w:r>
              <w:rPr/>
              <w:t> </w:t>
            </w:r>
          </w:p>
        </w:tc>
        <w:tc>
          <w:tcPr>
            <w:tcW w:w="181" w:type="dxa"/>
            <w:tcBorders/>
            <w:shd w:fill="CCEEFF" w:val="clear"/>
            <w:vAlign w:val="bottom"/>
          </w:tcPr>
          <w:p>
            <w:pPr>
              <w:pStyle w:val="TableContents"/>
              <w:pBdr/>
              <w:bidi w:val="0"/>
              <w:spacing w:before="0" w:after="0"/>
              <w:ind w:left="0" w:right="0" w:hanging="0"/>
              <w:jc w:val="left"/>
              <w:rPr/>
            </w:pPr>
            <w:r>
              <w:rPr/>
              <w:t> </w:t>
            </w:r>
          </w:p>
        </w:tc>
        <w:tc>
          <w:tcPr>
            <w:tcW w:w="7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38"/>
        <w:gridCol w:w="94"/>
        <w:gridCol w:w="196"/>
        <w:gridCol w:w="856"/>
        <w:gridCol w:w="126"/>
        <w:gridCol w:w="94"/>
        <w:gridCol w:w="196"/>
        <w:gridCol w:w="855"/>
        <w:gridCol w:w="150"/>
      </w:tblGrid>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Year Ended</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2323"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vAlign w:val="center"/>
          </w:tcPr>
          <w:p>
            <w:pPr>
              <w:pStyle w:val="TableContents"/>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6" w:type="dxa"/>
            <w:tcBorders/>
            <w:vAlign w:val="bottom"/>
          </w:tcPr>
          <w:p>
            <w:pPr>
              <w:pStyle w:val="TableContents"/>
              <w:pBdr/>
              <w:bidi w:val="0"/>
              <w:spacing w:before="0" w:after="0"/>
              <w:ind w:left="0" w:right="0" w:hanging="0"/>
              <w:jc w:val="left"/>
              <w:rPr/>
            </w:pPr>
            <w:r>
              <w:rPr/>
              <w:t> </w:t>
            </w:r>
          </w:p>
        </w:tc>
        <w:tc>
          <w:tcPr>
            <w:tcW w:w="94" w:type="dxa"/>
            <w:tcBorders/>
            <w:vAlign w:val="bottom"/>
          </w:tcPr>
          <w:p>
            <w:pPr>
              <w:pStyle w:val="TableContents"/>
              <w:pBdr/>
              <w:bidi w:val="0"/>
              <w:spacing w:before="0" w:after="0"/>
              <w:ind w:left="0" w:right="0" w:hanging="0"/>
              <w:jc w:val="left"/>
              <w:rPr/>
            </w:pPr>
            <w:r>
              <w:rPr/>
              <w:t> </w:t>
            </w:r>
          </w:p>
        </w:tc>
        <w:tc>
          <w:tcPr>
            <w:tcW w:w="105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0" w:type="dxa"/>
            <w:tcBorders/>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pPr>
            <w:r>
              <w:rPr/>
              <w:t> </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 </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6" w:type="dxa"/>
            <w:tcBorders/>
            <w:shd w:fill="CCEEFF" w:val="clear"/>
            <w:vAlign w:val="bottom"/>
          </w:tcPr>
          <w:p>
            <w:pPr>
              <w:pStyle w:val="TableContents"/>
              <w:pBdr/>
              <w:bidi w:val="0"/>
              <w:spacing w:before="0" w:after="0"/>
              <w:ind w:left="0" w:right="0" w:hanging="0"/>
              <w:jc w:val="left"/>
              <w:rPr/>
            </w:pPr>
            <w:r>
              <w:rPr/>
              <w:t> </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pPr>
            <w:r>
              <w:rPr/>
              <w:t> </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6"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26" w:type="dxa"/>
            <w:tcBorders/>
            <w:shd w:fill="FFFFFF" w:val="clear"/>
            <w:vAlign w:val="bottom"/>
          </w:tcPr>
          <w:p>
            <w:pPr>
              <w:pStyle w:val="TableContents"/>
              <w:pBdr/>
              <w:bidi w:val="0"/>
              <w:spacing w:before="0" w:after="0"/>
              <w:ind w:left="0" w:right="0" w:hanging="0"/>
              <w:jc w:val="left"/>
              <w:rPr/>
            </w:pPr>
            <w:r>
              <w:rPr/>
              <w:t> </w:t>
            </w:r>
          </w:p>
        </w:tc>
        <w:tc>
          <w:tcPr>
            <w:tcW w:w="94" w:type="dxa"/>
            <w:tcBorders/>
            <w:shd w:fill="FFFFFF" w:val="clear"/>
            <w:vAlign w:val="bottom"/>
          </w:tcPr>
          <w:p>
            <w:pPr>
              <w:pStyle w:val="TableContents"/>
              <w:pBdr/>
              <w:bidi w:val="0"/>
              <w:spacing w:before="0" w:after="0"/>
              <w:ind w:left="0" w:right="0" w:hanging="0"/>
              <w:jc w:val="left"/>
              <w:rPr/>
            </w:pPr>
            <w:r>
              <w:rPr/>
              <w:t> </w:t>
            </w:r>
          </w:p>
        </w:tc>
        <w:tc>
          <w:tcPr>
            <w:tcW w:w="196" w:type="dxa"/>
            <w:tcBorders/>
            <w:shd w:fill="FFFFFF" w:val="clear"/>
            <w:vAlign w:val="bottom"/>
          </w:tcPr>
          <w:p>
            <w:pPr>
              <w:pStyle w:val="TableContents"/>
              <w:pBdr/>
              <w:bidi w:val="0"/>
              <w:spacing w:before="0" w:after="0"/>
              <w:ind w:left="0" w:right="0" w:hanging="0"/>
              <w:jc w:val="left"/>
              <w:rPr/>
            </w:pPr>
            <w:r>
              <w:rPr/>
              <w:t> </w:t>
            </w:r>
          </w:p>
        </w:tc>
        <w:tc>
          <w:tcPr>
            <w:tcW w:w="855" w:type="dxa"/>
            <w:tcBorders/>
            <w:shd w:fill="FFFFFF" w:val="clear"/>
            <w:vAlign w:val="bottom"/>
          </w:tcPr>
          <w:p>
            <w:pPr>
              <w:pStyle w:val="TableContents"/>
              <w:pBdr/>
              <w:bidi w:val="0"/>
              <w:spacing w:before="0" w:after="0"/>
              <w:ind w:left="0" w:right="0" w:hanging="0"/>
              <w:jc w:val="right"/>
              <w:rPr/>
            </w:pPr>
            <w:r>
              <w:rPr/>
              <w:t>—</w:t>
            </w:r>
          </w:p>
        </w:tc>
        <w:tc>
          <w:tcPr>
            <w:tcW w:w="150" w:type="dxa"/>
            <w:tcBorders/>
            <w:shd w:fill="FFFFFF" w:val="clear"/>
            <w:vAlign w:val="bottom"/>
          </w:tcPr>
          <w:p>
            <w:pPr>
              <w:pStyle w:val="TableContents"/>
              <w:pBdr/>
              <w:bidi w:val="0"/>
              <w:spacing w:before="0" w:after="0"/>
              <w:ind w:left="0" w:right="0" w:hanging="0"/>
              <w:jc w:val="left"/>
              <w:rPr/>
            </w:pPr>
            <w:r>
              <w:rPr/>
              <w:t> </w:t>
            </w:r>
          </w:p>
        </w:tc>
      </w:tr>
      <w:tr>
        <w:trPr/>
        <w:tc>
          <w:tcPr>
            <w:tcW w:w="763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(2,802</w:t>
            </w:r>
          </w:p>
        </w:tc>
        <w:tc>
          <w:tcPr>
            <w:tcW w:w="12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 w:type="dxa"/>
            <w:tcBorders/>
            <w:shd w:fill="CCEEFF" w:val="clear"/>
            <w:vAlign w:val="bottom"/>
          </w:tcPr>
          <w:p>
            <w:pPr>
              <w:pStyle w:val="TableContents"/>
              <w:pBdr/>
              <w:bidi w:val="0"/>
              <w:spacing w:before="0" w:after="0"/>
              <w:ind w:left="0" w:right="0" w:hanging="0"/>
              <w:jc w:val="left"/>
              <w:rPr/>
            </w:pPr>
            <w:r>
              <w:rPr/>
              <w:t> </w:t>
            </w:r>
          </w:p>
        </w:tc>
        <w:tc>
          <w:tcPr>
            <w:tcW w:w="19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(2,311</w:t>
            </w:r>
          </w:p>
        </w:tc>
        <w:tc>
          <w:tcPr>
            <w:tcW w:w="15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left"/>
              <w:rPr/>
            </w:pPr>
            <w:r>
              <w:rPr/>
              <w:t> </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89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265"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5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center"/>
          </w:tcPr>
          <w:p>
            <w:pPr>
              <w:pStyle w:val="TableContents"/>
              <w:pBdr/>
              <w:bidi w:val="0"/>
              <w:spacing w:before="0" w:after="0"/>
              <w:ind w:left="0" w:right="0" w:hanging="0"/>
              <w:jc w:val="left"/>
              <w:rPr/>
            </w:pPr>
            <w:r>
              <w:rPr/>
              <w:t> </w:t>
            </w:r>
          </w:p>
        </w:tc>
        <w:tc>
          <w:tcPr>
            <w:tcW w:w="67" w:type="dxa"/>
            <w:tcBorders/>
            <w:vAlign w:val="center"/>
          </w:tcPr>
          <w:p>
            <w:pPr>
              <w:pStyle w:val="TableContents"/>
              <w:pBdr/>
              <w:bidi w:val="0"/>
              <w:spacing w:before="0" w:after="0"/>
              <w:ind w:left="0" w:right="0" w:hanging="0"/>
              <w:jc w:val="left"/>
              <w:rPr/>
            </w:pPr>
            <w:r>
              <w:rPr/>
              <w:t> </w:t>
            </w:r>
          </w:p>
        </w:tc>
        <w:tc>
          <w:tcPr>
            <w:tcW w:w="1063"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center"/>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2,483</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(5,492</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(3,293</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pPr>
            <w:r>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pPr>
            <w:r>
              <w:rPr/>
              <w:t> </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pPr>
            <w:r>
              <w:rPr/>
              <w:t> </w:t>
            </w:r>
          </w:p>
        </w:tc>
        <w:tc>
          <w:tcPr>
            <w:tcW w:w="103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pPr>
            <w:r>
              <w:rPr/>
              <w:t> </w:t>
            </w:r>
          </w:p>
        </w:tc>
        <w:tc>
          <w:tcPr>
            <w:tcW w:w="1140"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pPr>
            <w:r>
              <w:rPr/>
              <w:t> </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07" w:type="dxa"/>
            <w:tcBorders/>
            <w:shd w:fill="CCEEFF" w:val="clear"/>
            <w:vAlign w:val="center"/>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center"/>
          </w:tcPr>
          <w:p>
            <w:pPr>
              <w:pStyle w:val="TableContents"/>
              <w:pBdr/>
              <w:bidi w:val="0"/>
              <w:spacing w:before="0" w:after="0"/>
              <w:ind w:left="0" w:right="0" w:hanging="0"/>
              <w:jc w:val="left"/>
              <w:rPr/>
            </w:pPr>
            <w:r>
              <w:rPr/>
              <w:t> </w:t>
            </w:r>
          </w:p>
        </w:tc>
        <w:tc>
          <w:tcPr>
            <w:tcW w:w="98" w:type="dxa"/>
            <w:tcBorders/>
            <w:shd w:fill="FFFFFF" w:val="clear"/>
            <w:vAlign w:val="center"/>
          </w:tcPr>
          <w:p>
            <w:pPr>
              <w:pStyle w:val="TableContents"/>
              <w:pBdr/>
              <w:bidi w:val="0"/>
              <w:spacing w:before="0" w:after="0"/>
              <w:ind w:left="0" w:right="0" w:hanging="0"/>
              <w:jc w:val="left"/>
              <w:rPr/>
            </w:pPr>
            <w:r>
              <w:rPr/>
              <w:t> </w:t>
            </w:r>
          </w:p>
        </w:tc>
        <w:tc>
          <w:tcPr>
            <w:tcW w:w="797"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17" w:type="dxa"/>
            <w:tcBorders/>
            <w:shd w:fill="FFFFFF" w:val="clear"/>
            <w:vAlign w:val="center"/>
          </w:tcPr>
          <w:p>
            <w:pPr>
              <w:pStyle w:val="TableContents"/>
              <w:pBdr/>
              <w:bidi w:val="0"/>
              <w:spacing w:before="0" w:after="0"/>
              <w:ind w:left="0" w:right="0" w:hanging="0"/>
              <w:jc w:val="left"/>
              <w:rPr/>
            </w:pPr>
            <w:r>
              <w:rPr/>
              <w:t> </w:t>
            </w:r>
          </w:p>
        </w:tc>
        <w:tc>
          <w:tcPr>
            <w:tcW w:w="846" w:type="dxa"/>
            <w:tcBorders/>
            <w:shd w:fill="FFFFFF" w:val="clear"/>
            <w:vAlign w:val="center"/>
          </w:tcPr>
          <w:p>
            <w:pPr>
              <w:pStyle w:val="TableContents"/>
              <w:pBdr/>
              <w:bidi w:val="0"/>
              <w:spacing w:before="0" w:after="0"/>
              <w:ind w:left="0" w:right="0" w:hanging="0"/>
              <w:jc w:val="right"/>
              <w:rPr/>
            </w:pPr>
            <w:r>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235" w:type="dxa"/>
            <w:tcBorders/>
            <w:shd w:fill="FFFFFF" w:val="clear"/>
            <w:vAlign w:val="center"/>
          </w:tcPr>
          <w:p>
            <w:pPr>
              <w:pStyle w:val="TableContents"/>
              <w:pBdr/>
              <w:bidi w:val="0"/>
              <w:spacing w:before="0" w:after="0"/>
              <w:ind w:left="0" w:right="0" w:hanging="0"/>
              <w:jc w:val="left"/>
              <w:rPr/>
            </w:pPr>
            <w:r>
              <w:rPr/>
              <w:t> </w:t>
            </w:r>
          </w:p>
        </w:tc>
        <w:tc>
          <w:tcPr>
            <w:tcW w:w="1030" w:type="dxa"/>
            <w:tcBorders/>
            <w:shd w:fill="FFFFFF" w:val="clear"/>
            <w:vAlign w:val="center"/>
          </w:tcPr>
          <w:p>
            <w:pPr>
              <w:pStyle w:val="TableContents"/>
              <w:pBdr/>
              <w:bidi w:val="0"/>
              <w:spacing w:before="0" w:after="0"/>
              <w:ind w:left="0" w:right="0" w:hanging="0"/>
              <w:jc w:val="right"/>
              <w:rPr/>
            </w:pPr>
            <w:r>
              <w:rPr/>
              <w:t>—</w:t>
            </w:r>
          </w:p>
        </w:tc>
        <w:tc>
          <w:tcPr>
            <w:tcW w:w="89" w:type="dxa"/>
            <w:tcBorders/>
            <w:shd w:fill="FFFFFF" w:val="clear"/>
            <w:vAlign w:val="center"/>
          </w:tcPr>
          <w:p>
            <w:pPr>
              <w:pStyle w:val="TableContents"/>
              <w:pBdr/>
              <w:bidi w:val="0"/>
              <w:spacing w:before="0" w:after="0"/>
              <w:ind w:left="0" w:right="0" w:hanging="0"/>
              <w:jc w:val="left"/>
              <w:rPr/>
            </w:pPr>
            <w:r>
              <w:rPr/>
              <w:t> </w:t>
            </w:r>
          </w:p>
        </w:tc>
        <w:tc>
          <w:tcPr>
            <w:tcW w:w="67" w:type="dxa"/>
            <w:tcBorders/>
            <w:shd w:fill="FFFFFF" w:val="clear"/>
            <w:vAlign w:val="center"/>
          </w:tcPr>
          <w:p>
            <w:pPr>
              <w:pStyle w:val="TableContents"/>
              <w:pBdr/>
              <w:bidi w:val="0"/>
              <w:spacing w:before="0" w:after="0"/>
              <w:ind w:left="0" w:right="0" w:hanging="0"/>
              <w:jc w:val="left"/>
              <w:rPr/>
            </w:pPr>
            <w:r>
              <w:rPr/>
              <w:t> </w:t>
            </w:r>
          </w:p>
        </w:tc>
        <w:tc>
          <w:tcPr>
            <w:tcW w:w="360" w:type="dxa"/>
            <w:tcBorders/>
            <w:shd w:fill="FFFFFF" w:val="clear"/>
            <w:vAlign w:val="center"/>
          </w:tcPr>
          <w:p>
            <w:pPr>
              <w:pStyle w:val="TableContents"/>
              <w:pBdr/>
              <w:bidi w:val="0"/>
              <w:spacing w:before="0" w:after="0"/>
              <w:ind w:left="0" w:right="0" w:hanging="0"/>
              <w:jc w:val="left"/>
              <w:rPr/>
            </w:pPr>
            <w:r>
              <w:rPr/>
              <w:t> </w:t>
            </w:r>
          </w:p>
        </w:tc>
        <w:tc>
          <w:tcPr>
            <w:tcW w:w="1140"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8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pBdr/>
              <w:bidi w:val="0"/>
              <w:spacing w:before="0" w:after="0"/>
              <w:ind w:left="0" w:right="0" w:hanging="0"/>
              <w:jc w:val="left"/>
              <w:rPr/>
            </w:pPr>
            <w:r>
              <w:rPr/>
              <w:t> </w:t>
            </w:r>
          </w:p>
        </w:tc>
        <w:tc>
          <w:tcPr>
            <w:tcW w:w="198" w:type="dxa"/>
            <w:tcBorders/>
            <w:shd w:fill="FFFFFF" w:val="clear"/>
            <w:vAlign w:val="center"/>
          </w:tcPr>
          <w:p>
            <w:pPr>
              <w:pStyle w:val="TableContents"/>
              <w:pBdr/>
              <w:bidi w:val="0"/>
              <w:spacing w:before="0" w:after="0"/>
              <w:ind w:left="0" w:right="0" w:hanging="0"/>
              <w:jc w:val="left"/>
              <w:rPr/>
            </w:pPr>
            <w:r>
              <w:rPr/>
              <w:t> </w:t>
            </w:r>
          </w:p>
        </w:tc>
        <w:tc>
          <w:tcPr>
            <w:tcW w:w="865"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w:t>
            </w:r>
          </w:p>
        </w:tc>
        <w:tc>
          <w:tcPr>
            <w:tcW w:w="10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December 31, 2024</w:t>
            </w:r>
          </w:p>
        </w:tc>
        <w:tc>
          <w:tcPr>
            <w:tcW w:w="67" w:type="dxa"/>
            <w:tcBorders/>
            <w:shd w:fill="CCEEFF" w:val="clear"/>
            <w:vAlign w:val="center"/>
          </w:tcPr>
          <w:p>
            <w:pPr>
              <w:pStyle w:val="TableContents"/>
              <w:pBdr/>
              <w:bidi w:val="0"/>
              <w:spacing w:before="0" w:after="0"/>
              <w:ind w:left="0" w:right="0" w:hanging="0"/>
              <w:jc w:val="left"/>
              <w:rPr/>
            </w:pPr>
            <w:r>
              <w:rPr/>
              <w:t> </w:t>
            </w:r>
          </w:p>
        </w:tc>
        <w:tc>
          <w:tcPr>
            <w:tcW w:w="98" w:type="dxa"/>
            <w:tcBorders/>
            <w:shd w:fill="CCEEFF" w:val="clear"/>
            <w:vAlign w:val="center"/>
          </w:tcPr>
          <w:p>
            <w:pPr>
              <w:pStyle w:val="TableContents"/>
              <w:pBdr/>
              <w:bidi w:val="0"/>
              <w:spacing w:before="0" w:after="0"/>
              <w:ind w:left="0" w:right="0" w:hanging="0"/>
              <w:jc w:val="left"/>
              <w:rPr/>
            </w:pPr>
            <w:r>
              <w:rPr/>
              <w:t> </w:t>
            </w:r>
          </w:p>
        </w:tc>
        <w:tc>
          <w:tcPr>
            <w:tcW w:w="79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center"/>
          </w:tcPr>
          <w:p>
            <w:pPr>
              <w:pStyle w:val="TableContents"/>
              <w:pBdr/>
              <w:bidi w:val="0"/>
              <w:spacing w:before="0" w:after="0"/>
              <w:ind w:left="0" w:right="0" w:hanging="0"/>
              <w:jc w:val="left"/>
              <w:rPr/>
            </w:pPr>
            <w:r>
              <w:rPr/>
              <w:t> </w:t>
            </w:r>
          </w:p>
        </w:tc>
        <w:tc>
          <w:tcPr>
            <w:tcW w:w="67" w:type="dxa"/>
            <w:tcBorders/>
            <w:shd w:fill="CCEEFF" w:val="clear"/>
            <w:vAlign w:val="center"/>
          </w:tcPr>
          <w:p>
            <w:pPr>
              <w:pStyle w:val="TableContents"/>
              <w:pBdr/>
              <w:bidi w:val="0"/>
              <w:spacing w:before="0" w:after="0"/>
              <w:ind w:left="0" w:right="0" w:hanging="0"/>
              <w:jc w:val="left"/>
              <w:rPr/>
            </w:pPr>
            <w:r>
              <w:rPr/>
              <w:t> </w:t>
            </w:r>
          </w:p>
        </w:tc>
        <w:tc>
          <w:tcPr>
            <w:tcW w:w="23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36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pBdr/>
              <w:bidi w:val="0"/>
              <w:spacing w:before="0" w:after="0"/>
              <w:ind w:left="0" w:right="0" w:hanging="0"/>
              <w:jc w:val="left"/>
              <w:rPr/>
            </w:pPr>
            <w:r>
              <w:rPr/>
              <w:t>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59"/>
        <w:gridCol w:w="60"/>
        <w:gridCol w:w="88"/>
        <w:gridCol w:w="712"/>
        <w:gridCol w:w="60"/>
        <w:gridCol w:w="60"/>
        <w:gridCol w:w="194"/>
        <w:gridCol w:w="756"/>
        <w:gridCol w:w="60"/>
        <w:gridCol w:w="60"/>
        <w:gridCol w:w="182"/>
        <w:gridCol w:w="948"/>
        <w:gridCol w:w="79"/>
        <w:gridCol w:w="60"/>
        <w:gridCol w:w="321"/>
        <w:gridCol w:w="1019"/>
        <w:gridCol w:w="80"/>
        <w:gridCol w:w="60"/>
        <w:gridCol w:w="177"/>
        <w:gridCol w:w="773"/>
        <w:gridCol w:w="97"/>
      </w:tblGrid>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left"/>
              <w:rPr/>
            </w:pPr>
            <w:r>
              <w:rPr/>
              <w:t> </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80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13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79"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134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0" w:type="dxa"/>
            <w:tcBorders/>
            <w:vAlign w:val="center"/>
          </w:tcPr>
          <w:p>
            <w:pPr>
              <w:pStyle w:val="TableContents"/>
              <w:pBdr/>
              <w:bidi w:val="0"/>
              <w:spacing w:before="0" w:after="0"/>
              <w:ind w:left="0" w:right="0" w:hanging="0"/>
              <w:jc w:val="left"/>
              <w:rPr/>
            </w:pPr>
            <w:r>
              <w:rPr/>
              <w:t> </w:t>
            </w:r>
          </w:p>
        </w:tc>
        <w:tc>
          <w:tcPr>
            <w:tcW w:w="60" w:type="dxa"/>
            <w:tcBorders/>
            <w:vAlign w:val="center"/>
          </w:tcPr>
          <w:p>
            <w:pPr>
              <w:pStyle w:val="TableContents"/>
              <w:pBdr/>
              <w:bidi w:val="0"/>
              <w:spacing w:before="0" w:after="0"/>
              <w:ind w:left="0" w:right="0" w:hanging="0"/>
              <w:jc w:val="left"/>
              <w:rPr/>
            </w:pPr>
            <w:r>
              <w:rPr/>
              <w:t> </w:t>
            </w:r>
          </w:p>
        </w:tc>
        <w:tc>
          <w:tcPr>
            <w:tcW w:w="950"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97" w:type="dxa"/>
            <w:tcBorders/>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7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9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pPr>
            <w:r>
              <w:rPr/>
              <w:t>—</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pPr>
            <w:r>
              <w:rPr/>
              <w:t> </w:t>
            </w:r>
          </w:p>
        </w:tc>
        <w:tc>
          <w:tcPr>
            <w:tcW w:w="756" w:type="dxa"/>
            <w:tcBorders/>
            <w:shd w:fill="FFFFFF" w:val="clear"/>
            <w:vAlign w:val="center"/>
          </w:tcPr>
          <w:p>
            <w:pPr>
              <w:pStyle w:val="TableContents"/>
              <w:pBdr/>
              <w:bidi w:val="0"/>
              <w:spacing w:before="0" w:after="0"/>
              <w:ind w:left="0" w:right="0" w:hanging="0"/>
              <w:jc w:val="right"/>
              <w:rPr/>
            </w:pPr>
            <w:r>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pPr>
            <w:r>
              <w:rPr/>
              <w:t> </w:t>
            </w:r>
          </w:p>
        </w:tc>
        <w:tc>
          <w:tcPr>
            <w:tcW w:w="948" w:type="dxa"/>
            <w:tcBorders/>
            <w:shd w:fill="FFFFFF" w:val="clear"/>
            <w:vAlign w:val="center"/>
          </w:tcPr>
          <w:p>
            <w:pPr>
              <w:pStyle w:val="TableContents"/>
              <w:pBdr/>
              <w:bidi w:val="0"/>
              <w:spacing w:before="0" w:after="0"/>
              <w:ind w:left="0" w:right="0" w:hanging="0"/>
              <w:jc w:val="right"/>
              <w:rPr/>
            </w:pPr>
            <w:r>
              <w:rPr/>
              <w:t>—</w:t>
            </w:r>
          </w:p>
        </w:tc>
        <w:tc>
          <w:tcPr>
            <w:tcW w:w="79"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pPr>
            <w:r>
              <w:rPr/>
              <w:t> </w:t>
            </w:r>
          </w:p>
        </w:tc>
        <w:tc>
          <w:tcPr>
            <w:tcW w:w="1019"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pPr>
            <w:r>
              <w:rPr/>
              <w:t> </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97" w:type="dxa"/>
            <w:tcBorders/>
            <w:shd w:fill="FFFFFF" w:val="clear"/>
            <w:vAlign w:val="center"/>
          </w:tcPr>
          <w:p>
            <w:pPr>
              <w:pStyle w:val="TableContents"/>
              <w:pBdr/>
              <w:bidi w:val="0"/>
              <w:spacing w:before="0" w:after="0"/>
              <w:ind w:left="0" w:right="0" w:hanging="0"/>
              <w:jc w:val="left"/>
              <w:rPr/>
            </w:pPr>
            <w:r>
              <w:rPr/>
              <w:t> </w:t>
            </w:r>
          </w:p>
        </w:tc>
      </w:tr>
      <w:tr>
        <w:trPr/>
        <w:tc>
          <w:tcPr>
            <w:tcW w:w="435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w:t>
            </w:r>
          </w:p>
        </w:tc>
        <w:tc>
          <w:tcPr>
            <w:tcW w:w="60" w:type="dxa"/>
            <w:tcBorders/>
            <w:shd w:fill="CCEEFF" w:val="clear"/>
            <w:vAlign w:val="center"/>
          </w:tcPr>
          <w:p>
            <w:pPr>
              <w:pStyle w:val="TableContents"/>
              <w:pBdr/>
              <w:bidi w:val="0"/>
              <w:spacing w:before="0" w:after="0"/>
              <w:ind w:left="0" w:right="0" w:hanging="0"/>
              <w:jc w:val="left"/>
              <w:rPr/>
            </w:pPr>
            <w:r>
              <w:rPr/>
              <w:t> </w:t>
            </w:r>
          </w:p>
        </w:tc>
        <w:tc>
          <w:tcPr>
            <w:tcW w:w="88" w:type="dxa"/>
            <w:tcBorders/>
            <w:shd w:fill="CCEEFF" w:val="clear"/>
            <w:vAlign w:val="center"/>
          </w:tcPr>
          <w:p>
            <w:pPr>
              <w:pStyle w:val="TableContents"/>
              <w:pBdr/>
              <w:bidi w:val="0"/>
              <w:spacing w:before="0" w:after="0"/>
              <w:ind w:left="0" w:right="0" w:hanging="0"/>
              <w:jc w:val="left"/>
              <w:rPr/>
            </w:pPr>
            <w:r>
              <w:rPr/>
              <w:t> </w:t>
            </w:r>
          </w:p>
        </w:tc>
        <w:tc>
          <w:tcPr>
            <w:tcW w:w="712"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94" w:type="dxa"/>
            <w:tcBorders/>
            <w:shd w:fill="CCEEFF" w:val="clear"/>
            <w:vAlign w:val="center"/>
          </w:tcPr>
          <w:p>
            <w:pPr>
              <w:pStyle w:val="TableContents"/>
              <w:pBdr/>
              <w:bidi w:val="0"/>
              <w:spacing w:before="0" w:after="0"/>
              <w:ind w:left="0" w:right="0" w:hanging="0"/>
              <w:jc w:val="left"/>
              <w:rPr/>
            </w:pPr>
            <w:r>
              <w:rPr/>
              <w:t> </w:t>
            </w:r>
          </w:p>
        </w:tc>
        <w:tc>
          <w:tcPr>
            <w:tcW w:w="756" w:type="dxa"/>
            <w:tcBorders/>
            <w:shd w:fill="CCEEFF" w:val="clear"/>
            <w:vAlign w:val="center"/>
          </w:tcPr>
          <w:p>
            <w:pPr>
              <w:pStyle w:val="TableContents"/>
              <w:pBdr/>
              <w:bidi w:val="0"/>
              <w:spacing w:before="0" w:after="0"/>
              <w:ind w:left="0" w:right="0" w:hanging="0"/>
              <w:jc w:val="right"/>
              <w:rPr/>
            </w:pPr>
            <w:r>
              <w:rPr/>
              <w:t>—</w:t>
            </w:r>
          </w:p>
        </w:tc>
        <w:tc>
          <w:tcPr>
            <w:tcW w:w="6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82" w:type="dxa"/>
            <w:tcBorders/>
            <w:shd w:fill="CCEEFF" w:val="clear"/>
            <w:vAlign w:val="center"/>
          </w:tcPr>
          <w:p>
            <w:pPr>
              <w:pStyle w:val="TableContents"/>
              <w:pBdr/>
              <w:bidi w:val="0"/>
              <w:spacing w:before="0" w:after="0"/>
              <w:ind w:left="0" w:right="0" w:hanging="0"/>
              <w:jc w:val="left"/>
              <w:rPr/>
            </w:pPr>
            <w:r>
              <w:rPr/>
              <w:t> </w:t>
            </w:r>
          </w:p>
        </w:tc>
        <w:tc>
          <w:tcPr>
            <w:tcW w:w="948" w:type="dxa"/>
            <w:tcBorders/>
            <w:shd w:fill="CCEEFF" w:val="clear"/>
            <w:vAlign w:val="center"/>
          </w:tcPr>
          <w:p>
            <w:pPr>
              <w:pStyle w:val="TableContents"/>
              <w:pBdr/>
              <w:bidi w:val="0"/>
              <w:spacing w:before="0" w:after="0"/>
              <w:ind w:left="0" w:right="0" w:hanging="0"/>
              <w:jc w:val="right"/>
              <w:rPr/>
            </w:pPr>
            <w:r>
              <w:rPr/>
              <w:t>—</w:t>
            </w:r>
          </w:p>
        </w:tc>
        <w:tc>
          <w:tcPr>
            <w:tcW w:w="79"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321" w:type="dxa"/>
            <w:tcBorders/>
            <w:shd w:fill="CCEEFF" w:val="clear"/>
            <w:vAlign w:val="center"/>
          </w:tcPr>
          <w:p>
            <w:pPr>
              <w:pStyle w:val="TableContents"/>
              <w:pBdr/>
              <w:bidi w:val="0"/>
              <w:spacing w:before="0" w:after="0"/>
              <w:ind w:left="0" w:right="0" w:hanging="0"/>
              <w:jc w:val="left"/>
              <w:rPr/>
            </w:pPr>
            <w:r>
              <w:rPr/>
              <w:t> </w:t>
            </w:r>
          </w:p>
        </w:tc>
        <w:tc>
          <w:tcPr>
            <w:tcW w:w="101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pBdr/>
              <w:bidi w:val="0"/>
              <w:spacing w:before="0" w:after="0"/>
              <w:ind w:left="0" w:right="0" w:hanging="0"/>
              <w:jc w:val="left"/>
              <w:rPr/>
            </w:pPr>
            <w:r>
              <w:rPr/>
              <w:t> </w:t>
            </w:r>
          </w:p>
        </w:tc>
        <w:tc>
          <w:tcPr>
            <w:tcW w:w="60" w:type="dxa"/>
            <w:tcBorders/>
            <w:shd w:fill="CCEEFF" w:val="clear"/>
            <w:vAlign w:val="center"/>
          </w:tcPr>
          <w:p>
            <w:pPr>
              <w:pStyle w:val="TableContents"/>
              <w:pBdr/>
              <w:bidi w:val="0"/>
              <w:spacing w:before="0" w:after="0"/>
              <w:ind w:left="0" w:right="0" w:hanging="0"/>
              <w:jc w:val="left"/>
              <w:rPr/>
            </w:pPr>
            <w:r>
              <w:rPr/>
              <w:t> </w:t>
            </w:r>
          </w:p>
        </w:tc>
        <w:tc>
          <w:tcPr>
            <w:tcW w:w="177" w:type="dxa"/>
            <w:tcBorders/>
            <w:shd w:fill="CCEEFF" w:val="clear"/>
            <w:vAlign w:val="center"/>
          </w:tcPr>
          <w:p>
            <w:pPr>
              <w:pStyle w:val="TableContents"/>
              <w:pBdr/>
              <w:bidi w:val="0"/>
              <w:spacing w:before="0" w:after="0"/>
              <w:ind w:left="0" w:right="0" w:hanging="0"/>
              <w:jc w:val="left"/>
              <w:rPr/>
            </w:pPr>
            <w:r>
              <w:rPr/>
              <w:t> </w:t>
            </w:r>
          </w:p>
        </w:tc>
        <w:tc>
          <w:tcPr>
            <w:tcW w:w="77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97" w:type="dxa"/>
            <w:tcBorders/>
            <w:shd w:fill="CCEEFF" w:val="clear"/>
            <w:vAlign w:val="center"/>
          </w:tcPr>
          <w:p>
            <w:pPr>
              <w:pStyle w:val="TableContents"/>
              <w:pBdr/>
              <w:bidi w:val="0"/>
              <w:spacing w:before="0" w:after="0"/>
              <w:ind w:left="0" w:right="0" w:hanging="0"/>
              <w:jc w:val="left"/>
              <w:rPr/>
            </w:pPr>
            <w:r>
              <w:rPr/>
              <w:t> </w:t>
            </w:r>
          </w:p>
        </w:tc>
      </w:tr>
      <w:tr>
        <w:trPr/>
        <w:tc>
          <w:tcPr>
            <w:tcW w:w="435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December 31, 2025</w:t>
            </w:r>
          </w:p>
        </w:tc>
        <w:tc>
          <w:tcPr>
            <w:tcW w:w="60" w:type="dxa"/>
            <w:tcBorders/>
            <w:shd w:fill="FFFFFF" w:val="clear"/>
            <w:vAlign w:val="center"/>
          </w:tcPr>
          <w:p>
            <w:pPr>
              <w:pStyle w:val="TableContents"/>
              <w:pBdr/>
              <w:bidi w:val="0"/>
              <w:spacing w:before="0" w:after="0"/>
              <w:ind w:left="0" w:right="0" w:hanging="0"/>
              <w:jc w:val="left"/>
              <w:rPr/>
            </w:pPr>
            <w:r>
              <w:rPr/>
              <w:t> </w:t>
            </w:r>
          </w:p>
        </w:tc>
        <w:tc>
          <w:tcPr>
            <w:tcW w:w="88" w:type="dxa"/>
            <w:tcBorders/>
            <w:shd w:fill="FFFFFF" w:val="clear"/>
            <w:vAlign w:val="center"/>
          </w:tcPr>
          <w:p>
            <w:pPr>
              <w:pStyle w:val="TableContents"/>
              <w:pBdr/>
              <w:bidi w:val="0"/>
              <w:spacing w:before="0" w:after="0"/>
              <w:ind w:left="0" w:right="0" w:hanging="0"/>
              <w:jc w:val="left"/>
              <w:rPr/>
            </w:pPr>
            <w:r>
              <w:rPr/>
              <w:t> </w:t>
            </w:r>
          </w:p>
        </w:tc>
        <w:tc>
          <w:tcPr>
            <w:tcW w:w="712"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94"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6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8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79"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pBdr/>
              <w:bidi w:val="0"/>
              <w:spacing w:before="0" w:after="0"/>
              <w:ind w:left="0" w:right="0" w:hanging="0"/>
              <w:jc w:val="left"/>
              <w:rPr/>
            </w:pPr>
            <w:r>
              <w:rPr/>
              <w:t> </w:t>
            </w:r>
          </w:p>
        </w:tc>
        <w:tc>
          <w:tcPr>
            <w:tcW w:w="321"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pBdr/>
              <w:bidi w:val="0"/>
              <w:spacing w:before="0" w:after="0"/>
              <w:ind w:left="0" w:right="0" w:hanging="0"/>
              <w:jc w:val="right"/>
              <w:rPr/>
            </w:pPr>
            <w:r>
              <w:rPr/>
              <w:t>—</w:t>
            </w:r>
          </w:p>
        </w:tc>
        <w:tc>
          <w:tcPr>
            <w:tcW w:w="80" w:type="dxa"/>
            <w:tcBorders/>
            <w:shd w:fill="FFFFFF" w:val="clear"/>
            <w:vAlign w:val="center"/>
          </w:tcPr>
          <w:p>
            <w:pPr>
              <w:pStyle w:val="TableContents"/>
              <w:pBdr/>
              <w:bidi w:val="0"/>
              <w:spacing w:before="0" w:after="0"/>
              <w:ind w:left="0" w:right="0" w:hanging="0"/>
              <w:jc w:val="left"/>
              <w:rPr/>
            </w:pPr>
            <w:r>
              <w:rPr/>
              <w:t> </w:t>
            </w:r>
          </w:p>
        </w:tc>
        <w:tc>
          <w:tcPr>
            <w:tcW w:w="60" w:type="dxa"/>
            <w:tcBorders/>
            <w:shd w:fill="FFFFFF" w:val="clear"/>
            <w:vAlign w:val="center"/>
          </w:tcPr>
          <w:p>
            <w:pPr>
              <w:pStyle w:val="TableContents"/>
              <w:pBdr/>
              <w:bidi w:val="0"/>
              <w:spacing w:before="0" w:after="0"/>
              <w:ind w:left="0" w:right="0" w:hanging="0"/>
              <w:jc w:val="left"/>
              <w:rPr/>
            </w:pPr>
            <w:r>
              <w:rPr/>
              <w:t> </w:t>
            </w:r>
          </w:p>
        </w:tc>
        <w:tc>
          <w:tcPr>
            <w:tcW w:w="17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9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C-6</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before="0" w:after="283"/>
        <w:jc w:val="left"/>
        <w:rPr/>
      </w:pPr>
      <w:r>
        <w:rPr/>
        <w:t xml:space="preserve">  </w:t>
      </w:r>
    </w:p>
    <w:p>
      <w:pPr>
        <w:pStyle w:val="TextBody"/>
        <w:bidi w:val="0"/>
        <w:spacing w:lineRule="auto" w:line="288" w:before="0" w:after="0"/>
        <w:ind w:left="0" w:right="0" w:hanging="0"/>
        <w:jc w:val="center"/>
        <w:rPr/>
      </w:pPr>
      <w:r>
        <w:rPr/>
        <w:t> </w:t>
      </w: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Consolidated Statements of Cash Flows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004"/>
        <w:gridCol w:w="81"/>
        <w:gridCol w:w="168"/>
        <w:gridCol w:w="734"/>
        <w:gridCol w:w="107"/>
        <w:gridCol w:w="81"/>
        <w:gridCol w:w="168"/>
        <w:gridCol w:w="734"/>
        <w:gridCol w:w="128"/>
      </w:tblGrid>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1992" w:type="dxa"/>
            <w:gridSpan w:val="6"/>
            <w:tcBorders/>
            <w:vAlign w:val="bottom"/>
          </w:tcPr>
          <w:p>
            <w:pPr>
              <w:pStyle w:val="TableContents"/>
              <w:pBdr/>
              <w:bidi w:val="0"/>
              <w:spacing w:before="0" w:after="0"/>
              <w:ind w:left="0" w:right="0" w:hanging="0"/>
              <w:jc w:val="center"/>
              <w:rPr/>
            </w:pPr>
            <w:r>
              <w:rPr>
                <w:rFonts w:ascii="Times New Roman" w:hAnsi="Times New Roman"/>
                <w:b/>
                <w:sz w:val="20"/>
              </w:rPr>
              <w:t>Year Ended</w:t>
            </w:r>
            <w:r>
              <w:rPr/>
              <w:br/>
            </w:r>
            <w:r>
              <w:rPr>
                <w:rFonts w:ascii="Times New Roman" w:hAnsi="Times New Roman"/>
                <w:b/>
                <w:sz w:val="20"/>
              </w:rPr>
              <w:t>December 31,</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vAlign w:val="center"/>
          </w:tcPr>
          <w:p>
            <w:pPr>
              <w:pStyle w:val="TableContents"/>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07" w:type="dxa"/>
            <w:tcBorders/>
            <w:vAlign w:val="bottom"/>
          </w:tcPr>
          <w:p>
            <w:pPr>
              <w:pStyle w:val="TableContents"/>
              <w:pBdr/>
              <w:bidi w:val="0"/>
              <w:spacing w:before="0" w:after="0"/>
              <w:ind w:left="0" w:right="0" w:hanging="0"/>
              <w:jc w:val="left"/>
              <w:rPr/>
            </w:pPr>
            <w:r>
              <w:rPr/>
              <w:t> </w:t>
            </w:r>
          </w:p>
        </w:tc>
        <w:tc>
          <w:tcPr>
            <w:tcW w:w="81" w:type="dxa"/>
            <w:tcBorders/>
            <w:vAlign w:val="bottom"/>
          </w:tcPr>
          <w:p>
            <w:pPr>
              <w:pStyle w:val="TableContents"/>
              <w:pBdr/>
              <w:bidi w:val="0"/>
              <w:spacing w:before="0" w:after="0"/>
              <w:ind w:left="0" w:right="0" w:hanging="0"/>
              <w:jc w:val="left"/>
              <w:rPr/>
            </w:pPr>
            <w:r>
              <w:rPr/>
              <w:t> </w:t>
            </w:r>
          </w:p>
        </w:tc>
        <w:tc>
          <w:tcPr>
            <w:tcW w:w="902"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28" w:type="dxa"/>
            <w:tcBorders/>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(3,112</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(2,232</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foreign currency translation adjustments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(53</w:t>
            </w:r>
          </w:p>
        </w:tc>
        <w:tc>
          <w:tcPr>
            <w:tcW w:w="12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(2,712</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(2,175</w:t>
            </w:r>
          </w:p>
        </w:tc>
        <w:tc>
          <w:tcPr>
            <w:tcW w:w="12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2,382</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2,198</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pPr>
            <w:r>
              <w:rPr/>
              <w:t> </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pPr>
            <w:r>
              <w:rPr/>
              <w:t> </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increase</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(330</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pPr>
            <w:r>
              <w:rPr/>
              <w:t> </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w:t>
            </w:r>
          </w:p>
        </w:tc>
        <w:tc>
          <w:tcPr>
            <w:tcW w:w="128" w:type="dxa"/>
            <w:tcBorders/>
            <w:shd w:fill="CCEEFF" w:val="clear"/>
            <w:vAlign w:val="bottom"/>
          </w:tcPr>
          <w:p>
            <w:pPr>
              <w:pStyle w:val="TableContents"/>
              <w:pBdr/>
              <w:bidi w:val="0"/>
              <w:spacing w:before="0" w:after="0"/>
              <w:ind w:left="0" w:right="0" w:hanging="0"/>
              <w:jc w:val="left"/>
              <w:rPr/>
            </w:pPr>
            <w:r>
              <w:rPr/>
              <w:t> </w:t>
            </w:r>
          </w:p>
        </w:tc>
      </w:tr>
      <w:tr>
        <w:trPr/>
        <w:tc>
          <w:tcPr>
            <w:tcW w:w="80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07" w:type="dxa"/>
            <w:tcBorders/>
            <w:shd w:fill="FFFFFF" w:val="clear"/>
            <w:vAlign w:val="bottom"/>
          </w:tcPr>
          <w:p>
            <w:pPr>
              <w:pStyle w:val="TableContents"/>
              <w:pBdr/>
              <w:bidi w:val="0"/>
              <w:spacing w:before="0" w:after="0"/>
              <w:ind w:left="0" w:right="0" w:hanging="0"/>
              <w:jc w:val="left"/>
              <w:rPr/>
            </w:pPr>
            <w:r>
              <w:rPr/>
              <w:t> </w:t>
            </w:r>
          </w:p>
        </w:tc>
        <w:tc>
          <w:tcPr>
            <w:tcW w:w="81" w:type="dxa"/>
            <w:tcBorders/>
            <w:shd w:fill="FFFFFF" w:val="clear"/>
            <w:vAlign w:val="bottom"/>
          </w:tcPr>
          <w:p>
            <w:pPr>
              <w:pStyle w:val="TableContents"/>
              <w:pBdr/>
              <w:bidi w:val="0"/>
              <w:spacing w:before="0" w:after="0"/>
              <w:ind w:left="0" w:right="0" w:hanging="0"/>
              <w:jc w:val="left"/>
              <w:rPr/>
            </w:pPr>
            <w:r>
              <w:rPr/>
              <w:t> </w:t>
            </w:r>
          </w:p>
        </w:tc>
        <w:tc>
          <w:tcPr>
            <w:tcW w:w="168" w:type="dxa"/>
            <w:tcBorders/>
            <w:shd w:fill="FFFFFF" w:val="clear"/>
            <w:vAlign w:val="bottom"/>
          </w:tcPr>
          <w:p>
            <w:pPr>
              <w:pStyle w:val="TableContents"/>
              <w:pBdr/>
              <w:bidi w:val="0"/>
              <w:spacing w:before="0" w:after="0"/>
              <w:ind w:left="0" w:right="0" w:hanging="0"/>
              <w:jc w:val="left"/>
              <w:rPr/>
            </w:pPr>
            <w:r>
              <w:rPr/>
              <w:t> </w:t>
            </w:r>
          </w:p>
        </w:tc>
        <w:tc>
          <w:tcPr>
            <w:tcW w:w="73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774</w:t>
            </w:r>
          </w:p>
        </w:tc>
        <w:tc>
          <w:tcPr>
            <w:tcW w:w="128" w:type="dxa"/>
            <w:tcBorders/>
            <w:shd w:fill="FFFFFF" w:val="clear"/>
            <w:vAlign w:val="bottom"/>
          </w:tcPr>
          <w:p>
            <w:pPr>
              <w:pStyle w:val="TableContents"/>
              <w:pBdr/>
              <w:bidi w:val="0"/>
              <w:spacing w:before="0" w:after="0"/>
              <w:ind w:left="0" w:right="0" w:hanging="0"/>
              <w:jc w:val="left"/>
              <w:rPr/>
            </w:pPr>
            <w:r>
              <w:rPr/>
              <w:t> </w:t>
            </w:r>
          </w:p>
        </w:tc>
      </w:tr>
      <w:tr>
        <w:trPr/>
        <w:tc>
          <w:tcPr>
            <w:tcW w:w="80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07" w:type="dxa"/>
            <w:tcBorders/>
            <w:shd w:fill="CCEEFF" w:val="clear"/>
            <w:vAlign w:val="bottom"/>
          </w:tcPr>
          <w:p>
            <w:pPr>
              <w:pStyle w:val="TableContents"/>
              <w:pBdr/>
              <w:bidi w:val="0"/>
              <w:spacing w:before="0" w:after="0"/>
              <w:ind w:left="0" w:right="0" w:hanging="0"/>
              <w:jc w:val="left"/>
              <w:rPr/>
            </w:pPr>
            <w:r>
              <w:rPr/>
              <w:t> </w:t>
            </w:r>
          </w:p>
        </w:tc>
        <w:tc>
          <w:tcPr>
            <w:tcW w:w="81" w:type="dxa"/>
            <w:tcBorders/>
            <w:shd w:fill="CCEEFF" w:val="clear"/>
            <w:vAlign w:val="bottom"/>
          </w:tcPr>
          <w:p>
            <w:pPr>
              <w:pStyle w:val="TableContents"/>
              <w:pBdr/>
              <w:bidi w:val="0"/>
              <w:spacing w:before="0" w:after="0"/>
              <w:ind w:left="0" w:right="0" w:hanging="0"/>
              <w:jc w:val="left"/>
              <w:rPr/>
            </w:pPr>
            <w:r>
              <w:rPr/>
              <w:t> </w:t>
            </w:r>
          </w:p>
        </w:tc>
        <w:tc>
          <w:tcPr>
            <w:tcW w:w="16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8"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See accompanying notes to consolidated financial statements.</w:t>
      </w:r>
      <w:r>
        <w:rPr>
          <w:rFonts w:ascii="times new roman;times" w:hAnsi="times new roman;times"/>
          <w:sz w:val="20"/>
        </w:rPr>
        <w:t> </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 Consolidated financial statements prior to the Merger have been derived from Second Sight’s historical accounting records and have been presented as if Cortigent had been formed as of January 1, 2022.</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$10.8 million as of December 31, 2025, and has incurred losses of $3.1 million and $2.2 million in the years ended December 31, 2025 and 2024,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firstLine="360"/>
        <w:jc w:val="both"/>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2.  Summary of Significant Accounting Policies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acceptable in the United States of America (“GAAP”) and include the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accruals for potential liabilities.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December 31, 2025 or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firstLine="432"/>
        <w:jc w:val="both"/>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$14,000 and $31,000 for the years ended December 31, 2025 and 2024, respectively.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$570,000, net of grants, for the year ended December 31, 2025, and $324,000, net of grants, for the year ended December 31, 2024.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315"/>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years ended December 31, 2025 and 2024, were $131,000 and $108,000,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337"/>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$35,000 during the year ended December 31, 2025, and were $225,000 during the year ended December 31, 2024.</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is included in accumulated comprehensive loss totaling $310,000 to interest and other expense line in the statement of net loss for the year ended December 31, 2025.</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December 31, 2025 and December 31, 2024,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consolidated financial statements. For the years ended December 31, 2025, and 2024, comprehensive loss is the total of net loss and other comprehensive income (loss) which consists entirely of foreign currency translation adjustments. In the fourth quarter of 2025, we booked the accumulated comprehensive loss of $310,000 to interest and other expense in the consolidated statement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are recorded as accumulated other comprehensive income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consolidated statements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December 31, 2025,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00" w:after="0"/>
        <w:ind w:left="0" w:right="0" w:hanging="0"/>
        <w:jc w:val="left"/>
        <w:rPr>
          <w:rFonts w:ascii="Times New Roman" w:hAnsi="Times New Roman"/>
          <w:b/>
          <w:i/>
          <w:sz w:val="20"/>
        </w:rPr>
      </w:pPr>
      <w:r>
        <w:rPr>
          <w:rFonts w:ascii="Times New Roman" w:hAnsi="Times New Roman"/>
          <w:b/>
          <w:i/>
          <w:sz w:val="20"/>
        </w:rPr>
        <w:t>Loss per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Loss per share has been presented in these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2023, the FASB issued ASU No. 2023-09, </w:t>
      </w:r>
      <w:r>
        <w:rPr>
          <w:rFonts w:ascii="Times New Roman" w:hAnsi="Times New Roman"/>
          <w:i/>
          <w:sz w:val="20"/>
        </w:rPr>
        <w:t>Improvements to Income Tax Disclosures (Topic 740)</w:t>
      </w:r>
      <w:r>
        <w:rPr>
          <w:rFonts w:ascii="Times New Roman" w:hAnsi="Times New Roman"/>
          <w:sz w:val="20"/>
        </w:rPr>
        <w:t>. The ASU requires disaggregated information about a reporting entity’s effective tax rate reconciliation as well as additional information on income taxes paid. The Company adopted this ASU on a prospective basis effective January 1, 2025. The adoption of this ASU did not have a significant impact on the Company’s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firstLine="25"/>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consisted of the following as of December 31, 2025, and December 31, 2024</w:t>
      </w:r>
      <w:r>
        <w:rPr>
          <w:rFonts w:ascii="times new roman;times" w:hAnsi="times new roman;times"/>
          <w:sz w:val="20"/>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5886"/>
        <w:gridCol w:w="98"/>
        <w:gridCol w:w="460"/>
        <w:gridCol w:w="1458"/>
        <w:gridCol w:w="131"/>
        <w:gridCol w:w="98"/>
        <w:gridCol w:w="460"/>
        <w:gridCol w:w="1458"/>
        <w:gridCol w:w="156"/>
      </w:tblGrid>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1" w:type="dxa"/>
            <w:tcBorders/>
            <w:vAlign w:val="center"/>
          </w:tcPr>
          <w:p>
            <w:pPr>
              <w:pStyle w:val="TableContents"/>
              <w:bidi w:val="0"/>
              <w:spacing w:before="0" w:after="0"/>
              <w:ind w:left="0" w:right="0" w:hanging="0"/>
              <w:jc w:val="both"/>
              <w:rPr/>
            </w:pPr>
            <w:r>
              <w:rPr/>
              <w:t> </w:t>
            </w:r>
          </w:p>
        </w:tc>
        <w:tc>
          <w:tcPr>
            <w:tcW w:w="98" w:type="dxa"/>
            <w:tcBorders/>
            <w:vAlign w:val="center"/>
          </w:tcPr>
          <w:p>
            <w:pPr>
              <w:pStyle w:val="TableContents"/>
              <w:bidi w:val="0"/>
              <w:spacing w:before="0" w:after="0"/>
              <w:ind w:left="0" w:right="0" w:hanging="0"/>
              <w:jc w:val="both"/>
              <w:rPr/>
            </w:pPr>
            <w:r>
              <w:rPr/>
              <w:t> </w:t>
            </w:r>
          </w:p>
        </w:tc>
        <w:tc>
          <w:tcPr>
            <w:tcW w:w="19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156" w:type="dxa"/>
            <w:tcBorders/>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31" w:type="dxa"/>
            <w:tcBorders/>
            <w:shd w:fill="FFFFFF" w:val="clear"/>
            <w:vAlign w:val="center"/>
          </w:tcPr>
          <w:p>
            <w:pPr>
              <w:pStyle w:val="TableContents"/>
              <w:bidi w:val="0"/>
              <w:spacing w:before="0" w:after="0"/>
              <w:ind w:left="0" w:right="0" w:hanging="0"/>
              <w:jc w:val="both"/>
              <w:rPr/>
            </w:pPr>
            <w:r>
              <w:rPr/>
              <w:t> </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156" w:type="dxa"/>
            <w:tcBorders/>
            <w:shd w:fill="FFFFFF" w:val="clear"/>
            <w:vAlign w:val="center"/>
          </w:tcPr>
          <w:p>
            <w:pPr>
              <w:pStyle w:val="TableContents"/>
              <w:bidi w:val="0"/>
              <w:spacing w:before="0" w:after="0"/>
              <w:ind w:left="0" w:right="0" w:hanging="0"/>
              <w:jc w:val="both"/>
              <w:rPr/>
            </w:pPr>
            <w:r>
              <w:rPr/>
              <w:t> </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pPr>
            <w:r>
              <w:rPr/>
              <w:t> </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56" w:type="dxa"/>
            <w:tcBorders/>
            <w:shd w:fill="CCEEFF" w:val="clear"/>
            <w:vAlign w:val="center"/>
          </w:tcPr>
          <w:p>
            <w:pPr>
              <w:pStyle w:val="TableContents"/>
              <w:bidi w:val="0"/>
              <w:spacing w:before="0" w:after="0"/>
              <w:ind w:left="0" w:right="0" w:hanging="0"/>
              <w:jc w:val="both"/>
              <w:rPr/>
            </w:pPr>
            <w:r>
              <w:rPr/>
              <w:t> </w:t>
            </w:r>
          </w:p>
        </w:tc>
      </w:tr>
      <w:tr>
        <w:trPr/>
        <w:tc>
          <w:tcPr>
            <w:tcW w:w="588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w:t>
            </w:r>
          </w:p>
        </w:tc>
        <w:tc>
          <w:tcPr>
            <w:tcW w:w="131"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98" w:type="dxa"/>
            <w:tcBorders/>
            <w:shd w:fill="FFFFFF" w:val="clear"/>
            <w:vAlign w:val="center"/>
          </w:tcPr>
          <w:p>
            <w:pPr>
              <w:pStyle w:val="TableContents"/>
              <w:bidi w:val="0"/>
              <w:spacing w:before="0" w:after="0"/>
              <w:ind w:left="0" w:right="0" w:hanging="0"/>
              <w:jc w:val="both"/>
              <w:rPr/>
            </w:pPr>
            <w:r>
              <w:rPr/>
              <w:t> </w:t>
            </w:r>
          </w:p>
        </w:tc>
        <w:tc>
          <w:tcPr>
            <w:tcW w:w="460" w:type="dxa"/>
            <w:tcBorders/>
            <w:shd w:fill="FFFFFF" w:val="clear"/>
            <w:vAlign w:val="center"/>
          </w:tcPr>
          <w:p>
            <w:pPr>
              <w:pStyle w:val="TableContents"/>
              <w:bidi w:val="0"/>
              <w:spacing w:before="0" w:after="0"/>
              <w:ind w:left="0" w:right="0" w:hanging="0"/>
              <w:jc w:val="both"/>
              <w:rPr/>
            </w:pPr>
            <w:r>
              <w:rPr/>
              <w:t> </w:t>
            </w:r>
          </w:p>
        </w:tc>
        <w:tc>
          <w:tcPr>
            <w:tcW w:w="145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w:t>
            </w:r>
          </w:p>
        </w:tc>
        <w:tc>
          <w:tcPr>
            <w:tcW w:w="156"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r>
      <w:tr>
        <w:trPr/>
        <w:tc>
          <w:tcPr>
            <w:tcW w:w="5886"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pPr>
            <w:r>
              <w:rPr/>
              <w:t>—</w:t>
            </w:r>
          </w:p>
        </w:tc>
        <w:tc>
          <w:tcPr>
            <w:tcW w:w="131" w:type="dxa"/>
            <w:tcBorders/>
            <w:shd w:fill="CCEEFF" w:val="clear"/>
            <w:vAlign w:val="center"/>
          </w:tcPr>
          <w:p>
            <w:pPr>
              <w:pStyle w:val="TableContents"/>
              <w:bidi w:val="0"/>
              <w:spacing w:before="0" w:after="0"/>
              <w:ind w:left="0" w:right="0" w:hanging="0"/>
              <w:jc w:val="both"/>
              <w:rPr/>
            </w:pPr>
            <w:r>
              <w:rPr/>
              <w:t> </w:t>
            </w:r>
          </w:p>
        </w:tc>
        <w:tc>
          <w:tcPr>
            <w:tcW w:w="98" w:type="dxa"/>
            <w:tcBorders/>
            <w:shd w:fill="CCEEFF" w:val="clear"/>
            <w:vAlign w:val="center"/>
          </w:tcPr>
          <w:p>
            <w:pPr>
              <w:pStyle w:val="TableContents"/>
              <w:bidi w:val="0"/>
              <w:spacing w:before="0" w:after="0"/>
              <w:ind w:left="0" w:right="0" w:hanging="0"/>
              <w:jc w:val="both"/>
              <w:rPr/>
            </w:pPr>
            <w:r>
              <w:rPr/>
              <w:t> </w:t>
            </w:r>
          </w:p>
        </w:tc>
        <w:tc>
          <w:tcPr>
            <w:tcW w:w="46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1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56" w:type="dxa"/>
            <w:tcBorders/>
            <w:shd w:fill="CCEEFF" w:val="clear"/>
            <w:vAlign w:val="center"/>
          </w:tcPr>
          <w:p>
            <w:pPr>
              <w:pStyle w:val="TableContents"/>
              <w:bidi w:val="0"/>
              <w:spacing w:before="0" w:after="0"/>
              <w:ind w:left="0" w:right="0" w:hanging="0"/>
              <w:jc w:val="both"/>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both"/>
        <w:rPr>
          <w:rFonts w:ascii="Times New Roman" w:hAnsi="Times New Roman"/>
          <w:sz w:val="20"/>
        </w:rPr>
      </w:pPr>
      <w:r>
        <w:rPr>
          <w:rFonts w:ascii="Times New Roman" w:hAnsi="Times New Roman"/>
          <w:sz w:val="20"/>
        </w:rPr>
        <w:t>Contract liabilities amounted to $335,000 as of December 31, 2025 and December 31, 2024 and are included in accrued expenses on the balance sheet.</w:t>
      </w:r>
    </w:p>
    <w:p>
      <w:pPr>
        <w:pStyle w:val="TextBody"/>
        <w:bidi w:val="0"/>
        <w:spacing w:lineRule="atLeast" w:line="200"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years ended December 31, 2025 and 2024, grants offset against operating expenses were $35,000 and $225,000, respectively. In the year ended December 31, 2025, grants offsetting research and development totaled $35,000. In the year ended December 31, 2024, grants totaling $209,000 and $16,000 were used to offset research and development and general and administrative expenses, respectively.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years ended December 31, 2025 and 2024.</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December 31, 2025, no net current or deferred taxes have been recognized by the parent due to cumulative net losses and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2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balance sheet. Lease costs are recognized in the income statement over the lease term on a straight-line basis. Depreciation is computed using the straight-line method over the estimated useful life of the respective assets. The depreciable life of assets and leasehold improvements are limited by the expected lease term. Our lease agreements do not contain any material residual value guarantees or restrictive covenants.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November 2025 we extended a short-term lease at our current lease location. The short-term obligation totals approximately $10,000 per month.</w:t>
      </w:r>
    </w:p>
    <w:p>
      <w:pPr>
        <w:pStyle w:val="TextBody"/>
        <w:bidi w:val="0"/>
        <w:spacing w:lineRule="auto" w:line="288" w:before="0" w:after="0"/>
        <w:ind w:left="0" w:right="0" w:firstLine="410"/>
        <w:jc w:val="both"/>
        <w:rPr/>
      </w:pPr>
      <w:r>
        <w:rPr/>
        <w:t> </w:t>
      </w:r>
    </w:p>
    <w:tbl>
      <w:tblPr>
        <w:tblW w:w="5000" w:type="pct"/>
        <w:jc w:val="left"/>
        <w:tblInd w:w="0" w:type="dxa"/>
        <w:tblLayout w:type="fixed"/>
        <w:tblCellMar>
          <w:top w:w="0" w:type="dxa"/>
          <w:left w:w="0" w:type="dxa"/>
          <w:bottom w:w="0" w:type="dxa"/>
          <w:right w:w="0" w:type="dxa"/>
        </w:tblCellMar>
      </w:tblPr>
      <w:tblGrid>
        <w:gridCol w:w="1969"/>
        <w:gridCol w:w="77"/>
        <w:gridCol w:w="3543"/>
        <w:gridCol w:w="78"/>
        <w:gridCol w:w="1306"/>
        <w:gridCol w:w="837"/>
        <w:gridCol w:w="77"/>
        <w:gridCol w:w="78"/>
        <w:gridCol w:w="580"/>
        <w:gridCol w:w="1562"/>
        <w:gridCol w:w="98"/>
      </w:tblGrid>
      <w:tr>
        <w:trPr/>
        <w:tc>
          <w:tcPr>
            <w:tcW w:w="196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77" w:type="dxa"/>
            <w:tcBorders/>
            <w:vAlign w:val="center"/>
          </w:tcPr>
          <w:p>
            <w:pPr>
              <w:pStyle w:val="TableContents"/>
              <w:bidi w:val="0"/>
              <w:spacing w:before="0" w:after="0"/>
              <w:ind w:left="0" w:right="0" w:hanging="0"/>
              <w:jc w:val="left"/>
              <w:rPr/>
            </w:pPr>
            <w:r>
              <w:rPr/>
              <w:t> </w:t>
            </w:r>
          </w:p>
        </w:tc>
        <w:tc>
          <w:tcPr>
            <w:tcW w:w="3543"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Classification</w:t>
            </w:r>
          </w:p>
        </w:tc>
        <w:tc>
          <w:tcPr>
            <w:tcW w:w="78" w:type="dxa"/>
            <w:tcBorders/>
            <w:vAlign w:val="center"/>
          </w:tcPr>
          <w:p>
            <w:pPr>
              <w:pStyle w:val="TableContents"/>
              <w:bidi w:val="0"/>
              <w:spacing w:before="0" w:after="0"/>
              <w:ind w:left="0" w:right="0" w:hanging="0"/>
              <w:jc w:val="left"/>
              <w:rPr/>
            </w:pPr>
            <w:r>
              <w:rPr/>
              <w:t> </w:t>
            </w:r>
          </w:p>
        </w:tc>
        <w:tc>
          <w:tcPr>
            <w:tcW w:w="2143"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2025 (in thousands)</w:t>
            </w:r>
          </w:p>
        </w:tc>
        <w:tc>
          <w:tcPr>
            <w:tcW w:w="77"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2142" w:type="dxa"/>
            <w:gridSpan w:val="2"/>
            <w:tcBorders/>
            <w:vAlign w:val="center"/>
          </w:tcPr>
          <w:p>
            <w:pPr>
              <w:pStyle w:val="TableContents"/>
              <w:bidi w:val="0"/>
              <w:spacing w:before="0" w:after="0"/>
              <w:ind w:left="0" w:right="0" w:hanging="0"/>
              <w:jc w:val="center"/>
              <w:rPr/>
            </w:pPr>
            <w:r>
              <w:rPr>
                <w:rFonts w:ascii="Times New Roman" w:hAnsi="Times New Roman"/>
                <w:b/>
                <w:sz w:val="20"/>
              </w:rPr>
              <w:t>December 31,</w:t>
            </w:r>
            <w:r>
              <w:rPr/>
              <w:br/>
            </w:r>
            <w:r>
              <w:rPr>
                <w:rFonts w:ascii="Times New Roman" w:hAnsi="Times New Roman"/>
                <w:b/>
                <w:sz w:val="20"/>
              </w:rPr>
              <w:t>2024 (in thousands)</w:t>
            </w:r>
          </w:p>
        </w:tc>
        <w:tc>
          <w:tcPr>
            <w:tcW w:w="98" w:type="dxa"/>
            <w:tcBorders/>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Non-current assets</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Right-of-use assets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r>
        <w:trPr/>
        <w:tc>
          <w:tcPr>
            <w:tcW w:w="1969" w:type="dxa"/>
            <w:tcBorders/>
            <w:shd w:fill="FFFFFF" w:val="clear"/>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Liabilities</w:t>
            </w:r>
          </w:p>
        </w:tc>
        <w:tc>
          <w:tcPr>
            <w:tcW w:w="77" w:type="dxa"/>
            <w:tcBorders/>
            <w:shd w:fill="FFFFFF" w:val="clear"/>
            <w:vAlign w:val="center"/>
          </w:tcPr>
          <w:p>
            <w:pPr>
              <w:pStyle w:val="TableContents"/>
              <w:bidi w:val="0"/>
              <w:spacing w:before="0" w:after="0"/>
              <w:ind w:left="0" w:right="0" w:hanging="0"/>
              <w:jc w:val="left"/>
              <w:rPr/>
            </w:pPr>
            <w:r>
              <w:rPr/>
              <w:t> </w:t>
            </w:r>
          </w:p>
        </w:tc>
        <w:tc>
          <w:tcPr>
            <w:tcW w:w="3543"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306" w:type="dxa"/>
            <w:tcBorders/>
            <w:shd w:fill="FFFFFF" w:val="clear"/>
            <w:vAlign w:val="center"/>
          </w:tcPr>
          <w:p>
            <w:pPr>
              <w:pStyle w:val="TableContents"/>
              <w:bidi w:val="0"/>
              <w:spacing w:before="0" w:after="0"/>
              <w:ind w:left="0" w:right="0" w:hanging="0"/>
              <w:jc w:val="left"/>
              <w:rPr/>
            </w:pPr>
            <w:r>
              <w:rPr/>
              <w:t> </w:t>
            </w:r>
          </w:p>
        </w:tc>
        <w:tc>
          <w:tcPr>
            <w:tcW w:w="837" w:type="dxa"/>
            <w:tcBorders/>
            <w:shd w:fill="FFFFFF" w:val="clear"/>
            <w:vAlign w:val="center"/>
          </w:tcPr>
          <w:p>
            <w:pPr>
              <w:pStyle w:val="TableContents"/>
              <w:bidi w:val="0"/>
              <w:spacing w:before="0" w:after="0"/>
              <w:ind w:left="0" w:right="0" w:hanging="0"/>
              <w:jc w:val="righ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80" w:type="dxa"/>
            <w:tcBorders/>
            <w:shd w:fill="FFFFFF" w:val="clear"/>
            <w:vAlign w:val="center"/>
          </w:tcPr>
          <w:p>
            <w:pPr>
              <w:pStyle w:val="TableContents"/>
              <w:bidi w:val="0"/>
              <w:spacing w:before="0" w:after="0"/>
              <w:ind w:left="0" w:right="0" w:hanging="0"/>
              <w:jc w:val="left"/>
              <w:rPr/>
            </w:pPr>
            <w:r>
              <w:rPr/>
              <w:t> </w:t>
            </w:r>
          </w:p>
        </w:tc>
        <w:tc>
          <w:tcPr>
            <w:tcW w:w="1562" w:type="dxa"/>
            <w:tcBorders/>
            <w:shd w:fill="FFFFFF" w:val="clear"/>
            <w:vAlign w:val="center"/>
          </w:tcPr>
          <w:p>
            <w:pPr>
              <w:pStyle w:val="TableContents"/>
              <w:bidi w:val="0"/>
              <w:spacing w:before="0" w:after="0"/>
              <w:ind w:left="0" w:right="0" w:hanging="0"/>
              <w:jc w:val="right"/>
              <w:rPr/>
            </w:pPr>
            <w:r>
              <w:rPr/>
              <w:t> </w:t>
            </w:r>
          </w:p>
        </w:tc>
        <w:tc>
          <w:tcPr>
            <w:tcW w:w="98" w:type="dxa"/>
            <w:tcBorders/>
            <w:shd w:fill="FFFFFF" w:val="clear"/>
            <w:vAlign w:val="center"/>
          </w:tcPr>
          <w:p>
            <w:pPr>
              <w:pStyle w:val="TableContents"/>
              <w:bidi w:val="0"/>
              <w:spacing w:before="0" w:after="0"/>
              <w:ind w:left="0" w:right="0" w:hanging="0"/>
              <w:jc w:val="left"/>
              <w:rPr/>
            </w:pPr>
            <w:r>
              <w:rPr/>
              <w:t> </w:t>
            </w:r>
          </w:p>
        </w:tc>
      </w:tr>
      <w:tr>
        <w:trPr/>
        <w:tc>
          <w:tcPr>
            <w:tcW w:w="19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w:t>
            </w:r>
          </w:p>
        </w:tc>
        <w:tc>
          <w:tcPr>
            <w:tcW w:w="77" w:type="dxa"/>
            <w:tcBorders/>
            <w:shd w:fill="CCEEFF" w:val="clear"/>
            <w:vAlign w:val="center"/>
          </w:tcPr>
          <w:p>
            <w:pPr>
              <w:pStyle w:val="TableContents"/>
              <w:bidi w:val="0"/>
              <w:spacing w:before="0" w:after="0"/>
              <w:ind w:left="0" w:right="0" w:hanging="0"/>
              <w:jc w:val="left"/>
              <w:rPr/>
            </w:pPr>
            <w:r>
              <w:rPr/>
              <w:t> </w:t>
            </w:r>
          </w:p>
        </w:tc>
        <w:tc>
          <w:tcPr>
            <w:tcW w:w="3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operating lease liabilities</w:t>
            </w:r>
          </w:p>
        </w:tc>
        <w:tc>
          <w:tcPr>
            <w:tcW w:w="78"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9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2753"/>
        <w:gridCol w:w="60"/>
        <w:gridCol w:w="440"/>
        <w:gridCol w:w="1182"/>
        <w:gridCol w:w="60"/>
        <w:gridCol w:w="60"/>
        <w:gridCol w:w="403"/>
        <w:gridCol w:w="1086"/>
        <w:gridCol w:w="79"/>
      </w:tblGrid>
      <w:tr>
        <w:trPr/>
        <w:tc>
          <w:tcPr>
            <w:tcW w:w="2753"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622"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w:t>
            </w:r>
            <w:r>
              <w:rPr/>
              <w:t>  </w:t>
            </w:r>
            <w:r>
              <w:rPr>
                <w:rFonts w:ascii="Times New Roman" w:hAnsi="Times New Roman"/>
                <w:b/>
                <w:sz w:val="20"/>
              </w:rPr>
              <w:t>ended</w:t>
            </w:r>
            <w:r>
              <w:rPr/>
              <w:br/>
              <w:t> </w:t>
            </w:r>
            <w:r>
              <w:rPr>
                <w:rFonts w:ascii="Times New Roman" w:hAnsi="Times New Roman"/>
                <w:b/>
                <w:sz w:val="20"/>
              </w:rPr>
              <w:t>December</w:t>
            </w:r>
            <w:r>
              <w:rPr/>
              <w:t> </w:t>
            </w:r>
            <w:r>
              <w:rPr>
                <w:rFonts w:ascii="Times New Roman" w:hAnsi="Times New Roman"/>
                <w:b/>
                <w:sz w:val="20"/>
              </w:rPr>
              <w:t>31, 2025</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sz w:val="20"/>
              </w:rPr>
              <w:t>For the year ended</w:t>
            </w:r>
            <w:r>
              <w:rPr/>
              <w:br/>
            </w:r>
            <w:r>
              <w:rPr>
                <w:rFonts w:ascii="Times New Roman" w:hAnsi="Times New Roman"/>
                <w:b/>
                <w:sz w:val="20"/>
              </w:rPr>
              <w:t>December 31, 2024</w:t>
            </w:r>
          </w:p>
        </w:tc>
        <w:tc>
          <w:tcPr>
            <w:tcW w:w="79" w:type="dxa"/>
            <w:tcBorders/>
            <w:vAlign w:val="center"/>
          </w:tcPr>
          <w:p>
            <w:pPr>
              <w:pStyle w:val="TableContents"/>
              <w:bidi w:val="0"/>
              <w:spacing w:before="0" w:after="0"/>
              <w:ind w:left="0" w:right="0" w:hanging="0"/>
              <w:jc w:val="left"/>
              <w:rPr/>
            </w:pPr>
            <w:r>
              <w:rPr/>
              <w:t> </w:t>
            </w:r>
          </w:p>
        </w:tc>
      </w:tr>
      <w:tr>
        <w:trPr/>
        <w:tc>
          <w:tcPr>
            <w:tcW w:w="2753" w:type="dxa"/>
            <w:tcBorders/>
            <w:shd w:fill="CCEEFF" w:val="clear"/>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(in thousands):</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1182"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03" w:type="dxa"/>
            <w:tcBorders/>
            <w:shd w:fill="CCEEFF" w:val="clear"/>
            <w:vAlign w:val="center"/>
          </w:tcPr>
          <w:p>
            <w:pPr>
              <w:pStyle w:val="TableContents"/>
              <w:bidi w:val="0"/>
              <w:spacing w:before="0" w:after="0"/>
              <w:ind w:left="0" w:right="0" w:hanging="0"/>
              <w:jc w:val="left"/>
              <w:rPr/>
            </w:pPr>
            <w:r>
              <w:rPr/>
              <w:t> </w:t>
            </w:r>
          </w:p>
        </w:tc>
        <w:tc>
          <w:tcPr>
            <w:tcW w:w="1086" w:type="dxa"/>
            <w:tcBorders/>
            <w:shd w:fill="CCEEFF" w:val="clear"/>
            <w:vAlign w:val="center"/>
          </w:tcPr>
          <w:p>
            <w:pPr>
              <w:pStyle w:val="TableContents"/>
              <w:bidi w:val="0"/>
              <w:spacing w:before="0" w:after="0"/>
              <w:ind w:left="0" w:right="0" w:hanging="0"/>
              <w:jc w:val="right"/>
              <w:rPr/>
            </w:pPr>
            <w:r>
              <w:rPr/>
              <w:t> </w:t>
            </w:r>
          </w:p>
        </w:tc>
        <w:tc>
          <w:tcPr>
            <w:tcW w:w="79" w:type="dxa"/>
            <w:tcBorders/>
            <w:shd w:fill="CCEEFF" w:val="clear"/>
            <w:vAlign w:val="center"/>
          </w:tcPr>
          <w:p>
            <w:pPr>
              <w:pStyle w:val="TableContents"/>
              <w:bidi w:val="0"/>
              <w:spacing w:before="0" w:after="0"/>
              <w:ind w:left="0" w:right="0" w:hanging="0"/>
              <w:jc w:val="left"/>
              <w:rPr/>
            </w:pPr>
            <w:r>
              <w:rPr/>
              <w:t> </w:t>
            </w:r>
          </w:p>
        </w:tc>
      </w:tr>
      <w:tr>
        <w:trPr/>
        <w:tc>
          <w:tcPr>
            <w:tcW w:w="27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w:t>
            </w:r>
          </w:p>
        </w:tc>
        <w:tc>
          <w:tcPr>
            <w:tcW w:w="79"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$191,000 for the year ended December 31, 2025 and $394,000 for the year ended December 31, 2024.</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twelve months ended December 31, 2025, and 2024 were $29,000 and $13,000,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December 31, 2025, Vivani has provided $3.5 million in funding to Cortigent under the terms of the Agreement, which is reported as debt due to parent on the Consolidated Balance Sheets. Funding in excess of $3.5 million has been recorded as a contribution and included in Net Parent Investment on the consolidated balance sheets.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consolidated balance sheets as Total assets. Expense information regularly provided by the CODM is limited to the expense classifications included in the Company’s consolidated statement of operations. Therefore, the Company’s significant segment expenses are the expense items presented in the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balance sheet date through March 3, 2026, the date that these consolidated financial statements were available to be issued. Based upon this review, the Company did not identify any subsequent events that would have required adjustment to or disclosure in the consolidated financial statements.</w:t>
      </w:r>
    </w:p>
    <w:p>
      <w:pPr>
        <w:pStyle w:val="TextBody"/>
        <w:bidi w:val="0"/>
        <w:spacing w:lineRule="auto" w:line="288" w:before="0" w:after="0"/>
        <w:ind w:left="0" w:right="0" w:hanging="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Balance Sheets</w:t>
        </w:r>
      </w:hyperlink>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326"/>
        <w:gridCol w:w="98"/>
        <w:gridCol w:w="273"/>
        <w:gridCol w:w="1190"/>
        <w:gridCol w:w="131"/>
        <w:gridCol w:w="99"/>
        <w:gridCol w:w="358"/>
        <w:gridCol w:w="1573"/>
        <w:gridCol w:w="157"/>
      </w:tblGrid>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vAlign w:val="center"/>
          </w:tcPr>
          <w:p>
            <w:pPr>
              <w:pStyle w:val="TableContents"/>
              <w:bidi w:val="0"/>
              <w:spacing w:before="0" w:after="0"/>
              <w:ind w:left="0" w:right="0" w:hanging="0"/>
              <w:jc w:val="left"/>
              <w:rPr/>
            </w:pPr>
            <w:r>
              <w:rPr/>
              <w:t> </w:t>
            </w:r>
          </w:p>
        </w:tc>
        <w:tc>
          <w:tcPr>
            <w:tcW w:w="98" w:type="dxa"/>
            <w:tcBorders/>
            <w:vAlign w:val="bottom"/>
          </w:tcPr>
          <w:p>
            <w:pPr>
              <w:pStyle w:val="TableContents"/>
              <w:pBdr/>
              <w:bidi w:val="0"/>
              <w:spacing w:before="0" w:after="0"/>
              <w:ind w:left="0" w:right="0" w:hanging="0"/>
              <w:jc w:val="left"/>
              <w:rPr/>
            </w:pPr>
            <w:r>
              <w:rPr/>
              <w:t> </w:t>
            </w:r>
          </w:p>
        </w:tc>
        <w:tc>
          <w:tcPr>
            <w:tcW w:w="14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1" w:type="dxa"/>
            <w:tcBorders/>
            <w:vAlign w:val="bottom"/>
          </w:tcPr>
          <w:p>
            <w:pPr>
              <w:pStyle w:val="TableContents"/>
              <w:pBdr/>
              <w:bidi w:val="0"/>
              <w:spacing w:before="0" w:after="0"/>
              <w:ind w:left="0" w:right="0" w:hanging="0"/>
              <w:jc w:val="left"/>
              <w:rPr/>
            </w:pPr>
            <w:r>
              <w:rPr/>
              <w:t> </w:t>
            </w:r>
          </w:p>
        </w:tc>
        <w:tc>
          <w:tcPr>
            <w:tcW w:w="99" w:type="dxa"/>
            <w:tcBorders/>
            <w:vAlign w:val="bottom"/>
          </w:tcPr>
          <w:p>
            <w:pPr>
              <w:pStyle w:val="TableContents"/>
              <w:pBdr/>
              <w:bidi w:val="0"/>
              <w:spacing w:before="0" w:after="0"/>
              <w:ind w:left="0" w:right="0" w:hanging="0"/>
              <w:jc w:val="left"/>
              <w:rPr/>
            </w:pPr>
            <w:r>
              <w:rPr/>
              <w:t> </w:t>
            </w:r>
          </w:p>
        </w:tc>
        <w:tc>
          <w:tcPr>
            <w:tcW w:w="193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57" w:type="dxa"/>
            <w:tcBorders/>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477</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Deposits and other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349</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365</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Due to Parent</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3,500</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4,230</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4,291</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8)</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pPr>
            <w:r>
              <w:rPr/>
              <w:t> </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parent investment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pPr>
            <w:r>
              <w:rPr/>
              <w:t> </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3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pPr>
            <w:r>
              <w:rPr/>
              <w:t> </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326"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273" w:type="dxa"/>
            <w:tcBorders/>
            <w:shd w:fill="CCEEFF" w:val="clear"/>
            <w:vAlign w:val="bottom"/>
          </w:tcPr>
          <w:p>
            <w:pPr>
              <w:pStyle w:val="TableContents"/>
              <w:pBdr/>
              <w:bidi w:val="0"/>
              <w:spacing w:before="0" w:after="0"/>
              <w:ind w:left="0" w:right="0" w:hanging="0"/>
              <w:jc w:val="left"/>
              <w:rPr/>
            </w:pPr>
            <w:r>
              <w:rPr/>
              <w:t> </w:t>
            </w:r>
          </w:p>
        </w:tc>
        <w:tc>
          <w:tcPr>
            <w:tcW w:w="1190" w:type="dxa"/>
            <w:tcBorders/>
            <w:shd w:fill="CCEEFF" w:val="clear"/>
            <w:vAlign w:val="bottom"/>
          </w:tcPr>
          <w:p>
            <w:pPr>
              <w:pStyle w:val="TableContents"/>
              <w:pBdr/>
              <w:bidi w:val="0"/>
              <w:spacing w:before="0" w:after="0"/>
              <w:ind w:left="0" w:right="0" w:hanging="0"/>
              <w:jc w:val="right"/>
              <w:rPr/>
            </w:pPr>
            <w:r>
              <w:rPr/>
              <w:t> </w:t>
            </w:r>
          </w:p>
        </w:tc>
        <w:tc>
          <w:tcPr>
            <w:tcW w:w="131" w:type="dxa"/>
            <w:tcBorders/>
            <w:shd w:fill="CCEEFF" w:val="clear"/>
            <w:vAlign w:val="bottom"/>
          </w:tcPr>
          <w:p>
            <w:pPr>
              <w:pStyle w:val="TableContents"/>
              <w:pBdr/>
              <w:bidi w:val="0"/>
              <w:spacing w:before="0" w:after="0"/>
              <w:ind w:left="0" w:right="0" w:hanging="0"/>
              <w:jc w:val="left"/>
              <w:rPr/>
            </w:pPr>
            <w:r>
              <w:rPr/>
              <w:t> </w:t>
            </w:r>
          </w:p>
        </w:tc>
        <w:tc>
          <w:tcPr>
            <w:tcW w:w="99" w:type="dxa"/>
            <w:tcBorders/>
            <w:shd w:fill="CCEEFF" w:val="clear"/>
            <w:vAlign w:val="bottom"/>
          </w:tcPr>
          <w:p>
            <w:pPr>
              <w:pStyle w:val="TableContents"/>
              <w:pBdr/>
              <w:bidi w:val="0"/>
              <w:spacing w:before="0" w:after="0"/>
              <w:ind w:left="0" w:right="0" w:hanging="0"/>
              <w:jc w:val="left"/>
              <w:rPr/>
            </w:pPr>
            <w:r>
              <w:rPr/>
              <w:t> </w:t>
            </w:r>
          </w:p>
        </w:tc>
        <w:tc>
          <w:tcPr>
            <w:tcW w:w="358" w:type="dxa"/>
            <w:tcBorders/>
            <w:shd w:fill="CCEEFF" w:val="clear"/>
            <w:vAlign w:val="bottom"/>
          </w:tcPr>
          <w:p>
            <w:pPr>
              <w:pStyle w:val="TableContents"/>
              <w:pBdr/>
              <w:bidi w:val="0"/>
              <w:spacing w:before="0" w:after="0"/>
              <w:ind w:left="0" w:right="0" w:hanging="0"/>
              <w:jc w:val="left"/>
              <w:rPr/>
            </w:pPr>
            <w:r>
              <w:rPr/>
              <w:t> </w:t>
            </w:r>
          </w:p>
        </w:tc>
        <w:tc>
          <w:tcPr>
            <w:tcW w:w="1573"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r>
      <w:tr>
        <w:trPr/>
        <w:tc>
          <w:tcPr>
            <w:tcW w:w="632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Total liabilities and net parent deficit</w:t>
            </w:r>
          </w:p>
        </w:tc>
        <w:tc>
          <w:tcPr>
            <w:tcW w:w="98" w:type="dxa"/>
            <w:tcBorders/>
            <w:shd w:fill="FFFFFF" w:val="clear"/>
            <w:vAlign w:val="bottom"/>
          </w:tcPr>
          <w:p>
            <w:pPr>
              <w:pStyle w:val="TableContents"/>
              <w:pBdr/>
              <w:bidi w:val="0"/>
              <w:spacing w:before="0" w:after="0"/>
              <w:ind w:left="0" w:right="0" w:hanging="0"/>
              <w:jc w:val="left"/>
              <w:rPr/>
            </w:pPr>
            <w:r>
              <w:rPr/>
              <w:t> </w:t>
            </w:r>
          </w:p>
        </w:tc>
        <w:tc>
          <w:tcPr>
            <w:tcW w:w="27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483</w:t>
            </w:r>
          </w:p>
        </w:tc>
        <w:tc>
          <w:tcPr>
            <w:tcW w:w="131" w:type="dxa"/>
            <w:tcBorders/>
            <w:shd w:fill="FFFFFF" w:val="clear"/>
            <w:vAlign w:val="bottom"/>
          </w:tcPr>
          <w:p>
            <w:pPr>
              <w:pStyle w:val="TableContents"/>
              <w:pBdr/>
              <w:bidi w:val="0"/>
              <w:spacing w:before="0" w:after="0"/>
              <w:ind w:left="0" w:right="0" w:hanging="0"/>
              <w:jc w:val="left"/>
              <w:rPr/>
            </w:pPr>
            <w:r>
              <w:rPr/>
              <w:t> </w:t>
            </w:r>
          </w:p>
        </w:tc>
        <w:tc>
          <w:tcPr>
            <w:tcW w:w="99" w:type="dxa"/>
            <w:tcBorders/>
            <w:shd w:fill="FFFFFF" w:val="clear"/>
            <w:vAlign w:val="bottom"/>
          </w:tcPr>
          <w:p>
            <w:pPr>
              <w:pStyle w:val="TableContents"/>
              <w:pBdr/>
              <w:bidi w:val="0"/>
              <w:spacing w:before="0" w:after="0"/>
              <w:ind w:left="0" w:right="0" w:hanging="0"/>
              <w:jc w:val="left"/>
              <w:rPr/>
            </w:pPr>
            <w:r>
              <w:rPr/>
              <w:t> </w:t>
            </w:r>
          </w:p>
        </w:tc>
        <w:tc>
          <w:tcPr>
            <w:tcW w:w="35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7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518</w:t>
            </w:r>
          </w:p>
        </w:tc>
        <w:tc>
          <w:tcPr>
            <w:tcW w:w="157"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Operations</w:t>
        </w:r>
      </w:hyperlink>
    </w:p>
    <w:p>
      <w:pPr>
        <w:pStyle w:val="TextBody"/>
        <w:bidi w:val="0"/>
        <w:spacing w:lineRule="auto" w:line="288" w:before="0" w:after="0"/>
        <w:ind w:left="0" w:right="0" w:hanging="0"/>
        <w:jc w:val="center"/>
        <w:rPr/>
      </w:pPr>
      <w:r>
        <w:rPr/>
        <w:t> </w:t>
      </w:r>
      <w:r>
        <w:rPr>
          <w:rFonts w:ascii="Times New Roman" w:hAnsi="Times New Roman"/>
          <w:b/>
          <w:sz w:val="20"/>
        </w:rPr>
        <w:t>(In thousands, except per share data)</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508"/>
        <w:gridCol w:w="83"/>
        <w:gridCol w:w="228"/>
        <w:gridCol w:w="886"/>
        <w:gridCol w:w="146"/>
        <w:gridCol w:w="108"/>
        <w:gridCol w:w="227"/>
        <w:gridCol w:w="887"/>
        <w:gridCol w:w="132"/>
      </w:tblGrid>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2482" w:type="dxa"/>
            <w:gridSpan w:val="6"/>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vAlign w:val="center"/>
          </w:tcPr>
          <w:p>
            <w:pPr>
              <w:pStyle w:val="TableContents"/>
              <w:bidi w:val="0"/>
              <w:spacing w:before="0" w:after="0"/>
              <w:ind w:left="0" w:right="0" w:hanging="0"/>
              <w:jc w:val="left"/>
              <w:rPr/>
            </w:pPr>
            <w:r>
              <w:rPr/>
              <w:t> </w:t>
            </w:r>
          </w:p>
        </w:tc>
        <w:tc>
          <w:tcPr>
            <w:tcW w:w="83"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46" w:type="dxa"/>
            <w:tcBorders/>
            <w:vAlign w:val="center"/>
          </w:tcPr>
          <w:p>
            <w:pPr>
              <w:pStyle w:val="TableContents"/>
              <w:pBdr/>
              <w:bidi w:val="0"/>
              <w:spacing w:before="0" w:after="0"/>
              <w:ind w:left="0" w:right="0" w:hanging="0"/>
              <w:jc w:val="left"/>
              <w:rPr/>
            </w:pPr>
            <w:r>
              <w:rPr/>
              <w:t> </w:t>
            </w:r>
          </w:p>
        </w:tc>
        <w:tc>
          <w:tcPr>
            <w:tcW w:w="108" w:type="dxa"/>
            <w:tcBorders/>
            <w:vAlign w:val="center"/>
          </w:tcPr>
          <w:p>
            <w:pPr>
              <w:pStyle w:val="TableContents"/>
              <w:pBdr/>
              <w:bidi w:val="0"/>
              <w:spacing w:before="0" w:after="0"/>
              <w:ind w:left="0" w:right="0" w:hanging="0"/>
              <w:jc w:val="left"/>
              <w:rPr/>
            </w:pPr>
            <w:r>
              <w:rPr/>
              <w:t> </w:t>
            </w:r>
          </w:p>
        </w:tc>
        <w:tc>
          <w:tcPr>
            <w:tcW w:w="1114"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32" w:type="dxa"/>
            <w:tcBorders/>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pPr>
            <w:r>
              <w:rPr/>
              <w:t> </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pPr>
            <w:r>
              <w:rPr/>
              <w:t> </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 net of grants</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118</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net of grants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608</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554</w:t>
            </w:r>
          </w:p>
        </w:tc>
        <w:tc>
          <w:tcPr>
            <w:tcW w:w="132" w:type="dxa"/>
            <w:tcBorders/>
            <w:shd w:fill="CCEEFF" w:val="clear"/>
            <w:vAlign w:val="center"/>
          </w:tcPr>
          <w:p>
            <w:pPr>
              <w:pStyle w:val="TableContents"/>
              <w:pBdr/>
              <w:bidi w:val="0"/>
              <w:spacing w:before="0" w:after="0"/>
              <w:ind w:left="0" w:right="0" w:hanging="0"/>
              <w:jc w:val="left"/>
              <w:rPr/>
            </w:pPr>
            <w:r>
              <w:rPr/>
              <w:t> </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 net</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FFFFFF" w:val="clear"/>
            <w:vAlign w:val="center"/>
          </w:tcPr>
          <w:p>
            <w:pPr>
              <w:pStyle w:val="TableContents"/>
              <w:pBdr/>
              <w:bidi w:val="0"/>
              <w:spacing w:before="0" w:after="0"/>
              <w:ind w:left="0" w:right="0" w:hanging="0"/>
              <w:jc w:val="left"/>
              <w:rPr/>
            </w:pPr>
            <w:r>
              <w:rPr/>
              <w:t> </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FFFFFF" w:val="clear"/>
            <w:vAlign w:val="center"/>
          </w:tcPr>
          <w:p>
            <w:pPr>
              <w:pStyle w:val="TableContents"/>
              <w:pBdr/>
              <w:bidi w:val="0"/>
              <w:spacing w:before="0" w:after="0"/>
              <w:ind w:left="0" w:right="0" w:hanging="0"/>
              <w:jc w:val="left"/>
              <w:rPr/>
            </w:pPr>
            <w:r>
              <w:rPr/>
              <w:t> </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operations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(726</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(616</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expense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pPr>
            <w:r>
              <w:rPr/>
              <w:t> </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pPr>
            <w:r>
              <w:rPr/>
              <w:t> </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4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32"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common share</w:t>
            </w:r>
          </w:p>
        </w:tc>
        <w:tc>
          <w:tcPr>
            <w:tcW w:w="83" w:type="dxa"/>
            <w:tcBorders/>
            <w:shd w:fill="FFFFFF" w:val="clear"/>
            <w:vAlign w:val="center"/>
          </w:tcPr>
          <w:p>
            <w:pPr>
              <w:pStyle w:val="TableContents"/>
              <w:pBdr/>
              <w:bidi w:val="0"/>
              <w:spacing w:before="0" w:after="0"/>
              <w:ind w:left="0" w:right="0" w:hanging="0"/>
              <w:jc w:val="left"/>
              <w:rPr/>
            </w:pPr>
            <w:r>
              <w:rPr/>
              <w:t> </w:t>
            </w:r>
          </w:p>
        </w:tc>
        <w:tc>
          <w:tcPr>
            <w:tcW w:w="22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6"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(0.15</w:t>
            </w:r>
          </w:p>
        </w:tc>
        <w:tc>
          <w:tcPr>
            <w:tcW w:w="146"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8" w:type="dxa"/>
            <w:tcBorders/>
            <w:shd w:fill="FFFFFF" w:val="clear"/>
            <w:vAlign w:val="center"/>
          </w:tcPr>
          <w:p>
            <w:pPr>
              <w:pStyle w:val="TableContents"/>
              <w:pBdr/>
              <w:bidi w:val="0"/>
              <w:spacing w:before="0" w:after="0"/>
              <w:ind w:left="0" w:right="0" w:hanging="0"/>
              <w:jc w:val="left"/>
              <w:rPr/>
            </w:pPr>
            <w:r>
              <w:rPr/>
              <w:t> </w:t>
            </w:r>
          </w:p>
        </w:tc>
        <w:tc>
          <w:tcPr>
            <w:tcW w:w="227"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87" w:type="dxa"/>
            <w:tcBorders/>
            <w:shd w:fill="FFFF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(0.13</w:t>
            </w:r>
          </w:p>
        </w:tc>
        <w:tc>
          <w:tcPr>
            <w:tcW w:w="132"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5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w:t>
            </w:r>
          </w:p>
        </w:tc>
        <w:tc>
          <w:tcPr>
            <w:tcW w:w="83" w:type="dxa"/>
            <w:tcBorders/>
            <w:shd w:fill="CCEEFF" w:val="clear"/>
            <w:vAlign w:val="center"/>
          </w:tcPr>
          <w:p>
            <w:pPr>
              <w:pStyle w:val="TableContents"/>
              <w:pBdr/>
              <w:bidi w:val="0"/>
              <w:spacing w:before="0" w:after="0"/>
              <w:ind w:left="0" w:right="0" w:hanging="0"/>
              <w:jc w:val="left"/>
              <w:rPr/>
            </w:pPr>
            <w:r>
              <w:rPr/>
              <w:t> </w:t>
            </w:r>
          </w:p>
        </w:tc>
        <w:tc>
          <w:tcPr>
            <w:tcW w:w="228" w:type="dxa"/>
            <w:tcBorders/>
            <w:shd w:fill="CCEEFF" w:val="clear"/>
            <w:vAlign w:val="center"/>
          </w:tcPr>
          <w:p>
            <w:pPr>
              <w:pStyle w:val="TableContents"/>
              <w:pBdr/>
              <w:bidi w:val="0"/>
              <w:spacing w:before="0" w:after="0"/>
              <w:ind w:left="0" w:right="0" w:hanging="0"/>
              <w:jc w:val="left"/>
              <w:rPr/>
            </w:pPr>
            <w:r>
              <w:rPr/>
              <w:t> </w:t>
            </w:r>
          </w:p>
        </w:tc>
        <w:tc>
          <w:tcPr>
            <w:tcW w:w="88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46" w:type="dxa"/>
            <w:tcBorders/>
            <w:shd w:fill="CCEEFF" w:val="clear"/>
            <w:vAlign w:val="center"/>
          </w:tcPr>
          <w:p>
            <w:pPr>
              <w:pStyle w:val="TableContents"/>
              <w:pBdr/>
              <w:bidi w:val="0"/>
              <w:spacing w:before="0" w:after="0"/>
              <w:ind w:left="0" w:right="0" w:hanging="0"/>
              <w:jc w:val="left"/>
              <w:rPr/>
            </w:pPr>
            <w:r>
              <w:rPr/>
              <w:t> </w:t>
            </w:r>
          </w:p>
        </w:tc>
        <w:tc>
          <w:tcPr>
            <w:tcW w:w="108" w:type="dxa"/>
            <w:tcBorders/>
            <w:shd w:fill="CCEEFF" w:val="clear"/>
            <w:vAlign w:val="center"/>
          </w:tcPr>
          <w:p>
            <w:pPr>
              <w:pStyle w:val="TableContents"/>
              <w:pBdr/>
              <w:bidi w:val="0"/>
              <w:spacing w:before="0" w:after="0"/>
              <w:ind w:left="0" w:right="0" w:hanging="0"/>
              <w:jc w:val="left"/>
              <w:rPr/>
            </w:pPr>
            <w:r>
              <w:rPr/>
              <w:t> </w:t>
            </w:r>
          </w:p>
        </w:tc>
        <w:tc>
          <w:tcPr>
            <w:tcW w:w="227" w:type="dxa"/>
            <w:tcBorders/>
            <w:shd w:fill="CCEEFF" w:val="clear"/>
            <w:vAlign w:val="center"/>
          </w:tcPr>
          <w:p>
            <w:pPr>
              <w:pStyle w:val="TableContents"/>
              <w:pBdr/>
              <w:bidi w:val="0"/>
              <w:spacing w:before="0" w:after="0"/>
              <w:ind w:left="0" w:right="0" w:hanging="0"/>
              <w:jc w:val="left"/>
              <w:rPr/>
            </w:pPr>
            <w:r>
              <w:rPr/>
              <w:t> </w:t>
            </w:r>
          </w:p>
        </w:tc>
        <w:tc>
          <w:tcPr>
            <w:tcW w:w="88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132" w:type="dxa"/>
            <w:tcBorders/>
            <w:shd w:fill="CCEEFF" w:val="clear"/>
            <w:vAlign w:val="center"/>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Comprehensive Loss</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6459"/>
        <w:gridCol w:w="115"/>
        <w:gridCol w:w="365"/>
        <w:gridCol w:w="1154"/>
        <w:gridCol w:w="234"/>
        <w:gridCol w:w="175"/>
        <w:gridCol w:w="364"/>
        <w:gridCol w:w="1155"/>
        <w:gridCol w:w="184"/>
      </w:tblGrid>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3447"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vAlign w:val="center"/>
          </w:tcPr>
          <w:p>
            <w:pPr>
              <w:pStyle w:val="TableContents"/>
              <w:bidi w:val="0"/>
              <w:spacing w:before="0" w:after="0"/>
              <w:ind w:left="0" w:right="0" w:hanging="0"/>
              <w:jc w:val="left"/>
              <w:rPr/>
            </w:pPr>
            <w:r>
              <w:rPr/>
              <w:t> </w:t>
            </w:r>
          </w:p>
        </w:tc>
        <w:tc>
          <w:tcPr>
            <w:tcW w:w="11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234" w:type="dxa"/>
            <w:tcBorders/>
            <w:vAlign w:val="bottom"/>
          </w:tcPr>
          <w:p>
            <w:pPr>
              <w:pStyle w:val="TableContents"/>
              <w:pBdr/>
              <w:bidi w:val="0"/>
              <w:spacing w:before="0" w:after="0"/>
              <w:ind w:left="0" w:right="0" w:hanging="0"/>
              <w:jc w:val="left"/>
              <w:rPr/>
            </w:pPr>
            <w:r>
              <w:rPr/>
              <w:t> </w:t>
            </w:r>
          </w:p>
        </w:tc>
        <w:tc>
          <w:tcPr>
            <w:tcW w:w="175" w:type="dxa"/>
            <w:tcBorders/>
            <w:vAlign w:val="bottom"/>
          </w:tcPr>
          <w:p>
            <w:pPr>
              <w:pStyle w:val="TableContents"/>
              <w:pBdr/>
              <w:bidi w:val="0"/>
              <w:spacing w:before="0" w:after="0"/>
              <w:ind w:left="0" w:right="0" w:hanging="0"/>
              <w:jc w:val="left"/>
              <w:rPr/>
            </w:pPr>
            <w:r>
              <w:rPr/>
              <w:t> </w:t>
            </w:r>
          </w:p>
        </w:tc>
        <w:tc>
          <w:tcPr>
            <w:tcW w:w="15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84" w:type="dxa"/>
            <w:tcBorders/>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pPr>
            <w:r>
              <w:rPr/>
              <w:t> </w:t>
            </w:r>
          </w:p>
        </w:tc>
        <w:tc>
          <w:tcPr>
            <w:tcW w:w="1154" w:type="dxa"/>
            <w:tcBorders/>
            <w:shd w:fill="FFFFFF" w:val="clear"/>
            <w:vAlign w:val="bottom"/>
          </w:tcPr>
          <w:p>
            <w:pPr>
              <w:pStyle w:val="TableContents"/>
              <w:pBdr/>
              <w:bidi w:val="0"/>
              <w:spacing w:before="0" w:after="0"/>
              <w:ind w:left="0" w:right="0" w:hanging="0"/>
              <w:jc w:val="right"/>
              <w:rPr/>
            </w:pPr>
            <w:r>
              <w:rPr/>
              <w:t> </w:t>
            </w:r>
          </w:p>
        </w:tc>
        <w:tc>
          <w:tcPr>
            <w:tcW w:w="234" w:type="dxa"/>
            <w:tcBorders/>
            <w:shd w:fill="FFFFFF" w:val="clear"/>
            <w:vAlign w:val="bottom"/>
          </w:tcPr>
          <w:p>
            <w:pPr>
              <w:pStyle w:val="TableContents"/>
              <w:pBdr/>
              <w:bidi w:val="0"/>
              <w:spacing w:before="0" w:after="0"/>
              <w:ind w:left="0" w:right="0" w:hanging="0"/>
              <w:jc w:val="left"/>
              <w:rPr/>
            </w:pPr>
            <w:r>
              <w:rPr/>
              <w:t> </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pPr>
            <w:r>
              <w:rPr/>
              <w:t> </w:t>
            </w:r>
          </w:p>
        </w:tc>
        <w:tc>
          <w:tcPr>
            <w:tcW w:w="1155" w:type="dxa"/>
            <w:tcBorders/>
            <w:shd w:fill="FFFFFF" w:val="clear"/>
            <w:vAlign w:val="bottom"/>
          </w:tcPr>
          <w:p>
            <w:pPr>
              <w:pStyle w:val="TableContents"/>
              <w:pBdr/>
              <w:bidi w:val="0"/>
              <w:spacing w:before="0" w:after="0"/>
              <w:ind w:left="0" w:right="0" w:hanging="0"/>
              <w:jc w:val="right"/>
              <w:rPr/>
            </w:pPr>
            <w:r>
              <w:rPr/>
              <w:t> </w:t>
            </w:r>
          </w:p>
        </w:tc>
        <w:tc>
          <w:tcPr>
            <w:tcW w:w="184" w:type="dxa"/>
            <w:tcBorders/>
            <w:shd w:fill="FFFFFF" w:val="clear"/>
            <w:vAlign w:val="bottom"/>
          </w:tcPr>
          <w:p>
            <w:pPr>
              <w:pStyle w:val="TableContents"/>
              <w:pBdr/>
              <w:bidi w:val="0"/>
              <w:spacing w:before="0" w:after="0"/>
              <w:ind w:left="0" w:right="0" w:hanging="0"/>
              <w:jc w:val="left"/>
              <w:rPr/>
            </w:pPr>
            <w:r>
              <w:rPr/>
              <w:t> </w:t>
            </w:r>
          </w:p>
        </w:tc>
      </w:tr>
      <w:tr>
        <w:trPr/>
        <w:tc>
          <w:tcPr>
            <w:tcW w:w="64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adjustments</w:t>
            </w:r>
          </w:p>
        </w:tc>
        <w:tc>
          <w:tcPr>
            <w:tcW w:w="115" w:type="dxa"/>
            <w:tcBorders/>
            <w:shd w:fill="CCEEFF" w:val="clear"/>
            <w:vAlign w:val="bottom"/>
          </w:tcPr>
          <w:p>
            <w:pPr>
              <w:pStyle w:val="TableContents"/>
              <w:pBdr/>
              <w:bidi w:val="0"/>
              <w:spacing w:before="0" w:after="0"/>
              <w:ind w:left="0" w:right="0" w:hanging="0"/>
              <w:jc w:val="left"/>
              <w:rPr/>
            </w:pPr>
            <w:r>
              <w:rPr/>
              <w:t> </w:t>
            </w:r>
          </w:p>
        </w:tc>
        <w:tc>
          <w:tcPr>
            <w:tcW w:w="365" w:type="dxa"/>
            <w:tcBorders/>
            <w:shd w:fill="CCEEFF" w:val="clear"/>
            <w:vAlign w:val="bottom"/>
          </w:tcPr>
          <w:p>
            <w:pPr>
              <w:pStyle w:val="TableContents"/>
              <w:pBdr/>
              <w:bidi w:val="0"/>
              <w:spacing w:before="0" w:after="0"/>
              <w:ind w:left="0" w:right="0" w:hanging="0"/>
              <w:jc w:val="left"/>
              <w:rPr/>
            </w:pPr>
            <w:r>
              <w:rPr/>
              <w:t> </w:t>
            </w:r>
          </w:p>
        </w:tc>
        <w:tc>
          <w:tcPr>
            <w:tcW w:w="1154" w:type="dxa"/>
            <w:tcBorders/>
            <w:shd w:fill="CCEEFF" w:val="clear"/>
            <w:vAlign w:val="bottom"/>
          </w:tcPr>
          <w:p>
            <w:pPr>
              <w:pStyle w:val="TableContents"/>
              <w:pBdr/>
              <w:bidi w:val="0"/>
              <w:spacing w:before="0" w:after="0"/>
              <w:ind w:left="0" w:right="0" w:hanging="0"/>
              <w:jc w:val="right"/>
              <w:rPr/>
            </w:pPr>
            <w:r>
              <w:rPr/>
              <w:t>—</w:t>
            </w:r>
          </w:p>
        </w:tc>
        <w:tc>
          <w:tcPr>
            <w:tcW w:w="234" w:type="dxa"/>
            <w:tcBorders/>
            <w:shd w:fill="CCEEFF" w:val="clear"/>
            <w:vAlign w:val="bottom"/>
          </w:tcPr>
          <w:p>
            <w:pPr>
              <w:pStyle w:val="TableContents"/>
              <w:pBdr/>
              <w:bidi w:val="0"/>
              <w:spacing w:before="0" w:after="0"/>
              <w:ind w:left="0" w:right="0" w:hanging="0"/>
              <w:jc w:val="left"/>
              <w:rPr/>
            </w:pPr>
            <w:r>
              <w:rPr/>
              <w:t> </w:t>
            </w:r>
          </w:p>
        </w:tc>
        <w:tc>
          <w:tcPr>
            <w:tcW w:w="175" w:type="dxa"/>
            <w:tcBorders/>
            <w:shd w:fill="CCEEFF" w:val="clear"/>
            <w:vAlign w:val="bottom"/>
          </w:tcPr>
          <w:p>
            <w:pPr>
              <w:pStyle w:val="TableContents"/>
              <w:pBdr/>
              <w:bidi w:val="0"/>
              <w:spacing w:before="0" w:after="0"/>
              <w:ind w:left="0" w:right="0" w:hanging="0"/>
              <w:jc w:val="left"/>
              <w:rPr/>
            </w:pPr>
            <w:r>
              <w:rPr/>
              <w:t> </w:t>
            </w:r>
          </w:p>
        </w:tc>
        <w:tc>
          <w:tcPr>
            <w:tcW w:w="364" w:type="dxa"/>
            <w:tcBorders/>
            <w:shd w:fill="CCEEFF" w:val="clear"/>
            <w:vAlign w:val="bottom"/>
          </w:tcPr>
          <w:p>
            <w:pPr>
              <w:pStyle w:val="TableContents"/>
              <w:pBdr/>
              <w:bidi w:val="0"/>
              <w:spacing w:before="0" w:after="0"/>
              <w:ind w:left="0" w:right="0" w:hanging="0"/>
              <w:jc w:val="left"/>
              <w:rPr/>
            </w:pPr>
            <w:r>
              <w:rPr/>
              <w:t> </w:t>
            </w:r>
          </w:p>
        </w:tc>
        <w:tc>
          <w:tcPr>
            <w:tcW w:w="1155" w:type="dxa"/>
            <w:tcBorders/>
            <w:shd w:fill="CCEEFF" w:val="clear"/>
            <w:vAlign w:val="bottom"/>
          </w:tcPr>
          <w:p>
            <w:pPr>
              <w:pStyle w:val="TableContents"/>
              <w:pBdr/>
              <w:bidi w:val="0"/>
              <w:spacing w:before="0" w:after="0"/>
              <w:ind w:left="0" w:right="0" w:hanging="0"/>
              <w:jc w:val="right"/>
              <w:rPr/>
            </w:pPr>
            <w:r>
              <w:rPr/>
              <w:t>—</w:t>
            </w:r>
          </w:p>
        </w:tc>
        <w:tc>
          <w:tcPr>
            <w:tcW w:w="184" w:type="dxa"/>
            <w:tcBorders/>
            <w:shd w:fill="CCEEFF" w:val="clear"/>
            <w:vAlign w:val="bottom"/>
          </w:tcPr>
          <w:p>
            <w:pPr>
              <w:pStyle w:val="TableContents"/>
              <w:pBdr/>
              <w:bidi w:val="0"/>
              <w:spacing w:before="0" w:after="0"/>
              <w:ind w:left="0" w:right="0" w:hanging="0"/>
              <w:jc w:val="left"/>
              <w:rPr/>
            </w:pPr>
            <w:r>
              <w:rPr/>
              <w:t> </w:t>
            </w:r>
          </w:p>
        </w:tc>
      </w:tr>
      <w:tr>
        <w:trPr/>
        <w:tc>
          <w:tcPr>
            <w:tcW w:w="645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115" w:type="dxa"/>
            <w:tcBorders/>
            <w:shd w:fill="FFFFFF" w:val="clear"/>
            <w:vAlign w:val="bottom"/>
          </w:tcPr>
          <w:p>
            <w:pPr>
              <w:pStyle w:val="TableContents"/>
              <w:pBdr/>
              <w:bidi w:val="0"/>
              <w:spacing w:before="0" w:after="0"/>
              <w:ind w:left="0" w:right="0" w:hanging="0"/>
              <w:jc w:val="left"/>
              <w:rPr/>
            </w:pPr>
            <w:r>
              <w:rPr/>
              <w:t> </w:t>
            </w:r>
          </w:p>
        </w:tc>
        <w:tc>
          <w:tcPr>
            <w:tcW w:w="36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23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75" w:type="dxa"/>
            <w:tcBorders/>
            <w:shd w:fill="FFFFFF" w:val="clear"/>
            <w:vAlign w:val="bottom"/>
          </w:tcPr>
          <w:p>
            <w:pPr>
              <w:pStyle w:val="TableContents"/>
              <w:pBdr/>
              <w:bidi w:val="0"/>
              <w:spacing w:before="0" w:after="0"/>
              <w:ind w:left="0" w:right="0" w:hanging="0"/>
              <w:jc w:val="left"/>
              <w:rPr/>
            </w:pPr>
            <w:r>
              <w:rPr/>
              <w:t> </w:t>
            </w:r>
          </w:p>
        </w:tc>
        <w:tc>
          <w:tcPr>
            <w:tcW w:w="36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8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CORTIGENT, INC.</w:t>
      </w:r>
      <w:r>
        <w:rPr>
          <w:rFonts w:ascii="times new roman;times" w:hAnsi="times new roman;times"/>
          <w:sz w:val="20"/>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Net Parent Investment (Deficit)</w:t>
        </w:r>
      </w:hyperlink>
      <w:hyperlink w:anchor="TOC">
        <w:r>
          <w:rPr>
            <w:rStyle w:val="InternetLink"/>
            <w:rFonts w:ascii="times new roman;times" w:hAnsi="times new roman;times"/>
            <w:strike w:val="false"/>
            <w:dstrike w:val="false"/>
            <w:color w:val="000000"/>
            <w:sz w:val="20"/>
            <w:u w:val="none"/>
            <w:effect w:val="none"/>
          </w:rPr>
          <w:t> </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665"/>
        <w:gridCol w:w="67"/>
        <w:gridCol w:w="98"/>
        <w:gridCol w:w="797"/>
        <w:gridCol w:w="67"/>
        <w:gridCol w:w="67"/>
        <w:gridCol w:w="217"/>
        <w:gridCol w:w="846"/>
        <w:gridCol w:w="67"/>
        <w:gridCol w:w="67"/>
        <w:gridCol w:w="235"/>
        <w:gridCol w:w="1030"/>
        <w:gridCol w:w="89"/>
        <w:gridCol w:w="67"/>
        <w:gridCol w:w="360"/>
        <w:gridCol w:w="1140"/>
        <w:gridCol w:w="89"/>
        <w:gridCol w:w="67"/>
        <w:gridCol w:w="198"/>
        <w:gridCol w:w="865"/>
        <w:gridCol w:w="107"/>
      </w:tblGrid>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left"/>
              <w:rPr/>
            </w:pPr>
            <w:r>
              <w:rPr/>
              <w:t> </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Other</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center"/>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Comprehensive</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vAlign w:val="center"/>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89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67"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2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50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Loss</w:t>
            </w:r>
          </w:p>
        </w:tc>
        <w:tc>
          <w:tcPr>
            <w:tcW w:w="89" w:type="dxa"/>
            <w:tcBorders/>
            <w:vAlign w:val="bottom"/>
          </w:tcPr>
          <w:p>
            <w:pPr>
              <w:pStyle w:val="TableContents"/>
              <w:pBdr/>
              <w:bidi w:val="0"/>
              <w:spacing w:before="0" w:after="0"/>
              <w:ind w:left="0" w:right="0" w:hanging="0"/>
              <w:jc w:val="left"/>
              <w:rPr/>
            </w:pPr>
            <w:r>
              <w:rPr/>
              <w:t> </w:t>
            </w:r>
          </w:p>
        </w:tc>
        <w:tc>
          <w:tcPr>
            <w:tcW w:w="67" w:type="dxa"/>
            <w:tcBorders/>
            <w:vAlign w:val="bottom"/>
          </w:tcPr>
          <w:p>
            <w:pPr>
              <w:pStyle w:val="TableContents"/>
              <w:pBdr/>
              <w:bidi w:val="0"/>
              <w:spacing w:before="0" w:after="0"/>
              <w:ind w:left="0" w:right="0" w:hanging="0"/>
              <w:jc w:val="left"/>
              <w:rPr/>
            </w:pPr>
            <w:r>
              <w:rPr/>
              <w:t> </w:t>
            </w:r>
          </w:p>
        </w:tc>
        <w:tc>
          <w:tcPr>
            <w:tcW w:w="106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07" w:type="dxa"/>
            <w:tcBorders/>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4,681</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(7,724</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(3,406</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Net loss</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89"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Investment by parent</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pPr>
            <w:r>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pPr>
            <w:r>
              <w:rPr/>
              <w:t> </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pPr>
            <w:r>
              <w:rPr/>
              <w:t> </w:t>
            </w:r>
          </w:p>
        </w:tc>
        <w:tc>
          <w:tcPr>
            <w:tcW w:w="103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pPr>
            <w:r>
              <w:rPr/>
              <w:t> </w:t>
            </w:r>
          </w:p>
        </w:tc>
        <w:tc>
          <w:tcPr>
            <w:tcW w:w="1140" w:type="dxa"/>
            <w:tcBorders/>
            <w:shd w:fill="CCEEFF" w:val="clear"/>
            <w:vAlign w:val="bottom"/>
          </w:tcPr>
          <w:p>
            <w:pPr>
              <w:pStyle w:val="TableContents"/>
              <w:pBdr/>
              <w:bidi w:val="0"/>
              <w:spacing w:before="0" w:after="0"/>
              <w:ind w:left="0" w:right="0" w:hanging="0"/>
              <w:jc w:val="right"/>
              <w:rPr/>
            </w:pPr>
            <w:r>
              <w:rPr/>
              <w:t>—</w:t>
            </w:r>
          </w:p>
        </w:tc>
        <w:tc>
          <w:tcPr>
            <w:tcW w:w="89"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pPr>
            <w:r>
              <w:rPr/>
              <w:t> </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07" w:type="dxa"/>
            <w:tcBorders/>
            <w:shd w:fill="CCEEFF" w:val="clear"/>
            <w:vAlign w:val="bottom"/>
          </w:tcPr>
          <w:p>
            <w:pPr>
              <w:pStyle w:val="TableContents"/>
              <w:pBdr/>
              <w:bidi w:val="0"/>
              <w:spacing w:before="0" w:after="0"/>
              <w:ind w:left="0" w:right="0" w:hanging="0"/>
              <w:jc w:val="left"/>
              <w:rPr/>
            </w:pPr>
            <w:r>
              <w:rPr/>
              <w:t> </w:t>
            </w:r>
          </w:p>
        </w:tc>
      </w:tr>
      <w:tr>
        <w:trPr/>
        <w:tc>
          <w:tcPr>
            <w:tcW w:w="3665" w:type="dxa"/>
            <w:tcBorders/>
            <w:shd w:fill="FFFF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Foreign currency translation adjustment</w:t>
            </w:r>
          </w:p>
        </w:tc>
        <w:tc>
          <w:tcPr>
            <w:tcW w:w="67" w:type="dxa"/>
            <w:tcBorders/>
            <w:shd w:fill="FFFFFF" w:val="clear"/>
            <w:vAlign w:val="bottom"/>
          </w:tcPr>
          <w:p>
            <w:pPr>
              <w:pStyle w:val="TableContents"/>
              <w:pBdr/>
              <w:bidi w:val="0"/>
              <w:spacing w:before="0" w:after="0"/>
              <w:ind w:left="0" w:right="0" w:hanging="0"/>
              <w:jc w:val="left"/>
              <w:rPr/>
            </w:pPr>
            <w:r>
              <w:rPr/>
              <w:t> </w:t>
            </w:r>
          </w:p>
        </w:tc>
        <w:tc>
          <w:tcPr>
            <w:tcW w:w="98" w:type="dxa"/>
            <w:tcBorders/>
            <w:shd w:fill="FFFFFF" w:val="clear"/>
            <w:vAlign w:val="bottom"/>
          </w:tcPr>
          <w:p>
            <w:pPr>
              <w:pStyle w:val="TableContents"/>
              <w:pBdr/>
              <w:bidi w:val="0"/>
              <w:spacing w:before="0" w:after="0"/>
              <w:ind w:left="0" w:right="0" w:hanging="0"/>
              <w:jc w:val="left"/>
              <w:rPr/>
            </w:pPr>
            <w:r>
              <w:rPr/>
              <w:t> </w:t>
            </w:r>
          </w:p>
        </w:tc>
        <w:tc>
          <w:tcPr>
            <w:tcW w:w="797"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17" w:type="dxa"/>
            <w:tcBorders/>
            <w:shd w:fill="FFFFFF" w:val="clear"/>
            <w:vAlign w:val="bottom"/>
          </w:tcPr>
          <w:p>
            <w:pPr>
              <w:pStyle w:val="TableContents"/>
              <w:pBdr/>
              <w:bidi w:val="0"/>
              <w:spacing w:before="0" w:after="0"/>
              <w:ind w:left="0" w:right="0" w:hanging="0"/>
              <w:jc w:val="left"/>
              <w:rPr/>
            </w:pPr>
            <w:r>
              <w:rPr/>
              <w:t> </w:t>
            </w:r>
          </w:p>
        </w:tc>
        <w:tc>
          <w:tcPr>
            <w:tcW w:w="846" w:type="dxa"/>
            <w:tcBorders/>
            <w:shd w:fill="FFFFFF" w:val="clear"/>
            <w:vAlign w:val="bottom"/>
          </w:tcPr>
          <w:p>
            <w:pPr>
              <w:pStyle w:val="TableContents"/>
              <w:pBdr/>
              <w:bidi w:val="0"/>
              <w:spacing w:before="0" w:after="0"/>
              <w:ind w:left="0" w:right="0" w:hanging="0"/>
              <w:jc w:val="right"/>
              <w:rPr/>
            </w:pPr>
            <w:r>
              <w:rPr/>
              <w:t>—</w:t>
            </w:r>
          </w:p>
        </w:tc>
        <w:tc>
          <w:tcPr>
            <w:tcW w:w="67"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235" w:type="dxa"/>
            <w:tcBorders/>
            <w:shd w:fill="FFFFFF" w:val="clear"/>
            <w:vAlign w:val="bottom"/>
          </w:tcPr>
          <w:p>
            <w:pPr>
              <w:pStyle w:val="TableContents"/>
              <w:pBdr/>
              <w:bidi w:val="0"/>
              <w:spacing w:before="0" w:after="0"/>
              <w:ind w:left="0" w:right="0" w:hanging="0"/>
              <w:jc w:val="left"/>
              <w:rPr/>
            </w:pPr>
            <w:r>
              <w:rPr/>
              <w:t> </w:t>
            </w:r>
          </w:p>
        </w:tc>
        <w:tc>
          <w:tcPr>
            <w:tcW w:w="103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360" w:type="dxa"/>
            <w:tcBorders/>
            <w:shd w:fill="FFFFFF" w:val="clear"/>
            <w:vAlign w:val="bottom"/>
          </w:tcPr>
          <w:p>
            <w:pPr>
              <w:pStyle w:val="TableContents"/>
              <w:pBdr/>
              <w:bidi w:val="0"/>
              <w:spacing w:before="0" w:after="0"/>
              <w:ind w:left="0" w:right="0" w:hanging="0"/>
              <w:jc w:val="left"/>
              <w:rPr/>
            </w:pPr>
            <w:r>
              <w:rPr/>
              <w:t> </w:t>
            </w:r>
          </w:p>
        </w:tc>
        <w:tc>
          <w:tcPr>
            <w:tcW w:w="1140" w:type="dxa"/>
            <w:tcBorders/>
            <w:shd w:fill="FFFFFF" w:val="clear"/>
            <w:vAlign w:val="bottom"/>
          </w:tcPr>
          <w:p>
            <w:pPr>
              <w:pStyle w:val="TableContents"/>
              <w:pBdr/>
              <w:bidi w:val="0"/>
              <w:spacing w:before="0" w:after="0"/>
              <w:ind w:left="0" w:right="0" w:hanging="0"/>
              <w:jc w:val="right"/>
              <w:rPr/>
            </w:pPr>
            <w:r>
              <w:rPr/>
              <w:t>—</w:t>
            </w:r>
          </w:p>
        </w:tc>
        <w:tc>
          <w:tcPr>
            <w:tcW w:w="89" w:type="dxa"/>
            <w:tcBorders/>
            <w:shd w:fill="FFFFFF" w:val="clear"/>
            <w:vAlign w:val="bottom"/>
          </w:tcPr>
          <w:p>
            <w:pPr>
              <w:pStyle w:val="TableContents"/>
              <w:pBdr/>
              <w:bidi w:val="0"/>
              <w:spacing w:before="0" w:after="0"/>
              <w:ind w:left="0" w:right="0" w:hanging="0"/>
              <w:jc w:val="left"/>
              <w:rPr/>
            </w:pPr>
            <w:r>
              <w:rPr/>
              <w:t> </w:t>
            </w:r>
          </w:p>
        </w:tc>
        <w:tc>
          <w:tcPr>
            <w:tcW w:w="67" w:type="dxa"/>
            <w:tcBorders/>
            <w:shd w:fill="FFFFFF" w:val="clear"/>
            <w:vAlign w:val="bottom"/>
          </w:tcPr>
          <w:p>
            <w:pPr>
              <w:pStyle w:val="TableContents"/>
              <w:pBdr/>
              <w:bidi w:val="0"/>
              <w:spacing w:before="0" w:after="0"/>
              <w:ind w:left="0" w:right="0" w:hanging="0"/>
              <w:jc w:val="left"/>
              <w:rPr/>
            </w:pPr>
            <w:r>
              <w:rPr/>
              <w:t> </w:t>
            </w:r>
          </w:p>
        </w:tc>
        <w:tc>
          <w:tcPr>
            <w:tcW w:w="198" w:type="dxa"/>
            <w:tcBorders/>
            <w:shd w:fill="FFFFFF" w:val="clear"/>
            <w:vAlign w:val="bottom"/>
          </w:tcPr>
          <w:p>
            <w:pPr>
              <w:pStyle w:val="TableContents"/>
              <w:pBdr/>
              <w:bidi w:val="0"/>
              <w:spacing w:before="0" w:after="0"/>
              <w:ind w:left="0" w:right="0" w:hanging="0"/>
              <w:jc w:val="left"/>
              <w:rPr/>
            </w:pPr>
            <w:r>
              <w:rPr/>
              <w:t> </w:t>
            </w:r>
          </w:p>
        </w:tc>
        <w:tc>
          <w:tcPr>
            <w:tcW w:w="865" w:type="dxa"/>
            <w:tcBorders/>
            <w:shd w:fill="FFFFFF" w:val="clear"/>
            <w:vAlign w:val="bottom"/>
          </w:tcPr>
          <w:p>
            <w:pPr>
              <w:pStyle w:val="TableContents"/>
              <w:pBdr/>
              <w:bidi w:val="0"/>
              <w:spacing w:before="0" w:after="0"/>
              <w:ind w:left="0" w:right="0" w:hanging="0"/>
              <w:jc w:val="right"/>
              <w:rPr/>
            </w:pPr>
            <w:r>
              <w:rPr/>
              <w:t>—</w:t>
            </w:r>
          </w:p>
        </w:tc>
        <w:tc>
          <w:tcPr>
            <w:tcW w:w="107" w:type="dxa"/>
            <w:tcBorders/>
            <w:shd w:fill="FFFFFF" w:val="clear"/>
            <w:vAlign w:val="bottom"/>
          </w:tcPr>
          <w:p>
            <w:pPr>
              <w:pStyle w:val="TableContents"/>
              <w:pBdr/>
              <w:bidi w:val="0"/>
              <w:spacing w:before="0" w:after="0"/>
              <w:ind w:left="0" w:right="0" w:hanging="0"/>
              <w:jc w:val="left"/>
              <w:rPr/>
            </w:pPr>
            <w:r>
              <w:rPr/>
              <w:t> </w:t>
            </w:r>
          </w:p>
        </w:tc>
      </w:tr>
      <w:tr>
        <w:trPr/>
        <w:tc>
          <w:tcPr>
            <w:tcW w:w="3665" w:type="dxa"/>
            <w:tcBorders/>
            <w:shd w:fill="CCEEFF" w:val="clear"/>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Balance, March 31, 2025</w:t>
            </w:r>
          </w:p>
        </w:tc>
        <w:tc>
          <w:tcPr>
            <w:tcW w:w="67" w:type="dxa"/>
            <w:tcBorders/>
            <w:shd w:fill="CCEEFF" w:val="clear"/>
            <w:vAlign w:val="bottom"/>
          </w:tcPr>
          <w:p>
            <w:pPr>
              <w:pStyle w:val="TableContents"/>
              <w:pBdr/>
              <w:bidi w:val="0"/>
              <w:spacing w:before="0" w:after="0"/>
              <w:ind w:left="0" w:right="0" w:hanging="0"/>
              <w:jc w:val="left"/>
              <w:rPr/>
            </w:pPr>
            <w:r>
              <w:rPr/>
              <w:t> </w:t>
            </w:r>
          </w:p>
        </w:tc>
        <w:tc>
          <w:tcPr>
            <w:tcW w:w="98" w:type="dxa"/>
            <w:tcBorders/>
            <w:shd w:fill="CCEEFF" w:val="clear"/>
            <w:vAlign w:val="bottom"/>
          </w:tcPr>
          <w:p>
            <w:pPr>
              <w:pStyle w:val="TableContents"/>
              <w:pBdr/>
              <w:bidi w:val="0"/>
              <w:spacing w:before="0" w:after="0"/>
              <w:ind w:left="0" w:right="0" w:hanging="0"/>
              <w:jc w:val="left"/>
              <w:rPr/>
            </w:pPr>
            <w:r>
              <w:rPr/>
              <w:t> </w:t>
            </w:r>
          </w:p>
        </w:tc>
        <w:tc>
          <w:tcPr>
            <w:tcW w:w="797"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1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4,996</w:t>
            </w:r>
          </w:p>
        </w:tc>
        <w:tc>
          <w:tcPr>
            <w:tcW w:w="67" w:type="dxa"/>
            <w:tcBorders/>
            <w:shd w:fill="CCEEFF" w:val="clear"/>
            <w:vAlign w:val="bottom"/>
          </w:tcPr>
          <w:p>
            <w:pPr>
              <w:pStyle w:val="TableContents"/>
              <w:pBdr/>
              <w:bidi w:val="0"/>
              <w:spacing w:before="0" w:after="0"/>
              <w:ind w:left="0" w:right="0" w:hanging="0"/>
              <w:jc w:val="left"/>
              <w:rPr/>
            </w:pPr>
            <w:r>
              <w:rPr/>
              <w:t> </w:t>
            </w:r>
          </w:p>
        </w:tc>
        <w:tc>
          <w:tcPr>
            <w:tcW w:w="67" w:type="dxa"/>
            <w:tcBorders/>
            <w:shd w:fill="CCEEFF" w:val="clear"/>
            <w:vAlign w:val="bottom"/>
          </w:tcPr>
          <w:p>
            <w:pPr>
              <w:pStyle w:val="TableContents"/>
              <w:pBdr/>
              <w:bidi w:val="0"/>
              <w:spacing w:before="0" w:after="0"/>
              <w:ind w:left="0" w:right="0" w:hanging="0"/>
              <w:jc w:val="left"/>
              <w:rPr/>
            </w:pPr>
            <w:r>
              <w:rPr/>
              <w:t> </w:t>
            </w:r>
          </w:p>
        </w:tc>
        <w:tc>
          <w:tcPr>
            <w:tcW w:w="23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(8,381</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36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4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(363</w:t>
            </w:r>
          </w:p>
        </w:tc>
        <w:tc>
          <w:tcPr>
            <w:tcW w:w="89"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67" w:type="dxa"/>
            <w:tcBorders/>
            <w:shd w:fill="CCEEFF" w:val="clear"/>
            <w:vAlign w:val="bottom"/>
          </w:tcPr>
          <w:p>
            <w:pPr>
              <w:pStyle w:val="TableContents"/>
              <w:pBdr/>
              <w:bidi w:val="0"/>
              <w:spacing w:before="0" w:after="0"/>
              <w:ind w:left="0" w:right="0" w:hanging="0"/>
              <w:jc w:val="left"/>
              <w:rPr/>
            </w:pPr>
            <w:r>
              <w:rPr/>
              <w:t> </w:t>
            </w:r>
          </w:p>
        </w:tc>
        <w:tc>
          <w:tcPr>
            <w:tcW w:w="19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(3,748</w:t>
            </w:r>
          </w:p>
        </w:tc>
        <w:tc>
          <w:tcPr>
            <w:tcW w:w="1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88"/>
        <w:gridCol w:w="95"/>
        <w:gridCol w:w="139"/>
        <w:gridCol w:w="1129"/>
        <w:gridCol w:w="95"/>
        <w:gridCol w:w="95"/>
        <w:gridCol w:w="307"/>
        <w:gridCol w:w="1198"/>
        <w:gridCol w:w="95"/>
        <w:gridCol w:w="95"/>
        <w:gridCol w:w="288"/>
        <w:gridCol w:w="1503"/>
        <w:gridCol w:w="127"/>
        <w:gridCol w:w="95"/>
        <w:gridCol w:w="280"/>
        <w:gridCol w:w="1225"/>
        <w:gridCol w:w="151"/>
      </w:tblGrid>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Common</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left"/>
              <w:rPr/>
            </w:pPr>
            <w:r>
              <w:rPr/>
              <w:t> </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Net Parent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Stock</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Parent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vAlign w:val="center"/>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268"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Investment</w:t>
            </w:r>
          </w:p>
        </w:tc>
        <w:tc>
          <w:tcPr>
            <w:tcW w:w="95"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79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27" w:type="dxa"/>
            <w:tcBorders/>
            <w:vAlign w:val="bottom"/>
          </w:tcPr>
          <w:p>
            <w:pPr>
              <w:pStyle w:val="TableContents"/>
              <w:pBdr/>
              <w:bidi w:val="0"/>
              <w:spacing w:before="0" w:after="0"/>
              <w:ind w:left="0" w:right="0" w:hanging="0"/>
              <w:jc w:val="left"/>
              <w:rPr/>
            </w:pPr>
            <w:r>
              <w:rPr/>
              <w:t> </w:t>
            </w:r>
          </w:p>
        </w:tc>
        <w:tc>
          <w:tcPr>
            <w:tcW w:w="95" w:type="dxa"/>
            <w:tcBorders/>
            <w:vAlign w:val="bottom"/>
          </w:tcPr>
          <w:p>
            <w:pPr>
              <w:pStyle w:val="TableContents"/>
              <w:pBdr/>
              <w:bidi w:val="0"/>
              <w:spacing w:before="0" w:after="0"/>
              <w:ind w:left="0" w:right="0" w:hanging="0"/>
              <w:jc w:val="left"/>
              <w:rPr/>
            </w:pPr>
            <w:r>
              <w:rPr/>
              <w:t> </w:t>
            </w:r>
          </w:p>
        </w:tc>
        <w:tc>
          <w:tcPr>
            <w:tcW w:w="150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151" w:type="dxa"/>
            <w:tcBorders/>
            <w:vAlign w:val="bottom"/>
          </w:tcPr>
          <w:p>
            <w:pPr>
              <w:pStyle w:val="TableContents"/>
              <w:pBdr/>
              <w:bidi w:val="0"/>
              <w:spacing w:before="0" w:after="0"/>
              <w:ind w:left="0" w:right="0" w:hanging="0"/>
              <w:jc w:val="left"/>
              <w:rPr/>
            </w:pPr>
            <w:r>
              <w:rPr/>
              <w:t> </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January 1, 2026</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7,063</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(10,836</w:t>
            </w:r>
          </w:p>
        </w:tc>
        <w:tc>
          <w:tcPr>
            <w:tcW w:w="12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(3,773</w:t>
            </w:r>
          </w:p>
        </w:tc>
        <w:tc>
          <w:tcPr>
            <w:tcW w:w="151"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pPr>
            <w:r>
              <w:rPr/>
              <w:t> </w:t>
            </w:r>
          </w:p>
        </w:tc>
        <w:tc>
          <w:tcPr>
            <w:tcW w:w="1198" w:type="dxa"/>
            <w:tcBorders/>
            <w:shd w:fill="FFFFFF" w:val="clear"/>
            <w:vAlign w:val="bottom"/>
          </w:tcPr>
          <w:p>
            <w:pPr>
              <w:pStyle w:val="TableContents"/>
              <w:pBdr/>
              <w:bidi w:val="0"/>
              <w:spacing w:before="0" w:after="0"/>
              <w:ind w:left="0" w:right="0" w:hanging="0"/>
              <w:jc w:val="right"/>
              <w:rPr/>
            </w:pPr>
            <w:r>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pPr>
            <w:r>
              <w:rPr/>
              <w:t> </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pPr>
            <w:r>
              <w:rPr/>
              <w:t> </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8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Investment by parent</w:t>
            </w:r>
          </w:p>
        </w:tc>
        <w:tc>
          <w:tcPr>
            <w:tcW w:w="95" w:type="dxa"/>
            <w:tcBorders/>
            <w:shd w:fill="CCEEFF" w:val="clear"/>
            <w:vAlign w:val="bottom"/>
          </w:tcPr>
          <w:p>
            <w:pPr>
              <w:pStyle w:val="TableContents"/>
              <w:pBdr/>
              <w:bidi w:val="0"/>
              <w:spacing w:before="0" w:after="0"/>
              <w:ind w:left="0" w:right="0" w:hanging="0"/>
              <w:jc w:val="left"/>
              <w:rPr/>
            </w:pPr>
            <w:r>
              <w:rPr/>
              <w:t> </w:t>
            </w:r>
          </w:p>
        </w:tc>
        <w:tc>
          <w:tcPr>
            <w:tcW w:w="139" w:type="dxa"/>
            <w:tcBorders/>
            <w:shd w:fill="CCEEFF" w:val="clear"/>
            <w:vAlign w:val="bottom"/>
          </w:tcPr>
          <w:p>
            <w:pPr>
              <w:pStyle w:val="TableContents"/>
              <w:pBdr/>
              <w:bidi w:val="0"/>
              <w:spacing w:before="0" w:after="0"/>
              <w:ind w:left="0" w:right="0" w:hanging="0"/>
              <w:jc w:val="left"/>
              <w:rPr/>
            </w:pPr>
            <w:r>
              <w:rPr/>
              <w:t> </w:t>
            </w:r>
          </w:p>
        </w:tc>
        <w:tc>
          <w:tcPr>
            <w:tcW w:w="1129" w:type="dxa"/>
            <w:tcBorders/>
            <w:shd w:fill="CCEEFF" w:val="clear"/>
            <w:vAlign w:val="bottom"/>
          </w:tcPr>
          <w:p>
            <w:pPr>
              <w:pStyle w:val="TableContents"/>
              <w:pBdr/>
              <w:bidi w:val="0"/>
              <w:spacing w:before="0" w:after="0"/>
              <w:ind w:left="0" w:right="0" w:hanging="0"/>
              <w:jc w:val="right"/>
              <w:rPr/>
            </w:pPr>
            <w:r>
              <w:rPr/>
              <w:t>—</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307" w:type="dxa"/>
            <w:tcBorders/>
            <w:shd w:fill="CCEEFF" w:val="clear"/>
            <w:vAlign w:val="bottom"/>
          </w:tcPr>
          <w:p>
            <w:pPr>
              <w:pStyle w:val="TableContents"/>
              <w:pBdr/>
              <w:bidi w:val="0"/>
              <w:spacing w:before="0" w:after="0"/>
              <w:ind w:left="0" w:right="0" w:hanging="0"/>
              <w:jc w:val="left"/>
              <w:rPr/>
            </w:pPr>
            <w:r>
              <w:rPr/>
              <w:t> </w:t>
            </w:r>
          </w:p>
        </w:tc>
        <w:tc>
          <w:tcPr>
            <w:tcW w:w="119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95"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8" w:type="dxa"/>
            <w:tcBorders/>
            <w:shd w:fill="CCEEFF" w:val="clear"/>
            <w:vAlign w:val="bottom"/>
          </w:tcPr>
          <w:p>
            <w:pPr>
              <w:pStyle w:val="TableContents"/>
              <w:pBdr/>
              <w:bidi w:val="0"/>
              <w:spacing w:before="0" w:after="0"/>
              <w:ind w:left="0" w:right="0" w:hanging="0"/>
              <w:jc w:val="left"/>
              <w:rPr/>
            </w:pPr>
            <w:r>
              <w:rPr/>
              <w:t> </w:t>
            </w:r>
          </w:p>
        </w:tc>
        <w:tc>
          <w:tcPr>
            <w:tcW w:w="1503" w:type="dxa"/>
            <w:tcBorders/>
            <w:shd w:fill="CCEEFF" w:val="clear"/>
            <w:vAlign w:val="bottom"/>
          </w:tcPr>
          <w:p>
            <w:pPr>
              <w:pStyle w:val="TableContents"/>
              <w:pBdr/>
              <w:bidi w:val="0"/>
              <w:spacing w:before="0" w:after="0"/>
              <w:ind w:left="0" w:right="0" w:hanging="0"/>
              <w:jc w:val="right"/>
              <w:rPr/>
            </w:pPr>
            <w:r>
              <w:rPr/>
              <w:t>—</w:t>
            </w:r>
          </w:p>
        </w:tc>
        <w:tc>
          <w:tcPr>
            <w:tcW w:w="127" w:type="dxa"/>
            <w:tcBorders/>
            <w:shd w:fill="CCEEFF" w:val="clear"/>
            <w:vAlign w:val="bottom"/>
          </w:tcPr>
          <w:p>
            <w:pPr>
              <w:pStyle w:val="TableContents"/>
              <w:pBdr/>
              <w:bidi w:val="0"/>
              <w:spacing w:before="0" w:after="0"/>
              <w:ind w:left="0" w:right="0" w:hanging="0"/>
              <w:jc w:val="left"/>
              <w:rPr/>
            </w:pPr>
            <w:r>
              <w:rPr/>
              <w:t> </w:t>
            </w:r>
          </w:p>
        </w:tc>
        <w:tc>
          <w:tcPr>
            <w:tcW w:w="95" w:type="dxa"/>
            <w:tcBorders/>
            <w:shd w:fill="CCEEFF" w:val="clear"/>
            <w:vAlign w:val="bottom"/>
          </w:tcPr>
          <w:p>
            <w:pPr>
              <w:pStyle w:val="TableContents"/>
              <w:pBdr/>
              <w:bidi w:val="0"/>
              <w:spacing w:before="0" w:after="0"/>
              <w:ind w:left="0" w:right="0" w:hanging="0"/>
              <w:jc w:val="left"/>
              <w:rPr/>
            </w:pPr>
            <w:r>
              <w:rPr/>
              <w:t> </w:t>
            </w:r>
          </w:p>
        </w:tc>
        <w:tc>
          <w:tcPr>
            <w:tcW w:w="280" w:type="dxa"/>
            <w:tcBorders/>
            <w:shd w:fill="CCEEFF" w:val="clear"/>
            <w:vAlign w:val="bottom"/>
          </w:tcPr>
          <w:p>
            <w:pPr>
              <w:pStyle w:val="TableContents"/>
              <w:pBdr/>
              <w:bidi w:val="0"/>
              <w:spacing w:before="0" w:after="0"/>
              <w:ind w:left="0" w:right="0" w:hanging="0"/>
              <w:jc w:val="left"/>
              <w:rPr/>
            </w:pPr>
            <w:r>
              <w:rPr/>
              <w:t> </w:t>
            </w:r>
          </w:p>
        </w:tc>
        <w:tc>
          <w:tcPr>
            <w:tcW w:w="122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1" w:type="dxa"/>
            <w:tcBorders/>
            <w:shd w:fill="CCEEFF" w:val="clear"/>
            <w:vAlign w:val="bottom"/>
          </w:tcPr>
          <w:p>
            <w:pPr>
              <w:pStyle w:val="TableContents"/>
              <w:pBdr/>
              <w:bidi w:val="0"/>
              <w:spacing w:before="0" w:after="0"/>
              <w:ind w:left="0" w:right="0" w:hanging="0"/>
              <w:jc w:val="left"/>
              <w:rPr/>
            </w:pPr>
            <w:r>
              <w:rPr/>
              <w:t> </w:t>
            </w:r>
          </w:p>
        </w:tc>
      </w:tr>
      <w:tr>
        <w:trPr/>
        <w:tc>
          <w:tcPr>
            <w:tcW w:w="3288" w:type="dxa"/>
            <w:tcBorders/>
            <w:shd w:fill="FFFF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Balance, March 31, 2026</w:t>
            </w:r>
          </w:p>
        </w:tc>
        <w:tc>
          <w:tcPr>
            <w:tcW w:w="95" w:type="dxa"/>
            <w:tcBorders/>
            <w:shd w:fill="FFFFFF" w:val="clear"/>
            <w:vAlign w:val="bottom"/>
          </w:tcPr>
          <w:p>
            <w:pPr>
              <w:pStyle w:val="TableContents"/>
              <w:pBdr/>
              <w:bidi w:val="0"/>
              <w:spacing w:before="0" w:after="0"/>
              <w:ind w:left="0" w:right="0" w:hanging="0"/>
              <w:jc w:val="left"/>
              <w:rPr/>
            </w:pPr>
            <w:r>
              <w:rPr/>
              <w:t> </w:t>
            </w:r>
          </w:p>
        </w:tc>
        <w:tc>
          <w:tcPr>
            <w:tcW w:w="139" w:type="dxa"/>
            <w:tcBorders/>
            <w:shd w:fill="FFFFFF" w:val="clear"/>
            <w:vAlign w:val="bottom"/>
          </w:tcPr>
          <w:p>
            <w:pPr>
              <w:pStyle w:val="TableContents"/>
              <w:pBdr/>
              <w:bidi w:val="0"/>
              <w:spacing w:before="0" w:after="0"/>
              <w:ind w:left="0" w:right="0" w:hanging="0"/>
              <w:jc w:val="left"/>
              <w:rPr/>
            </w:pPr>
            <w:r>
              <w:rPr/>
              <w:t> </w:t>
            </w:r>
          </w:p>
        </w:tc>
        <w:tc>
          <w:tcPr>
            <w:tcW w:w="1129"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5,000</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30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9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7,857</w:t>
            </w:r>
          </w:p>
        </w:tc>
        <w:tc>
          <w:tcPr>
            <w:tcW w:w="95" w:type="dxa"/>
            <w:tcBorders/>
            <w:shd w:fill="FFFFFF" w:val="clear"/>
            <w:vAlign w:val="bottom"/>
          </w:tcPr>
          <w:p>
            <w:pPr>
              <w:pStyle w:val="TableContents"/>
              <w:pBdr/>
              <w:bidi w:val="0"/>
              <w:spacing w:before="0" w:after="0"/>
              <w:ind w:left="0" w:right="0" w:hanging="0"/>
              <w:jc w:val="left"/>
              <w:rPr/>
            </w:pPr>
            <w:r>
              <w:rPr/>
              <w:t> </w:t>
            </w:r>
          </w:p>
        </w:tc>
        <w:tc>
          <w:tcPr>
            <w:tcW w:w="95" w:type="dxa"/>
            <w:tcBorders/>
            <w:shd w:fill="FFFFFF" w:val="clear"/>
            <w:vAlign w:val="bottom"/>
          </w:tcPr>
          <w:p>
            <w:pPr>
              <w:pStyle w:val="TableContents"/>
              <w:pBdr/>
              <w:bidi w:val="0"/>
              <w:spacing w:before="0" w:after="0"/>
              <w:ind w:left="0" w:right="0" w:hanging="0"/>
              <w:jc w:val="left"/>
              <w:rPr/>
            </w:pPr>
            <w:r>
              <w:rPr/>
              <w:t> </w:t>
            </w:r>
          </w:p>
        </w:tc>
        <w:tc>
          <w:tcPr>
            <w:tcW w:w="288"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03"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(11,604</w:t>
            </w:r>
          </w:p>
        </w:tc>
        <w:tc>
          <w:tcPr>
            <w:tcW w:w="12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pBdr/>
              <w:bidi w:val="0"/>
              <w:spacing w:before="0" w:after="0"/>
              <w:ind w:left="0" w:right="0" w:hanging="0"/>
              <w:jc w:val="left"/>
              <w:rPr/>
            </w:pPr>
            <w:r>
              <w:rPr/>
              <w:t> </w:t>
            </w:r>
          </w:p>
        </w:tc>
        <w:tc>
          <w:tcPr>
            <w:tcW w:w="280"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22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(3,747</w:t>
            </w:r>
          </w:p>
        </w:tc>
        <w:tc>
          <w:tcPr>
            <w:tcW w:w="151"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pPr>
      <w:r>
        <w:rPr/>
        <w:t> </w:t>
      </w:r>
      <w:r>
        <w:rPr>
          <w:rFonts w:ascii="Times New Roman" w:hAnsi="Times New Roman"/>
          <w:b/>
          <w:sz w:val="20"/>
        </w:rPr>
        <w:t>CORTIGENT, INC.</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Condensed Consolidated Statements of Cash Flows</w:t>
        </w:r>
      </w:hyperlink>
    </w:p>
    <w:p>
      <w:pPr>
        <w:pStyle w:val="TextBody"/>
        <w:bidi w:val="0"/>
        <w:spacing w:lineRule="auto" w:line="288" w:before="0" w:after="0"/>
        <w:ind w:left="0" w:right="0" w:hanging="0"/>
        <w:jc w:val="center"/>
        <w:rPr/>
      </w:pPr>
      <w:r>
        <w:rPr/>
        <w:t> </w:t>
      </w:r>
      <w:r>
        <w:rPr>
          <w:rFonts w:ascii="Times New Roman" w:hAnsi="Times New Roman"/>
          <w:b/>
          <w:sz w:val="20"/>
        </w:rPr>
        <w:t>(In thousands)</w:t>
      </w:r>
      <w:r>
        <w:rPr>
          <w:rFonts w:ascii="times new roman;times" w:hAnsi="times new roman;times"/>
          <w:sz w:val="20"/>
        </w:rPr>
        <w:br/>
      </w:r>
      <w:r>
        <w:rPr>
          <w:rFonts w:ascii="Times New Roman" w:hAnsi="Times New Roman"/>
          <w:b/>
          <w:sz w:val="20"/>
        </w:rPr>
        <w:t>(Unaudited)</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7691"/>
        <w:gridCol w:w="78"/>
        <w:gridCol w:w="244"/>
        <w:gridCol w:w="775"/>
        <w:gridCol w:w="157"/>
        <w:gridCol w:w="117"/>
        <w:gridCol w:w="245"/>
        <w:gridCol w:w="775"/>
        <w:gridCol w:w="123"/>
      </w:tblGrid>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2313" w:type="dxa"/>
            <w:gridSpan w:val="6"/>
            <w:tcBorders/>
            <w:vAlign w:val="bottom"/>
          </w:tcPr>
          <w:p>
            <w:pPr>
              <w:pStyle w:val="TableContents"/>
              <w:pBdr/>
              <w:bidi w:val="0"/>
              <w:spacing w:before="0" w:after="0"/>
              <w:ind w:left="0" w:right="0" w:hanging="0"/>
              <w:jc w:val="center"/>
              <w:rPr/>
            </w:pPr>
            <w:r>
              <w:rPr>
                <w:rFonts w:ascii="Times New Roman" w:hAnsi="Times New Roman"/>
                <w:b/>
                <w:sz w:val="20"/>
              </w:rPr>
              <w:t>Three Months Ended</w:t>
            </w:r>
            <w:r>
              <w:rPr/>
              <w:br/>
            </w:r>
            <w:r>
              <w:rPr>
                <w:rFonts w:ascii="Times New Roman" w:hAnsi="Times New Roman"/>
                <w:b/>
                <w:sz w:val="20"/>
              </w:rPr>
              <w:t>March 31,</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vAlign w:val="center"/>
          </w:tcPr>
          <w:p>
            <w:pPr>
              <w:pStyle w:val="TableContents"/>
              <w:bidi w:val="0"/>
              <w:spacing w:before="0" w:after="0"/>
              <w:ind w:left="0" w:right="0" w:hanging="0"/>
              <w:jc w:val="left"/>
              <w:rPr/>
            </w:pPr>
            <w:r>
              <w:rPr/>
              <w:t> </w:t>
            </w:r>
          </w:p>
        </w:tc>
        <w:tc>
          <w:tcPr>
            <w:tcW w:w="78" w:type="dxa"/>
            <w:tcBorders/>
            <w:vAlign w:val="bottom"/>
          </w:tcPr>
          <w:p>
            <w:pPr>
              <w:pStyle w:val="TableContents"/>
              <w:pBdr/>
              <w:bidi w:val="0"/>
              <w:spacing w:before="0" w:after="0"/>
              <w:ind w:left="0" w:right="0" w:hanging="0"/>
              <w:jc w:val="left"/>
              <w:rPr/>
            </w:pPr>
            <w:r>
              <w:rPr/>
              <w:t> </w:t>
            </w:r>
          </w:p>
        </w:tc>
        <w:tc>
          <w:tcPr>
            <w:tcW w:w="1019"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57" w:type="dxa"/>
            <w:tcBorders/>
            <w:vAlign w:val="bottom"/>
          </w:tcPr>
          <w:p>
            <w:pPr>
              <w:pStyle w:val="TableContents"/>
              <w:pBdr/>
              <w:bidi w:val="0"/>
              <w:spacing w:before="0" w:after="0"/>
              <w:ind w:left="0" w:right="0" w:hanging="0"/>
              <w:jc w:val="left"/>
              <w:rPr/>
            </w:pPr>
            <w:r>
              <w:rPr/>
              <w:t> </w:t>
            </w:r>
          </w:p>
        </w:tc>
        <w:tc>
          <w:tcPr>
            <w:tcW w:w="117" w:type="dxa"/>
            <w:tcBorders/>
            <w:vAlign w:val="bottom"/>
          </w:tcPr>
          <w:p>
            <w:pPr>
              <w:pStyle w:val="TableContents"/>
              <w:pBdr/>
              <w:bidi w:val="0"/>
              <w:spacing w:before="0" w:after="0"/>
              <w:ind w:left="0" w:right="0" w:hanging="0"/>
              <w:jc w:val="left"/>
              <w:rPr/>
            </w:pPr>
            <w:r>
              <w:rPr/>
              <w:t> </w:t>
            </w:r>
          </w:p>
        </w:tc>
        <w:tc>
          <w:tcPr>
            <w:tcW w:w="102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23" w:type="dxa"/>
            <w:tcBorders/>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(768</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(657</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of property and equipment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113</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 expenses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w:t>
            </w:r>
          </w:p>
        </w:tc>
        <w:tc>
          <w:tcPr>
            <w:tcW w:w="157"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(833</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(548</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investment of parent</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794</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315</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pPr>
            <w:r>
              <w:rPr/>
              <w:t> </w:t>
            </w:r>
          </w:p>
        </w:tc>
        <w:tc>
          <w:tcPr>
            <w:tcW w:w="123" w:type="dxa"/>
            <w:tcBorders/>
            <w:shd w:fill="FFFFFF" w:val="clear"/>
            <w:vAlign w:val="bottom"/>
          </w:tcPr>
          <w:p>
            <w:pPr>
              <w:pStyle w:val="TableContents"/>
              <w:pBdr/>
              <w:bidi w:val="0"/>
              <w:spacing w:before="0" w:after="0"/>
              <w:ind w:left="0" w:right="0" w:hanging="0"/>
              <w:jc w:val="left"/>
              <w:rPr/>
            </w:pPr>
            <w:r>
              <w:rPr/>
              <w:t> </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pPr>
            <w:r>
              <w:rPr/>
              <w:t> </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(39</w:t>
            </w:r>
          </w:p>
        </w:tc>
        <w:tc>
          <w:tcPr>
            <w:tcW w:w="15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pPr>
            <w:r>
              <w:rPr/>
              <w:t> </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(233</w:t>
            </w:r>
          </w:p>
        </w:tc>
        <w:tc>
          <w:tcPr>
            <w:tcW w:w="12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6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beginning of period</w:t>
            </w:r>
          </w:p>
        </w:tc>
        <w:tc>
          <w:tcPr>
            <w:tcW w:w="78" w:type="dxa"/>
            <w:tcBorders/>
            <w:shd w:fill="CCEEFF" w:val="clear"/>
            <w:vAlign w:val="bottom"/>
          </w:tcPr>
          <w:p>
            <w:pPr>
              <w:pStyle w:val="TableContents"/>
              <w:pBdr/>
              <w:bidi w:val="0"/>
              <w:spacing w:before="0" w:after="0"/>
              <w:ind w:left="0" w:right="0" w:hanging="0"/>
              <w:jc w:val="left"/>
              <w:rPr/>
            </w:pPr>
            <w:r>
              <w:rPr/>
              <w:t> </w:t>
            </w:r>
          </w:p>
        </w:tc>
        <w:tc>
          <w:tcPr>
            <w:tcW w:w="244"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467</w:t>
            </w:r>
          </w:p>
        </w:tc>
        <w:tc>
          <w:tcPr>
            <w:tcW w:w="157" w:type="dxa"/>
            <w:tcBorders/>
            <w:shd w:fill="CCEEFF" w:val="clear"/>
            <w:vAlign w:val="bottom"/>
          </w:tcPr>
          <w:p>
            <w:pPr>
              <w:pStyle w:val="TableContents"/>
              <w:pBdr/>
              <w:bidi w:val="0"/>
              <w:spacing w:before="0" w:after="0"/>
              <w:ind w:left="0" w:right="0" w:hanging="0"/>
              <w:jc w:val="left"/>
              <w:rPr/>
            </w:pPr>
            <w:r>
              <w:rPr/>
              <w:t> </w:t>
            </w:r>
          </w:p>
        </w:tc>
        <w:tc>
          <w:tcPr>
            <w:tcW w:w="117" w:type="dxa"/>
            <w:tcBorders/>
            <w:shd w:fill="CCEEFF" w:val="clear"/>
            <w:vAlign w:val="bottom"/>
          </w:tcPr>
          <w:p>
            <w:pPr>
              <w:pStyle w:val="TableContents"/>
              <w:pBdr/>
              <w:bidi w:val="0"/>
              <w:spacing w:before="0" w:after="0"/>
              <w:ind w:left="0" w:right="0" w:hanging="0"/>
              <w:jc w:val="left"/>
              <w:rPr/>
            </w:pPr>
            <w:r>
              <w:rPr/>
              <w:t> </w:t>
            </w:r>
          </w:p>
        </w:tc>
        <w:tc>
          <w:tcPr>
            <w:tcW w:w="245" w:type="dxa"/>
            <w:tcBorders/>
            <w:shd w:fill="CCEEFF" w:val="clear"/>
            <w:vAlign w:val="bottom"/>
          </w:tcPr>
          <w:p>
            <w:pPr>
              <w:pStyle w:val="TableContents"/>
              <w:pBdr/>
              <w:bidi w:val="0"/>
              <w:spacing w:before="0" w:after="0"/>
              <w:ind w:left="0" w:right="0" w:hanging="0"/>
              <w:jc w:val="left"/>
              <w:rPr/>
            </w:pPr>
            <w:r>
              <w:rPr/>
              <w:t> </w:t>
            </w:r>
          </w:p>
        </w:tc>
        <w:tc>
          <w:tcPr>
            <w:tcW w:w="7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797</w:t>
            </w:r>
          </w:p>
        </w:tc>
        <w:tc>
          <w:tcPr>
            <w:tcW w:w="123" w:type="dxa"/>
            <w:tcBorders/>
            <w:shd w:fill="CCEEFF" w:val="clear"/>
            <w:vAlign w:val="bottom"/>
          </w:tcPr>
          <w:p>
            <w:pPr>
              <w:pStyle w:val="TableContents"/>
              <w:pBdr/>
              <w:bidi w:val="0"/>
              <w:spacing w:before="0" w:after="0"/>
              <w:ind w:left="0" w:right="0" w:hanging="0"/>
              <w:jc w:val="left"/>
              <w:rPr/>
            </w:pPr>
            <w:r>
              <w:rPr/>
              <w:t> </w:t>
            </w:r>
          </w:p>
        </w:tc>
      </w:tr>
      <w:tr>
        <w:trPr/>
        <w:tc>
          <w:tcPr>
            <w:tcW w:w="76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end of period</w:t>
            </w:r>
          </w:p>
        </w:tc>
        <w:tc>
          <w:tcPr>
            <w:tcW w:w="78" w:type="dxa"/>
            <w:tcBorders/>
            <w:shd w:fill="FFFFFF" w:val="clear"/>
            <w:vAlign w:val="bottom"/>
          </w:tcPr>
          <w:p>
            <w:pPr>
              <w:pStyle w:val="TableContents"/>
              <w:pBdr/>
              <w:bidi w:val="0"/>
              <w:spacing w:before="0" w:after="0"/>
              <w:ind w:left="0" w:right="0" w:hanging="0"/>
              <w:jc w:val="left"/>
              <w:rPr/>
            </w:pPr>
            <w:r>
              <w:rPr/>
              <w:t> </w:t>
            </w:r>
          </w:p>
        </w:tc>
        <w:tc>
          <w:tcPr>
            <w:tcW w:w="244"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428</w:t>
            </w:r>
          </w:p>
        </w:tc>
        <w:tc>
          <w:tcPr>
            <w:tcW w:w="157" w:type="dxa"/>
            <w:tcBorders/>
            <w:shd w:fill="FFFFFF" w:val="clear"/>
            <w:vAlign w:val="bottom"/>
          </w:tcPr>
          <w:p>
            <w:pPr>
              <w:pStyle w:val="TableContents"/>
              <w:pBdr/>
              <w:bidi w:val="0"/>
              <w:spacing w:before="0" w:after="0"/>
              <w:ind w:left="0" w:right="0" w:hanging="0"/>
              <w:jc w:val="left"/>
              <w:rPr/>
            </w:pPr>
            <w:r>
              <w:rPr/>
              <w:t> </w:t>
            </w:r>
          </w:p>
        </w:tc>
        <w:tc>
          <w:tcPr>
            <w:tcW w:w="117" w:type="dxa"/>
            <w:tcBorders/>
            <w:shd w:fill="FFFFFF" w:val="clear"/>
            <w:vAlign w:val="bottom"/>
          </w:tcPr>
          <w:p>
            <w:pPr>
              <w:pStyle w:val="TableContents"/>
              <w:pBdr/>
              <w:bidi w:val="0"/>
              <w:spacing w:before="0" w:after="0"/>
              <w:ind w:left="0" w:right="0" w:hanging="0"/>
              <w:jc w:val="left"/>
              <w:rPr/>
            </w:pPr>
            <w:r>
              <w:rPr/>
              <w:t> </w:t>
            </w:r>
          </w:p>
        </w:tc>
        <w:tc>
          <w:tcPr>
            <w:tcW w:w="245"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775"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564</w:t>
            </w:r>
          </w:p>
        </w:tc>
        <w:tc>
          <w:tcPr>
            <w:tcW w:w="123" w:type="dxa"/>
            <w:tcBorders/>
            <w:shd w:fill="FFFF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lineRule="auto" w:line="288" w:before="0" w:after="0"/>
        <w:ind w:left="0" w:right="0" w:hanging="0"/>
        <w:jc w:val="center"/>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C-20</w:t>
            </w:r>
          </w:p>
        </w:tc>
      </w:tr>
    </w:tbl>
    <w:p>
      <w:pPr>
        <w:pStyle w:val="HorizontalLine"/>
        <w:pBdr>
          <w:bottom w:val="double" w:sz="2" w:space="0" w:color="808080"/>
        </w:pBdr>
        <w:bidi w:val="0"/>
        <w:spacing w:before="0" w:after="283"/>
        <w:jc w:val="left"/>
        <w:rPr/>
      </w:pPr>
      <w:r>
        <w:rPr/>
      </w:r>
    </w:p>
    <w:p>
      <w:pPr>
        <w:pStyle w:val="TextBody"/>
        <w:bidi w:val="0"/>
        <w:spacing w:before="0" w:after="0"/>
        <w:jc w:val="left"/>
        <w:rPr>
          <w:shd w:fill="FFFFFF" w:val="clear"/>
        </w:rPr>
      </w:pPr>
      <w:r>
        <w:rPr>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CORTIGENT, INC.</w:t>
      </w:r>
    </w:p>
    <w:p>
      <w:pPr>
        <w:pStyle w:val="TextBody"/>
        <w:bidi w:val="0"/>
        <w:spacing w:lineRule="auto" w:line="288" w:before="0" w:after="0"/>
        <w:ind w:left="0" w:right="0" w:hanging="0"/>
        <w:jc w:val="center"/>
        <w:rPr/>
      </w:pPr>
      <w:r>
        <w:rPr/>
        <w:t> </w:t>
      </w:r>
      <w:r>
        <w:rPr>
          <w:rFonts w:ascii="Times New Roman" w:hAnsi="Times New Roman"/>
          <w:b/>
          <w:sz w:val="20"/>
        </w:rPr>
        <w:t>AND SUBSIDIARY</w:t>
      </w:r>
    </w:p>
    <w:p>
      <w:pPr>
        <w:pStyle w:val="TextBody"/>
        <w:bidi w:val="0"/>
        <w:spacing w:lineRule="auto" w:line="288" w:before="0" w:after="0"/>
        <w:ind w:left="0" w:right="0" w:hanging="0"/>
        <w:jc w:val="center"/>
        <w:rPr/>
      </w:pPr>
      <w:r>
        <w:rPr/>
        <w:t> </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000000"/>
            <w:sz w:val="20"/>
            <w:u w:val="none"/>
            <w:effect w:val="none"/>
          </w:rPr>
          <w:t>Notes to Unaudited Condensed Consolidated Financial Statements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Organization and Business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These unaudited condensed consolidated financial statements represent the financial position and results of operations of the Neuromodulation business segment of Vivani Medical, Inc. (“Vivani”). On August 30, 2022, Second Sight Medical Products, Inc., (“Second Sight”) changed its name to Vivani Medical, Inc. and merged with Nano Precision Medical Products, Inc. (“NPM”) (the “Merger”). On December 28, 2022, the assets and liabilities of the segment were contributed to Cortigent, Inc. (“Cortigent”</w:t>
      </w:r>
      <w:r>
        <w:rPr>
          <w:rFonts w:ascii="times new roman;times" w:hAnsi="times new roman;times"/>
          <w:sz w:val="20"/>
        </w:rPr>
        <w:t> </w:t>
      </w:r>
      <w:r>
        <w:rPr>
          <w:rFonts w:ascii="Times New Roman" w:hAnsi="Times New Roman"/>
          <w:sz w:val="20"/>
        </w:rPr>
        <w:t>or the “Company”) a newly formed wholly owned subsidiary of Vivani, in exchange for five million shares of common stock of Cortigent. For convenience, the Neuromodulation business segment is referred to hereafter as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Cortigent is a leader in developing targeted neurostimulation systems that enable patients to recover critical body functions including vision and muscle movement. Our technology combines advanced neuroscience with proprietary microelectronics, software, and data processing capabilities. The first-generation system of our predecessor Second Sight, Argus II, was approved by the FDA under a Humanitarian Device Exemption (“HDE”) and has successfully restored partial vision to hundreds of profoundly blind people. Building on this achievement, we completed a six-year Early Feasibility Study in March 2025 for a more advanced artificial vision system we call the </w:t>
      </w:r>
      <w:r>
        <w:rPr>
          <w:rFonts w:ascii="Times New Roman" w:hAnsi="Times New Roman"/>
          <w:i/>
          <w:sz w:val="20"/>
        </w:rPr>
        <w:t>Orion</w:t>
      </w:r>
      <w:r>
        <w:rPr>
          <w:rFonts w:ascii="Times New Roman" w:hAnsi="Times New Roman"/>
          <w:i/>
          <w:sz w:val="13"/>
        </w:rPr>
        <w:t>®</w:t>
      </w:r>
      <w:r>
        <w:rPr>
          <w:rFonts w:ascii="times new roman;times" w:hAnsi="times new roman;times"/>
          <w:sz w:val="20"/>
        </w:rPr>
        <w:t xml:space="preserve"> </w:t>
      </w:r>
      <w:r>
        <w:rPr>
          <w:rFonts w:ascii="Times New Roman" w:hAnsi="Times New Roman"/>
          <w:i/>
          <w:sz w:val="20"/>
        </w:rPr>
        <w:t>Visual Cortical Prosthesis System</w:t>
      </w:r>
      <w:r>
        <w:rPr>
          <w:rFonts w:ascii="Times New Roman" w:hAnsi="Times New Roman"/>
          <w:sz w:val="20"/>
        </w:rPr>
        <w:t xml:space="preserve">. Our next planned application is to accelerate the recovery of arm and hand movement in patients who are partially paralyzed due to stroke by our </w:t>
      </w:r>
      <w:r>
        <w:rPr>
          <w:rFonts w:ascii="Times New Roman" w:hAnsi="Times New Roman"/>
          <w:i/>
          <w:sz w:val="20"/>
        </w:rPr>
        <w:t>Stroke Recovery System</w:t>
      </w:r>
      <w:r>
        <w:rPr>
          <w:rFonts w:ascii="Times New Roman" w:hAnsi="Times New Roman"/>
          <w:sz w:val="20"/>
        </w:rPr>
        <w:t>. Additional applications of our platform technology have the potential to generate substantial business growth over time.</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Cortigent includes the personnel, technologies, and other assets that formerly comprised Second Sight and, since the Merger, has continued as the Neuromodulation business segment of Vivani.</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Financial transactions between Cortigent and its parent are included in the condensed consolidated balance sheets and statements of net parent investment (deficit) under Net Parent Investment (Deficit). Net Parent Investment (Deficit) represents Vivani’s interest in the recorded net assets of Cortigent and the net effect of transactions between the two entities.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b/>
          <w:i/>
          <w:sz w:val="20"/>
        </w:rPr>
      </w:pPr>
      <w:r>
        <w:rPr>
          <w:rFonts w:ascii="Times New Roman" w:hAnsi="Times New Roman"/>
          <w:b/>
          <w:i/>
          <w:sz w:val="20"/>
        </w:rPr>
        <w:t>Liquidity and Going Concern</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Company’s condensed consolidated financial statements have been presented on the basis that it is a going concern, which contemplates the realization of assets and satisfaction of liabilities in the normal course of business. The Company’s technologies are currently in development and have not generated revenues.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Company has financed operations through support received from Vivani. The Company has an accumulated deficit of $11.6 million as of March 31, 2026, and has incurred net losses of $0.8 million and $3.1 million in the three months ended March 31, 2026 and year ended December 31, 2025, respectively, and expects to experience operating losses and negative cash flows for the foreseeable future. In connection with the Company’s assessment of going concern considerations in accordance with Financial Accounting Standards Board (“FASB”) Accounting Standards Codification (“ASC”) 205-40, management has determined that the limited amounts of cash raise</w:t>
      </w:r>
      <w:r>
        <w:rPr>
          <w:rFonts w:ascii="times new roman;times" w:hAnsi="times new roman;times"/>
          <w:sz w:val="20"/>
        </w:rPr>
        <w:t> </w:t>
      </w:r>
      <w:r>
        <w:rPr>
          <w:rFonts w:ascii="Times New Roman" w:hAnsi="Times New Roman"/>
          <w:sz w:val="20"/>
        </w:rPr>
        <w:t>substantial doubt about the Company’s ability to continue as a going concern within one year after the date that the accompanying consolidated financial statements are issued.</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Management believes that the successful growth and operation of the Company’s business is dependent upon its ability to obtain adequate sources of funding through equity or debt financing to adequately support the Company research and development programs and provide for working capital and general corporate purposes. The Company has and will continue to receive short-term liquidity support from Vivani. See Footnote 9 for discussion of the Transition Funding and Services Agreement between the Company and Vivani.</w:t>
      </w:r>
    </w:p>
    <w:p>
      <w:pPr>
        <w:pStyle w:val="TextBody"/>
        <w:bidi w:val="0"/>
        <w:spacing w:lineRule="auto" w:line="288" w:before="0" w:after="0"/>
        <w:ind w:left="0" w:right="0" w:hanging="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60"/>
        <w:jc w:val="both"/>
        <w:rPr/>
      </w:pPr>
      <w:r>
        <w:rPr/>
        <w:t> </w:t>
      </w:r>
      <w:r>
        <w:rPr>
          <w:rFonts w:ascii="Times New Roman" w:hAnsi="Times New Roman"/>
          <w:sz w:val="20"/>
        </w:rPr>
        <w:t>No assurance can be given that the Company will be successful in achieving its long-term plans as set forth above, or that such plans, if consummated, will result in profitable operations or enable the Company to continue in the long-term as a going concern. Management’s plans also include managing the Company’s cash burn by controlling expenditures. Failure to generate sufficient cash flows from operations, raise additional capital and reduce discretionary spending could have a material adverse effect on the Company’s ability to achieve its intended business objectives.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widowControl/>
        <w:bidi w:val="0"/>
        <w:spacing w:lineRule="auto" w:line="288"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2. Summary of Significant Accounting Policies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Basis of Presentation and Principles of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acceptable in the United States of America (“GAAP”) and include the unaudited interim consolidated financial statements of Cortigent and its wholly owned subsidiary, Second Sight Switzerland. Intercompany balances and transactions have been eliminated in consolidation.</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Use of Estimates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preparation of unaudited interim consolidated financial statements in conformity with GAAP requires management to make estimates and assumptions that affect the reported amounts of assets and liabilities at the date of the consolidated financial statements and the reported amounts of expenses during the reporting period. We base our estimates on historical experience and on various assumptions that are believed to be reasonable in relation to the consolidated financial statements,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Cash and Cash Equivalents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consider all highly liquid investments with a maturity of three months or less at the date of purchase to be cash equivalents. Cash equivalents are carried at fair value. We generally invest funds that are in excess of current needs in high credit quality instruments such as money market funds. There were no cash equivalents as of March 31, 2026 or December 31,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Property and equipment are recorded at historical cost less accumulated depreciation and amortization. Improvements are capitalized, while expenditures for maintenance and repairs are charged to expense as incurred. Upon disposal of depreciable property, the appropriate property accounts are reduced by the related costs and accumulated depreciation. The resulting gains and losses are reflected in the consolidated statement of operations.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is provided for using the straight-line method in amounts sufficient to relate the cost of assets to operations over their estimated service lives. Leasehold improvements are amortized over the shorter of the life of the asset or the related lease term. Estimated useful lives of the principal classes of assets are as follows:</w:t>
      </w:r>
    </w:p>
    <w:p>
      <w:pPr>
        <w:pStyle w:val="TextBody"/>
        <w:bidi w:val="0"/>
        <w:spacing w:lineRule="auto" w:line="288" w:before="0" w:after="0"/>
        <w:ind w:left="0" w:right="0" w:firstLine="432"/>
        <w:jc w:val="both"/>
        <w:rPr/>
      </w:pPr>
      <w:r>
        <w:rPr/>
        <w:t> </w:t>
      </w:r>
    </w:p>
    <w:tbl>
      <w:tblPr>
        <w:tblW w:w="5000" w:type="pct"/>
        <w:jc w:val="left"/>
        <w:tblInd w:w="0" w:type="dxa"/>
        <w:tblLayout w:type="fixed"/>
        <w:tblCellMar>
          <w:top w:w="0" w:type="dxa"/>
          <w:left w:w="0" w:type="dxa"/>
          <w:bottom w:w="0" w:type="dxa"/>
          <w:right w:w="0" w:type="dxa"/>
        </w:tblCellMar>
      </w:tblPr>
      <w:tblGrid>
        <w:gridCol w:w="4405"/>
        <w:gridCol w:w="5800"/>
      </w:tblGrid>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3 </w:t>
            </w:r>
            <w:r>
              <w:rPr/>
              <w:t xml:space="preserve">– </w:t>
            </w:r>
            <w:r>
              <w:rPr>
                <w:rFonts w:ascii="Times New Roman" w:hAnsi="Times New Roman"/>
                <w:sz w:val="20"/>
              </w:rPr>
              <w:t>7 years</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Leasehold improvements</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2 </w:t>
            </w:r>
            <w:r>
              <w:rPr/>
              <w:t xml:space="preserve">– </w:t>
            </w:r>
            <w:r>
              <w:rPr>
                <w:rFonts w:ascii="Times New Roman" w:hAnsi="Times New Roman"/>
                <w:sz w:val="20"/>
              </w:rPr>
              <w:t>5 years or the term of the lease, if shorter</w:t>
            </w:r>
          </w:p>
        </w:tc>
      </w:tr>
      <w:tr>
        <w:trPr/>
        <w:tc>
          <w:tcPr>
            <w:tcW w:w="44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Furniture, fixtures, and equipment</w:t>
            </w:r>
          </w:p>
        </w:tc>
        <w:tc>
          <w:tcPr>
            <w:tcW w:w="5800" w:type="dxa"/>
            <w:tcBorders/>
            <w:vAlign w:val="center"/>
          </w:tcPr>
          <w:p>
            <w:pPr>
              <w:pStyle w:val="TableContents"/>
              <w:widowControl/>
              <w:bidi w:val="0"/>
              <w:spacing w:before="0" w:after="0"/>
              <w:ind w:left="0" w:right="0" w:hanging="0"/>
              <w:jc w:val="right"/>
              <w:rPr/>
            </w:pPr>
            <w:r>
              <w:rPr/>
              <w:t> </w:t>
            </w:r>
            <w:r>
              <w:rPr>
                <w:rFonts w:ascii="Times New Roman" w:hAnsi="Times New Roman"/>
                <w:b w:val="false"/>
                <w:i w:val="false"/>
                <w:caps w:val="false"/>
                <w:smallCaps w:val="false"/>
                <w:color w:val="000000"/>
                <w:spacing w:val="0"/>
                <w:sz w:val="20"/>
              </w:rPr>
              <w:t>5 </w:t>
            </w:r>
            <w:r>
              <w:rPr/>
              <w:t xml:space="preserve">– </w:t>
            </w:r>
            <w:r>
              <w:rPr>
                <w:rFonts w:ascii="Times New Roman" w:hAnsi="Times New Roman"/>
                <w:sz w:val="20"/>
              </w:rPr>
              <w:t>10 years</w:t>
            </w:r>
          </w:p>
        </w:tc>
      </w:tr>
    </w:tbl>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review our property and equipment for impairment annually or whenever events or changes in circumstances indicate that the carrying value of such assets may not be recoverable.</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Depreciation and amortization of property and equipment amounted to zero and $4,000 for the three months ended March 31, 2026 and 2025,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Research and Development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Research and development costs are charged to operations in the period incurred and amounted to $118,000 for the three months ended March 31, 2026, and $62,000, net of grants, for the three months ended March 31, 2025. Research and development expenses consist primarily of employee compensation and consulting costs related to the design, development, and enhancements of our current and potential future products. Research and development also consist of salaries, travel and related expenses for personnel engaged in clinical and regulatory functions, as well as internal and external costs associated with conducting clinical trials and maintaining relationships with regulatory agencies.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Patent Costs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Due to the uncertainty associated with the successful development of one or more commercially viable products based on our research efforts and any related patent applications, all patent costs, including patent-related legal, filing fees and other costs, including internally generated costs, are expensed as incurred. Patent costs for the three months ended March 31, 2026 and 2025, were $8,000 and $24,000, respectively, and are included in general and administrative expenses in the consolidated statements of operations.</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NIH Grant and other Grants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From time-to-time, we apply for and may receive grants that help fund specific development programs. Any amounts received pursuant to grants are offset against the related operating expenses as the costs are incurred. Grants offset against operating expenses were zero during the three months ended March 31, 2026, and were $35,000 during the three months ended March 31, 2025.</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Concentration of Risk</w:t>
      </w:r>
    </w:p>
    <w:p>
      <w:pPr>
        <w:pStyle w:val="TextBody"/>
        <w:bidi w:val="0"/>
        <w:spacing w:lineRule="auto" w:line="288" w:before="0" w:after="0"/>
        <w:ind w:left="0" w:right="0" w:hanging="0"/>
        <w:jc w:val="left"/>
        <w:rPr/>
      </w:pPr>
      <w:r>
        <w:rPr/>
        <w:t> </w:t>
      </w:r>
    </w:p>
    <w:p>
      <w:pPr>
        <w:pStyle w:val="TextBody"/>
        <w:bidi w:val="0"/>
        <w:spacing w:lineRule="auto" w:line="288" w:before="0" w:after="0"/>
        <w:ind w:left="440" w:right="0" w:hanging="0"/>
        <w:jc w:val="left"/>
        <w:rPr>
          <w:rFonts w:ascii="Times New Roman" w:hAnsi="Times New Roman"/>
          <w:i/>
          <w:sz w:val="20"/>
        </w:rPr>
      </w:pPr>
      <w:r>
        <w:rPr>
          <w:rFonts w:ascii="Times New Roman" w:hAnsi="Times New Roman"/>
          <w:i/>
          <w:sz w:val="20"/>
        </w:rPr>
        <w:t>Credit Risk</w:t>
      </w:r>
    </w:p>
    <w:p>
      <w:pPr>
        <w:pStyle w:val="TextBody"/>
        <w:bidi w:val="0"/>
        <w:spacing w:lineRule="auto" w:line="288" w:before="0" w:after="0"/>
        <w:ind w:left="44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Financial instruments that subject us to concentrations of credit risk consist primarily of cash and money market funds. We maintain cash and money market funds with financial institutions that management deems credit worthy, and at times, cash balances may be in excess of FDIC and SIPC insurance limits of $250,000 and $500,000 (including cash of $250,000),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also maintain cash at a bank in Switzerland. Accounts at said bank are insured up to an amount specified by the deposit insurance agency of Switzerland.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 As such we have charged the foreign exchange impact of the assets and liabilities of these operations which was included in accumulated comprehensive loss totaling $310,000 to interest and other expense line in the statement of operations for the year ended December 31, 2025.</w:t>
      </w:r>
    </w:p>
    <w:p>
      <w:pPr>
        <w:pStyle w:val="TextBody"/>
        <w:bidi w:val="0"/>
        <w:spacing w:lineRule="auto" w:line="288" w:before="0" w:after="0"/>
        <w:ind w:left="0" w:right="0" w:firstLine="432"/>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authoritative guidance with respect to fair value establishes a fair value hierarchy that prioritizes the inputs to valuation techniques used to measure fair value into three levels and requires that assets and liabilities carried at fair value be classified and disclosed in one of three categories, as presented below. Disclosure as to transfers in and out of Levels 1 and 2, and activity in Level 3 fair value measurements, is also required.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1</w:t>
      </w:r>
      <w:r>
        <w:rPr>
          <w:rFonts w:ascii="Times New Roman" w:hAnsi="Times New Roman"/>
          <w:sz w:val="20"/>
        </w:rPr>
        <w:t>. Observable inputs such as quoted prices in active markets for an identical asset or liability that we can access as of the measurement date. Financial assets and liabilities utilizing Level 1 inputs include active-exchange traded securities and exchange-based derivatives.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2</w:t>
      </w:r>
      <w:r>
        <w:rPr>
          <w:rFonts w:ascii="Times New Roman" w:hAnsi="Times New Roman"/>
          <w:sz w:val="20"/>
        </w:rPr>
        <w:t>.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i/>
          <w:sz w:val="20"/>
        </w:rPr>
        <w:t>Level 3</w:t>
      </w:r>
      <w:r>
        <w:rPr>
          <w:rFonts w:ascii="Times New Roman" w:hAnsi="Times New Roman"/>
          <w:sz w:val="20"/>
        </w:rPr>
        <w:t>.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determine the level in the fair value hierarchy within which each fair value measurement falls in its entirety, based on the lowest level input that is significant to the fair value measurement in its entirety. In determining the appropriate levels, we perform an analysis of the assets and liabilities at each reporting period end. As of March 31, 2026 and December 31, 2025, the Company does not have any assets or liabilities that are remeasured to fair value on a recurring basis.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Comprehensive Loss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 xml:space="preserve">We comply with provisions of FASB ASC 220, </w:t>
      </w:r>
      <w:r>
        <w:rPr>
          <w:rFonts w:ascii="Times New Roman" w:hAnsi="Times New Roman"/>
          <w:i/>
          <w:sz w:val="20"/>
        </w:rPr>
        <w:t>Comprehensive Income</w:t>
      </w:r>
      <w:r>
        <w:rPr>
          <w:rFonts w:ascii="Times New Roman" w:hAnsi="Times New Roman"/>
          <w:sz w:val="20"/>
        </w:rPr>
        <w:t>, which requires companies to report all changes in equity during a period, except those resulting from investment by owners and distributions to owners, for the period in which they are recognized. Comprehensive income is defined as the change in equity during a period from transactions and other events from non-owner sources.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Comprehensive income (loss) is reported on the face of the unaudited interim consolidated financial statements. For the three months ended March 31, 2026, and 2025, comprehensive loss is the total of net loss and other comprehensive loss which consists entirely of foreign currency translation adjustments.</w:t>
      </w:r>
      <w:r>
        <w:rPr>
          <w:rFonts w:ascii="times new roman;times" w:hAnsi="times new roman;times"/>
          <w:sz w:val="20"/>
        </w:rPr>
        <w:t> </w:t>
      </w:r>
      <w:r>
        <w:rPr>
          <w:rFonts w:ascii="Times New Roman" w:hAnsi="Times New Roman"/>
          <w:sz w:val="20"/>
        </w:rPr>
        <w:t>We effectively closed our financial operations in Switzerland in the fourth quarter of 2025. We still maintain a small cash balance so we are able to finalize any tax or other considerations that may arise with this closure.</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Foreign Currency Translation and Transactions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The unaudited interim consolidated financial statements and transactions of the subsidiary’s operations are reported in the local (functional) currency of Swiss francs (CHF) and translated into U.S. dollars in accordance with GAAP. Assets and liabilities of those operations are translated at exchange rates in effect at the balance sheet date. The resulting gains and losses from translating foreign currency consolidated financial statements were recorded as accumulated other comprehensive loss. Revenues and expenses are translated at the average exchange rate for the reporting period. Foreign currency transaction gains (losses) resulting from exchange rate fluctuations on transactions denominated in a currency other than the foreign operations’ functional currencies are included in expenses in the condensed consolidated statement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the parent’s net investment. Any future tax benefit from net operating loss and similar carry forwards is not pushed down to the subsidiaries. Through March 31, 2026, no net current or deferred taxes have been recognized by the parent due to cumulative net losses as any such deferred amounts have been fully offset by a valuation allowance.</w:t>
      </w:r>
      <w:r>
        <w:rPr>
          <w:rFonts w:ascii="times new roman;times" w:hAnsi="times new roman;times"/>
          <w:sz w:val="20"/>
        </w:rPr>
        <w:t>  </w:t>
      </w:r>
    </w:p>
    <w:p>
      <w:pPr>
        <w:pStyle w:val="TextBody"/>
        <w:bidi w:val="0"/>
        <w:spacing w:lineRule="auto" w:line="288" w:before="0" w:after="0"/>
        <w:ind w:left="0" w:right="0" w:firstLine="360"/>
        <w:jc w:val="both"/>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Net Loss per Common Share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Net loss per Common Share has been presented in these unaudited condensed consolidated financial statements based upon the shares issued in exchange for assets of Cortigent.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Recently Issued Accounting Pronouncements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November 2024, the FASB issued Accounting Standards Update No. 2024-03</w:t>
      </w:r>
      <w:r>
        <w:rPr>
          <w:rFonts w:ascii="times new roman;times" w:hAnsi="times new roman;times"/>
          <w:sz w:val="20"/>
        </w:rPr>
        <w:t> </w:t>
      </w:r>
      <w:r>
        <w:rPr>
          <w:rFonts w:ascii="Times New Roman" w:hAnsi="Times New Roman"/>
          <w:i/>
          <w:sz w:val="20"/>
        </w:rPr>
        <w:t>Income Statement–Reporting Comprehensive Income–Expense Disaggregation Disclosures (Subtopic 220-40): Disaggregation of Income Statement Expenses</w:t>
      </w:r>
      <w:r>
        <w:rPr>
          <w:rFonts w:ascii="times new roman;times" w:hAnsi="times new roman;times"/>
          <w:sz w:val="20"/>
        </w:rPr>
        <w:t> </w:t>
      </w:r>
      <w:r>
        <w:rPr>
          <w:rFonts w:ascii="Times New Roman" w:hAnsi="Times New Roman"/>
          <w:sz w:val="20"/>
        </w:rPr>
        <w:t>(“ASU 2024-03”), which</w:t>
      </w:r>
      <w:r>
        <w:rPr>
          <w:rFonts w:ascii="times new roman;times" w:hAnsi="times new roman;times"/>
          <w:sz w:val="20"/>
        </w:rPr>
        <w:t> </w:t>
      </w:r>
      <w:r>
        <w:rPr>
          <w:rFonts w:ascii="Times New Roman" w:hAnsi="Times New Roman"/>
          <w:sz w:val="20"/>
        </w:rPr>
        <w:t>will improve the disclosures about a public business entity’s expenses and</w:t>
      </w:r>
      <w:r>
        <w:rPr>
          <w:rFonts w:ascii="times new roman;times" w:hAnsi="times new roman;times"/>
          <w:sz w:val="20"/>
        </w:rPr>
        <w:t> </w:t>
      </w:r>
      <w:r>
        <w:rPr>
          <w:rFonts w:ascii="Times New Roman" w:hAnsi="Times New Roman"/>
          <w:sz w:val="20"/>
        </w:rPr>
        <w:t>requires detailed disclosures about specified categories of expenses (including employee compensation, depreciation, and amortization) included in certain expense captions</w:t>
      </w:r>
      <w:r>
        <w:rPr>
          <w:rFonts w:ascii="times new roman;times" w:hAnsi="times new roman;times"/>
          <w:sz w:val="20"/>
        </w:rPr>
        <w:t> </w:t>
      </w:r>
      <w:r>
        <w:rPr>
          <w:rFonts w:ascii="Times New Roman" w:hAnsi="Times New Roman"/>
          <w:sz w:val="20"/>
        </w:rPr>
        <w:t>such as cost of sales, selling, general and administrative, and research and development</w:t>
      </w:r>
      <w:r>
        <w:rPr>
          <w:rFonts w:ascii="times new roman;times" w:hAnsi="times new roman;times"/>
          <w:sz w:val="20"/>
        </w:rPr>
        <w:t> </w:t>
      </w:r>
      <w:r>
        <w:rPr>
          <w:rFonts w:ascii="Times New Roman" w:hAnsi="Times New Roman"/>
          <w:sz w:val="20"/>
        </w:rPr>
        <w:t>on the face of the income statement. ASU 2024-03 is effective for the Company or fiscal years beginning on January 1, 2027, and for interim periods within fiscal years beginning on January 1, 2028. Early adoption is permitted. The guidance may be applied either (1) prospectively to financial statements issued for reporting periods after the effective date of ASU 2024-03 or (2) retrospectively to all prior periods presented in the financial statements. The Company does not expect the adoption of this guidance to have a material effect on its consolidated financial statements and continues to evaluate disclosure presentation alternatives.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December 2025, the FASB issued</w:t>
      </w:r>
      <w:r>
        <w:rPr>
          <w:rFonts w:ascii="times new roman;times" w:hAnsi="times new roman;times"/>
          <w:sz w:val="20"/>
        </w:rPr>
        <w:t> </w:t>
      </w:r>
      <w:r>
        <w:rPr>
          <w:rFonts w:ascii="Times New Roman" w:hAnsi="Times New Roman"/>
          <w:sz w:val="20"/>
        </w:rPr>
        <w:t xml:space="preserve">ASU No. 2025-10, </w:t>
      </w:r>
      <w:r>
        <w:rPr>
          <w:rFonts w:ascii="Times New Roman" w:hAnsi="Times New Roman"/>
          <w:i/>
          <w:sz w:val="20"/>
        </w:rPr>
        <w:t>Government Grants (Topic 832): Accounting for Government Grants Received by Business Entities.</w:t>
      </w:r>
      <w:r>
        <w:rPr>
          <w:rFonts w:ascii="times new roman;times" w:hAnsi="times new roman;times"/>
          <w:sz w:val="20"/>
        </w:rPr>
        <w:t xml:space="preserve"> </w:t>
      </w:r>
      <w:r>
        <w:rPr>
          <w:rFonts w:ascii="Times New Roman" w:hAnsi="Times New Roman"/>
          <w:sz w:val="20"/>
        </w:rPr>
        <w:t>This ASU provides authoritative guidance for the recognition, measurement and presentation of government grants received by a business entity. This ASU is effective for annual reporting periods beginning after December 15, 2028 and interim periods within those annual periods. The guidance can be applied on a modified prospective, modified retrospective, or retrospective approach; early adoption is permitted. The Company is currently evaluating the impact of this ASU on its condensed consolidated financial statements and related disclosures.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December 2025, the FASB issued ASU 2025-11, </w:t>
      </w:r>
      <w:r>
        <w:rPr>
          <w:rFonts w:ascii="Times New Roman" w:hAnsi="Times New Roman"/>
          <w:i/>
          <w:sz w:val="20"/>
        </w:rPr>
        <w:t>Interim Reporting (Topic 270) - Narrow-Scope Improvements.</w:t>
      </w:r>
      <w:r>
        <w:rPr>
          <w:rFonts w:ascii="times new roman;times" w:hAnsi="times new roman;times"/>
          <w:sz w:val="20"/>
        </w:rPr>
        <w:t xml:space="preserve"> </w:t>
      </w:r>
      <w:r>
        <w:rPr>
          <w:rFonts w:ascii="Times New Roman" w:hAnsi="Times New Roman"/>
          <w:sz w:val="20"/>
        </w:rPr>
        <w:t>This ASU clarifies interim disclosure requirements; it does not attempt to expand or reduce disclosures. ASU 2025-11 also includes a disclosure principle to help entities determine which events since the end of the last annual reporting period are material for disclosure. This ASU is effective for interim reporting periods within annual reporting periods beginning after December 15, 2027. The guidance can be applied on a prospective basis, or a retrospective basis for all or any prior periods, and early adoption is permitted. The Company is currently evaluating the impact of this ASU; however, it is not anticipated to have a material impact on its condensed consolidated financial statements.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 Selected Balance Sheet Detail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Property and equipment, net of accumulated depreciation and amortization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Property and equipment, net consisted of the following as of March 31, 2026, and December 31, 2025</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(in thousands):</w:t>
      </w:r>
      <w:r>
        <w:rPr>
          <w:rFonts w:ascii="times new roman;times" w:hAnsi="times new roman;times"/>
          <w:sz w:val="20"/>
        </w:rPr>
        <w:t> </w:t>
      </w:r>
    </w:p>
    <w:p>
      <w:pPr>
        <w:pStyle w:val="TextBody"/>
        <w:bidi w:val="0"/>
        <w:spacing w:lineRule="auto" w:line="288" w:before="0" w:after="0"/>
        <w:ind w:left="0" w:right="0" w:firstLine="360"/>
        <w:jc w:val="both"/>
        <w:rPr/>
      </w:pPr>
      <w:r>
        <w:rPr/>
        <w:t> </w:t>
      </w:r>
    </w:p>
    <w:tbl>
      <w:tblPr>
        <w:tblW w:w="5000" w:type="pct"/>
        <w:jc w:val="left"/>
        <w:tblInd w:w="0" w:type="dxa"/>
        <w:tblLayout w:type="fixed"/>
        <w:tblCellMar>
          <w:top w:w="0" w:type="dxa"/>
          <w:left w:w="0" w:type="dxa"/>
          <w:bottom w:w="0" w:type="dxa"/>
          <w:right w:w="0" w:type="dxa"/>
        </w:tblCellMar>
      </w:tblPr>
      <w:tblGrid>
        <w:gridCol w:w="6168"/>
        <w:gridCol w:w="103"/>
        <w:gridCol w:w="363"/>
        <w:gridCol w:w="1158"/>
        <w:gridCol w:w="137"/>
        <w:gridCol w:w="103"/>
        <w:gridCol w:w="482"/>
        <w:gridCol w:w="1528"/>
        <w:gridCol w:w="163"/>
      </w:tblGrid>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March 31,</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vAlign w:val="center"/>
          </w:tcPr>
          <w:p>
            <w:pPr>
              <w:pStyle w:val="TableContents"/>
              <w:bidi w:val="0"/>
              <w:spacing w:before="0" w:after="0"/>
              <w:ind w:left="0" w:right="0" w:hanging="0"/>
              <w:jc w:val="both"/>
              <w:rPr/>
            </w:pPr>
            <w:r>
              <w:rPr/>
              <w:t> </w:t>
            </w:r>
          </w:p>
        </w:tc>
        <w:tc>
          <w:tcPr>
            <w:tcW w:w="103" w:type="dxa"/>
            <w:tcBorders/>
            <w:vAlign w:val="bottom"/>
          </w:tcPr>
          <w:p>
            <w:pPr>
              <w:pStyle w:val="TableContents"/>
              <w:pBdr/>
              <w:bidi w:val="0"/>
              <w:spacing w:before="0" w:after="0"/>
              <w:ind w:left="0" w:right="0" w:hanging="0"/>
              <w:jc w:val="left"/>
              <w:rPr/>
            </w:pPr>
            <w:r>
              <w:rPr/>
              <w:t> </w:t>
            </w:r>
          </w:p>
        </w:tc>
        <w:tc>
          <w:tcPr>
            <w:tcW w:w="1521"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7" w:type="dxa"/>
            <w:tcBorders/>
            <w:vAlign w:val="bottom"/>
          </w:tcPr>
          <w:p>
            <w:pPr>
              <w:pStyle w:val="TableContents"/>
              <w:pBdr/>
              <w:bidi w:val="0"/>
              <w:spacing w:before="0" w:after="0"/>
              <w:ind w:left="0" w:right="0" w:hanging="0"/>
              <w:jc w:val="left"/>
              <w:rPr/>
            </w:pPr>
            <w:r>
              <w:rPr/>
              <w:t> </w:t>
            </w:r>
          </w:p>
        </w:tc>
        <w:tc>
          <w:tcPr>
            <w:tcW w:w="103" w:type="dxa"/>
            <w:tcBorders/>
            <w:vAlign w:val="bottom"/>
          </w:tcPr>
          <w:p>
            <w:pPr>
              <w:pStyle w:val="TableContents"/>
              <w:pBdr/>
              <w:bidi w:val="0"/>
              <w:spacing w:before="0" w:after="0"/>
              <w:ind w:left="0" w:right="0" w:hanging="0"/>
              <w:jc w:val="left"/>
              <w:rPr/>
            </w:pPr>
            <w:r>
              <w:rPr/>
              <w:t> </w:t>
            </w:r>
          </w:p>
        </w:tc>
        <w:tc>
          <w:tcPr>
            <w:tcW w:w="2010"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163" w:type="dxa"/>
            <w:tcBorders/>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Laboratory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Computer hardware and software</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37" w:type="dxa"/>
            <w:tcBorders/>
            <w:shd w:fill="FFFFFF" w:val="clear"/>
            <w:vAlign w:val="bottom"/>
          </w:tcPr>
          <w:p>
            <w:pPr>
              <w:pStyle w:val="TableContents"/>
              <w:pBdr/>
              <w:bidi w:val="0"/>
              <w:spacing w:before="0" w:after="0"/>
              <w:ind w:left="0" w:right="0" w:hanging="0"/>
              <w:jc w:val="left"/>
              <w:rPr/>
            </w:pPr>
            <w:r>
              <w:rPr/>
              <w:t> </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w:t>
            </w:r>
          </w:p>
        </w:tc>
        <w:tc>
          <w:tcPr>
            <w:tcW w:w="163" w:type="dxa"/>
            <w:tcBorders/>
            <w:shd w:fill="FFFFFF" w:val="clear"/>
            <w:vAlign w:val="bottom"/>
          </w:tcPr>
          <w:p>
            <w:pPr>
              <w:pStyle w:val="TableContents"/>
              <w:pBdr/>
              <w:bidi w:val="0"/>
              <w:spacing w:before="0" w:after="0"/>
              <w:ind w:left="0" w:right="0" w:hanging="0"/>
              <w:jc w:val="left"/>
              <w:rPr/>
            </w:pPr>
            <w:r>
              <w:rPr/>
              <w:t> </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pPr>
            <w:r>
              <w:rPr/>
              <w:t> </w:t>
            </w:r>
          </w:p>
        </w:tc>
        <w:tc>
          <w:tcPr>
            <w:tcW w:w="115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pPr>
            <w:r>
              <w:rPr/>
              <w:t> </w:t>
            </w:r>
          </w:p>
        </w:tc>
        <w:tc>
          <w:tcPr>
            <w:tcW w:w="152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CCEEFF" w:val="clear"/>
            <w:vAlign w:val="bottom"/>
          </w:tcPr>
          <w:p>
            <w:pPr>
              <w:pStyle w:val="TableContents"/>
              <w:pBdr/>
              <w:bidi w:val="0"/>
              <w:spacing w:before="0" w:after="0"/>
              <w:ind w:left="0" w:right="0" w:hanging="0"/>
              <w:jc w:val="left"/>
              <w:rPr/>
            </w:pPr>
            <w:r>
              <w:rPr/>
              <w:t> </w:t>
            </w:r>
          </w:p>
        </w:tc>
      </w:tr>
      <w:tr>
        <w:trPr/>
        <w:tc>
          <w:tcPr>
            <w:tcW w:w="6168"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Accumulated depreciation and amortization</w:t>
            </w:r>
          </w:p>
        </w:tc>
        <w:tc>
          <w:tcPr>
            <w:tcW w:w="103" w:type="dxa"/>
            <w:tcBorders/>
            <w:shd w:fill="FFFFFF" w:val="clear"/>
            <w:vAlign w:val="bottom"/>
          </w:tcPr>
          <w:p>
            <w:pPr>
              <w:pStyle w:val="TableContents"/>
              <w:pBdr/>
              <w:bidi w:val="0"/>
              <w:spacing w:before="0" w:after="0"/>
              <w:ind w:left="0" w:right="0" w:hanging="0"/>
              <w:jc w:val="left"/>
              <w:rPr/>
            </w:pPr>
            <w:r>
              <w:rPr/>
              <w:t> </w:t>
            </w:r>
          </w:p>
        </w:tc>
        <w:tc>
          <w:tcPr>
            <w:tcW w:w="363" w:type="dxa"/>
            <w:tcBorders/>
            <w:shd w:fill="FFFFFF" w:val="clear"/>
            <w:vAlign w:val="bottom"/>
          </w:tcPr>
          <w:p>
            <w:pPr>
              <w:pStyle w:val="TableContents"/>
              <w:pBdr/>
              <w:bidi w:val="0"/>
              <w:spacing w:before="0" w:after="0"/>
              <w:ind w:left="0" w:right="0" w:hanging="0"/>
              <w:jc w:val="left"/>
              <w:rPr/>
            </w:pPr>
            <w:r>
              <w:rPr/>
              <w:t> </w:t>
            </w:r>
          </w:p>
        </w:tc>
        <w:tc>
          <w:tcPr>
            <w:tcW w:w="115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37"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pBdr/>
              <w:bidi w:val="0"/>
              <w:spacing w:before="0" w:after="0"/>
              <w:ind w:left="0" w:right="0" w:hanging="0"/>
              <w:jc w:val="left"/>
              <w:rPr/>
            </w:pPr>
            <w:r>
              <w:rPr/>
              <w:t> </w:t>
            </w:r>
          </w:p>
        </w:tc>
        <w:tc>
          <w:tcPr>
            <w:tcW w:w="482" w:type="dxa"/>
            <w:tcBorders/>
            <w:shd w:fill="FFFFFF" w:val="clear"/>
            <w:vAlign w:val="bottom"/>
          </w:tcPr>
          <w:p>
            <w:pPr>
              <w:pStyle w:val="TableContents"/>
              <w:pBdr/>
              <w:bidi w:val="0"/>
              <w:spacing w:before="0" w:after="0"/>
              <w:ind w:left="0" w:right="0" w:hanging="0"/>
              <w:jc w:val="left"/>
              <w:rPr/>
            </w:pPr>
            <w:r>
              <w:rPr/>
              <w:t> </w:t>
            </w:r>
          </w:p>
        </w:tc>
        <w:tc>
          <w:tcPr>
            <w:tcW w:w="1528" w:type="dxa"/>
            <w:tcBorders/>
            <w:shd w:fill="FFFF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(704</w:t>
            </w:r>
          </w:p>
        </w:tc>
        <w:tc>
          <w:tcPr>
            <w:tcW w:w="163" w:type="dxa"/>
            <w:tcBorders/>
            <w:shd w:fill="FFFF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68"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Property and equipment, net</w:t>
            </w:r>
          </w:p>
        </w:tc>
        <w:tc>
          <w:tcPr>
            <w:tcW w:w="103" w:type="dxa"/>
            <w:tcBorders/>
            <w:shd w:fill="CCEEFF" w:val="clear"/>
            <w:vAlign w:val="bottom"/>
          </w:tcPr>
          <w:p>
            <w:pPr>
              <w:pStyle w:val="TableContents"/>
              <w:pBdr/>
              <w:bidi w:val="0"/>
              <w:spacing w:before="0" w:after="0"/>
              <w:ind w:left="0" w:right="0" w:hanging="0"/>
              <w:jc w:val="left"/>
              <w:rPr/>
            </w:pPr>
            <w:r>
              <w:rPr/>
              <w:t> </w:t>
            </w:r>
          </w:p>
        </w:tc>
        <w:tc>
          <w:tcPr>
            <w:tcW w:w="36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158" w:type="dxa"/>
            <w:tcBorders/>
            <w:shd w:fill="CCEEFF" w:val="clear"/>
            <w:vAlign w:val="bottom"/>
          </w:tcPr>
          <w:p>
            <w:pPr>
              <w:pStyle w:val="TableContents"/>
              <w:pBdr/>
              <w:bidi w:val="0"/>
              <w:spacing w:before="0" w:after="0"/>
              <w:ind w:left="0" w:right="0" w:hanging="0"/>
              <w:jc w:val="right"/>
              <w:rPr/>
            </w:pPr>
            <w:r>
              <w:rPr/>
              <w:t>—</w:t>
            </w:r>
          </w:p>
        </w:tc>
        <w:tc>
          <w:tcPr>
            <w:tcW w:w="137" w:type="dxa"/>
            <w:tcBorders/>
            <w:shd w:fill="CCEEFF" w:val="clear"/>
            <w:vAlign w:val="bottom"/>
          </w:tcPr>
          <w:p>
            <w:pPr>
              <w:pStyle w:val="TableContents"/>
              <w:pBdr/>
              <w:bidi w:val="0"/>
              <w:spacing w:before="0" w:after="0"/>
              <w:ind w:left="0" w:right="0" w:hanging="0"/>
              <w:jc w:val="left"/>
              <w:rPr/>
            </w:pPr>
            <w:r>
              <w:rPr/>
              <w:t> </w:t>
            </w:r>
          </w:p>
        </w:tc>
        <w:tc>
          <w:tcPr>
            <w:tcW w:w="103" w:type="dxa"/>
            <w:tcBorders/>
            <w:shd w:fill="CCEEFF" w:val="clear"/>
            <w:vAlign w:val="bottom"/>
          </w:tcPr>
          <w:p>
            <w:pPr>
              <w:pStyle w:val="TableContents"/>
              <w:pBdr/>
              <w:bidi w:val="0"/>
              <w:spacing w:before="0" w:after="0"/>
              <w:ind w:left="0" w:right="0" w:hanging="0"/>
              <w:jc w:val="left"/>
              <w:rPr/>
            </w:pPr>
            <w:r>
              <w:rPr/>
              <w:t> </w:t>
            </w:r>
          </w:p>
        </w:tc>
        <w:tc>
          <w:tcPr>
            <w:tcW w:w="482"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1528" w:type="dxa"/>
            <w:tcBorders/>
            <w:shd w:fill="CCEEFF" w:val="clear"/>
            <w:vAlign w:val="bottom"/>
          </w:tcPr>
          <w:p>
            <w:pPr>
              <w:pStyle w:val="TableContents"/>
              <w:pBdr/>
              <w:bidi w:val="0"/>
              <w:spacing w:before="0" w:after="0"/>
              <w:ind w:left="0" w:right="0" w:hanging="0"/>
              <w:jc w:val="right"/>
              <w:rPr/>
            </w:pPr>
            <w:r>
              <w:rPr/>
              <w:t>—</w:t>
            </w:r>
          </w:p>
        </w:tc>
        <w:tc>
          <w:tcPr>
            <w:tcW w:w="163" w:type="dxa"/>
            <w:tcBorders/>
            <w:shd w:fill="CCEEFF" w:val="clear"/>
            <w:vAlign w:val="bottom"/>
          </w:tcPr>
          <w:p>
            <w:pPr>
              <w:pStyle w:val="TableContents"/>
              <w:pBdr/>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Contract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40"/>
        <w:jc w:val="left"/>
        <w:rPr>
          <w:rFonts w:ascii="Times New Roman" w:hAnsi="Times New Roman"/>
          <w:sz w:val="20"/>
        </w:rPr>
      </w:pPr>
      <w:r>
        <w:rPr>
          <w:rFonts w:ascii="Times New Roman" w:hAnsi="Times New Roman"/>
          <w:sz w:val="20"/>
        </w:rPr>
        <w:t>Contract liabilities amounted to $335,000 as of March 31, 2026 and December 31, 2025 and are included in accrued expenses on the condensed consolidated balance sheet.</w:t>
      </w:r>
    </w:p>
    <w:p>
      <w:pPr>
        <w:pStyle w:val="TextBody"/>
        <w:bidi w:val="0"/>
        <w:spacing w:lineRule="auto" w:line="288" w:before="0" w:after="0"/>
        <w:ind w:left="0" w:right="0" w:firstLine="432"/>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432"/>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4. Grants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received an award for a $1.6 million grant (with the intent to fund $6.4 million over five years subject to annual review and approval) from the National Institutes of Health (NIH) to fund the “Early Feasibility Clinical Trial of a Visual Cortical Prosthesis” that commenced in January 2018. The final year of the grant ended in March 2024. The NIH grant funds ongoing and planned clinical activities and are being used to conduct and support clinical testing of six patients implanted with the </w:t>
      </w:r>
      <w:r>
        <w:rPr>
          <w:rFonts w:ascii="Times New Roman" w:hAnsi="Times New Roman"/>
          <w:b w:val="false"/>
          <w:i/>
          <w:caps w:val="false"/>
          <w:smallCaps w:val="false"/>
          <w:color w:val="000000"/>
          <w:spacing w:val="0"/>
          <w:sz w:val="20"/>
        </w:rPr>
        <w:t>Orion</w:t>
      </w:r>
      <w:r>
        <w:rPr>
          <w:rFonts w:ascii="Times New Roman" w:hAnsi="Times New Roman"/>
          <w:b w:val="false"/>
          <w:i/>
          <w:caps w:val="false"/>
          <w:smallCaps w:val="false"/>
          <w:color w:val="000000"/>
          <w:spacing w:val="0"/>
          <w:sz w:val="13"/>
        </w:rPr>
        <w:t>® </w:t>
      </w:r>
      <w:r>
        <w:rPr>
          <w:rFonts w:ascii="Times New Roman" w:hAnsi="Times New Roman"/>
          <w:b w:val="false"/>
          <w:i/>
          <w:caps w:val="false"/>
          <w:smallCaps w:val="false"/>
          <w:color w:val="000000"/>
          <w:spacing w:val="0"/>
          <w:sz w:val="20"/>
        </w:rPr>
        <w:t>Cortical Visual Prosthesis System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submit and obtain Investigational Device Exemption approval from the FDA. During the three months ended March 31, 2026 and 2025, grants offsetting research and development totaled zero and $35,000, respectively.</w:t>
      </w:r>
      <w:r>
        <w:rPr>
          <w:rFonts w:ascii="times new roman;times" w:hAnsi="times new roman;times"/>
          <w:b w:val="false"/>
          <w:i w:val="false"/>
          <w:caps w:val="false"/>
          <w:smallCaps w:val="false"/>
          <w:color w:val="000000"/>
          <w:spacing w:val="0"/>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5. Employee Benefit Plans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a 401(k) Savings Retirement Plan (the “Plan”) that covers substantially all full-time employees who meet the Plan’s eligibility requirements and provides for employee elective contribution and employer matching contributions. Employer contributions are discretionary and determined annually by the Board. No contributions were made in the three months ended March 31, 2026 and 2025.</w:t>
      </w:r>
      <w:r>
        <w:rPr>
          <w:rFonts w:ascii="times new roman;times" w:hAnsi="times new roman;times"/>
          <w:sz w:val="20"/>
        </w:rPr>
        <w:t>  </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6. Income Taxes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The amount of current and deferred tax expense of Cortigent’s parent included in its consolidated tax returns is allocated to Cortigent as if Cortigent filed a separate return with any current and deferred taxes recorded in Net Parent Investment.</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Through March 31, 2026, no net current or deferred taxes have been recognized by the parent due to cumulative net losses adjusted for permanent differences and the recognition of a full valuation allowance. Any future tax benefit from net operating loss and similar carry forwards is not pushed down to the subsidiaries.</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Right-of-use Assets and Operating Lease Liabilities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lease certain office space and equipment for our use. Leases with an initial term of 12 months or less are not recorded on the condensed consolidated balance sheet. Lease costs are recognized in the condensed consolidated statements of operations over the lease term on a straight-line basis. Depreciation of leasehold improvements is computed using the straight-line method over the lesser of the estimated useful life of the respective assets or the term of the lease. As most of our leases do not provide an implicit rate, we used our estimated incremental borrowing rate of 10% based on the information available at commencement date in determining the present value of lease payments.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10"/>
        <w:jc w:val="both"/>
        <w:rPr>
          <w:rFonts w:ascii="times new roman;times" w:hAnsi="times new roman;times"/>
          <w:sz w:val="20"/>
        </w:rPr>
      </w:pPr>
      <w:r>
        <w:rPr>
          <w:rFonts w:ascii="Times New Roman" w:hAnsi="Times New Roman"/>
          <w:sz w:val="20"/>
        </w:rPr>
        <w:t>On February 1, 2023 we entered into a sublease agreement, effective March 1, 2023, to sublease office space to replace the Company’s existing headquarters. Our rental payments amounted to $22,158 per month plus operating expenses, to lease 14,823 square feet of office space at 27200 Tourney Road, Valencia, California 91355. The lease had a term of two years and two months. We also entered into a lease for storage space on January 25, 2023 in the same building at a cost of $6,775 per month for a term of two years and one month.</w:t>
      </w:r>
      <w:r>
        <w:rPr>
          <w:rFonts w:ascii="times new roman;times" w:hAnsi="times new roman;times"/>
          <w:sz w:val="20"/>
        </w:rPr>
        <w:t> </w:t>
      </w:r>
      <w:r>
        <w:rPr>
          <w:rFonts w:ascii="Times New Roman" w:hAnsi="Times New Roman"/>
          <w:sz w:val="20"/>
        </w:rPr>
        <w:t>We are not affiliates of, are not related to, or otherwise have any other relationship with, the other parties, other than the lease.</w:t>
      </w:r>
    </w:p>
    <w:p>
      <w:pPr>
        <w:pStyle w:val="TextBody"/>
        <w:bidi w:val="0"/>
        <w:spacing w:lineRule="auto" w:line="288" w:before="0" w:after="0"/>
        <w:ind w:left="0" w:right="0" w:firstLine="410"/>
        <w:jc w:val="both"/>
        <w:rPr/>
      </w:pPr>
      <w:r>
        <w:rPr/>
        <w:t> </w:t>
      </w:r>
    </w:p>
    <w:p>
      <w:pPr>
        <w:pStyle w:val="TextBody"/>
        <w:bidi w:val="0"/>
        <w:spacing w:lineRule="auto" w:line="288" w:before="0" w:after="0"/>
        <w:ind w:left="0" w:right="0" w:firstLine="410"/>
        <w:jc w:val="both"/>
        <w:rPr>
          <w:rFonts w:ascii="Times New Roman" w:hAnsi="Times New Roman"/>
          <w:sz w:val="20"/>
        </w:rPr>
      </w:pPr>
      <w:r>
        <w:rPr>
          <w:rFonts w:ascii="Times New Roman" w:hAnsi="Times New Roman"/>
          <w:sz w:val="20"/>
        </w:rPr>
        <w:t>In April 2026 we extended our short-term lease agreement for another six months. The short-term obligation totals approximately $10,000 per month. All leases were short-term and thus expensed as incurred and not recorded as ROU assets or lease liabilities.</w:t>
      </w:r>
    </w:p>
    <w:p>
      <w:pPr>
        <w:pStyle w:val="TextBody"/>
        <w:bidi w:val="0"/>
        <w:spacing w:lineRule="auto" w:line="288" w:before="0" w:after="0"/>
        <w:ind w:left="0" w:right="0" w:firstLine="410"/>
        <w:jc w:val="both"/>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lineRule="auto" w:line="288" w:before="0" w:after="0"/>
        <w:ind w:left="0" w:right="0" w:hanging="0"/>
        <w:jc w:val="left"/>
        <w:rPr/>
      </w:pPr>
      <w:r>
        <w:rPr/>
        <w:t>  </w:t>
      </w:r>
    </w:p>
    <w:tbl>
      <w:tblPr>
        <w:tblW w:w="3000" w:type="pct"/>
        <w:jc w:val="left"/>
        <w:tblInd w:w="0" w:type="dxa"/>
        <w:tblLayout w:type="fixed"/>
        <w:tblCellMar>
          <w:top w:w="0" w:type="dxa"/>
          <w:left w:w="0" w:type="dxa"/>
          <w:bottom w:w="0" w:type="dxa"/>
          <w:right w:w="0" w:type="dxa"/>
        </w:tblCellMar>
      </w:tblPr>
      <w:tblGrid>
        <w:gridCol w:w="3415"/>
        <w:gridCol w:w="61"/>
        <w:gridCol w:w="430"/>
        <w:gridCol w:w="793"/>
        <w:gridCol w:w="62"/>
        <w:gridCol w:w="61"/>
        <w:gridCol w:w="429"/>
        <w:gridCol w:w="794"/>
        <w:gridCol w:w="78"/>
      </w:tblGrid>
      <w:tr>
        <w:trPr/>
        <w:tc>
          <w:tcPr>
            <w:tcW w:w="3415" w:type="dxa"/>
            <w:tcBorders/>
            <w:vAlign w:val="center"/>
          </w:tcPr>
          <w:p>
            <w:pPr>
              <w:pStyle w:val="TableContents"/>
              <w:bidi w:val="0"/>
              <w:spacing w:before="0" w:after="0"/>
              <w:ind w:left="0" w:right="0" w:hanging="0"/>
              <w:jc w:val="center"/>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months ended</w:t>
            </w:r>
            <w:r>
              <w:rPr/>
              <w:br/>
            </w:r>
            <w:r>
              <w:rPr>
                <w:rFonts w:ascii="Times New Roman" w:hAnsi="Times New Roman"/>
                <w:b/>
                <w:sz w:val="20"/>
              </w:rPr>
              <w:t>March</w:t>
            </w:r>
            <w:r>
              <w:rPr/>
              <w:t> </w:t>
            </w:r>
            <w:r>
              <w:rPr>
                <w:rFonts w:ascii="Times New Roman" w:hAnsi="Times New Roman"/>
                <w:b/>
                <w:sz w:val="20"/>
              </w:rPr>
              <w:t>31,</w:t>
            </w:r>
            <w:r>
              <w:rPr/>
              <w:br/>
            </w:r>
            <w:r>
              <w:rPr>
                <w:rFonts w:ascii="Times New Roman" w:hAnsi="Times New Roman"/>
                <w:b/>
                <w:sz w:val="20"/>
              </w:rPr>
              <w:t>2026</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62" w:type="dxa"/>
            <w:tcBorders/>
            <w:vAlign w:val="center"/>
          </w:tcPr>
          <w:p>
            <w:pPr>
              <w:pStyle w:val="TableContents"/>
              <w:bidi w:val="0"/>
              <w:spacing w:before="0" w:after="0"/>
              <w:ind w:left="0" w:right="0" w:hanging="0"/>
              <w:jc w:val="left"/>
              <w:rPr/>
            </w:pPr>
            <w:r>
              <w:rPr/>
              <w:t> </w:t>
            </w:r>
          </w:p>
        </w:tc>
        <w:tc>
          <w:tcPr>
            <w:tcW w:w="61" w:type="dxa"/>
            <w:tcBorders/>
            <w:vAlign w:val="center"/>
          </w:tcPr>
          <w:p>
            <w:pPr>
              <w:pStyle w:val="TableContents"/>
              <w:bidi w:val="0"/>
              <w:spacing w:before="0" w:after="0"/>
              <w:ind w:left="0" w:right="0" w:hanging="0"/>
              <w:jc w:val="left"/>
              <w:rPr/>
            </w:pPr>
            <w:r>
              <w:rPr/>
              <w:t> </w:t>
            </w:r>
          </w:p>
        </w:tc>
        <w:tc>
          <w:tcPr>
            <w:tcW w:w="1223" w:type="dxa"/>
            <w:gridSpan w:val="2"/>
            <w:tcBorders/>
            <w:vAlign w:val="center"/>
          </w:tcPr>
          <w:p>
            <w:pPr>
              <w:pStyle w:val="TableContents"/>
              <w:bidi w:val="0"/>
              <w:spacing w:before="0" w:after="0"/>
              <w:ind w:left="0" w:right="0" w:hanging="0"/>
              <w:jc w:val="center"/>
              <w:rPr/>
            </w:pPr>
            <w:r>
              <w:rPr>
                <w:rFonts w:ascii="Times New Roman" w:hAnsi="Times New Roman"/>
                <w:b/>
                <w:sz w:val="20"/>
              </w:rPr>
              <w:t>For the three</w:t>
            </w:r>
            <w:r>
              <w:rPr/>
              <w:br/>
            </w:r>
            <w:r>
              <w:rPr>
                <w:rFonts w:ascii="Times New Roman" w:hAnsi="Times New Roman"/>
                <w:b/>
                <w:sz w:val="20"/>
              </w:rPr>
              <w:t>ended months</w:t>
            </w:r>
            <w:r>
              <w:rPr/>
              <w:br/>
            </w:r>
            <w:r>
              <w:rPr>
                <w:rFonts w:ascii="Times New Roman" w:hAnsi="Times New Roman"/>
                <w:b/>
                <w:sz w:val="20"/>
              </w:rPr>
              <w:t>March 31,</w:t>
            </w:r>
            <w:r>
              <w:rPr/>
              <w:br/>
            </w:r>
            <w:r>
              <w:rPr>
                <w:rFonts w:ascii="Times New Roman" w:hAnsi="Times New Roman"/>
                <w:b/>
                <w:sz w:val="20"/>
              </w:rPr>
              <w:t>2025</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p>
        </w:tc>
        <w:tc>
          <w:tcPr>
            <w:tcW w:w="78" w:type="dxa"/>
            <w:tcBorders/>
            <w:vAlign w:val="center"/>
          </w:tcPr>
          <w:p>
            <w:pPr>
              <w:pStyle w:val="TableContents"/>
              <w:bidi w:val="0"/>
              <w:spacing w:before="0" w:after="0"/>
              <w:ind w:left="0" w:right="0" w:hanging="0"/>
              <w:jc w:val="left"/>
              <w:rPr/>
            </w:pPr>
            <w:r>
              <w:rPr/>
              <w:t> </w:t>
            </w:r>
          </w:p>
        </w:tc>
      </w:tr>
      <w:tr>
        <w:trPr/>
        <w:tc>
          <w:tcPr>
            <w:tcW w:w="34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short term operating leases</w:t>
            </w:r>
          </w:p>
        </w:tc>
        <w:tc>
          <w:tcPr>
            <w:tcW w:w="61"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62"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4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78"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Rent expense, including common area maintenance charges and short-term lease costs, was $30,000 and $87,000 for the three months ended March 31, 2026 and March 31, 2025, respectively.</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8. Commitments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License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We have exclusive licensing agreements to utilize certain patents, related to the technology for visual prostheses. The Cost Reimbursement Consortium Agreement with Doheny</w:t>
      </w:r>
      <w:r>
        <w:rPr>
          <w:rFonts w:ascii="times new roman;times" w:hAnsi="times new roman;times"/>
          <w:sz w:val="20"/>
        </w:rPr>
        <w:t> </w:t>
      </w:r>
      <w:r>
        <w:rPr>
          <w:rFonts w:ascii="Times New Roman" w:hAnsi="Times New Roman"/>
          <w:sz w:val="20"/>
        </w:rPr>
        <w:t>Eye Institute (“DEI”) license is the only material license to our Business. We do not currently use, and have no plan to use, the technology covered in the other licensing agreements. The DEI agreement requires that we pay a 0.5% royalty on net sales of devices covered under the license. There are no further maintenance or milestone payments. No royalties have been incurred under the DEI agreement since 2019.</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In the past, we have paid royalties under a license agreement with the Johns Hopkins University (“JHU”). The JHU agreement expired, along with significant underlying patents, in 2018. Pursuant to the foregoing agreements with DEI and JHU, we did not incur any costs in the periods presented.</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Indemnification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maintain indemnification agreements with our directors and officers that may require us to indemnify them against liabilities that arise by reason of their status or service as directors or officers, except as prohibited by applicable law.</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Clinical Trial Agreements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times" w:hAnsi="times new roman;times"/>
          <w:sz w:val="20"/>
        </w:rPr>
      </w:pPr>
      <w:r>
        <w:rPr>
          <w:rFonts w:ascii="Times New Roman" w:hAnsi="Times New Roman"/>
          <w:sz w:val="20"/>
        </w:rPr>
        <w:t>Based upon FDA approval of Argus II, which was obtained in February 2013, we, as Second Sight, were required to collect follow-up data from patients enrolled in our pre-approval trial for a period of up to ten years post-implant, which was extended through the year 2019. This requirement to collect follow-up data was halted in 2020 with FDA approval.</w:t>
      </w:r>
      <w:r>
        <w:rPr>
          <w:rFonts w:ascii="times new roman;times" w:hAnsi="times new roman;times"/>
          <w:sz w:val="20"/>
        </w:rPr>
        <w:t> </w:t>
      </w:r>
      <w:r>
        <w:rPr>
          <w:rFonts w:ascii="Times New Roman" w:hAnsi="Times New Roman"/>
          <w:sz w:val="20"/>
        </w:rPr>
        <w:t>In addition, we conducted three post-market studies to comply with U.S. FDA, French, and European post-market surveillance regulations and requirements and conducted an Early Feasibility Study of Orion, which was completed in March 2025. We contracted with various universities, hospitals, and medical practices to provide these services. Payments are based on procedures performed for each patient and are charged to research and development expense as incurred. Total amounts charged to expense for the three months ended March 31, 2026, and 2025 were zero and $29,000, respectively.</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Litigation, Claims and Assessments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As of the date of these consolidated financial statements, Vivani has chosen to indemnify us for certain claims from the former business. However, the results of litigation and claims are inherently unpredictable. Regardless of their outcome, litigation can have an adverse impact on us because of defense and settlement costs, diversion of management resources and other factors.</w:t>
      </w:r>
    </w:p>
    <w:p>
      <w:pPr>
        <w:pStyle w:val="TextBody"/>
        <w:bidi w:val="0"/>
        <w:spacing w:lineRule="auto" w:line="288" w:before="0" w:after="0"/>
        <w:ind w:left="0" w:right="0" w:firstLine="432"/>
        <w:jc w:val="both"/>
        <w:rPr/>
      </w:pPr>
      <w:r>
        <w:rPr/>
        <w:t> </w:t>
      </w:r>
    </w:p>
    <w:p>
      <w:pPr>
        <w:pStyle w:val="TextBody"/>
        <w:bidi w:val="0"/>
        <w:spacing w:lineRule="auto" w:line="288" w:before="0" w:after="0"/>
        <w:ind w:left="0" w:right="0" w:firstLine="432"/>
        <w:jc w:val="both"/>
        <w:rPr>
          <w:rFonts w:ascii="Times New Roman" w:hAnsi="Times New Roman"/>
          <w:sz w:val="20"/>
        </w:rPr>
      </w:pPr>
      <w:r>
        <w:rPr>
          <w:rFonts w:ascii="Times New Roman" w:hAnsi="Times New Roman"/>
          <w:sz w:val="20"/>
        </w:rPr>
        <w:t>We are party to litigation arising in the ordinary course of business. It is our opinion that the outcome of such matters will not have a material effect on our consolidated condensed financial statements, however the results of litigation and claims are inherently unpredictable. Regardless of outcome, litigation may have an adverse impact on us because of defense and settlement costs, diversion of management resources and other factors.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9. Transition Funding, Support and Services Agreement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firstLine="360"/>
        <w:jc w:val="both"/>
        <w:rPr>
          <w:rFonts w:ascii="times new roman;times" w:hAnsi="times new roman;times"/>
          <w:sz w:val="20"/>
        </w:rPr>
      </w:pPr>
      <w:r>
        <w:rPr>
          <w:rFonts w:ascii="Times New Roman" w:hAnsi="Times New Roman"/>
          <w:sz w:val="20"/>
        </w:rPr>
        <w:t xml:space="preserve">In March 2023, Cortigent and Vivani entered into a Transition Funding, Support and Services Agreement (the “Agreement”) by which Vivani will advance funds and provide or cause to be provided to Cortigent the services and funding that will cover salaries and related costs, rent and other overhead in order to permit Cortigent to operate in substantially the same manner in which business operations of Cortigent were previously operated by Second Sight, prior to the formation of Cortigent, which obligations continued, in the case of the funding obligations, through December 31, 2024. By that Agreement, Cortigent was required to pay all amounts advanced to the Company by Vivani from the proceeds of our proposed initial public offering of shares (“IPO”). In August 2023, the Company and Vivani amended this Agreement to provide for (i) repayment of $1.5 million from proceeds of an anticipated offering and (ii) issuance of a five-year promissory note requiring repayment of $2 million at five percent per year upon maturity of the promissory note. By this amendment, Vivani also agreed that the Company shall not be obligated to repay any additional funding support payments, whereas funding support payments made to date exceed $3.5 million. </w:t>
      </w:r>
      <w:r>
        <w:rPr>
          <w:rFonts w:ascii="times new roman;times" w:hAnsi="times new roman;times"/>
          <w:sz w:val="20"/>
        </w:rPr>
        <w:t> </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Vivani has also agreed, by this Agreement, to provide the services of its Chief Operating Officer, Truc Le, on an interim basis to consult on operations matters, such as manufacturing planning and interactions with contract manufacturers, and the services of its Chief Business Officer, Donald Dwyer, on an interim basis to consult on business development matters, such as strategic partnering and commercial readiness. See “Management—Vivani Advisors to the Company”. The Company will also be providing to Vivani the services of Edward Sedo, our chief financial officer. The Company and Vivani have acknowledged that any such services, which are provided to the other before the completion of the Company’s proposed IPO, are deemed to be equivalent in value and shall offset the value of the services provided to the other. As a result, the Company and Vivani each have acknowledged to the other that neither of entity shall accrue any service fees or expenses to the other before completion of this offering and that no invoices from one to the other shall be required to be submitted. After December 31, 2024, Vivani continued to provide funds to maintain the Company’s operations after expiration of the Agreement and has agreed to continue to provide such funds until completion of the proposed IPO. As of March 31, 2026 and December 31, 2025, Vivani has provided $3.5 million in funding to Cortigent under the terms of the Agreement, which is reported as debt due to parent on the condensed consolidated balance sheets. Funding in excess of $3.5 million has been recorded as a contribution and included in Net Parent Investment on the condensed consolidated balance sheets.</w:t>
      </w:r>
    </w:p>
    <w:p>
      <w:pPr>
        <w:pStyle w:val="TextBody"/>
        <w:bidi w:val="0"/>
        <w:spacing w:lineRule="auto" w:line="288" w:before="0" w:after="0"/>
        <w:ind w:left="0" w:right="0" w:firstLine="360"/>
        <w:jc w:val="both"/>
        <w:rPr/>
      </w:pPr>
      <w:r>
        <w:rPr/>
        <w:t> </w:t>
      </w:r>
    </w:p>
    <w:p>
      <w:pPr>
        <w:pStyle w:val="TextBody"/>
        <w:bidi w:val="0"/>
        <w:spacing w:lineRule="auto" w:line="288" w:before="0" w:after="0"/>
        <w:ind w:left="0" w:right="0" w:firstLine="360"/>
        <w:jc w:val="both"/>
        <w:rPr>
          <w:rFonts w:ascii="Times New Roman" w:hAnsi="Times New Roman"/>
          <w:sz w:val="20"/>
        </w:rPr>
      </w:pPr>
      <w:r>
        <w:rPr>
          <w:rFonts w:ascii="Times New Roman" w:hAnsi="Times New Roman"/>
          <w:sz w:val="20"/>
        </w:rPr>
        <w:t>Nothing in the Agreement shall grant Vivani or its employees or agents who are providing services the right directly or indirectly to control or direct the operations of the Company. By this Agreement, the Company and Vivani have agreed to indemnify and hold each other harmless from certain matters relating to, arising out of or resulting from the operations of Second Sight’s business before August 30, 2022.</w:t>
      </w:r>
    </w:p>
    <w:p>
      <w:pPr>
        <w:pStyle w:val="TextBody"/>
        <w:bidi w:val="0"/>
        <w:spacing w:lineRule="auto" w:line="288" w:before="0" w:after="0"/>
        <w:ind w:left="0" w:right="0" w:firstLine="360"/>
        <w:jc w:val="both"/>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10. Segments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for evaluation by the chief operating decision maker (“CODM”) in deciding how to allocate resources and assess performance. The Company has one operating and reporting segment. The Company’s CODM is its Chief Executive Officer who reviews the Company operations. The measure of segment loss is reported on the consolidated statements of operations as net loss. The measure of segment assets is reported on the condensed consolidated balance sheets as total assets. Expense information regularly provided by the CODM is limited to the expense classifications included in the Company’s condensed consolidated statements of operations. Therefore, the Company’s significant segment expenses are the expense items presented in the condensed consolidated statements of operations, and there are no other segment items.</w:t>
      </w:r>
    </w:p>
    <w:p>
      <w:pPr>
        <w:pStyle w:val="TextBody"/>
        <w:shd w:fill="FFFFFF" w:val="clear"/>
        <w:bidi w:val="0"/>
        <w:spacing w:lineRule="auto" w:line="288"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 w:hAnsi="Times New Roman"/>
          <w:b/>
          <w:sz w:val="20"/>
        </w:rPr>
      </w:pPr>
      <w:r>
        <w:rPr>
          <w:rFonts w:ascii="Times New Roman" w:hAnsi="Times New Roman"/>
          <w:b/>
          <w:sz w:val="20"/>
        </w:rPr>
        <w:t>11. Subsequent Events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Company evaluated subsequent events that occurred after the condensed consolidated balance sheet date through May 13, 2026, the date that these unaudited interim consolidated financial statements were available to be issued. Based upon this review, the Company did not identify any subsequent events that would have required adjustment to or disclosure in the condensed consolidated financial statements.</w:t>
      </w:r>
    </w:p>
    <w:p>
      <w:pPr>
        <w:pStyle w:val="TextBody"/>
        <w:bidi w:val="0"/>
        <w:spacing w:lineRule="auto" w:line="288" w:before="0" w:after="0"/>
        <w:ind w:left="0" w:right="0" w:hanging="0"/>
        <w:jc w:val="left"/>
        <w:rPr/>
      </w:pPr>
      <w:r>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C-28</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APPENDIX D</w:t>
      </w: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PRO FORMA FINANCIAL INFORMATION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t>Unaudited Pro Forma Condensed Combined Financial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0"/>
              <w:ind w:left="0" w:right="0" w:hanging="0"/>
              <w:jc w:val="left"/>
              <w:rPr/>
            </w:pPr>
            <w:r>
              <w:rPr/>
            </w:r>
          </w:p>
        </w:tc>
        <w:tc>
          <w:tcPr>
            <w:tcW w:w="485" w:type="dxa"/>
            <w:tcBorders/>
            <w:vAlign w:val="center"/>
          </w:tcPr>
          <w:p>
            <w:pPr>
              <w:pStyle w:val="TableContents"/>
              <w:bidi w:val="0"/>
              <w:spacing w:before="0" w:after="283"/>
              <w:jc w:val="right"/>
              <w:rPr/>
            </w:pPr>
            <w:r>
              <w:rPr/>
              <w:t>Page</w:t>
            </w:r>
          </w:p>
        </w:tc>
      </w:tr>
      <w:tr>
        <w:trPr/>
        <w:tc>
          <w:tcPr>
            <w:tcW w:w="9720" w:type="dxa"/>
            <w:tcBorders/>
            <w:vAlign w:val="center"/>
          </w:tcPr>
          <w:p>
            <w:pPr>
              <w:pStyle w:val="TableContents"/>
              <w:bidi w:val="0"/>
              <w:spacing w:before="0" w:after="283"/>
              <w:jc w:val="left"/>
              <w:rPr/>
            </w:pPr>
            <w:hyperlink w:anchor="BJGKB3_176202694156872">
              <w:r>
                <w:rPr>
                  <w:rStyle w:val="InternetLink"/>
                </w:rPr>
                <w:t>UNAUDITED PRO FORMA CONDENSED COMBINED BALANCE SHEET AS OF MARCH 31, 2026</w:t>
              </w:r>
            </w:hyperlink>
          </w:p>
        </w:tc>
        <w:tc>
          <w:tcPr>
            <w:tcW w:w="485" w:type="dxa"/>
            <w:tcBorders/>
            <w:vAlign w:val="center"/>
          </w:tcPr>
          <w:p>
            <w:pPr>
              <w:pStyle w:val="TableContents"/>
              <w:bidi w:val="0"/>
              <w:spacing w:before="0" w:after="283"/>
              <w:jc w:val="right"/>
              <w:rPr/>
            </w:pPr>
            <w:r>
              <w:rPr/>
              <w:t>D-2</w:t>
            </w:r>
          </w:p>
        </w:tc>
      </w:tr>
      <w:tr>
        <w:trPr/>
        <w:tc>
          <w:tcPr>
            <w:tcW w:w="9720" w:type="dxa"/>
            <w:tcBorders/>
            <w:vAlign w:val="center"/>
          </w:tcPr>
          <w:p>
            <w:pPr>
              <w:pStyle w:val="TableContents"/>
              <w:bidi w:val="0"/>
              <w:spacing w:before="0" w:after="283"/>
              <w:jc w:val="left"/>
              <w:rPr/>
            </w:pPr>
            <w:hyperlink w:anchor="BJGKB4_176202694255281">
              <w:r>
                <w:rPr>
                  <w:rStyle w:val="InternetLink"/>
                </w:rPr>
                <w:t>UNAUDITED PRO FORMA CONDENSED COMBINED STATEMENT OF OPERATIONS FOR THE YEAR ENDED DECEMBER 31, 2025</w:t>
              </w:r>
            </w:hyperlink>
          </w:p>
        </w:tc>
        <w:tc>
          <w:tcPr>
            <w:tcW w:w="485" w:type="dxa"/>
            <w:tcBorders/>
            <w:vAlign w:val="center"/>
          </w:tcPr>
          <w:p>
            <w:pPr>
              <w:pStyle w:val="TableContents"/>
              <w:bidi w:val="0"/>
              <w:spacing w:before="0" w:after="283"/>
              <w:jc w:val="right"/>
              <w:rPr/>
            </w:pPr>
            <w:r>
              <w:rPr/>
              <w:t>D-3</w:t>
            </w:r>
          </w:p>
        </w:tc>
      </w:tr>
      <w:tr>
        <w:trPr/>
        <w:tc>
          <w:tcPr>
            <w:tcW w:w="9720" w:type="dxa"/>
            <w:tcBorders/>
            <w:vAlign w:val="center"/>
          </w:tcPr>
          <w:p>
            <w:pPr>
              <w:pStyle w:val="TableContents"/>
              <w:bidi w:val="0"/>
              <w:spacing w:before="0" w:after="283"/>
              <w:jc w:val="left"/>
              <w:rPr/>
            </w:pPr>
            <w:hyperlink w:anchor="BJGKB5_17620269431073">
              <w:r>
                <w:rPr>
                  <w:rStyle w:val="InternetLink"/>
                </w:rPr>
                <w:t>UNAUDITED PRO FORMA CONDENSED COMBINED STATEMENT OF OPERATIONS FOR THE THREE MONTHS ENDED MARCH 31, 2026</w:t>
              </w:r>
            </w:hyperlink>
          </w:p>
        </w:tc>
        <w:tc>
          <w:tcPr>
            <w:tcW w:w="485" w:type="dxa"/>
            <w:tcBorders/>
            <w:vAlign w:val="center"/>
          </w:tcPr>
          <w:p>
            <w:pPr>
              <w:pStyle w:val="TableContents"/>
              <w:bidi w:val="0"/>
              <w:spacing w:before="0" w:after="283"/>
              <w:jc w:val="right"/>
              <w:rPr/>
            </w:pPr>
            <w:r>
              <w:rPr/>
              <w:t>D-4</w:t>
            </w:r>
          </w:p>
        </w:tc>
      </w:tr>
      <w:tr>
        <w:trPr/>
        <w:tc>
          <w:tcPr>
            <w:tcW w:w="9720" w:type="dxa"/>
            <w:tcBorders/>
            <w:vAlign w:val="center"/>
          </w:tcPr>
          <w:p>
            <w:pPr>
              <w:pStyle w:val="TableContents"/>
              <w:bidi w:val="0"/>
              <w:spacing w:before="0" w:after="283"/>
              <w:jc w:val="left"/>
              <w:rPr/>
            </w:pPr>
            <w:hyperlink w:anchor="BJGKB6_176202694321666">
              <w:r>
                <w:rPr>
                  <w:rStyle w:val="InternetLink"/>
                </w:rPr>
                <w:t>NOTES TO UNAUDITED PRO FORMA CONDENSED COMBINED FINANCIAL STATEMENTS</w:t>
              </w:r>
            </w:hyperlink>
          </w:p>
        </w:tc>
        <w:tc>
          <w:tcPr>
            <w:tcW w:w="485" w:type="dxa"/>
            <w:tcBorders/>
            <w:vAlign w:val="center"/>
          </w:tcPr>
          <w:p>
            <w:pPr>
              <w:pStyle w:val="TableContents"/>
              <w:bidi w:val="0"/>
              <w:spacing w:before="0" w:after="283"/>
              <w:jc w:val="right"/>
              <w:rPr/>
            </w:pPr>
            <w:r>
              <w:rPr/>
              <w:t>D-5</w:t>
            </w:r>
          </w:p>
        </w:tc>
      </w:tr>
    </w:tbl>
    <w:p>
      <w:pPr>
        <w:pStyle w:val="TextBody"/>
        <w:bidi w:val="0"/>
        <w:spacing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Balance Sheet</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As of March 31,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3031"/>
        <w:gridCol w:w="125"/>
        <w:gridCol w:w="895"/>
        <w:gridCol w:w="125"/>
        <w:gridCol w:w="895"/>
        <w:gridCol w:w="1286"/>
        <w:gridCol w:w="125"/>
        <w:gridCol w:w="1120"/>
        <w:gridCol w:w="1295"/>
        <w:gridCol w:w="125"/>
        <w:gridCol w:w="1183"/>
      </w:tblGrid>
      <w:tr>
        <w:trPr/>
        <w:tc>
          <w:tcPr>
            <w:tcW w:w="3031"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895"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895"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286"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(Minimum)</w:t>
            </w:r>
          </w:p>
        </w:tc>
        <w:tc>
          <w:tcPr>
            <w:tcW w:w="125" w:type="dxa"/>
            <w:tcBorders/>
            <w:shd w:fill="1F3864" w:val="clear"/>
            <w:vAlign w:val="center"/>
          </w:tcPr>
          <w:p>
            <w:pPr>
              <w:pStyle w:val="TableHeading"/>
              <w:suppressLineNumbers/>
              <w:bidi w:val="0"/>
              <w:spacing w:before="0" w:after="283"/>
              <w:jc w:val="center"/>
              <w:rPr/>
            </w:pPr>
            <w:r>
              <w:rPr/>
            </w:r>
          </w:p>
        </w:tc>
        <w:tc>
          <w:tcPr>
            <w:tcW w:w="1120"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(Minimum)</w:t>
            </w:r>
          </w:p>
        </w:tc>
        <w:tc>
          <w:tcPr>
            <w:tcW w:w="1295"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 (Maximum)</w:t>
            </w:r>
          </w:p>
        </w:tc>
        <w:tc>
          <w:tcPr>
            <w:tcW w:w="125" w:type="dxa"/>
            <w:tcBorders/>
            <w:shd w:fill="1F3864" w:val="clear"/>
            <w:vAlign w:val="center"/>
          </w:tcPr>
          <w:p>
            <w:pPr>
              <w:pStyle w:val="TableHeading"/>
              <w:suppressLineNumbers/>
              <w:bidi w:val="0"/>
              <w:spacing w:before="0" w:after="283"/>
              <w:jc w:val="center"/>
              <w:rPr/>
            </w:pPr>
            <w:r>
              <w:rPr/>
            </w:r>
          </w:p>
        </w:tc>
        <w:tc>
          <w:tcPr>
            <w:tcW w:w="1183"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Pro Forma Combined (Maximum)</w:t>
            </w:r>
          </w:p>
        </w:tc>
      </w:tr>
      <w:tr>
        <w:trPr/>
        <w:tc>
          <w:tcPr>
            <w:tcW w:w="3031" w:type="dxa"/>
            <w:tcBorders/>
            <w:vAlign w:val="center"/>
          </w:tcPr>
          <w:p>
            <w:pPr>
              <w:pStyle w:val="TableContents"/>
              <w:bidi w:val="0"/>
              <w:spacing w:before="0" w:after="283"/>
              <w:jc w:val="left"/>
              <w:rPr>
                <w:b/>
              </w:rPr>
            </w:pPr>
            <w:r>
              <w:rPr>
                <w:b/>
              </w:rPr>
              <w:t>ASSETS</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bidi w:val="0"/>
              <w:spacing w:before="0" w:after="283"/>
              <w:jc w:val="left"/>
              <w:rPr/>
            </w:pPr>
            <w:r>
              <w:rPr/>
            </w:r>
          </w:p>
        </w:tc>
      </w:tr>
      <w:tr>
        <w:trPr/>
        <w:tc>
          <w:tcPr>
            <w:tcW w:w="3031" w:type="dxa"/>
            <w:tcBorders/>
            <w:vAlign w:val="center"/>
          </w:tcPr>
          <w:p>
            <w:pPr>
              <w:pStyle w:val="TableContents"/>
              <w:bidi w:val="0"/>
              <w:spacing w:before="0" w:after="283"/>
              <w:jc w:val="left"/>
              <w:rPr>
                <w:b/>
              </w:rPr>
            </w:pPr>
            <w:r>
              <w:rPr>
                <w:b/>
              </w:rPr>
              <w:t>Current assets:</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bidi w:val="0"/>
              <w:spacing w:before="0" w:after="283"/>
              <w:jc w:val="left"/>
              <w:rPr/>
            </w:pPr>
            <w:r>
              <w:rPr/>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Cash and cash equivalents</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756</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428</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7,625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20"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8,809</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12,625</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83"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sz w:val="20"/>
              </w:rPr>
              <w:t>13,809</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Restricted cash</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Inventories, net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Prepaid expenses and other current assets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assets related to discontinued operations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w:t>
            </w:r>
          </w:p>
        </w:tc>
      </w:tr>
      <w:tr>
        <w:trPr/>
        <w:tc>
          <w:tcPr>
            <w:tcW w:w="3031"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assets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1,672</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477</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9,774</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14,774</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Operating lease right-of-use assets, net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assets related to discontinued operations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Deposits and other assets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Goodwill — none recognized (recapitalization)</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86"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95"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r>
      <w:tr>
        <w:trPr/>
        <w:tc>
          <w:tcPr>
            <w:tcW w:w="3031"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ASSETS</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2,017</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 </w:t>
            </w:r>
            <w:r>
              <w:rPr>
                <w:rFonts w:ascii="Times New Roman" w:hAnsi="Times New Roman"/>
                <w:b/>
                <w:sz w:val="20"/>
              </w:rPr>
              <w:t>483</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20" w:type="dxa"/>
            <w:tcBorders/>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10,125</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83" w:type="dxa"/>
            <w:tcBorders/>
            <w:vAlign w:val="bottom"/>
          </w:tcPr>
          <w:p>
            <w:pPr>
              <w:pStyle w:val="TableContents"/>
              <w:widowControl/>
              <w:bidi w:val="0"/>
              <w:spacing w:before="0" w:after="0"/>
              <w:ind w:left="0" w:right="0" w:hanging="0"/>
              <w:jc w:val="right"/>
              <w:rPr/>
            </w:pPr>
            <w:r>
              <w:rPr>
                <w:color w:val="000000"/>
                <w:spacing w:val="0"/>
              </w:rPr>
              <w:t> </w:t>
            </w:r>
            <w:r>
              <w:rPr>
                <w:rFonts w:ascii="Times New Roman" w:hAnsi="Times New Roman"/>
                <w:b/>
                <w:sz w:val="20"/>
              </w:rPr>
              <w:t>15,125</w:t>
            </w:r>
          </w:p>
        </w:tc>
      </w:tr>
      <w:tr>
        <w:trPr/>
        <w:tc>
          <w:tcPr>
            <w:tcW w:w="3031" w:type="dxa"/>
            <w:tcBorders/>
            <w:vAlign w:val="center"/>
          </w:tcPr>
          <w:p>
            <w:pPr>
              <w:pStyle w:val="TableContents"/>
              <w:bidi w:val="0"/>
              <w:spacing w:before="0" w:after="283"/>
              <w:jc w:val="left"/>
              <w:rPr>
                <w:b/>
              </w:rPr>
            </w:pPr>
            <w:r>
              <w:rPr>
                <w:b/>
              </w:rPr>
              <w:t>LIABILITIES AND SHAREHOLDERS' EQUITY (DEFICIT)</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bidi w:val="0"/>
              <w:spacing w:before="0" w:after="283"/>
              <w:jc w:val="left"/>
              <w:rPr/>
            </w:pPr>
            <w:r>
              <w:rPr/>
            </w:r>
          </w:p>
        </w:tc>
      </w:tr>
      <w:tr>
        <w:trPr/>
        <w:tc>
          <w:tcPr>
            <w:tcW w:w="3031" w:type="dxa"/>
            <w:tcBorders/>
            <w:vAlign w:val="center"/>
          </w:tcPr>
          <w:p>
            <w:pPr>
              <w:pStyle w:val="TableContents"/>
              <w:bidi w:val="0"/>
              <w:spacing w:before="0" w:after="283"/>
              <w:jc w:val="left"/>
              <w:rPr>
                <w:b/>
              </w:rPr>
            </w:pPr>
            <w:r>
              <w:rPr>
                <w:b/>
              </w:rPr>
              <w:t>Current liabilities:</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bidi w:val="0"/>
              <w:spacing w:before="0" w:after="283"/>
              <w:jc w:val="left"/>
              <w:rPr/>
            </w:pPr>
            <w:r>
              <w:rPr/>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Accounts payable</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liabilities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expenses (Cortigent)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Accrued compensation (Cortigent)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operating lease liability</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Current liabilities related to discontinued operations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Due to Parent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pPr>
            <w:r>
              <w:rPr/>
              <w:t>—</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pPr>
            <w:r>
              <w:rPr/>
              <w:t>—</w:t>
            </w:r>
          </w:p>
        </w:tc>
      </w:tr>
      <w:tr>
        <w:trPr/>
        <w:tc>
          <w:tcPr>
            <w:tcW w:w="3031"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current liabilities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875</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1,605</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operating lease liability</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Long-term liabilities related to discontinued operations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295"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r>
      <w:tr>
        <w:trPr/>
        <w:tc>
          <w:tcPr>
            <w:tcW w:w="3031"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LIABILITIES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1,485</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4,230</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(3,500)</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2,215</w:t>
            </w:r>
          </w:p>
        </w:tc>
      </w:tr>
      <w:tr>
        <w:trPr/>
        <w:tc>
          <w:tcPr>
            <w:tcW w:w="3031" w:type="dxa"/>
            <w:tcBorders/>
            <w:vAlign w:val="center"/>
          </w:tcPr>
          <w:p>
            <w:pPr>
              <w:pStyle w:val="TableContents"/>
              <w:bidi w:val="0"/>
              <w:spacing w:before="0" w:after="283"/>
              <w:jc w:val="left"/>
              <w:rPr>
                <w:b/>
              </w:rPr>
            </w:pPr>
            <w:r>
              <w:rPr>
                <w:b/>
              </w:rPr>
              <w:t>Shareholders' Equity (Deficit):</w:t>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895" w:type="dxa"/>
            <w:tcBorders/>
            <w:vAlign w:val="center"/>
          </w:tcPr>
          <w:p>
            <w:pPr>
              <w:pStyle w:val="TableContents"/>
              <w:bidi w:val="0"/>
              <w:spacing w:before="0" w:after="283"/>
              <w:jc w:val="left"/>
              <w:rPr/>
            </w:pPr>
            <w:r>
              <w:rPr/>
            </w:r>
          </w:p>
        </w:tc>
        <w:tc>
          <w:tcPr>
            <w:tcW w:w="1286"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83" w:type="dxa"/>
            <w:tcBorders/>
            <w:vAlign w:val="center"/>
          </w:tcPr>
          <w:p>
            <w:pPr>
              <w:pStyle w:val="TableContents"/>
              <w:bidi w:val="0"/>
              <w:spacing w:before="0" w:after="283"/>
              <w:jc w:val="left"/>
              <w:rPr/>
            </w:pPr>
            <w:r>
              <w:rPr/>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Common stock, $0.001 par value</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Additional paid-in capital</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37,500</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(15,662)</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21,838</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(10,663)</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26,837</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Net Parent Investment (Deficit)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pPr>
            <w:r>
              <w:rPr/>
              <w:t>—</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3,747</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pPr>
            <w:r>
              <w:rPr/>
              <w:t>—</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other comprehensive loss</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pPr>
            <w:r>
              <w:rPr/>
              <w:t>—</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pPr>
            <w:r>
              <w:rPr/>
              <w:t>—</w:t>
            </w:r>
          </w:p>
        </w:tc>
      </w:tr>
      <w:tr>
        <w:trPr/>
        <w:tc>
          <w:tcPr>
            <w:tcW w:w="3031"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Accumulated deficit</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(36,630)</w:t>
            </w:r>
          </w:p>
        </w:tc>
        <w:tc>
          <w:tcPr>
            <w:tcW w:w="125" w:type="dxa"/>
            <w:tcBorders/>
            <w:vAlign w:val="center"/>
          </w:tcPr>
          <w:p>
            <w:pPr>
              <w:pStyle w:val="TableContents"/>
              <w:bidi w:val="0"/>
              <w:spacing w:before="0" w:after="283"/>
              <w:jc w:val="left"/>
              <w:rPr/>
            </w:pPr>
            <w:r>
              <w:rPr/>
            </w:r>
          </w:p>
        </w:tc>
        <w:tc>
          <w:tcPr>
            <w:tcW w:w="895" w:type="dxa"/>
            <w:tcBorders/>
            <w:vAlign w:val="bottom"/>
          </w:tcPr>
          <w:p>
            <w:pPr>
              <w:pStyle w:val="TableContents"/>
              <w:bidi w:val="0"/>
              <w:spacing w:before="0" w:after="0"/>
              <w:ind w:left="0" w:right="0" w:hanging="0"/>
              <w:jc w:val="right"/>
              <w:rPr/>
            </w:pPr>
            <w:r>
              <w:rPr/>
              <w:t>—</w:t>
            </w:r>
          </w:p>
        </w:tc>
        <w:tc>
          <w:tcPr>
            <w:tcW w:w="128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22,683</w:t>
            </w:r>
          </w:p>
        </w:tc>
        <w:tc>
          <w:tcPr>
            <w:tcW w:w="125" w:type="dxa"/>
            <w:tcBorders/>
            <w:vAlign w:val="center"/>
          </w:tcPr>
          <w:p>
            <w:pPr>
              <w:pStyle w:val="TableContents"/>
              <w:bidi w:val="0"/>
              <w:spacing w:before="0" w:after="283"/>
              <w:jc w:val="left"/>
              <w:rPr/>
            </w:pPr>
            <w:r>
              <w:rPr/>
            </w:r>
          </w:p>
        </w:tc>
        <w:tc>
          <w:tcPr>
            <w:tcW w:w="1120"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(13,947)</w:t>
            </w:r>
          </w:p>
        </w:tc>
        <w:tc>
          <w:tcPr>
            <w:tcW w:w="129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22,683</w:t>
            </w:r>
          </w:p>
        </w:tc>
        <w:tc>
          <w:tcPr>
            <w:tcW w:w="125" w:type="dxa"/>
            <w:tcBorders/>
            <w:vAlign w:val="center"/>
          </w:tcPr>
          <w:p>
            <w:pPr>
              <w:pStyle w:val="TableContents"/>
              <w:bidi w:val="0"/>
              <w:spacing w:before="0" w:after="283"/>
              <w:jc w:val="left"/>
              <w:rPr/>
            </w:pPr>
            <w:r>
              <w:rPr/>
            </w:r>
          </w:p>
        </w:tc>
        <w:tc>
          <w:tcPr>
            <w:tcW w:w="118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(13,947)</w:t>
            </w:r>
          </w:p>
        </w:tc>
      </w:tr>
      <w:tr>
        <w:trPr/>
        <w:tc>
          <w:tcPr>
            <w:tcW w:w="3031" w:type="dxa"/>
            <w:tcBorders/>
            <w:vAlign w:val="bottom"/>
          </w:tcPr>
          <w:p>
            <w:pPr>
              <w:pStyle w:val="TableContents"/>
              <w:bidi w:val="0"/>
              <w:spacing w:before="0" w:after="0"/>
              <w:ind w:left="240" w:right="0" w:hanging="0"/>
              <w:jc w:val="left"/>
              <w:rPr>
                <w:rFonts w:ascii="Times New Roman" w:hAnsi="Times New Roman"/>
                <w:b/>
                <w:sz w:val="20"/>
              </w:rPr>
            </w:pPr>
            <w:r>
              <w:rPr>
                <w:rFonts w:ascii="Times New Roman" w:hAnsi="Times New Roman"/>
                <w:b/>
                <w:sz w:val="20"/>
              </w:rPr>
              <w:t>TOTAL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532</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(3,747)</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20"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7,910</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83"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12,910</w:t>
            </w:r>
          </w:p>
        </w:tc>
      </w:tr>
      <w:tr>
        <w:trPr/>
        <w:tc>
          <w:tcPr>
            <w:tcW w:w="3031"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LIABILITIES AND SHAREHOLDERS’ EQUITY (DEFICIT)</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2,017</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w:t>
            </w:r>
          </w:p>
        </w:tc>
        <w:tc>
          <w:tcPr>
            <w:tcW w:w="128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20"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10,125</w:t>
            </w:r>
          </w:p>
        </w:tc>
        <w:tc>
          <w:tcPr>
            <w:tcW w:w="1295"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12,625</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83" w:type="dxa"/>
            <w:tcBorders/>
            <w:vAlign w:val="bottom"/>
          </w:tcPr>
          <w:p>
            <w:pPr>
              <w:pStyle w:val="TableContents"/>
              <w:widowControl/>
              <w:bidi w:val="0"/>
              <w:spacing w:before="0" w:after="0"/>
              <w:ind w:left="0" w:right="0" w:hanging="0"/>
              <w:jc w:val="right"/>
              <w:rPr/>
            </w:pPr>
            <w:r>
              <w:rPr>
                <w:caps w:val="false"/>
                <w:smallCaps w:val="false"/>
                <w:color w:val="000000"/>
                <w:spacing w:val="0"/>
              </w:rPr>
              <w:t> </w:t>
            </w:r>
            <w:r>
              <w:rPr>
                <w:rFonts w:ascii="Times New Roman" w:hAnsi="Times New Roman"/>
                <w:b/>
                <w:sz w:val="20"/>
              </w:rPr>
              <w:t>15,125</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16"/>
        </w:rPr>
      </w:pPr>
      <w:r>
        <w:rPr>
          <w:rFonts w:ascii="times new roman;times" w:hAnsi="times new roman;times"/>
          <w:i/>
          <w:sz w:val="16"/>
        </w:rPr>
        <w:t>Balance check (Total assets − (Total liabilities + equity)): $0 (Minimum) / $0 (Maximum). Pro forma combined shares outstanding (basic): 18,887,555 (Min) / 20,316,126 (Max). Pro forma book value per share: $0.42 (Min) / $0.64 (Max).</w:t>
      </w:r>
    </w:p>
    <w:p>
      <w:pPr>
        <w:pStyle w:val="TextBody"/>
        <w:bidi w:val="0"/>
        <w:spacing w:lineRule="auto" w:line="288" w:before="0" w:after="0"/>
        <w:ind w:left="0" w:right="0" w:hanging="0"/>
        <w:jc w:val="left"/>
        <w:rPr/>
      </w:pPr>
      <w:r>
        <w:rPr/>
        <w:t> </w:t>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before="0" w:after="20"/>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0"/>
        <w:ind w:left="0" w:right="0" w:hanging="0"/>
        <w:jc w:val="center"/>
        <w:rPr>
          <w:rFonts w:ascii="Times New Roman" w:hAnsi="Times New Roman"/>
          <w:i/>
          <w:sz w:val="20"/>
        </w:rPr>
      </w:pPr>
      <w:r>
        <w:rPr>
          <w:rFonts w:ascii="Times New Roman" w:hAnsi="Times New Roman"/>
          <w:i/>
          <w:sz w:val="20"/>
        </w:rPr>
        <w:t>For the Year Ended December 31, 2025</w:t>
        <w:br/>
        <w:t>(Dollar amounts in $000s except per-share data; share counts in whole shares)</w:t>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r>
    </w:p>
    <w:tbl>
      <w:tblPr>
        <w:tblW w:w="5000" w:type="pct"/>
        <w:jc w:val="left"/>
        <w:tblInd w:w="0" w:type="dxa"/>
        <w:tblLayout w:type="fixed"/>
        <w:tblCellMar>
          <w:top w:w="0" w:type="dxa"/>
          <w:left w:w="0" w:type="dxa"/>
          <w:bottom w:w="0" w:type="dxa"/>
          <w:right w:w="0" w:type="dxa"/>
        </w:tblCellMar>
      </w:tblPr>
      <w:tblGrid>
        <w:gridCol w:w="4395"/>
        <w:gridCol w:w="125"/>
        <w:gridCol w:w="1144"/>
        <w:gridCol w:w="125"/>
        <w:gridCol w:w="1144"/>
        <w:gridCol w:w="1413"/>
        <w:gridCol w:w="500"/>
        <w:gridCol w:w="125"/>
        <w:gridCol w:w="1234"/>
      </w:tblGrid>
      <w:tr>
        <w:trPr/>
        <w:tc>
          <w:tcPr>
            <w:tcW w:w="4395"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144"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44"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413" w:type="dxa"/>
            <w:tcBorders/>
            <w:shd w:fill="1F3864" w:val="clear"/>
            <w:vAlign w:val="center"/>
          </w:tcPr>
          <w:p>
            <w:pPr>
              <w:pStyle w:val="TableHeading"/>
              <w:bidi w:val="0"/>
              <w:spacing w:lineRule="auto" w:line="240"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34"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0"/>
              <w:ind w:left="0" w:right="0" w:hanging="0"/>
              <w:jc w:val="right"/>
              <w:rPr/>
            </w:pPr>
            <w:r>
              <w:rPr/>
              <w:t> —</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w:t>
            </w:r>
          </w:p>
        </w:tc>
      </w:tr>
      <w:tr>
        <w:trPr/>
        <w:tc>
          <w:tcPr>
            <w:tcW w:w="4395" w:type="dxa"/>
            <w:tcBorders/>
            <w:vAlign w:val="center"/>
          </w:tcPr>
          <w:p>
            <w:pPr>
              <w:pStyle w:val="TableContents"/>
              <w:bidi w:val="0"/>
              <w:spacing w:before="0" w:after="283"/>
              <w:jc w:val="left"/>
              <w:rPr>
                <w:b/>
                <w:sz w:val="20"/>
              </w:rPr>
            </w:pPr>
            <w:r>
              <w:rPr>
                <w:b/>
                <w:sz w:val="20"/>
              </w:rPr>
              <w:t>Operating expenses:</w:t>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bidi w:val="0"/>
              <w:spacing w:before="0" w:after="283"/>
              <w:jc w:val="left"/>
              <w:rPr/>
            </w:pPr>
            <w:r>
              <w:rPr/>
            </w:r>
          </w:p>
        </w:tc>
        <w:tc>
          <w:tcPr>
            <w:tcW w:w="1413"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center"/>
          </w:tcPr>
          <w:p>
            <w:pPr>
              <w:pStyle w:val="TableContents"/>
              <w:bidi w:val="0"/>
              <w:spacing w:before="0" w:after="283"/>
              <w:jc w:val="left"/>
              <w:rPr/>
            </w:pPr>
            <w:r>
              <w:rPr/>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 net of grants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w:t>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General and administrative</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2,453</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2,062</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4,515</w:t>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Legal expense</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w:t>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Professional fees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1,368</w:t>
            </w:r>
          </w:p>
        </w:tc>
      </w:tr>
      <w:tr>
        <w:trPr/>
        <w:tc>
          <w:tcPr>
            <w:tcW w:w="4395"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4,068</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6,700</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(4,396)</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(2,632)</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(7,028)</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(expense), net</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w:t>
            </w:r>
          </w:p>
        </w:tc>
      </w:tr>
      <w:tr>
        <w:trPr/>
        <w:tc>
          <w:tcPr>
            <w:tcW w:w="4395" w:type="dxa"/>
            <w:tcBorders/>
            <w:vAlign w:val="center"/>
          </w:tcPr>
          <w:p>
            <w:pPr>
              <w:pStyle w:val="TableContents"/>
              <w:bidi w:val="0"/>
              <w:spacing w:before="0" w:after="283"/>
              <w:jc w:val="left"/>
              <w:rPr/>
            </w:pPr>
            <w:r>
              <w:rPr/>
              <w:t>Pro forma adjustment – interest/other expense related to Due to Parent</w:t>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413"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center"/>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c>
          <w:tcPr>
            <w:tcW w:w="500" w:type="dxa"/>
            <w:tcBorders/>
            <w:vAlign w:val="center"/>
          </w:tcPr>
          <w:p>
            <w:pPr>
              <w:pStyle w:val="TableContents"/>
              <w:bidi w:val="0"/>
              <w:spacing w:before="0" w:after="283"/>
              <w:jc w:val="left"/>
              <w:rPr/>
            </w:pPr>
            <w:r>
              <w:rPr/>
              <w:t>(e)</w:t>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 </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(a)</w:t>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395" w:type="dxa"/>
            <w:tcBorders/>
            <w:vAlign w:val="center"/>
          </w:tcPr>
          <w:p>
            <w:pPr>
              <w:pStyle w:val="TableContents"/>
              <w:bidi w:val="0"/>
              <w:spacing w:before="0" w:after="283"/>
              <w:jc w:val="left"/>
              <w:rPr/>
            </w:pPr>
            <w:r>
              <w:rPr/>
              <w:t>Listing/service charge – reverse recapitalization (nonrecurring, non-cash)</w:t>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144" w:type="dxa"/>
            <w:tcBorders/>
            <w:vAlign w:val="center"/>
          </w:tcPr>
          <w:p>
            <w:pPr>
              <w:pStyle w:val="TableContents"/>
              <w:bidi w:val="0"/>
              <w:spacing w:before="0" w:after="283"/>
              <w:jc w:val="left"/>
              <w:rPr/>
            </w:pPr>
            <w:r>
              <w:rPr/>
            </w:r>
          </w:p>
        </w:tc>
        <w:tc>
          <w:tcPr>
            <w:tcW w:w="1413"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c>
          <w:tcPr>
            <w:tcW w:w="500"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(h)</w:t>
            </w:r>
          </w:p>
        </w:tc>
        <w:tc>
          <w:tcPr>
            <w:tcW w:w="125" w:type="dxa"/>
            <w:tcBorders/>
            <w:vAlign w:val="center"/>
          </w:tcPr>
          <w:p>
            <w:pPr>
              <w:pStyle w:val="TableContents"/>
              <w:bidi w:val="0"/>
              <w:spacing w:before="0" w:after="283"/>
              <w:jc w:val="left"/>
              <w:rPr/>
            </w:pPr>
            <w:r>
              <w:rPr/>
            </w:r>
          </w:p>
        </w:tc>
        <w:tc>
          <w:tcPr>
            <w:tcW w:w="1234"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before income taxes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(4,541)</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(19,357)</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(4,624)</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(3,112)</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(19,440)</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from discontinued operations, net of tax</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c>
          <w:tcPr>
            <w:tcW w:w="125" w:type="dxa"/>
            <w:tcBorders/>
            <w:vAlign w:val="center"/>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(21,460)</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r>
              <w:rPr>
                <w:rFonts w:ascii="Times New Roman" w:hAnsi="Times New Roman"/>
                <w:b/>
                <w:sz w:val="20"/>
              </w:rPr>
              <w:t>(26,084)</w:t>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r>
              <w:rPr>
                <w:rFonts w:ascii="Times New Roman" w:hAnsi="Times New Roman"/>
                <w:b/>
                <w:sz w:val="20"/>
              </w:rPr>
              <w:t>(3,112)</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(11,704)</w:t>
            </w:r>
          </w:p>
        </w:tc>
        <w:tc>
          <w:tcPr>
            <w:tcW w:w="500"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34" w:type="dxa"/>
            <w:tcBorders/>
            <w:vAlign w:val="bottom"/>
          </w:tcPr>
          <w:p>
            <w:pPr>
              <w:pStyle w:val="TableContents"/>
              <w:bidi w:val="0"/>
              <w:spacing w:before="0" w:after="0"/>
              <w:ind w:left="0" w:right="0" w:hanging="0"/>
              <w:jc w:val="right"/>
              <w:rPr/>
            </w:pPr>
            <w:r>
              <w:rPr/>
              <w:t> </w:t>
            </w:r>
            <w:r>
              <w:rPr>
                <w:rFonts w:ascii="Times New Roman" w:hAnsi="Times New Roman"/>
                <w:b/>
                <w:sz w:val="20"/>
              </w:rPr>
              <w:t>(40,900)</w:t>
            </w:r>
          </w:p>
        </w:tc>
      </w:tr>
    </w:tbl>
    <w:p>
      <w:pPr>
        <w:pStyle w:val="TextBody"/>
        <w:bidi w:val="0"/>
        <w:spacing w:lineRule="auto" w:line="288" w:before="200" w:after="20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tbl>
      <w:tblPr>
        <w:tblW w:w="5000" w:type="pct"/>
        <w:jc w:val="left"/>
        <w:tblInd w:w="0" w:type="dxa"/>
        <w:tblLayout w:type="fixed"/>
        <w:tblCellMar>
          <w:top w:w="0" w:type="dxa"/>
          <w:left w:w="0" w:type="dxa"/>
          <w:bottom w:w="0" w:type="dxa"/>
          <w:right w:w="0" w:type="dxa"/>
        </w:tblCellMar>
      </w:tblPr>
      <w:tblGrid>
        <w:gridCol w:w="6996"/>
        <w:gridCol w:w="1573"/>
        <w:gridCol w:w="1636"/>
      </w:tblGrid>
      <w:tr>
        <w:trPr/>
        <w:tc>
          <w:tcPr>
            <w:tcW w:w="6996"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57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636"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99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57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c>
          <w:tcPr>
            <w:tcW w:w="16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1,765,654</w:t>
            </w:r>
          </w:p>
        </w:tc>
      </w:tr>
      <w:tr>
        <w:trPr/>
        <w:tc>
          <w:tcPr>
            <w:tcW w:w="699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57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6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996"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57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17,977,797</w:t>
            </w:r>
          </w:p>
        </w:tc>
        <w:tc>
          <w:tcPr>
            <w:tcW w:w="16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19,406,368</w:t>
            </w:r>
          </w:p>
        </w:tc>
      </w:tr>
      <w:tr>
        <w:trPr/>
        <w:tc>
          <w:tcPr>
            <w:tcW w:w="6996"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57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(2.28)</w:t>
            </w:r>
          </w:p>
        </w:tc>
        <w:tc>
          <w:tcPr>
            <w:tcW w:w="16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(2.11)</w:t>
            </w:r>
          </w:p>
        </w:tc>
      </w:tr>
    </w:tbl>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Unaudited Pro Forma Condensed Combined Statement of Operations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For the Three Months Ended March 31, 2026</w:t>
        <w:br/>
        <w:t>(Dollar amounts in $000s except per-share data; share counts in whole shares)</w:t>
      </w:r>
    </w:p>
    <w:tbl>
      <w:tblPr>
        <w:tblW w:w="5000" w:type="pct"/>
        <w:jc w:val="left"/>
        <w:tblInd w:w="0" w:type="dxa"/>
        <w:tblLayout w:type="fixed"/>
        <w:tblCellMar>
          <w:top w:w="0" w:type="dxa"/>
          <w:left w:w="0" w:type="dxa"/>
          <w:bottom w:w="0" w:type="dxa"/>
          <w:right w:w="0" w:type="dxa"/>
        </w:tblCellMar>
      </w:tblPr>
      <w:tblGrid>
        <w:gridCol w:w="4395"/>
        <w:gridCol w:w="125"/>
        <w:gridCol w:w="1144"/>
        <w:gridCol w:w="125"/>
        <w:gridCol w:w="1144"/>
        <w:gridCol w:w="1413"/>
        <w:gridCol w:w="500"/>
        <w:gridCol w:w="125"/>
        <w:gridCol w:w="1234"/>
      </w:tblGrid>
      <w:tr>
        <w:trPr/>
        <w:tc>
          <w:tcPr>
            <w:tcW w:w="4395" w:type="dxa"/>
            <w:tcBorders/>
            <w:shd w:fill="1F3864" w:val="clear"/>
            <w:vAlign w:val="center"/>
          </w:tcPr>
          <w:p>
            <w:pPr>
              <w:pStyle w:val="TableHeading"/>
              <w:bidi w:val="0"/>
              <w:spacing w:before="0" w:after="0"/>
              <w:ind w:left="0" w:right="0" w:hanging="0"/>
              <w:jc w:val="center"/>
              <w:rPr>
                <w:color w:val="FFFFFF"/>
              </w:rPr>
            </w:pPr>
            <w:r>
              <w:rPr>
                <w:color w:val="FFFFFF"/>
              </w:rPr>
              <w:t> </w:t>
            </w:r>
          </w:p>
        </w:tc>
        <w:tc>
          <w:tcPr>
            <w:tcW w:w="125" w:type="dxa"/>
            <w:tcBorders/>
            <w:shd w:fill="1F3864" w:val="clear"/>
            <w:vAlign w:val="center"/>
          </w:tcPr>
          <w:p>
            <w:pPr>
              <w:pStyle w:val="TableHeading"/>
              <w:suppressLineNumbers/>
              <w:bidi w:val="0"/>
              <w:spacing w:before="0" w:after="283"/>
              <w:jc w:val="center"/>
              <w:rPr/>
            </w:pPr>
            <w:r>
              <w:rPr/>
            </w:r>
          </w:p>
        </w:tc>
        <w:tc>
          <w:tcPr>
            <w:tcW w:w="1144"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ClearOne</w:t>
            </w:r>
            <w:r>
              <w:rPr>
                <w:color w:val="FFFFFF"/>
                <w:sz w:val="16"/>
              </w:rPr>
              <w:t xml:space="preserve"> </w:t>
            </w:r>
            <w:r>
              <w:rPr>
                <w:rFonts w:ascii="Times New Roman" w:hAnsi="Times New Roman"/>
                <w:b/>
                <w:color w:val="FFFFFF"/>
                <w:sz w:val="16"/>
              </w:rPr>
              <w:t>Historical</w:t>
            </w:r>
          </w:p>
        </w:tc>
        <w:tc>
          <w:tcPr>
            <w:tcW w:w="125" w:type="dxa"/>
            <w:tcBorders/>
            <w:shd w:fill="1F3864" w:val="clear"/>
            <w:vAlign w:val="center"/>
          </w:tcPr>
          <w:p>
            <w:pPr>
              <w:pStyle w:val="TableHeading"/>
              <w:suppressLineNumbers/>
              <w:bidi w:val="0"/>
              <w:spacing w:before="0" w:after="283"/>
              <w:jc w:val="center"/>
              <w:rPr/>
            </w:pPr>
            <w:r>
              <w:rPr/>
            </w:r>
          </w:p>
        </w:tc>
        <w:tc>
          <w:tcPr>
            <w:tcW w:w="1144" w:type="dxa"/>
            <w:tcBorders/>
            <w:shd w:fill="1F3864" w:val="clear"/>
            <w:vAlign w:val="center"/>
          </w:tcPr>
          <w:p>
            <w:pPr>
              <w:pStyle w:val="TableHeading"/>
              <w:bidi w:val="0"/>
              <w:spacing w:lineRule="auto" w:line="264" w:before="0" w:after="0"/>
              <w:ind w:left="0" w:right="0" w:hanging="0"/>
              <w:jc w:val="center"/>
              <w:rPr>
                <w:sz w:val="16"/>
              </w:rPr>
            </w:pPr>
            <w:r>
              <w:rPr>
                <w:rFonts w:ascii="Times New Roman" w:hAnsi="Times New Roman"/>
                <w:b/>
                <w:color w:val="FFFFFF"/>
                <w:sz w:val="16"/>
              </w:rPr>
              <w:t>Cortigent</w:t>
            </w:r>
            <w:r>
              <w:rPr>
                <w:color w:val="FFFFFF"/>
                <w:sz w:val="16"/>
              </w:rPr>
              <w:t xml:space="preserve"> </w:t>
            </w:r>
            <w:r>
              <w:rPr>
                <w:rFonts w:ascii="Times New Roman" w:hAnsi="Times New Roman"/>
                <w:b/>
                <w:color w:val="FFFFFF"/>
                <w:sz w:val="16"/>
              </w:rPr>
              <w:t>Historical</w:t>
            </w:r>
          </w:p>
        </w:tc>
        <w:tc>
          <w:tcPr>
            <w:tcW w:w="1413"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Transaction Adjustments</w:t>
            </w:r>
          </w:p>
        </w:tc>
        <w:tc>
          <w:tcPr>
            <w:tcW w:w="500" w:type="dxa"/>
            <w:tcBorders/>
            <w:shd w:fill="1F3864" w:val="clear"/>
            <w:vAlign w:val="center"/>
          </w:tcPr>
          <w:p>
            <w:pPr>
              <w:pStyle w:val="TableHeading"/>
              <w:bidi w:val="0"/>
              <w:spacing w:before="0" w:after="283"/>
              <w:rPr>
                <w:color w:val="FFFFFF"/>
              </w:rPr>
            </w:pPr>
            <w:r>
              <w:rPr>
                <w:color w:val="FFFFFF"/>
              </w:rPr>
              <w:t>Note</w:t>
            </w:r>
          </w:p>
        </w:tc>
        <w:tc>
          <w:tcPr>
            <w:tcW w:w="125" w:type="dxa"/>
            <w:tcBorders/>
            <w:shd w:fill="1F3864" w:val="clear"/>
            <w:vAlign w:val="center"/>
          </w:tcPr>
          <w:p>
            <w:pPr>
              <w:pStyle w:val="TableHeading"/>
              <w:suppressLineNumbers/>
              <w:bidi w:val="0"/>
              <w:spacing w:before="0" w:after="283"/>
              <w:jc w:val="center"/>
              <w:rPr/>
            </w:pPr>
            <w:r>
              <w:rPr/>
            </w:r>
          </w:p>
        </w:tc>
        <w:tc>
          <w:tcPr>
            <w:tcW w:w="1234" w:type="dxa"/>
            <w:tcBorders/>
            <w:shd w:fill="1F3864" w:val="clear"/>
            <w:vAlign w:val="center"/>
          </w:tcPr>
          <w:p>
            <w:pPr>
              <w:pStyle w:val="TableHeading"/>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Pro Forma Combined</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234" w:type="dxa"/>
            <w:tcBorders/>
            <w:vAlign w:val="bottom"/>
          </w:tcPr>
          <w:p>
            <w:pPr>
              <w:pStyle w:val="TableContents"/>
              <w:bidi w:val="0"/>
              <w:spacing w:before="0" w:after="0"/>
              <w:ind w:left="0" w:right="0" w:hanging="0"/>
              <w:jc w:val="right"/>
              <w:rPr/>
            </w:pPr>
            <w:r>
              <w:rPr/>
              <w:t> —</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Gross loss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w:t>
            </w:r>
          </w:p>
        </w:tc>
      </w:tr>
      <w:tr>
        <w:trPr/>
        <w:tc>
          <w:tcPr>
            <w:tcW w:w="4395" w:type="dxa"/>
            <w:tcBorders/>
            <w:vAlign w:val="bottom"/>
          </w:tcPr>
          <w:p>
            <w:pPr>
              <w:pStyle w:val="TableContents"/>
              <w:bidi w:val="0"/>
              <w:spacing w:before="0" w:after="283"/>
              <w:jc w:val="left"/>
              <w:rPr>
                <w:b/>
              </w:rPr>
            </w:pPr>
            <w:r>
              <w:rPr>
                <w:b/>
              </w:rPr>
              <w:t>Operating expenses: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283"/>
              <w:jc w:val="left"/>
              <w:rPr/>
            </w:pPr>
            <w:r>
              <w:rPr/>
            </w:r>
          </w:p>
        </w:tc>
        <w:tc>
          <w:tcPr>
            <w:tcW w:w="1413" w:type="dxa"/>
            <w:tcBorders/>
            <w:vAlign w:val="bottom"/>
          </w:tcPr>
          <w:p>
            <w:pPr>
              <w:pStyle w:val="TableContents"/>
              <w:bidi w:val="0"/>
              <w:spacing w:before="0" w:after="283"/>
              <w:jc w:val="left"/>
              <w:rPr/>
            </w:pPr>
            <w:r>
              <w:rPr/>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283"/>
              <w:jc w:val="left"/>
              <w:rPr/>
            </w:pPr>
            <w:r>
              <w:rPr/>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Research and development, net of grants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r>
      <w:tr>
        <w:trPr/>
        <w:tc>
          <w:tcPr>
            <w:tcW w:w="4395" w:type="dxa"/>
            <w:tcBorders/>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General and administrative</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1,388</w:t>
            </w:r>
          </w:p>
        </w:tc>
      </w:tr>
      <w:tr>
        <w:trPr/>
        <w:tc>
          <w:tcPr>
            <w:tcW w:w="4395" w:type="dxa"/>
            <w:tcBorders/>
            <w:vAlign w:val="bottom"/>
          </w:tcPr>
          <w:p>
            <w:pPr>
              <w:pStyle w:val="TableContents"/>
              <w:bidi w:val="0"/>
              <w:spacing w:before="0" w:after="0"/>
              <w:ind w:left="400" w:right="0" w:hanging="0"/>
              <w:jc w:val="left"/>
              <w:rPr>
                <w:rFonts w:ascii="Times New Roman" w:hAnsi="Times New Roman"/>
                <w:b/>
                <w:sz w:val="20"/>
              </w:rPr>
            </w:pPr>
            <w:r>
              <w:rPr>
                <w:rFonts w:ascii="Times New Roman" w:hAnsi="Times New Roman"/>
                <w:b/>
                <w:sz w:val="20"/>
              </w:rPr>
              <w:t>Total operating expenses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1,506</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Operating loss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w:t>
            </w:r>
          </w:p>
        </w:tc>
        <w:tc>
          <w:tcPr>
            <w:tcW w:w="1413" w:type="dxa"/>
            <w:tcBorders/>
            <w:vAlign w:val="bottom"/>
          </w:tcPr>
          <w:p>
            <w:pPr>
              <w:pStyle w:val="TableContents"/>
              <w:bidi w:val="0"/>
              <w:spacing w:before="0" w:after="0"/>
              <w:ind w:left="0" w:right="0" w:hanging="0"/>
              <w:jc w:val="right"/>
              <w:rPr/>
            </w:pPr>
            <w:r>
              <w:rPr/>
              <w:t>—</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(1,576)</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(expense), net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c>
          <w:tcPr>
            <w:tcW w:w="4395" w:type="dxa"/>
            <w:tcBorders/>
            <w:vAlign w:val="bottom"/>
          </w:tcPr>
          <w:p>
            <w:pPr>
              <w:pStyle w:val="TableContents"/>
              <w:bidi w:val="0"/>
              <w:spacing w:before="0" w:after="283"/>
              <w:jc w:val="left"/>
              <w:rPr/>
            </w:pPr>
            <w:r>
              <w:rPr/>
              <w:t>Pro forma adjustment – interest/other expense related to Due to Parent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c>
          <w:tcPr>
            <w:tcW w:w="1413" w:type="dxa"/>
            <w:tcBorders/>
            <w:vAlign w:val="bottom"/>
          </w:tcPr>
          <w:p>
            <w:pPr>
              <w:pStyle w:val="TableContents"/>
              <w:bidi w:val="0"/>
              <w:spacing w:before="0" w:after="283"/>
              <w:jc w:val="left"/>
              <w:rPr/>
            </w:pPr>
            <w:r>
              <w:rPr/>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widowControl/>
              <w:bidi w:val="0"/>
              <w:spacing w:before="0" w:after="283"/>
              <w:ind w:left="0" w:right="0" w:hanging="0"/>
              <w:jc w:val="right"/>
              <w:rPr>
                <w:caps w:val="false"/>
                <w:smallCaps w:val="false"/>
                <w:color w:val="000000"/>
                <w:spacing w:val="0"/>
              </w:rPr>
            </w:pPr>
            <w:r>
              <w:rPr>
                <w:caps w:val="false"/>
                <w:smallCaps w:val="false"/>
                <w:color w:val="000000"/>
                <w:spacing w:val="0"/>
              </w:rPr>
              <w:t>—</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Incremental stock compensation – new option grants (illustrative)</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c>
          <w:tcPr>
            <w:tcW w:w="500" w:type="dxa"/>
            <w:tcBorders/>
            <w:vAlign w:val="bottom"/>
          </w:tcPr>
          <w:p>
            <w:pPr>
              <w:pStyle w:val="TableContents"/>
              <w:bidi w:val="0"/>
              <w:spacing w:before="0" w:after="283"/>
              <w:jc w:val="left"/>
              <w:rPr/>
            </w:pPr>
            <w:r>
              <w:rPr/>
              <w:t>(e)</w:t>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costs – ThinkEquity advisory fee (nonrecurring)</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 </w:t>
            </w:r>
          </w:p>
        </w:tc>
        <w:tc>
          <w:tcPr>
            <w:tcW w:w="141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w:t>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(1,875)</w:t>
            </w:r>
          </w:p>
        </w:tc>
      </w:tr>
      <w:tr>
        <w:trPr/>
        <w:tc>
          <w:tcPr>
            <w:tcW w:w="4395" w:type="dxa"/>
            <w:tcBorders/>
            <w:vAlign w:val="bottom"/>
          </w:tcPr>
          <w:p>
            <w:pPr>
              <w:pStyle w:val="TableContents"/>
              <w:bidi w:val="0"/>
              <w:spacing w:before="0" w:after="283"/>
              <w:jc w:val="left"/>
              <w:rPr/>
            </w:pPr>
            <w:r>
              <w:rPr/>
              <w:t>Listing/service charge – reverse recapitalization (nonrecurring, non-cash)</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283"/>
              <w:jc w:val="left"/>
              <w:rPr/>
            </w:pPr>
            <w:r>
              <w:rPr/>
            </w:r>
          </w:p>
        </w:tc>
        <w:tc>
          <w:tcPr>
            <w:tcW w:w="1413"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c>
          <w:tcPr>
            <w:tcW w:w="500"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(h)</w:t>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(8,832)</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before income taxes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(10,956)</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(12,574)</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pPr>
            <w:r>
              <w:rPr/>
              <w:t>—</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Loss from continuing operations</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(10,956)</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(12,574)</w:t>
            </w:r>
          </w:p>
        </w:tc>
      </w:tr>
      <w:tr>
        <w:trPr/>
        <w:tc>
          <w:tcPr>
            <w:tcW w:w="43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from discontinued operations, net of tax</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c>
          <w:tcPr>
            <w:tcW w:w="125" w:type="dxa"/>
            <w:tcBorders/>
            <w:vAlign w:val="bottom"/>
          </w:tcPr>
          <w:p>
            <w:pPr>
              <w:pStyle w:val="TableContents"/>
              <w:bidi w:val="0"/>
              <w:spacing w:before="0" w:after="283"/>
              <w:jc w:val="left"/>
              <w:rPr/>
            </w:pPr>
            <w:r>
              <w:rPr/>
            </w:r>
          </w:p>
        </w:tc>
        <w:tc>
          <w:tcPr>
            <w:tcW w:w="1144" w:type="dxa"/>
            <w:tcBorders/>
            <w:vAlign w:val="bottom"/>
          </w:tcPr>
          <w:p>
            <w:pPr>
              <w:pStyle w:val="TableContents"/>
              <w:bidi w:val="0"/>
              <w:spacing w:before="0" w:after="0"/>
              <w:ind w:left="0" w:right="0" w:hanging="0"/>
              <w:jc w:val="right"/>
              <w:rPr/>
            </w:pPr>
            <w:r>
              <w:rPr/>
              <w:t>—</w:t>
            </w:r>
          </w:p>
        </w:tc>
        <w:tc>
          <w:tcPr>
            <w:tcW w:w="1413" w:type="dxa"/>
            <w:tcBorders/>
            <w:vAlign w:val="bottom"/>
          </w:tcPr>
          <w:p>
            <w:pPr>
              <w:pStyle w:val="TableContents"/>
              <w:bidi w:val="0"/>
              <w:spacing w:before="0" w:after="0"/>
              <w:ind w:left="0" w:right="0" w:hanging="0"/>
              <w:jc w:val="right"/>
              <w:rPr/>
            </w:pPr>
            <w:r>
              <w:rPr/>
              <w:t> </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34"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w:t>
            </w:r>
          </w:p>
        </w:tc>
      </w:tr>
      <w:tr>
        <w:trPr/>
        <w:tc>
          <w:tcPr>
            <w:tcW w:w="4395"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LOSS</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r>
              <w:rPr>
                <w:rFonts w:ascii="Times New Roman" w:hAnsi="Times New Roman"/>
                <w:b/>
                <w:sz w:val="20"/>
              </w:rPr>
              <w:t>(487)</w:t>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144" w:type="dxa"/>
            <w:tcBorders/>
            <w:vAlign w:val="bottom"/>
          </w:tcPr>
          <w:p>
            <w:pPr>
              <w:pStyle w:val="TableContents"/>
              <w:bidi w:val="0"/>
              <w:spacing w:before="0" w:after="0"/>
              <w:ind w:left="0" w:right="0" w:hanging="0"/>
              <w:jc w:val="right"/>
              <w:rPr/>
            </w:pPr>
            <w:r>
              <w:rPr/>
              <w:t> </w:t>
            </w:r>
            <w:r>
              <w:rPr>
                <w:rFonts w:ascii="Times New Roman" w:hAnsi="Times New Roman"/>
                <w:b/>
                <w:sz w:val="20"/>
              </w:rPr>
              <w:t>(768)</w:t>
            </w:r>
          </w:p>
        </w:tc>
        <w:tc>
          <w:tcPr>
            <w:tcW w:w="141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(10,956)</w:t>
            </w:r>
          </w:p>
        </w:tc>
        <w:tc>
          <w:tcPr>
            <w:tcW w:w="500"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w:t>
            </w:r>
          </w:p>
        </w:tc>
        <w:tc>
          <w:tcPr>
            <w:tcW w:w="1234" w:type="dxa"/>
            <w:tcBorders/>
            <w:vAlign w:val="bottom"/>
          </w:tcPr>
          <w:p>
            <w:pPr>
              <w:pStyle w:val="TableContents"/>
              <w:bidi w:val="0"/>
              <w:spacing w:before="0" w:after="0"/>
              <w:ind w:left="0" w:right="0" w:hanging="0"/>
              <w:jc w:val="right"/>
              <w:rPr/>
            </w:pPr>
            <w:r>
              <w:rPr/>
              <w:t> </w:t>
            </w:r>
            <w:r>
              <w:rPr>
                <w:rFonts w:ascii="Times New Roman" w:hAnsi="Times New Roman"/>
                <w:b/>
                <w:sz w:val="20"/>
              </w:rPr>
              <w:t>(12,211)</w:t>
            </w:r>
          </w:p>
        </w:tc>
      </w:tr>
    </w:tbl>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Pro forma net loss per share — Minimum and Maximum offering scenarios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r>
    </w:p>
    <w:tbl>
      <w:tblPr>
        <w:tblW w:w="5000" w:type="pct"/>
        <w:jc w:val="left"/>
        <w:tblInd w:w="0" w:type="dxa"/>
        <w:tblLayout w:type="fixed"/>
        <w:tblCellMar>
          <w:top w:w="0" w:type="dxa"/>
          <w:left w:w="0" w:type="dxa"/>
          <w:bottom w:w="0" w:type="dxa"/>
          <w:right w:w="0" w:type="dxa"/>
        </w:tblCellMar>
      </w:tblPr>
      <w:tblGrid>
        <w:gridCol w:w="6996"/>
        <w:gridCol w:w="1573"/>
        <w:gridCol w:w="1636"/>
      </w:tblGrid>
      <w:tr>
        <w:trPr/>
        <w:tc>
          <w:tcPr>
            <w:tcW w:w="6996" w:type="dxa"/>
            <w:tcBorders/>
            <w:shd w:fill="1F3864" w:val="clear"/>
            <w:vAlign w:val="bottom"/>
          </w:tcPr>
          <w:p>
            <w:pPr>
              <w:pStyle w:val="TableContents"/>
              <w:bidi w:val="0"/>
              <w:spacing w:before="0" w:after="0"/>
              <w:ind w:left="0" w:right="0" w:hanging="0"/>
              <w:jc w:val="center"/>
              <w:rPr>
                <w:color w:val="FFFFFF"/>
              </w:rPr>
            </w:pPr>
            <w:r>
              <w:rPr>
                <w:color w:val="FFFFFF"/>
              </w:rPr>
              <w:t> </w:t>
            </w:r>
          </w:p>
        </w:tc>
        <w:tc>
          <w:tcPr>
            <w:tcW w:w="1573"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Minimum ($10.0MM)</w:t>
            </w:r>
          </w:p>
        </w:tc>
        <w:tc>
          <w:tcPr>
            <w:tcW w:w="1636" w:type="dxa"/>
            <w:tcBorders/>
            <w:shd w:fill="1F3864" w:val="clear"/>
            <w:vAlign w:val="bottom"/>
          </w:tcPr>
          <w:p>
            <w:pPr>
              <w:pStyle w:val="TableContents"/>
              <w:bidi w:val="0"/>
              <w:spacing w:lineRule="auto" w:line="264" w:before="0" w:after="0"/>
              <w:ind w:left="0" w:right="0" w:hanging="0"/>
              <w:jc w:val="center"/>
              <w:rPr>
                <w:rFonts w:ascii="Times New Roman" w:hAnsi="Times New Roman"/>
                <w:b/>
                <w:color w:val="FFFFFF"/>
                <w:sz w:val="16"/>
              </w:rPr>
            </w:pPr>
            <w:r>
              <w:rPr>
                <w:rFonts w:ascii="Times New Roman" w:hAnsi="Times New Roman"/>
                <w:b/>
                <w:color w:val="FFFFFF"/>
                <w:sz w:val="16"/>
              </w:rPr>
              <w:t>Maximum ($15.0MM)</w:t>
            </w:r>
          </w:p>
        </w:tc>
      </w:tr>
      <w:tr>
        <w:trPr/>
        <w:tc>
          <w:tcPr>
            <w:tcW w:w="699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Historical CLRO weighted average shares outstanding</w:t>
            </w:r>
          </w:p>
        </w:tc>
        <w:tc>
          <w:tcPr>
            <w:tcW w:w="157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c>
          <w:tcPr>
            <w:tcW w:w="16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2,383,745</w:t>
            </w:r>
          </w:p>
        </w:tc>
      </w:tr>
      <w:tr>
        <w:trPr/>
        <w:tc>
          <w:tcPr>
            <w:tcW w:w="699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shares issued in the Transaction (assumed outstanding since beginning of period)</w:t>
            </w:r>
          </w:p>
        </w:tc>
        <w:tc>
          <w:tcPr>
            <w:tcW w:w="157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16,212,143</w:t>
            </w:r>
          </w:p>
        </w:tc>
        <w:tc>
          <w:tcPr>
            <w:tcW w:w="163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17,640,714</w:t>
            </w:r>
          </w:p>
        </w:tc>
      </w:tr>
      <w:tr>
        <w:trPr/>
        <w:tc>
          <w:tcPr>
            <w:tcW w:w="6996"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weighted average shares outstanding</w:t>
            </w:r>
          </w:p>
        </w:tc>
        <w:tc>
          <w:tcPr>
            <w:tcW w:w="157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18,595,888</w:t>
            </w:r>
          </w:p>
        </w:tc>
        <w:tc>
          <w:tcPr>
            <w:tcW w:w="16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20,024,459</w:t>
            </w:r>
          </w:p>
        </w:tc>
      </w:tr>
      <w:tr>
        <w:trPr/>
        <w:tc>
          <w:tcPr>
            <w:tcW w:w="6996"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Pro forma net loss per share – basic and diluted</w:t>
            </w:r>
          </w:p>
        </w:tc>
        <w:tc>
          <w:tcPr>
            <w:tcW w:w="1573"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(0.66)</w:t>
            </w:r>
          </w:p>
        </w:tc>
        <w:tc>
          <w:tcPr>
            <w:tcW w:w="1636" w:type="dxa"/>
            <w:tcBorders/>
            <w:vAlign w:val="bottom"/>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(0.61)</w:t>
            </w:r>
          </w:p>
        </w:tc>
      </w:tr>
    </w:tbl>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color w:val="1F3864"/>
          <w:sz w:val="20"/>
        </w:rPr>
      </w:pPr>
      <w:r>
        <w:rPr>
          <w:rFonts w:ascii="Times New Roman" w:hAnsi="Times New Roman"/>
          <w:b/>
          <w:color w:val="1F3864"/>
          <w:sz w:val="20"/>
        </w:rPr>
        <w:t>CLEARONE, INC. AND CORTIGENT, INC.</w:t>
      </w:r>
    </w:p>
    <w:p>
      <w:pPr>
        <w:pStyle w:val="TextBody"/>
        <w:bidi w:val="0"/>
        <w:spacing w:lineRule="auto" w:line="288"/>
        <w:ind w:left="0" w:right="0" w:hanging="0"/>
        <w:jc w:val="center"/>
        <w:rPr/>
      </w:pPr>
      <w:hyperlink w:anchor="TOC">
        <w:r>
          <w:rPr>
            <w:rStyle w:val="InternetLink"/>
            <w:rFonts w:ascii="Times New Roman" w:hAnsi="Times New Roman"/>
            <w:b/>
            <w:strike w:val="false"/>
            <w:dstrike w:val="false"/>
            <w:color w:val="1F3864"/>
            <w:sz w:val="20"/>
            <w:u w:val="none"/>
            <w:effect w:val="none"/>
          </w:rPr>
          <w:t>Notes to Unaudited Pro Forma Condensed Combined Financial Statements</w:t>
        </w:r>
      </w:hyperlink>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(Dollar amounts in $000s except per-share/per-unit data; share counts in whole shares)</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1.  BASIS OF PRESENTATION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unaudited pro forma condensed combined financial statements give effect to the merger (the "Merger") of CLRO Merger Sub, Inc. ("Merger Sub"), a wholly-owned subsidiary of ClearOne, Inc. ("ClearOne" or "CLRO"), with and into Cortigent, Inc. ("Cortigent"), with Cortigent surviving as a wholly-owned subsidiary of ClearOne, pursuant to the Agreement and Plan of Merger dated July 1, 2026 by and among ClearOne, Merger Sub, Cortigent and Vivani Medical, Inc. ("Vivani"), together with the concurrent equity financing described in Note 3 (the "Financing" and, together with the Merger, the "Transactions").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unaudited pro forma condensed combined balance sheet as of March 31, 2026</w:t>
      </w:r>
      <w:r>
        <w:rPr>
          <w:rFonts w:ascii="times new roman;times" w:hAnsi="times new roman;times"/>
          <w:sz w:val="20"/>
        </w:rPr>
        <w:t xml:space="preserve"> </w:t>
      </w:r>
      <w:r>
        <w:rPr>
          <w:rFonts w:ascii="Times New Roman" w:hAnsi="Times New Roman"/>
          <w:sz w:val="20"/>
        </w:rPr>
        <w:t>gives effect to the Transactions as if they had occurred on that date, combining the historical unaudited condensed consolidated balance sheets of ClearOne</w:t>
      </w:r>
      <w:r>
        <w:rPr>
          <w:rFonts w:ascii="times new roman;times" w:hAnsi="times new roman;times"/>
          <w:sz w:val="20"/>
        </w:rPr>
        <w:t xml:space="preserve"> </w:t>
      </w:r>
      <w:r>
        <w:rPr>
          <w:rFonts w:ascii="Times New Roman" w:hAnsi="Times New Roman"/>
          <w:sz w:val="20"/>
        </w:rPr>
        <w:t>and Cortigent. Consistent with the Financing's disclosed range, the unaudited pro forma condensed combined balance sheet is presented for both a Minimum Offering ($10,000) and a Maximum Offering ($15,000); no single point estimate is presented.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unaudited pro forma condensed combined statements of operations for the year ended December 31, 2025 and for the three months ended March 31, 2026 give effect to the Transactions as if they had occurred on January 1, 2025 and January 1, 2026, respectively, and combine the historical results of ClearOne and Cortigent for those periods. The dollar amounts on the unaudited pro forma condensed combined statements of operations do not vary between the Minimum and Maximum Offering scenarios. Because each period is presented as if the Transactions had occurred at the beginning of that period, both of the $1,875 ThinkEquity advisory fee (Note (a)) and the $8,832 listing / service charge (Note (h)) — nonrecurring charges directly attributable to the Transactions — are reflected as transaction accounting adjustments in each unaudited pro forma condensed combined statement of operations, as well as in the unaudited pro forma condensed combined balance sheet, and are not expected to recur beyond twelve months following the Closing. The non-cash Advisor Share charge (Note (c)), being settled in equity, is reflected in the unaudited pro forma condensed combined balance sheet only; other offering costs are charged to additional paid-in capital. Only the number of Financing Shares deemed outstanding varies by scenario, so each unaudited pro forma condensed combined statement of operations presents pro forma weighted average shares and pro forma net loss per share for both the Minimum and Maximum scenarios.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These unaudited pro forma condensed combined financial statements are presented for informational purposes only and do not purport to represent what the actual combined results of operations or financial position of ClearOne</w:t>
      </w:r>
      <w:r>
        <w:rPr>
          <w:rFonts w:ascii="times new roman;times" w:hAnsi="times new roman;times"/>
          <w:sz w:val="20"/>
        </w:rPr>
        <w:t xml:space="preserve"> </w:t>
      </w:r>
      <w:r>
        <w:rPr>
          <w:rFonts w:ascii="Times New Roman" w:hAnsi="Times New Roman"/>
          <w:sz w:val="20"/>
        </w:rPr>
        <w:t>and Cortigent</w:t>
      </w:r>
      <w:r>
        <w:rPr>
          <w:rFonts w:ascii="times new roman;times" w:hAnsi="times new roman;times"/>
          <w:sz w:val="20"/>
        </w:rPr>
        <w:t xml:space="preserve"> </w:t>
      </w:r>
      <w:r>
        <w:rPr>
          <w:rFonts w:ascii="Times New Roman" w:hAnsi="Times New Roman"/>
          <w:sz w:val="20"/>
        </w:rPr>
        <w:t>would have been had the Transactions occurred on the dates indicated, nor are they necessarily indicative of future combined results. No pro forma adjustments have been made for anticipated cost savings, synergies, or other integration effects.</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2.  THE MERGER AND ACCOUNTING TREATMENT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Under the terms of the Merger Agreement, Vivani will receive 12,500,000 shares of ClearOne common stock (the “Consideration Shares”) in exchange for all outstanding shares of Cortigent. Because Vivani obtains a majority (approximately 62%–66%) of the combined company’s voting interests, the Merger is accounted for as a reverse recapitalization, with Cortigent as the accounting acquirer and predecessor and ClearOne as the accounting acquiree, notwithstanding that ClearOne is the surviving legal registrant.</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the Closing, and following the October 2025 sale of substantially all of ClearOne’s operating assets and intellectual property to Biamp, the net assets of ClearOne acquired in the Merger do not meet the definition of a business under ASC 805. Accordingly, the transaction is not a business combination; it is accounted for as a reverse recapitalization, ClearOne’s identifiable net assets are recognized at carrying value (which approximates fair value, as they are predominantly monetary), and no goodwill is recognized. This accounting determination is separate from, and not inconsistent with, the Company’s Nasdaq continued-listing position.</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3.  PRO FORMA ADJUSTMENTS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(a)  Financing</w:t>
      </w:r>
      <w:r>
        <w:rPr>
          <w:rFonts w:ascii="Times New Roman" w:hAnsi="Times New Roman"/>
          <w:sz w:val="20"/>
        </w:rPr>
        <w:t>. Reflects the assumed issuance of Financing Units at the Closing. Per the Merger Agreement, the Financing will raise a minimum of $10,000 (2,857,143 shares) and a maximum of $15,000 (4,285,714 shares) at an assumed price of $3.50 per Unit, each Unit including one warrant exercisable at $10.00 per share for six months, for cash only. Cash proceeds in each scenario are reduced by $2,375 of fees and offering costs: the $1,875 cash fee payable to ThinkEquity LLC (capped per the Merger Agreement, fixed regardless of the amount raised) and $500 of other estimated offering costs (legal, accounting, printing, filing — ESTIMATE ONLY). The entire $1,875 ThinkEquity fee is treated as a transaction/advisory expense of the Merger — none is allocated to Financing issuance costs — and is reflected as a non-recurring charge in each unaudited pro forma condensed combined statement of operations and as a corresponding reduction of accumulated deficit in the unaudited pro forma condensed combined balance sheet. The $500 of other offering costs, being directly attributable to the Financing, are charged to additional paid-in capital as equity issuance costs. The Financing Warrants are assumed to be equity-classified (fixed-for-fixed, cash exercise only, fixed six-month term, no down-round features), and will be confirmed once final warrant terms are determined.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(b)  Goodwill.</w:t>
      </w:r>
      <w:r>
        <w:rPr>
          <w:rFonts w:ascii="Times New Roman" w:hAnsi="Times New Roman"/>
          <w:sz w:val="20"/>
        </w:rPr>
        <w:t> No goodwill is recognized. Because ClearOne’s net assets do not meet the ASC 805 definition of a business, the Merger is not a business combination; it is a reverse recapitalization in which ClearOne’s identifiable net assets are recognized at fair value (≈ carrying value). See Note (h) for the listing/service charge arising on the excess of the deemed consideration over those net assets.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(c)  Advisor Shares.</w:t>
      </w:r>
      <w:r>
        <w:rPr>
          <w:rFonts w:ascii="Times New Roman" w:hAnsi="Times New Roman"/>
          <w:sz w:val="20"/>
        </w:rPr>
        <w:t>  Reflects the assumed issuance of the maximum 855,000 Advisor Shares permitted under the Merger Agreement at an assumed fair value of $3.50 per share ($2,993), recorded as a non-recurring, non-cash charge at the assumed Closing date. Because this charge is non-cash and settled in equity, it is reflected as a charge to accumulated deficit in the unaudited pro forma condensed combined balance sheet only and is not reflected in the unaudited pro forma condensed combined statements of operations.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(d)  Recapitalization.</w:t>
      </w:r>
      <w:r>
        <w:rPr>
          <w:rFonts w:ascii="Times New Roman" w:hAnsi="Times New Roman"/>
          <w:sz w:val="20"/>
        </w:rPr>
        <w:t> Reflects the elimination of ClearOne's historical common stock, additional paid-in capital and accumulated other comprehensive loss and the issuance of the Consideration Shares to Vivani, the Financing Shares, and the Advisor Shares, resulting in pro forma combined shares outstanding of 18,887,555 (Minimum) to 20,316,126 (Maximum). Cortigent's historical Net Parent Investment (Deficit), as adjusted for the debt forgiveness in Note (f), the ThinkEquity fee in Note (a) and the Advisor Share charge in Note (c), is carried forward as the combined company's accumulated deficit, consistent with reverse recapitalization accounting. Additional paid-in capital is presented as a balancing amount and will change with final terms based on the actual Transactions.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(e)  Option Grants.</w:t>
      </w:r>
      <w:r>
        <w:rPr>
          <w:rFonts w:ascii="Times New Roman" w:hAnsi="Times New Roman"/>
          <w:sz w:val="20"/>
        </w:rPr>
        <w:t> Reflects an estimate of incremental recurring stock compensation expense for the 1,400,000 stock options to be granted at Closing to Cortigent-affiliated individuals, at an assumed exercise price of $3.50, increasing the pro forma net loss in each period. Grant-date fair value was estimated using the Black-Scholes model with assumptions for volatility (80%), risk-free interest rate (4.37%), expected term (7 years) and a 3.7 year ratable vesting period. Actual terms, and expense amounts, will likely differ from the estimate.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(f)  Debt Forgiveness.</w:t>
      </w:r>
      <w:r>
        <w:rPr>
          <w:rFonts w:ascii="Times New Roman" w:hAnsi="Times New Roman"/>
          <w:sz w:val="20"/>
        </w:rPr>
        <w:t> Reflects the forgiveness/contribution to capital, immediately prior to the Effective Time, of Cortigent's $3,500 'Due to Parent' balance owed to Vivani, a condition of Closing under Merger Agreement Section 5.17.</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b/>
          <w:sz w:val="20"/>
        </w:rPr>
        <w:t>(g) Listing / service charge. </w:t>
      </w:r>
      <w:r>
        <w:rPr>
          <w:rFonts w:ascii="Times New Roman" w:hAnsi="Times New Roman"/>
          <w:sz w:val="20"/>
        </w:rPr>
        <w:t>In the reverse recapitalization, Cortigent is deemed to issue equity to ClearOne’s continuing shareholders in exchange for ClearOne’s net assets and ClearOne’s public listing. The excess of the fair value of that deemed consideration (2,675,412 shares × an assumed $3.50 per share = $9,364) over the fair value of ClearOne’s identifiable net assets ($532) — approximately $8,832 — is recognized as a one-time, non-cash listing/service charge in each unaudited pro forma condensed combined statement of operations, with an offsetting increase in additional paid-in capital (no effect on total stockholders’ equity or cash). The charge is supported by analogy to IFRS 2 (paragraph 13A and the related IFRS Interpretations Committee agenda decision) and is consistent with SEC staff practice; the per-share input will change based on ClearOne’s quoted market price at the Closing.</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b/>
          <w:color w:val="1F3864"/>
          <w:sz w:val="20"/>
        </w:rPr>
      </w:pPr>
      <w:r>
        <w:rPr>
          <w:rFonts w:ascii="Times New Roman" w:hAnsi="Times New Roman"/>
          <w:b/>
          <w:color w:val="1F3864"/>
          <w:sz w:val="20"/>
        </w:rPr>
        <w:t>4.  SHARE CAPITAL</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Pro forma combined shares outstanding (18,887,555 Minimum to 20,316,126 Maximum) do not include: (i) the Financing Warrants (2,857,143 to 4,285,714 shares, $10.00 exercise price, 6-month term); (ii) the 1,400,000 stock options discussed in Note (e); or (iii) any other outstanding ClearOne equity awards not separately identified in these proforma financial statements.</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D-6</w:t>
            </w:r>
          </w:p>
        </w:tc>
      </w:tr>
    </w:tbl>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BOLD">
    <w:charset w:val="01"/>
    <w:family w:val="auto"/>
    <w:pitch w:val="default"/>
  </w:font>
  <w:font w:name="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6">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7">
    <w:lvl w:ilvl="0">
      <w:start w:val="1"/>
      <w:numFmt w:val="bullet"/>
      <w:suff w:val="nothing"/>
      <w:lvlText w:val=""/>
      <w:lvlJc w:val="left"/>
      <w:pPr>
        <w:tabs>
          <w:tab w:val="num" w:pos="709"/>
        </w:tabs>
        <w:ind w:left="709" w:hanging="0"/>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840715/000175392626000600/clro-20251231.htm" TargetMode="External"/><Relationship Id="rId3" Type="http://schemas.openxmlformats.org/officeDocument/2006/relationships/hyperlink" Target="http://www.sec.gov/ix?doc=/Archives/edgar/data/840715/000175392626000897/clro-20260331.htm" TargetMode="External"/><Relationship Id="rId4" Type="http://schemas.openxmlformats.org/officeDocument/2006/relationships/hyperlink" Target="http://www.sec.gov/ix?doc=/Archives/edgar/data/840715/000175392626000244/clro-20260113.htm" TargetMode="External"/><Relationship Id="rId5" Type="http://schemas.openxmlformats.org/officeDocument/2006/relationships/hyperlink" Target="http://www.sec.gov/ix?doc=/Archives/edgar/data/840715/000175392626000443/clro-20260305.htm" TargetMode="External"/><Relationship Id="rId6" Type="http://schemas.openxmlformats.org/officeDocument/2006/relationships/hyperlink" Target="http://www.sec.gov/ix?doc=/Archives/edgar/data/840715/000175392626000473/clro-20260313.htm" TargetMode="External"/><Relationship Id="rId7" Type="http://schemas.openxmlformats.org/officeDocument/2006/relationships/hyperlink" Target="http://www.sec.gov/ix?doc=/Archives/edgar/data/840715/000175392626000497/clro-20260317.htm" TargetMode="External"/><Relationship Id="rId8" Type="http://schemas.openxmlformats.org/officeDocument/2006/relationships/hyperlink" Target="http://www.sec.gov/ix?doc=/Archives/edgar/data/840715/000175392626000620/clro-20260403.htm" TargetMode="External"/><Relationship Id="rId9" Type="http://schemas.openxmlformats.org/officeDocument/2006/relationships/hyperlink" Target="http://www.sec.gov/ix?doc=/Archives/edgar/data/840715/000175392626000649/clro-20260413.htm" TargetMode="External"/><Relationship Id="rId10" Type="http://schemas.openxmlformats.org/officeDocument/2006/relationships/hyperlink" Target="http://www.sec.gov/ix?doc=/Archives/edgar/data/840715/000175392626000720/clro-20260423.htm" TargetMode="External"/><Relationship Id="rId11" Type="http://schemas.openxmlformats.org/officeDocument/2006/relationships/hyperlink" Target="http://www.sec.gov/ix?doc=/Archives/edgar/data/840715/000175392626001118/clro-20260701.htm" TargetMode="External"/><Relationship Id="rId12" Type="http://schemas.openxmlformats.org/officeDocument/2006/relationships/hyperlink" Target="http://www.sec.gov/ix?doc=/Archives/edgar/data/840715/000175392626001137/clro-20260706.htm" TargetMode="External"/><Relationship Id="rId13" Type="http://schemas.openxmlformats.org/officeDocument/2006/relationships/hyperlink" Target="http://www.sec.gov/Archives/edgar/data/840715/000084071507000034/form8-a12bdated08102007.htm"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108564</Words>
  <Characters>595364</Characters>
  <CharactersWithSpaces>702555</CharactersWithSpaces>
  <Paragraphs>5872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