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ind w:left="0" w:right="0" w:hanging="0"/>
        <w:jc w:val="left"/>
        <w:rPr/>
      </w:pPr>
      <w:r>
        <w:rPr/>
        <w:t> </w:t>
      </w:r>
    </w:p>
    <w:p>
      <w:pPr>
        <w:pStyle w:val="TextBody"/>
        <w:bidi w:val="0"/>
        <w:spacing w:lineRule="atLeast" w:line="142"/>
        <w:jc w:val="left"/>
        <w:rPr>
          <w:bdr w:val="single" w:sz="24" w:space="1" w:color="000000"/>
        </w:rPr>
      </w:pPr>
      <w:r>
        <w:rPr>
          <w:bdr w:val="single" w:sz="24" w:space="1" w:color="000000"/>
        </w:rPr>
        <w:t> </w:t>
      </w:r>
    </w:p>
    <w:p>
      <w:pPr>
        <w:pStyle w:val="TextBody"/>
        <w:bidi w:val="0"/>
        <w:spacing w:before="100" w:after="0"/>
        <w:ind w:left="0" w:right="0" w:hanging="0"/>
        <w:jc w:val="center"/>
        <w:rPr>
          <w:rFonts w:ascii="times new roman;times" w:hAnsi="times new roman;times"/>
          <w:sz w:val="20"/>
        </w:rPr>
      </w:pPr>
      <w:r>
        <w:rPr>
          <w:rFonts w:ascii="Times New Roman" w:hAnsi="Times New Roman"/>
          <w:b/>
          <w:sz w:val="28"/>
        </w:rPr>
        <w:t>UNITED STATES</w:t>
      </w:r>
      <w:r>
        <w:rPr>
          <w:rFonts w:ascii="times new roman;times" w:hAnsi="times new roman;times"/>
          <w:sz w:val="20"/>
        </w:rPr>
        <w:t> </w:t>
      </w:r>
      <w:r>
        <w:rPr>
          <w:rFonts w:ascii="Times New Roman" w:hAnsi="Times New Roman"/>
          <w:b/>
          <w:sz w:val="28"/>
        </w:rPr>
        <w:t>SECURITIES AND EXCHANGE COMMISSION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8"/>
        </w:rPr>
      </w:pPr>
      <w:r>
        <w:rPr>
          <w:rFonts w:ascii="Times New Roman" w:hAnsi="Times New Roman"/>
          <w:b/>
          <w:sz w:val="28"/>
        </w:rPr>
        <w:t>FORM 8-K</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 w:hAnsi="times new roman;times"/>
          <w:sz w:val="20"/>
        </w:rPr>
      </w:pPr>
      <w:r>
        <w:rPr>
          <w:rFonts w:ascii="Times New Roman" w:hAnsi="Times New Roman"/>
          <w:sz w:val="20"/>
        </w:rPr>
        <w:t xml:space="preserve">Date of report (Date of earliest event reported): </w:t>
      </w:r>
      <w:r>
        <w:rPr>
          <w:rFonts w:ascii="Times New Roman" w:hAnsi="Times New Roman"/>
          <w:b/>
          <w:sz w:val="20"/>
          <w:u w:val="single"/>
        </w:rPr>
        <w:t>February 22, 2024</w:t>
      </w:r>
      <w:r>
        <w:rPr>
          <w:rFonts w:ascii="times new roman;times" w:hAnsi="times new roman;times"/>
          <w:sz w:val="20"/>
          <w:u w:val="single"/>
        </w:rPr>
        <w:t> </w:t>
      </w:r>
      <w:r>
        <w:rPr>
          <w:rFonts w:ascii="Times New Roman" w:hAnsi="Times New Roman"/>
          <w:b/>
          <w:sz w:val="20"/>
          <w:u w:val="single"/>
        </w:rPr>
        <w:t>(February 21, 2024)</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8"/>
          <w:u w:val="single"/>
        </w:rPr>
      </w:pPr>
      <w:r>
        <w:rPr>
          <w:rFonts w:ascii="Times New Roman" w:hAnsi="Times New Roman"/>
          <w:b/>
          <w:sz w:val="28"/>
          <w:u w:val="single"/>
        </w:rPr>
        <w:t>ClearOne, Inc.</w:t>
      </w:r>
    </w:p>
    <w:p>
      <w:pPr>
        <w:pStyle w:val="TextBody"/>
        <w:bidi w:val="0"/>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4162"/>
        <w:gridCol w:w="67"/>
        <w:gridCol w:w="2557"/>
        <w:gridCol w:w="67"/>
        <w:gridCol w:w="3352"/>
      </w:tblGrid>
      <w:tr>
        <w:trPr/>
        <w:tc>
          <w:tcPr>
            <w:tcW w:w="4162"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Delaware </w:t>
            </w:r>
          </w:p>
        </w:tc>
        <w:tc>
          <w:tcPr>
            <w:tcW w:w="67" w:type="dxa"/>
            <w:tcBorders/>
            <w:vAlign w:val="center"/>
          </w:tcPr>
          <w:p>
            <w:pPr>
              <w:pStyle w:val="TableContents"/>
              <w:bidi w:val="0"/>
              <w:spacing w:before="0" w:after="0"/>
              <w:ind w:left="0" w:right="0" w:hanging="0"/>
              <w:jc w:val="left"/>
              <w:rPr/>
            </w:pPr>
            <w:r>
              <w:rPr/>
              <w:t> </w:t>
            </w:r>
          </w:p>
        </w:tc>
        <w:tc>
          <w:tcPr>
            <w:tcW w:w="2557"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001-33660 </w:t>
            </w:r>
          </w:p>
        </w:tc>
        <w:tc>
          <w:tcPr>
            <w:tcW w:w="67" w:type="dxa"/>
            <w:tcBorders/>
            <w:vAlign w:val="center"/>
          </w:tcPr>
          <w:p>
            <w:pPr>
              <w:pStyle w:val="TableContents"/>
              <w:bidi w:val="0"/>
              <w:spacing w:before="0" w:after="0"/>
              <w:ind w:left="0" w:right="0" w:hanging="0"/>
              <w:jc w:val="left"/>
              <w:rPr/>
            </w:pPr>
            <w:r>
              <w:rPr/>
              <w:t> </w:t>
            </w:r>
          </w:p>
        </w:tc>
        <w:tc>
          <w:tcPr>
            <w:tcW w:w="3352"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87-0398877 </w:t>
            </w:r>
          </w:p>
        </w:tc>
      </w:tr>
      <w:tr>
        <w:trPr/>
        <w:tc>
          <w:tcPr>
            <w:tcW w:w="4162" w:type="dxa"/>
            <w:tcBorders/>
            <w:vAlign w:val="center"/>
          </w:tcPr>
          <w:p>
            <w:pPr>
              <w:pStyle w:val="TableContents"/>
              <w:bidi w:val="0"/>
              <w:spacing w:before="0" w:after="0"/>
              <w:ind w:left="45" w:right="0" w:hanging="0"/>
              <w:jc w:val="center"/>
              <w:rPr/>
            </w:pPr>
            <w:r>
              <w:rPr>
                <w:rFonts w:ascii="Times New Roman" w:hAnsi="Times New Roman"/>
                <w:sz w:val="20"/>
              </w:rPr>
              <w:t>(State or Other Jurisdiction</w:t>
            </w:r>
            <w:r>
              <w:rPr/>
              <w:t> </w:t>
            </w:r>
            <w:r>
              <w:rPr>
                <w:rFonts w:ascii="Times New Roman" w:hAnsi="Times New Roman"/>
                <w:sz w:val="20"/>
              </w:rPr>
              <w:t xml:space="preserve">of Incorporation) </w:t>
            </w:r>
          </w:p>
        </w:tc>
        <w:tc>
          <w:tcPr>
            <w:tcW w:w="67" w:type="dxa"/>
            <w:tcBorders/>
            <w:vAlign w:val="center"/>
          </w:tcPr>
          <w:p>
            <w:pPr>
              <w:pStyle w:val="TableContents"/>
              <w:bidi w:val="0"/>
              <w:spacing w:before="0" w:after="0"/>
              <w:ind w:left="0" w:right="0" w:hanging="0"/>
              <w:jc w:val="left"/>
              <w:rPr/>
            </w:pPr>
            <w:r>
              <w:rPr/>
              <w:t> </w:t>
            </w:r>
          </w:p>
        </w:tc>
        <w:tc>
          <w:tcPr>
            <w:tcW w:w="2557" w:type="dxa"/>
            <w:tcBorders/>
            <w:vAlign w:val="center"/>
          </w:tcPr>
          <w:p>
            <w:pPr>
              <w:pStyle w:val="TableContents"/>
              <w:bidi w:val="0"/>
              <w:spacing w:before="0" w:after="0"/>
              <w:ind w:left="45" w:right="0" w:hanging="0"/>
              <w:jc w:val="center"/>
              <w:rPr/>
            </w:pPr>
            <w:r>
              <w:rPr>
                <w:rFonts w:ascii="Times New Roman" w:hAnsi="Times New Roman"/>
                <w:sz w:val="20"/>
              </w:rPr>
              <w:t>(Commission</w:t>
            </w:r>
            <w:r>
              <w:rPr/>
              <w:t> </w:t>
            </w:r>
            <w:r>
              <w:rPr>
                <w:rFonts w:ascii="Times New Roman" w:hAnsi="Times New Roman"/>
                <w:sz w:val="20"/>
              </w:rPr>
              <w:t xml:space="preserve">File Number) </w:t>
            </w:r>
          </w:p>
        </w:tc>
        <w:tc>
          <w:tcPr>
            <w:tcW w:w="67" w:type="dxa"/>
            <w:tcBorders/>
            <w:vAlign w:val="center"/>
          </w:tcPr>
          <w:p>
            <w:pPr>
              <w:pStyle w:val="TableContents"/>
              <w:bidi w:val="0"/>
              <w:spacing w:before="0" w:after="0"/>
              <w:ind w:left="0" w:right="0" w:hanging="0"/>
              <w:jc w:val="left"/>
              <w:rPr/>
            </w:pPr>
            <w:r>
              <w:rPr/>
              <w:t> </w:t>
            </w:r>
          </w:p>
        </w:tc>
        <w:tc>
          <w:tcPr>
            <w:tcW w:w="3352" w:type="dxa"/>
            <w:tcBorders/>
            <w:vAlign w:val="center"/>
          </w:tcPr>
          <w:p>
            <w:pPr>
              <w:pStyle w:val="TableContents"/>
              <w:bidi w:val="0"/>
              <w:spacing w:before="0" w:after="0"/>
              <w:ind w:left="30" w:right="0" w:hanging="0"/>
              <w:jc w:val="center"/>
              <w:rPr/>
            </w:pPr>
            <w:r>
              <w:rPr>
                <w:rFonts w:ascii="Times New Roman" w:hAnsi="Times New Roman"/>
                <w:sz w:val="20"/>
              </w:rPr>
              <w:t>(I.R.S. Employer</w:t>
            </w:r>
            <w:r>
              <w:rPr/>
              <w:t> </w:t>
            </w:r>
            <w:r>
              <w:rPr>
                <w:rFonts w:ascii="Times New Roman" w:hAnsi="Times New Roman"/>
                <w:sz w:val="20"/>
              </w:rPr>
              <w:t xml:space="preserve">Identification No.) </w:t>
            </w:r>
          </w:p>
        </w:tc>
      </w:tr>
    </w:tbl>
    <w:p>
      <w:pPr>
        <w:pStyle w:val="TextBody"/>
        <w:bidi w:val="0"/>
        <w:spacing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8338"/>
        <w:gridCol w:w="110"/>
        <w:gridCol w:w="1757"/>
      </w:tblGrid>
      <w:tr>
        <w:trPr/>
        <w:tc>
          <w:tcPr>
            <w:tcW w:w="8338"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5225 Wiley Post Way, Suite 500, Salt Lake City, Utah </w:t>
            </w:r>
          </w:p>
        </w:tc>
        <w:tc>
          <w:tcPr>
            <w:tcW w:w="110" w:type="dxa"/>
            <w:tcBorders/>
            <w:vAlign w:val="center"/>
          </w:tcPr>
          <w:p>
            <w:pPr>
              <w:pStyle w:val="TableContents"/>
              <w:bidi w:val="0"/>
              <w:spacing w:before="0" w:after="0"/>
              <w:ind w:left="0" w:right="0" w:hanging="0"/>
              <w:jc w:val="left"/>
              <w:rPr/>
            </w:pPr>
            <w:r>
              <w:rPr/>
              <w:t> </w:t>
            </w:r>
          </w:p>
        </w:tc>
        <w:tc>
          <w:tcPr>
            <w:tcW w:w="1757"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84116 </w:t>
            </w:r>
          </w:p>
        </w:tc>
      </w:tr>
      <w:tr>
        <w:trPr/>
        <w:tc>
          <w:tcPr>
            <w:tcW w:w="8338"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(Address of principal executive offices) </w:t>
            </w:r>
          </w:p>
        </w:tc>
        <w:tc>
          <w:tcPr>
            <w:tcW w:w="110" w:type="dxa"/>
            <w:tcBorders/>
            <w:vAlign w:val="center"/>
          </w:tcPr>
          <w:p>
            <w:pPr>
              <w:pStyle w:val="TableContents"/>
              <w:bidi w:val="0"/>
              <w:spacing w:before="0" w:after="0"/>
              <w:ind w:left="0" w:right="0" w:hanging="0"/>
              <w:jc w:val="left"/>
              <w:rPr/>
            </w:pPr>
            <w:r>
              <w:rPr/>
              <w:t> </w:t>
            </w:r>
          </w:p>
        </w:tc>
        <w:tc>
          <w:tcPr>
            <w:tcW w:w="1757"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(Zip Code)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u w:val="single"/>
        </w:rPr>
      </w:pPr>
      <w:r>
        <w:rPr>
          <w:rFonts w:ascii="Times New Roman" w:hAnsi="Times New Roman"/>
          <w:b/>
          <w:sz w:val="20"/>
          <w:u w:val="single"/>
        </w:rPr>
        <w:t>+1 (801) 975-7200</w:t>
      </w:r>
    </w:p>
    <w:p>
      <w:pPr>
        <w:pStyle w:val="TextBody"/>
        <w:bidi w:val="0"/>
        <w:spacing w:before="0" w:after="0"/>
        <w:ind w:left="0" w:right="0" w:hanging="0"/>
        <w:jc w:val="center"/>
        <w:rPr>
          <w:rFonts w:ascii="Times New Roman" w:hAnsi="Times New Roman"/>
          <w:sz w:val="20"/>
        </w:rPr>
      </w:pPr>
      <w:r>
        <w:rPr>
          <w:rFonts w:ascii="Times New Roman" w:hAnsi="Times New Roman"/>
          <w:sz w:val="20"/>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u w:val="single"/>
        </w:rPr>
      </w:pPr>
      <w:r>
        <w:rPr>
          <w:rFonts w:ascii="Times New Roman" w:hAnsi="Times New Roman"/>
          <w:b/>
          <w:sz w:val="20"/>
          <w:u w:val="single"/>
        </w:rPr>
        <w:t>Not applicable</w:t>
      </w:r>
    </w:p>
    <w:p>
      <w:pPr>
        <w:pStyle w:val="TextBody"/>
        <w:bidi w:val="0"/>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0"/>
              <w:ind w:left="0" w:right="0" w:hanging="0"/>
              <w:jc w:val="both"/>
              <w:rPr/>
            </w:pPr>
            <w:r>
              <w:rPr/>
              <w:t>☐</w:t>
            </w:r>
          </w:p>
        </w:tc>
        <w:tc>
          <w:tcPr>
            <w:tcW w:w="993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Written communications pursuant to Rule 425 under the Securities Act (17 CFR 230.425) </w:t>
            </w:r>
          </w:p>
        </w:tc>
      </w:tr>
      <w:tr>
        <w:trPr/>
        <w:tc>
          <w:tcPr>
            <w:tcW w:w="267" w:type="dxa"/>
            <w:tcBorders/>
            <w:vAlign w:val="center"/>
          </w:tcPr>
          <w:p>
            <w:pPr>
              <w:pStyle w:val="TableContents"/>
              <w:bidi w:val="0"/>
              <w:spacing w:before="0" w:after="0"/>
              <w:ind w:left="0" w:right="0" w:hanging="0"/>
              <w:jc w:val="both"/>
              <w:rPr/>
            </w:pPr>
            <w:r>
              <w:rPr/>
              <w:t>☐</w:t>
            </w:r>
          </w:p>
        </w:tc>
        <w:tc>
          <w:tcPr>
            <w:tcW w:w="993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Soliciting material pursuant to Rule 14a-12 under the Exchange Act (17 CFR 240.14a-12) </w:t>
            </w:r>
          </w:p>
        </w:tc>
      </w:tr>
      <w:tr>
        <w:trPr/>
        <w:tc>
          <w:tcPr>
            <w:tcW w:w="267" w:type="dxa"/>
            <w:tcBorders/>
            <w:vAlign w:val="center"/>
          </w:tcPr>
          <w:p>
            <w:pPr>
              <w:pStyle w:val="TableContents"/>
              <w:bidi w:val="0"/>
              <w:spacing w:before="0" w:after="0"/>
              <w:ind w:left="0" w:right="0" w:hanging="0"/>
              <w:jc w:val="left"/>
              <w:rPr/>
            </w:pPr>
            <w:r>
              <w:rPr/>
              <w:t>☐</w:t>
            </w:r>
          </w:p>
        </w:tc>
        <w:tc>
          <w:tcPr>
            <w:tcW w:w="99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r>
        <w:trPr/>
        <w:tc>
          <w:tcPr>
            <w:tcW w:w="267" w:type="dxa"/>
            <w:tcBorders/>
            <w:vAlign w:val="center"/>
          </w:tcPr>
          <w:p>
            <w:pPr>
              <w:pStyle w:val="TableContents"/>
              <w:bidi w:val="0"/>
              <w:spacing w:before="0" w:after="0"/>
              <w:ind w:left="0" w:right="0" w:hanging="0"/>
              <w:jc w:val="both"/>
              <w:rPr/>
            </w:pPr>
            <w:r>
              <w:rPr/>
              <w:t>☐</w:t>
            </w:r>
          </w:p>
        </w:tc>
        <w:tc>
          <w:tcPr>
            <w:tcW w:w="993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Pre-commencement communication pursuant to Rule 13e-4© under the Exchange Act (17 CFR 240.13e-4©)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Securities Registered Pursuant to Section 12(b) of the Act:</w:t>
      </w:r>
      <w:r>
        <w:rPr>
          <w:rFonts w:ascii="times new roman;times" w:hAnsi="times new roman;times"/>
          <w:sz w:val="20"/>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817"/>
        <w:gridCol w:w="2213"/>
        <w:gridCol w:w="5175"/>
      </w:tblGrid>
      <w:tr>
        <w:trPr/>
        <w:tc>
          <w:tcPr>
            <w:tcW w:w="2817"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Title of each class</w:t>
            </w:r>
          </w:p>
        </w:tc>
        <w:tc>
          <w:tcPr>
            <w:tcW w:w="2213"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Trading Symbol(s)</w:t>
            </w:r>
          </w:p>
        </w:tc>
        <w:tc>
          <w:tcPr>
            <w:tcW w:w="5175"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Name of each exchange on which registered</w:t>
            </w:r>
          </w:p>
        </w:tc>
      </w:tr>
      <w:tr>
        <w:trPr/>
        <w:tc>
          <w:tcPr>
            <w:tcW w:w="2817"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$0.001</w:t>
            </w:r>
          </w:p>
        </w:tc>
        <w:tc>
          <w:tcPr>
            <w:tcW w:w="2213"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CLRO</w:t>
            </w:r>
          </w:p>
        </w:tc>
        <w:tc>
          <w:tcPr>
            <w:tcW w:w="517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The NASDAQ Capital Market</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times" w:hAnsi="times new roman;times"/>
          <w:sz w:val="20"/>
        </w:rPr>
        <w:t>   </w:t>
      </w:r>
      <w:r>
        <w:rPr>
          <w:rFonts w:ascii="Times New Roman" w:hAnsi="Times New Roman"/>
          <w:sz w:val="20"/>
        </w:rPr>
        <w:t xml:space="preserve">Emerging growth company </w:t>
      </w:r>
      <w:r>
        <w:rPr>
          <w:rFonts w:ascii="times new roman;times" w:hAnsi="times new roman;times"/>
          <w:sz w:val="20"/>
        </w:rPr>
        <w: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 w:hAnsi="times new roman;times"/>
          <w:sz w:val="20"/>
        </w:rPr>
        <w:t>☐</w:t>
      </w:r>
    </w:p>
    <w:p>
      <w:pPr>
        <w:pStyle w:val="TextBody"/>
        <w:bidi w:val="0"/>
        <w:spacing w:lineRule="auto" w:line="288" w:before="0" w:after="0"/>
        <w:ind w:left="0" w:right="0" w:hanging="0"/>
        <w:jc w:val="both"/>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1440" w:right="0" w:hanging="1440"/>
        <w:jc w:val="left"/>
        <w:rPr>
          <w:rFonts w:ascii="times new roman;times" w:hAnsi="times new roman;times"/>
          <w:sz w:val="20"/>
        </w:rPr>
      </w:pPr>
      <w:r>
        <w:rPr>
          <w:rFonts w:ascii="Times New Roman" w:hAnsi="Times New Roman"/>
          <w:b/>
          <w:sz w:val="20"/>
        </w:rPr>
        <w:t>Item 5.02</w:t>
      </w:r>
      <w:r>
        <w:rPr>
          <w:rFonts w:ascii="times new roman;times" w:hAnsi="times new roman;times"/>
          <w:sz w:val="20"/>
        </w:rPr>
        <w:t xml:space="preserve">               </w:t>
      </w:r>
      <w:r>
        <w:rPr>
          <w:rFonts w:ascii="Times New Roman" w:hAnsi="Times New Roman"/>
          <w:b/>
          <w:sz w:val="20"/>
          <w:shd w:fill="FFFFFF" w:val="clear"/>
        </w:rPr>
        <w:t>Departure of Directors or Certain Officers; Election of Directors; Appointment of Certain Officers; Compensatory Arrangements of Certain Officers.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720"/>
        <w:jc w:val="left"/>
        <w:rPr>
          <w:rFonts w:ascii="times new roman;times" w:hAnsi="times new roman;times"/>
          <w:sz w:val="20"/>
        </w:rPr>
      </w:pPr>
      <w:r>
        <w:rPr>
          <w:rFonts w:ascii="Times New Roman" w:hAnsi="Times New Roman"/>
          <w:sz w:val="20"/>
        </w:rPr>
        <w:t>On February 21, 2024, Narsi Narayanan, the chief financial officer of ClearOne, Inc. (the “Company”), notified the Company that he would resign as an officer and employee of the Company effective March 1, 2024.  Mr. Narayanan’s departure is not a result of any disagreement with the Company and he is leaving to accept a position as an officer of another company.</w:t>
      </w:r>
      <w:r>
        <w:rPr>
          <w:rFonts w:ascii="times new roman;times" w:hAnsi="times new roman;times"/>
          <w:sz w:val="20"/>
        </w:rPr>
        <w:t xml:space="preserve">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sz w:val="20"/>
        </w:rPr>
        <w:t>Item 7.01</w:t>
      </w:r>
      <w:r>
        <w:rPr>
          <w:rFonts w:ascii="times new roman;times" w:hAnsi="times new roman;times"/>
          <w:sz w:val="20"/>
        </w:rPr>
        <w:t xml:space="preserve">              </w:t>
      </w:r>
      <w:r>
        <w:rPr>
          <w:rFonts w:ascii="Times New Roman" w:hAnsi="Times New Roman"/>
          <w:b/>
          <w:sz w:val="20"/>
        </w:rPr>
        <w:t>Regulation FD Disclosure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pPr>
      <w:r>
        <w:rPr/>
        <w:t xml:space="preserve">              </w:t>
      </w:r>
      <w:r>
        <w:rPr>
          <w:rFonts w:ascii="Times New Roman" w:hAnsi="Times New Roman"/>
          <w:sz w:val="20"/>
        </w:rPr>
        <w:t>On February 22, 2024, the Company issued a press release announcing certain operational updates and financial information about the Company.  A copy of the press release is furnished as Exhibit 99.1 hereto and incorporated herein by reference.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sz w:val="20"/>
        </w:rPr>
        <w:t>Item 9.01</w:t>
      </w:r>
      <w:r>
        <w:rPr>
          <w:rFonts w:ascii="times new roman;times" w:hAnsi="times new roman;times"/>
          <w:sz w:val="20"/>
        </w:rPr>
        <w:t xml:space="preserve">              </w:t>
      </w:r>
      <w:r>
        <w:rPr>
          <w:rFonts w:ascii="Times New Roman" w:hAnsi="Times New Roman"/>
          <w:b/>
          <w:sz w:val="20"/>
        </w:rPr>
        <w:t>Financial Statements and Exhibits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(d)</w:t>
      </w:r>
      <w:r>
        <w:rPr>
          <w:rFonts w:ascii="times new roman;times" w:hAnsi="times new roman;times"/>
          <w:sz w:val="20"/>
        </w:rPr>
        <w:t xml:space="preserve">  </w:t>
      </w:r>
      <w:r>
        <w:rPr>
          <w:rFonts w:ascii="Times New Roman" w:hAnsi="Times New Roman"/>
          <w:sz w:val="20"/>
        </w:rPr>
        <w:t>Exhibits</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28" w:type="dxa"/>
          <w:right w:w="0" w:type="dxa"/>
        </w:tblCellMar>
      </w:tblPr>
      <w:tblGrid>
        <w:gridCol w:w="1790"/>
        <w:gridCol w:w="76"/>
        <w:gridCol w:w="8339"/>
      </w:tblGrid>
      <w:tr>
        <w:trPr/>
        <w:tc>
          <w:tcPr>
            <w:tcW w:w="1790" w:type="dxa"/>
            <w:tcBorders>
              <w:bottom w:val="single" w:sz="8" w:space="0" w:color="000000"/>
            </w:tcBorders>
            <w:vAlign w:val="center"/>
          </w:tcPr>
          <w:p>
            <w:pPr>
              <w:pStyle w:val="TableContents"/>
              <w:bidi w:val="0"/>
              <w:spacing w:before="0" w:after="0"/>
              <w:ind w:left="0" w:right="0" w:hanging="0"/>
              <w:jc w:val="left"/>
              <w:rPr/>
            </w:pPr>
            <w:r>
              <w:rPr>
                <w:rFonts w:ascii="Times New Roman" w:hAnsi="Times New Roman"/>
                <w:b/>
                <w:sz w:val="20"/>
              </w:rPr>
              <w:t>Exhibit</w:t>
            </w:r>
            <w:r>
              <w:rPr/>
              <w:t> </w:t>
            </w:r>
            <w:r>
              <w:rPr>
                <w:rFonts w:ascii="Times New Roman" w:hAnsi="Times New Roman"/>
                <w:b/>
                <w:sz w:val="20"/>
              </w:rPr>
              <w:t>Number</w:t>
            </w:r>
          </w:p>
        </w:tc>
        <w:tc>
          <w:tcPr>
            <w:tcW w:w="76" w:type="dxa"/>
            <w:tcBorders/>
            <w:tcMar>
              <w:bottom w:w="0" w:type="dxa"/>
            </w:tcMar>
            <w:vAlign w:val="center"/>
          </w:tcPr>
          <w:p>
            <w:pPr>
              <w:pStyle w:val="TableContents"/>
              <w:bidi w:val="0"/>
              <w:spacing w:before="0" w:after="0"/>
              <w:ind w:left="0" w:right="0" w:hanging="0"/>
              <w:jc w:val="center"/>
              <w:rPr/>
            </w:pPr>
            <w:r>
              <w:rPr/>
              <w:t> </w:t>
            </w:r>
          </w:p>
        </w:tc>
        <w:tc>
          <w:tcPr>
            <w:tcW w:w="8339" w:type="dxa"/>
            <w:tcBorders>
              <w:bottom w:val="single" w:sz="8" w:space="0" w:color="000000"/>
            </w:tcBorders>
            <w:vAlign w:val="center"/>
          </w:tcPr>
          <w:p>
            <w:pPr>
              <w:pStyle w:val="TableContents"/>
              <w:bidi w:val="0"/>
              <w:spacing w:before="0" w:after="0"/>
              <w:ind w:left="0" w:right="0" w:hanging="0"/>
              <w:jc w:val="center"/>
              <w:rPr/>
            </w:pPr>
            <w:r>
              <w:rPr>
                <w:rFonts w:ascii="Times New Roman" w:hAnsi="Times New Roman"/>
                <w:b/>
                <w:sz w:val="20"/>
              </w:rPr>
              <w:t>Exhibit</w:t>
            </w:r>
            <w:r>
              <w:rPr/>
              <w:t> </w:t>
            </w:r>
            <w:r>
              <w:rPr>
                <w:rFonts w:ascii="Times New Roman" w:hAnsi="Times New Roman"/>
                <w:b/>
                <w:sz w:val="20"/>
              </w:rPr>
              <w:t>Title</w:t>
            </w:r>
          </w:p>
        </w:tc>
      </w:tr>
      <w:tr>
        <w:trPr/>
        <w:tc>
          <w:tcPr>
            <w:tcW w:w="1790"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99.1</w:t>
            </w:r>
          </w:p>
        </w:tc>
        <w:tc>
          <w:tcPr>
            <w:tcW w:w="76" w:type="dxa"/>
            <w:tcBorders/>
            <w:tcMar>
              <w:bottom w:w="0" w:type="dxa"/>
            </w:tcMar>
            <w:vAlign w:val="center"/>
          </w:tcPr>
          <w:p>
            <w:pPr>
              <w:pStyle w:val="TableContents"/>
              <w:bidi w:val="0"/>
              <w:spacing w:before="0" w:after="0"/>
              <w:ind w:left="0" w:right="0" w:hanging="0"/>
              <w:jc w:val="both"/>
              <w:rPr/>
            </w:pPr>
            <w:r>
              <w:rPr/>
              <w:t> </w:t>
            </w:r>
          </w:p>
        </w:tc>
        <w:tc>
          <w:tcPr>
            <w:tcW w:w="8339" w:type="dxa"/>
            <w:tcBorders/>
            <w:tcMar>
              <w:bottom w:w="0" w:type="dxa"/>
            </w:tcMar>
            <w:vAlign w:val="center"/>
          </w:tcPr>
          <w:p>
            <w:pPr>
              <w:pStyle w:val="TableContents"/>
              <w:bidi w:val="0"/>
              <w:spacing w:before="0" w:after="0"/>
              <w:ind w:left="0" w:right="0" w:hanging="0"/>
              <w:jc w:val="both"/>
              <w:rPr/>
            </w:pPr>
            <w:hyperlink w:anchor="ex991_1.htm">
              <w:r>
                <w:rPr>
                  <w:rStyle w:val="InternetLink"/>
                  <w:rFonts w:ascii="Times New Roman" w:hAnsi="Times New Roman"/>
                  <w:sz w:val="20"/>
                </w:rPr>
                <w:t>Press Release of ClearOne. Inc. dated February 21, 2024.</w:t>
              </w:r>
            </w:hyperlink>
          </w:p>
        </w:tc>
      </w:tr>
      <w:tr>
        <w:trPr/>
        <w:tc>
          <w:tcPr>
            <w:tcW w:w="1790"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104.1</w:t>
            </w:r>
          </w:p>
        </w:tc>
        <w:tc>
          <w:tcPr>
            <w:tcW w:w="76" w:type="dxa"/>
            <w:tcBorders/>
            <w:tcMar>
              <w:bottom w:w="0" w:type="dxa"/>
            </w:tcMar>
            <w:vAlign w:val="center"/>
          </w:tcPr>
          <w:p>
            <w:pPr>
              <w:pStyle w:val="TableContents"/>
              <w:bidi w:val="0"/>
              <w:spacing w:before="0" w:after="0"/>
              <w:ind w:left="0" w:right="0" w:hanging="0"/>
              <w:jc w:val="both"/>
              <w:rPr/>
            </w:pPr>
            <w:r>
              <w:rPr/>
              <w:t> </w:t>
            </w:r>
          </w:p>
        </w:tc>
        <w:tc>
          <w:tcPr>
            <w:tcW w:w="8339"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cover page from this Current Report on Form 8-K, formatted in Inline XBRL.</w:t>
            </w:r>
          </w:p>
        </w:tc>
      </w:tr>
      <w:tr>
        <w:trPr/>
        <w:tc>
          <w:tcPr>
            <w:tcW w:w="1790" w:type="dxa"/>
            <w:tcBorders/>
            <w:tcMar>
              <w:bottom w:w="0" w:type="dxa"/>
            </w:tcMar>
            <w:vAlign w:val="center"/>
          </w:tcPr>
          <w:p>
            <w:pPr>
              <w:pStyle w:val="TableContents"/>
              <w:bidi w:val="0"/>
              <w:spacing w:before="0" w:after="0"/>
              <w:ind w:left="0" w:right="0" w:hanging="0"/>
              <w:jc w:val="both"/>
              <w:rPr/>
            </w:pPr>
            <w:r>
              <w:rPr/>
              <w:t> </w:t>
            </w:r>
          </w:p>
        </w:tc>
        <w:tc>
          <w:tcPr>
            <w:tcW w:w="76" w:type="dxa"/>
            <w:tcBorders/>
            <w:tcMar>
              <w:bottom w:w="0" w:type="dxa"/>
            </w:tcMar>
            <w:vAlign w:val="center"/>
          </w:tcPr>
          <w:p>
            <w:pPr>
              <w:pStyle w:val="TableContents"/>
              <w:bidi w:val="0"/>
              <w:spacing w:before="0" w:after="0"/>
              <w:ind w:left="0" w:right="0" w:hanging="0"/>
              <w:jc w:val="both"/>
              <w:rPr/>
            </w:pPr>
            <w:r>
              <w:rPr/>
              <w:t> </w:t>
            </w:r>
          </w:p>
        </w:tc>
        <w:tc>
          <w:tcPr>
            <w:tcW w:w="8339" w:type="dxa"/>
            <w:tcBorders/>
            <w:tcMar>
              <w:bottom w:w="0" w:type="dxa"/>
            </w:tcMar>
            <w:vAlign w:val="center"/>
          </w:tcPr>
          <w:p>
            <w:pPr>
              <w:pStyle w:val="TableContents"/>
              <w:bidi w:val="0"/>
              <w:spacing w:before="0" w:after="0"/>
              <w:ind w:left="0" w:right="0" w:hanging="0"/>
              <w:jc w:val="both"/>
              <w:rPr/>
            </w:pPr>
            <w:r>
              <w:rPr/>
              <w:t> </w:t>
            </w:r>
          </w:p>
        </w:tc>
      </w:tr>
    </w:tbl>
    <w:p>
      <w:pPr>
        <w:pStyle w:val="TextBody"/>
        <w:bidi w:val="0"/>
        <w:spacing w:lineRule="auto" w:line="288" w:before="0" w:after="240"/>
        <w:ind w:left="0" w:right="0" w:hanging="0"/>
        <w:jc w:val="left"/>
        <w:rPr>
          <w:rFonts w:ascii="times new roman;times" w:hAnsi="times new roman;times"/>
          <w:sz w:val="20"/>
        </w:rPr>
      </w:pPr>
      <w:r>
        <w:rPr>
          <w:rFonts w:ascii="Times New Roman" w:hAnsi="Times New Roman"/>
          <w:sz w:val="20"/>
        </w:rPr>
        <w:t>Certain</w:t>
      </w:r>
      <w:r>
        <w:rPr>
          <w:rFonts w:ascii="times new roman;times" w:hAnsi="times new roman;times"/>
          <w:sz w:val="20"/>
        </w:rPr>
        <w:t xml:space="preserve"> </w:t>
      </w:r>
      <w:r>
        <w:rPr>
          <w:rFonts w:ascii="Times New Roman" w:hAnsi="Times New Roman"/>
          <w:sz w:val="20"/>
        </w:rPr>
        <w:t>information included in this Current Report on Form 8-K (including the exhibit hereto) is being furnished under Item 7.01, “Regulation FD</w:t>
      </w:r>
      <w:r>
        <w:rPr>
          <w:rFonts w:ascii="times new roman;times" w:hAnsi="times new roman;times"/>
          <w:sz w:val="20"/>
        </w:rPr>
        <w:t xml:space="preserve"> </w:t>
      </w:r>
      <w:r>
        <w:rPr>
          <w:rFonts w:ascii="Times New Roman" w:hAnsi="Times New Roman"/>
          <w:sz w:val="20"/>
        </w:rPr>
        <w:t>Disclosure</w:t>
      </w:r>
      <w:r>
        <w:rPr>
          <w:rFonts w:ascii="times new roman;times" w:hAnsi="times new roman;times"/>
          <w:sz w:val="20"/>
        </w:rPr>
        <w:t xml:space="preserve">” </w:t>
      </w:r>
      <w:r>
        <w:rPr>
          <w:rFonts w:ascii="Times New Roman" w:hAnsi="Times New Roman"/>
          <w:sz w:val="20"/>
        </w:rPr>
        <w:t>and Item 9.01 “Financial Statements and Exhibits” of Form 8-K. As such, the information (including the exhibit) under Items 7.01 and 9.01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2347"/>
        <w:gridCol w:w="425"/>
        <w:gridCol w:w="7433"/>
      </w:tblGrid>
      <w:tr>
        <w:trPr/>
        <w:tc>
          <w:tcPr>
            <w:tcW w:w="2347" w:type="dxa"/>
            <w:tcBorders/>
            <w:vAlign w:val="center"/>
          </w:tcPr>
          <w:p>
            <w:pPr>
              <w:pStyle w:val="TableContents"/>
              <w:bidi w:val="0"/>
              <w:spacing w:before="0" w:after="0"/>
              <w:ind w:left="0" w:right="0" w:hanging="0"/>
              <w:jc w:val="both"/>
              <w:rPr/>
            </w:pPr>
            <w:r>
              <w:rPr/>
              <w:t> </w:t>
            </w:r>
          </w:p>
        </w:tc>
        <w:tc>
          <w:tcPr>
            <w:tcW w:w="7858" w:type="dxa"/>
            <w:gridSpan w:val="2"/>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CLEARONE, INC. </w:t>
            </w:r>
          </w:p>
        </w:tc>
      </w:tr>
      <w:tr>
        <w:trPr/>
        <w:tc>
          <w:tcPr>
            <w:tcW w:w="2347" w:type="dxa"/>
            <w:tcBorders/>
            <w:vAlign w:val="center"/>
          </w:tcPr>
          <w:p>
            <w:pPr>
              <w:pStyle w:val="TableContents"/>
              <w:bidi w:val="0"/>
              <w:spacing w:before="0" w:after="0"/>
              <w:ind w:left="0" w:right="0" w:hanging="0"/>
              <w:jc w:val="both"/>
              <w:rPr/>
            </w:pPr>
            <w:r>
              <w:rPr/>
              <w:t> </w:t>
            </w:r>
          </w:p>
        </w:tc>
        <w:tc>
          <w:tcPr>
            <w:tcW w:w="425" w:type="dxa"/>
            <w:tcBorders/>
            <w:vAlign w:val="center"/>
          </w:tcPr>
          <w:p>
            <w:pPr>
              <w:pStyle w:val="TableContents"/>
              <w:bidi w:val="0"/>
              <w:spacing w:before="0" w:after="0"/>
              <w:ind w:left="0" w:right="0" w:hanging="0"/>
              <w:jc w:val="both"/>
              <w:rPr/>
            </w:pPr>
            <w:r>
              <w:rPr/>
              <w:t> </w:t>
            </w:r>
          </w:p>
        </w:tc>
        <w:tc>
          <w:tcPr>
            <w:tcW w:w="7433" w:type="dxa"/>
            <w:tcBorders/>
            <w:vAlign w:val="center"/>
          </w:tcPr>
          <w:p>
            <w:pPr>
              <w:pStyle w:val="TableContents"/>
              <w:bidi w:val="0"/>
              <w:spacing w:before="0" w:after="0"/>
              <w:ind w:left="0" w:right="0" w:hanging="0"/>
              <w:jc w:val="both"/>
              <w:rPr/>
            </w:pPr>
            <w:r>
              <w:rPr/>
              <w:t> </w:t>
            </w:r>
          </w:p>
        </w:tc>
      </w:tr>
      <w:tr>
        <w:trPr/>
        <w:tc>
          <w:tcPr>
            <w:tcW w:w="2347" w:type="dxa"/>
            <w:tcBorders/>
            <w:vAlign w:val="center"/>
          </w:tcPr>
          <w:p>
            <w:pPr>
              <w:pStyle w:val="TableContents"/>
              <w:bidi w:val="0"/>
              <w:spacing w:before="0" w:after="0"/>
              <w:ind w:left="0" w:right="0" w:hanging="0"/>
              <w:jc w:val="both"/>
              <w:rPr/>
            </w:pPr>
            <w:r>
              <w:rPr>
                <w:rFonts w:ascii="Times New Roman" w:hAnsi="Times New Roman"/>
                <w:sz w:val="20"/>
              </w:rPr>
              <w:t>Date: February</w:t>
            </w:r>
            <w:r>
              <w:rPr/>
              <w:t xml:space="preserve"> </w:t>
            </w:r>
            <w:r>
              <w:rPr>
                <w:rFonts w:ascii="Times New Roman" w:hAnsi="Times New Roman"/>
                <w:sz w:val="20"/>
              </w:rPr>
              <w:t>22, 2024</w:t>
            </w:r>
          </w:p>
        </w:tc>
        <w:tc>
          <w:tcPr>
            <w:tcW w:w="4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By: </w:t>
            </w:r>
          </w:p>
        </w:tc>
        <w:tc>
          <w:tcPr>
            <w:tcW w:w="7433"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 w:hAnsi="Times New Roman"/>
                <w:i/>
                <w:sz w:val="20"/>
              </w:rPr>
            </w:pPr>
            <w:r>
              <w:rPr>
                <w:rFonts w:ascii="Times New Roman" w:hAnsi="Times New Roman"/>
                <w:i/>
                <w:sz w:val="20"/>
              </w:rPr>
              <w:t xml:space="preserve">/s/ Narsi Narayanan </w:t>
            </w:r>
          </w:p>
        </w:tc>
      </w:tr>
      <w:tr>
        <w:trPr/>
        <w:tc>
          <w:tcPr>
            <w:tcW w:w="2347" w:type="dxa"/>
            <w:tcBorders/>
            <w:vAlign w:val="center"/>
          </w:tcPr>
          <w:p>
            <w:pPr>
              <w:pStyle w:val="TableContents"/>
              <w:bidi w:val="0"/>
              <w:spacing w:before="0" w:after="0"/>
              <w:ind w:left="0" w:right="0" w:hanging="0"/>
              <w:jc w:val="both"/>
              <w:rPr/>
            </w:pPr>
            <w:r>
              <w:rPr/>
              <w:t> </w:t>
            </w:r>
          </w:p>
        </w:tc>
        <w:tc>
          <w:tcPr>
            <w:tcW w:w="425" w:type="dxa"/>
            <w:tcBorders/>
            <w:vAlign w:val="center"/>
          </w:tcPr>
          <w:p>
            <w:pPr>
              <w:pStyle w:val="TableContents"/>
              <w:bidi w:val="0"/>
              <w:spacing w:before="0" w:after="0"/>
              <w:ind w:left="0" w:right="0" w:hanging="0"/>
              <w:jc w:val="both"/>
              <w:rPr/>
            </w:pPr>
            <w:r>
              <w:rPr/>
              <w:t> </w:t>
            </w:r>
          </w:p>
        </w:tc>
        <w:tc>
          <w:tcPr>
            <w:tcW w:w="743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Narsi Narayanan </w:t>
            </w:r>
          </w:p>
        </w:tc>
      </w:tr>
      <w:tr>
        <w:trPr/>
        <w:tc>
          <w:tcPr>
            <w:tcW w:w="2347" w:type="dxa"/>
            <w:tcBorders/>
            <w:vAlign w:val="center"/>
          </w:tcPr>
          <w:p>
            <w:pPr>
              <w:pStyle w:val="TableContents"/>
              <w:bidi w:val="0"/>
              <w:spacing w:before="0" w:after="0"/>
              <w:ind w:left="0" w:right="0" w:hanging="0"/>
              <w:jc w:val="both"/>
              <w:rPr/>
            </w:pPr>
            <w:r>
              <w:rPr/>
              <w:t> </w:t>
            </w:r>
          </w:p>
        </w:tc>
        <w:tc>
          <w:tcPr>
            <w:tcW w:w="425" w:type="dxa"/>
            <w:tcBorders/>
            <w:vAlign w:val="center"/>
          </w:tcPr>
          <w:p>
            <w:pPr>
              <w:pStyle w:val="TableContents"/>
              <w:bidi w:val="0"/>
              <w:spacing w:before="0" w:after="0"/>
              <w:ind w:left="0" w:right="0" w:hanging="0"/>
              <w:jc w:val="both"/>
              <w:rPr/>
            </w:pPr>
            <w:r>
              <w:rPr/>
              <w:t> </w:t>
            </w:r>
          </w:p>
        </w:tc>
        <w:tc>
          <w:tcPr>
            <w:tcW w:w="7433"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 xml:space="preserve">Chief Financial Officer (Principal Accounting and Principal Financial Officer) </w:t>
            </w:r>
          </w:p>
        </w:tc>
      </w:tr>
    </w:tbl>
    <w:p>
      <w:pPr>
        <w:pStyle w:val="TextBody"/>
        <w:bidi w:val="0"/>
        <w:spacing w:before="0" w:after="0"/>
        <w:ind w:left="0" w:right="0" w:hanging="0"/>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right"/>
        <w:rPr>
          <w:rFonts w:ascii="times new roman;times" w:hAnsi="times new roman;times"/>
          <w:b/>
          <w:sz w:val="20"/>
        </w:rPr>
      </w:pPr>
      <w:bookmarkStart w:id="0" w:name="ex991_1.htm"/>
      <w:bookmarkStart w:id="1" w:name="ksex991_1"/>
      <w:bookmarkEnd w:id="0"/>
      <w:bookmarkEnd w:id="1"/>
      <w:r>
        <w:rPr>
          <w:rFonts w:ascii="times new roman;times" w:hAnsi="times new roman;times"/>
          <w:b/>
          <w:sz w:val="20"/>
        </w:rPr>
        <w:t>Exhibit 99.1</w:t>
      </w:r>
      <w:r>
        <w:br w:type="page"/>
      </w:r>
    </w:p>
    <w:p>
      <w:pPr>
        <w:pStyle w:val="TextBody"/>
        <w:bidi w:val="0"/>
        <w:spacing w:before="0" w:after="0"/>
        <w:ind w:left="0" w:right="0" w:hanging="0"/>
        <w:jc w:val="left"/>
        <w:rPr/>
      </w:pPr>
      <w:r>
        <w:rPr/>
        <w:drawing>
          <wp:inline distT="0" distB="0" distL="0" distR="0">
            <wp:extent cx="172402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447675"/>
                    </a:xfrm>
                    <a:prstGeom prst="rect">
                      <a:avLst/>
                    </a:prstGeom>
                  </pic:spPr>
                </pic:pic>
              </a:graphicData>
            </a:graphic>
          </wp:inline>
        </w:drawing>
      </w:r>
    </w:p>
    <w:p>
      <w:pPr>
        <w:pStyle w:val="TextBody"/>
        <w:keepNext w:val="true"/>
        <w:bidi w:val="0"/>
        <w:spacing w:lineRule="atLeast" w:line="200" w:before="0" w:after="0"/>
        <w:ind w:left="0" w:right="0" w:hanging="0"/>
        <w:jc w:val="center"/>
        <w:rPr/>
      </w:pPr>
      <w:r>
        <w:rPr/>
        <w:t> </w:t>
      </w:r>
    </w:p>
    <w:p>
      <w:pPr>
        <w:pStyle w:val="TextBody"/>
        <w:keepNext w:val="true"/>
        <w:bidi w:val="0"/>
        <w:spacing w:lineRule="auto" w:line="360" w:before="0" w:after="0"/>
        <w:ind w:left="0" w:right="0" w:hanging="0"/>
        <w:jc w:val="center"/>
        <w:rPr>
          <w:rFonts w:ascii="times new roman;times" w:hAnsi="times new roman;times"/>
          <w:sz w:val="28"/>
        </w:rPr>
      </w:pPr>
      <w:r>
        <w:rPr>
          <w:rFonts w:ascii="times new roman;times" w:hAnsi="times new roman;times"/>
          <w:b/>
          <w:sz w:val="28"/>
        </w:rPr>
        <w:t>ClearOne</w:t>
      </w:r>
      <w:r>
        <w:rPr>
          <w:rFonts w:ascii="times new roman;times" w:hAnsi="times new roman;times"/>
          <w:sz w:val="28"/>
        </w:rPr>
        <w:t xml:space="preserve"> </w:t>
      </w:r>
      <w:r>
        <w:rPr>
          <w:rFonts w:ascii="times new roman;times" w:hAnsi="times new roman;times"/>
          <w:b/>
          <w:sz w:val="28"/>
        </w:rPr>
        <w:t>Reviews 2023 Operational and Financial Progress,</w:t>
      </w:r>
      <w:r>
        <w:rPr>
          <w:rFonts w:ascii="times new roman;times" w:hAnsi="times new roman;times"/>
          <w:sz w:val="28"/>
        </w:rPr>
        <w:t xml:space="preserve"> </w:t>
      </w:r>
      <w:r>
        <w:rPr>
          <w:rFonts w:ascii="times new roman;times" w:hAnsi="times new roman;times"/>
          <w:b/>
          <w:sz w:val="28"/>
        </w:rPr>
        <w:t>Provides Early 2024 Highlights</w:t>
      </w:r>
    </w:p>
    <w:p>
      <w:pPr>
        <w:pStyle w:val="TextBody"/>
        <w:keepNext w:val="true"/>
        <w:bidi w:val="0"/>
        <w:spacing w:before="0" w:after="0"/>
        <w:ind w:left="0" w:right="0" w:hanging="0"/>
        <w:jc w:val="center"/>
        <w:rPr/>
      </w:pPr>
      <w:r>
        <w:rPr/>
        <w:t> </w:t>
      </w:r>
    </w:p>
    <w:p>
      <w:pPr>
        <w:pStyle w:val="TextBody"/>
        <w:keepNext w:val="true"/>
        <w:bidi w:val="0"/>
        <w:spacing w:lineRule="auto" w:line="360" w:before="0" w:after="0"/>
        <w:ind w:left="0" w:right="0" w:hanging="0"/>
        <w:jc w:val="center"/>
        <w:rPr>
          <w:rFonts w:ascii="times new roman;times" w:hAnsi="times new roman;times"/>
          <w:i/>
          <w:sz w:val="22"/>
        </w:rPr>
      </w:pPr>
      <w:r>
        <w:rPr>
          <w:rFonts w:ascii="times new roman;times" w:hAnsi="times new roman;times"/>
          <w:i/>
          <w:sz w:val="22"/>
        </w:rPr>
        <w:t xml:space="preserve">- </w:t>
      </w:r>
      <w:r>
        <w:rPr>
          <w:rFonts w:ascii="times new roman;times" w:hAnsi="times new roman;times"/>
          <w:i/>
          <w:sz w:val="24"/>
        </w:rPr>
        <w:t>Entered 2024 with Strong Balance Sheet and Lean Operational Foundation -</w:t>
      </w:r>
    </w:p>
    <w:p>
      <w:pPr>
        <w:pStyle w:val="TextBody"/>
        <w:keepNext w:val="true"/>
        <w:bidi w:val="0"/>
        <w:spacing w:before="0" w:after="0"/>
        <w:ind w:left="0" w:right="0" w:hanging="0"/>
        <w:jc w:val="center"/>
        <w:rPr/>
      </w:pPr>
      <w:r>
        <w:rPr/>
        <w:t> </w:t>
      </w:r>
    </w:p>
    <w:p>
      <w:pPr>
        <w:pStyle w:val="TextBody"/>
        <w:keepNext w:val="true"/>
        <w:bidi w:val="0"/>
        <w:spacing w:lineRule="auto" w:line="360" w:before="0" w:after="0"/>
        <w:ind w:left="0" w:right="0" w:hanging="0"/>
        <w:jc w:val="center"/>
        <w:rPr>
          <w:rFonts w:ascii="times new roman;times" w:hAnsi="times new roman;times"/>
          <w:sz w:val="24"/>
        </w:rPr>
      </w:pPr>
      <w:r>
        <w:rPr>
          <w:rFonts w:ascii="times new roman;times" w:hAnsi="times new roman;times"/>
          <w:i/>
          <w:sz w:val="24"/>
        </w:rPr>
        <w:t>- Completed Manufacturing Transition from China to Singapore in Q4 2023, Marking Key Milestone in Ongoing Production Improvements</w:t>
      </w:r>
      <w:r>
        <w:rPr>
          <w:rFonts w:ascii="times new roman;times" w:hAnsi="times new roman;times"/>
          <w:sz w:val="24"/>
        </w:rPr>
        <w:t xml:space="preserve"> </w:t>
      </w:r>
      <w:r>
        <w:rPr>
          <w:rFonts w:ascii="times new roman;times" w:hAnsi="times new roman;times"/>
          <w:i/>
          <w:sz w:val="24"/>
        </w:rPr>
        <w:t>-</w:t>
      </w:r>
    </w:p>
    <w:p>
      <w:pPr>
        <w:pStyle w:val="TextBody"/>
        <w:keepNext w:val="true"/>
        <w:bidi w:val="0"/>
        <w:spacing w:lineRule="atLeast" w:line="142" w:before="0" w:after="0"/>
        <w:ind w:left="0" w:right="0" w:hanging="0"/>
        <w:jc w:val="center"/>
        <w:rPr/>
      </w:pPr>
      <w:r>
        <w:rPr/>
        <w:t> </w:t>
      </w:r>
    </w:p>
    <w:p>
      <w:pPr>
        <w:pStyle w:val="TextBody"/>
        <w:keepNext w:val="true"/>
        <w:bidi w:val="0"/>
        <w:spacing w:lineRule="atLeast" w:line="142" w:before="0" w:after="0"/>
        <w:ind w:left="0" w:right="0" w:hanging="0"/>
        <w:jc w:val="center"/>
        <w:rPr/>
      </w:pPr>
      <w:r>
        <w:rPr/>
        <w:t> </w:t>
      </w:r>
    </w:p>
    <w:p>
      <w:pPr>
        <w:pStyle w:val="TextBody"/>
        <w:keepNext w:val="true"/>
        <w:bidi w:val="0"/>
        <w:spacing w:lineRule="auto" w:line="360" w:before="0" w:after="0"/>
        <w:ind w:left="0" w:right="0" w:hanging="0"/>
        <w:jc w:val="center"/>
        <w:rPr>
          <w:rFonts w:ascii="times new roman;times" w:hAnsi="times new roman;times"/>
          <w:sz w:val="24"/>
        </w:rPr>
      </w:pPr>
      <w:r>
        <w:rPr>
          <w:rFonts w:ascii="times new roman;times" w:hAnsi="times new roman;times"/>
          <w:i/>
          <w:sz w:val="24"/>
        </w:rPr>
        <w:t>- Regained Compliance with Nasdaq Minimum Bid Price Requirement</w:t>
      </w:r>
      <w:r>
        <w:rPr>
          <w:rFonts w:ascii="times new roman;times" w:hAnsi="times new roman;times"/>
          <w:sz w:val="24"/>
        </w:rPr>
        <w:t xml:space="preserve"> </w:t>
      </w:r>
      <w:r>
        <w:rPr>
          <w:rFonts w:ascii="times new roman;times" w:hAnsi="times new roman;times"/>
          <w:i/>
          <w:sz w:val="24"/>
        </w:rPr>
        <w:t>-</w:t>
      </w:r>
    </w:p>
    <w:p>
      <w:pPr>
        <w:pStyle w:val="TextBody"/>
        <w:keepNext w:val="true"/>
        <w:bidi w:val="0"/>
        <w:spacing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2"/>
        </w:rPr>
      </w:pPr>
      <w:r>
        <w:rPr>
          <w:rFonts w:ascii="times new roman;times" w:hAnsi="times new roman;times"/>
          <w:b/>
          <w:sz w:val="22"/>
        </w:rPr>
        <w:t>Salt Lake City,</w:t>
      </w:r>
      <w:r>
        <w:rPr>
          <w:rFonts w:ascii="times new roman;times" w:hAnsi="times new roman;times"/>
          <w:sz w:val="22"/>
        </w:rPr>
        <w:t xml:space="preserve"> </w:t>
      </w:r>
      <w:r>
        <w:rPr>
          <w:rFonts w:ascii="times new roman;times" w:hAnsi="times new roman;times"/>
          <w:b/>
          <w:sz w:val="22"/>
        </w:rPr>
        <w:t>UT – February 22, 2024</w:t>
      </w:r>
      <w:r>
        <w:rPr>
          <w:rFonts w:ascii="times new roman;times" w:hAnsi="times new roman;times"/>
          <w:sz w:val="22"/>
        </w:rPr>
        <w:t xml:space="preserve"> – ClearOne, Inc. (NASDAQ: CLRO) (“ClearOne” or the "Company"), a global provider of audio and visual communication solutions, is providing a review of its 2023 operational and financial progress, along with several recent 2024 highlights.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pPr>
      <w:r>
        <w:rPr/>
        <w:t>“</w:t>
      </w:r>
      <w:r>
        <w:rPr>
          <w:rFonts w:ascii="times new roman;times" w:hAnsi="times new roman;times"/>
          <w:sz w:val="22"/>
        </w:rPr>
        <w:t xml:space="preserve">2023 represented a key transition year for ClearOne,” said Derek Graham, CEO of ClearOne. “Since my appointment as permanent CEO last January, we have focused on recovering from our multi-year litigation process and navigating the transition of our outsourced manufacturing from China to Singapore. Through our work on these fronts, we drove improvements in our manufacturing output and reduced our backlog in the second and third quarters of 2023. We also meaningfully enhanced our balance sheet and continued to reduce our operating expenses on a year-over-year and sequential basis.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pPr>
      <w:r>
        <w:rPr/>
        <w:t>“</w:t>
      </w:r>
      <w:r>
        <w:rPr>
          <w:rFonts w:ascii="times new roman;times" w:hAnsi="times new roman;times"/>
          <w:sz w:val="22"/>
        </w:rPr>
        <w:t xml:space="preserve">I am proud to announce that our outsourced manufacturing transition is now complete as of the fourth quarter of 2023. Finishing the transition marks a significant milestone as we continue to increase our production output, improve lead times, and support greater normalization in our customers’ ordering patterns. Our progress over the past year has allowed us to operate from a lean, efficient, and well-capitalized foundation in these early months of 2024.”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2"/>
        </w:rPr>
      </w:pPr>
      <w:r>
        <w:rPr>
          <w:rFonts w:ascii="times new roman;times" w:hAnsi="times new roman;times"/>
          <w:b/>
          <w:sz w:val="22"/>
        </w:rPr>
        <w:t>2023</w:t>
      </w:r>
      <w:r>
        <w:rPr>
          <w:rFonts w:ascii="times new roman;times" w:hAnsi="times new roman;times"/>
          <w:sz w:val="22"/>
        </w:rPr>
        <w:t xml:space="preserve"> </w:t>
      </w:r>
      <w:r>
        <w:rPr>
          <w:rFonts w:ascii="times new roman;times" w:hAnsi="times new roman;times"/>
          <w:b/>
          <w:sz w:val="22"/>
        </w:rPr>
        <w:t xml:space="preserve">Financial and Operational Highlights </w:t>
      </w:r>
    </w:p>
    <w:p>
      <w:pPr>
        <w:pStyle w:val="TextBody"/>
        <w:numPr>
          <w:ilvl w:val="0"/>
          <w:numId w:val="2"/>
        </w:numPr>
        <w:pBdr/>
        <w:tabs>
          <w:tab w:val="clear" w:pos="1134"/>
          <w:tab w:val="left" w:pos="1270" w:leader="none"/>
        </w:tabs>
        <w:bidi w:val="0"/>
        <w:ind w:left="1270" w:right="0" w:hanging="283"/>
        <w:jc w:val="left"/>
        <w:rPr>
          <w:rFonts w:ascii="times new roman;times" w:hAnsi="times new roman;times"/>
          <w:i/>
          <w:sz w:val="20"/>
        </w:rPr>
      </w:pPr>
      <w:r>
        <w:rPr>
          <w:rFonts w:ascii="times new roman;times" w:hAnsi="times new roman;times"/>
          <w:i/>
          <w:sz w:val="20"/>
        </w:rPr>
        <w:t xml:space="preserve">Significantly Enhanced Balance Sheet </w:t>
      </w:r>
    </w:p>
    <w:p>
      <w:pPr>
        <w:pStyle w:val="TextBody"/>
        <w:numPr>
          <w:ilvl w:val="0"/>
          <w:numId w:val="3"/>
        </w:numPr>
        <w:pBdr/>
        <w:tabs>
          <w:tab w:val="clear" w:pos="1134"/>
          <w:tab w:val="left" w:pos="2021" w:leader="none"/>
        </w:tabs>
        <w:bidi w:val="0"/>
        <w:spacing w:before="0" w:after="0"/>
        <w:ind w:left="2021" w:right="0" w:hanging="283"/>
        <w:jc w:val="left"/>
        <w:rPr>
          <w:rFonts w:ascii="times new roman;times" w:hAnsi="times new roman;times"/>
          <w:sz w:val="20"/>
        </w:rPr>
      </w:pPr>
      <w:r>
        <w:rPr>
          <w:rFonts w:ascii="times new roman;times" w:hAnsi="times new roman;times"/>
          <w:sz w:val="20"/>
        </w:rPr>
        <w:t xml:space="preserve">Received over $56 million in cash from the Company’s legal settlements in the first quarter of 2023. The Company subsequently distributed approximately $29.0 million to shareholders as a one-time $1.00 special cash dividend on May 31st. </w:t>
      </w:r>
    </w:p>
    <w:p>
      <w:pPr>
        <w:pStyle w:val="TextBody"/>
        <w:numPr>
          <w:ilvl w:val="0"/>
          <w:numId w:val="3"/>
        </w:numPr>
        <w:pBdr/>
        <w:tabs>
          <w:tab w:val="clear" w:pos="1134"/>
          <w:tab w:val="left" w:pos="2021" w:leader="none"/>
        </w:tabs>
        <w:bidi w:val="0"/>
        <w:spacing w:before="0" w:after="0"/>
        <w:ind w:left="2021" w:right="0" w:hanging="283"/>
        <w:jc w:val="left"/>
        <w:rPr>
          <w:rFonts w:ascii="times new roman;times" w:hAnsi="times new roman;times"/>
          <w:sz w:val="20"/>
        </w:rPr>
      </w:pPr>
      <w:r>
        <w:rPr>
          <w:rFonts w:ascii="times new roman;times" w:hAnsi="times new roman;times"/>
          <w:sz w:val="20"/>
        </w:rPr>
        <w:t xml:space="preserve">Received a $6.9 million income tax refund on December 8th.  </w:t>
      </w:r>
    </w:p>
    <w:p>
      <w:pPr>
        <w:pStyle w:val="TextBody"/>
        <w:numPr>
          <w:ilvl w:val="0"/>
          <w:numId w:val="3"/>
        </w:numPr>
        <w:pBdr/>
        <w:tabs>
          <w:tab w:val="clear" w:pos="1134"/>
          <w:tab w:val="left" w:pos="2021" w:leader="none"/>
        </w:tabs>
        <w:bidi w:val="0"/>
        <w:spacing w:before="0" w:after="0"/>
        <w:ind w:left="2021" w:right="0" w:hanging="283"/>
        <w:jc w:val="left"/>
        <w:rPr>
          <w:rFonts w:ascii="times new roman;times" w:hAnsi="times new roman;times"/>
          <w:sz w:val="20"/>
        </w:rPr>
      </w:pPr>
      <w:r>
        <w:rPr>
          <w:rFonts w:ascii="times new roman;times" w:hAnsi="times new roman;times"/>
          <w:sz w:val="20"/>
        </w:rPr>
        <w:t xml:space="preserve">Completed the final $1.0 million principal payment on the Company’s senior secured convertible notes on December 17th, which fully repaid and eliminated the Company’s aggregate debt.  </w:t>
      </w:r>
    </w:p>
    <w:p>
      <w:pPr>
        <w:pStyle w:val="TextBody"/>
        <w:numPr>
          <w:ilvl w:val="0"/>
          <w:numId w:val="3"/>
        </w:numPr>
        <w:pBdr/>
        <w:tabs>
          <w:tab w:val="clear" w:pos="1134"/>
          <w:tab w:val="left" w:pos="2021" w:leader="none"/>
        </w:tabs>
        <w:bidi w:val="0"/>
        <w:ind w:left="2021" w:right="0" w:hanging="283"/>
        <w:jc w:val="left"/>
        <w:rPr>
          <w:rFonts w:ascii="times new roman;times" w:hAnsi="times new roman;times"/>
          <w:sz w:val="20"/>
        </w:rPr>
      </w:pPr>
      <w:r>
        <w:rPr>
          <w:rFonts w:ascii="times new roman;times" w:hAnsi="times new roman;times"/>
          <w:sz w:val="20"/>
        </w:rPr>
        <w:t xml:space="preserve">Finalized a non-exclusive patent cross-licensing agreement on December 27th. The Company expects to receive an additional $4.0 million from the agreement in Q1 2024.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widowControl w:val="false"/>
        <w:bidi w:val="0"/>
        <w:spacing w:lineRule="atLeast" w:line="142" w:before="0" w:after="0"/>
        <w:ind w:left="0" w:right="0" w:hanging="0"/>
        <w:jc w:val="both"/>
        <w:rPr/>
      </w:pPr>
      <w:r>
        <w:rPr/>
        <w:t> </w:t>
      </w:r>
    </w:p>
    <w:p>
      <w:pPr>
        <w:pStyle w:val="TextBody"/>
        <w:bidi w:val="0"/>
        <w:spacing w:before="0" w:after="0"/>
        <w:ind w:left="0" w:right="0" w:hanging="0"/>
        <w:jc w:val="left"/>
        <w:rPr/>
      </w:pPr>
      <w:r>
        <w:rPr/>
        <w:drawing>
          <wp:inline distT="0" distB="0" distL="0" distR="0">
            <wp:extent cx="1724025"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24025" cy="447675"/>
                    </a:xfrm>
                    <a:prstGeom prst="rect">
                      <a:avLst/>
                    </a:prstGeom>
                  </pic:spPr>
                </pic:pic>
              </a:graphicData>
            </a:graphic>
          </wp:inline>
        </w:drawing>
      </w:r>
    </w:p>
    <w:p>
      <w:pPr>
        <w:pStyle w:val="TextBody"/>
        <w:numPr>
          <w:ilvl w:val="0"/>
          <w:numId w:val="4"/>
        </w:numPr>
        <w:pBdr/>
        <w:tabs>
          <w:tab w:val="clear" w:pos="1134"/>
          <w:tab w:val="left" w:pos="1270" w:leader="none"/>
        </w:tabs>
        <w:bidi w:val="0"/>
        <w:ind w:left="1270" w:right="0" w:hanging="283"/>
        <w:jc w:val="left"/>
        <w:rPr>
          <w:rFonts w:ascii="times new roman;times" w:hAnsi="times new roman;times"/>
          <w:sz w:val="20"/>
        </w:rPr>
      </w:pPr>
      <w:r>
        <w:rPr>
          <w:rFonts w:ascii="times new roman;times" w:hAnsi="times new roman;times"/>
          <w:i/>
          <w:sz w:val="20"/>
        </w:rPr>
        <w:t>Drove</w:t>
      </w:r>
      <w:r>
        <w:rPr>
          <w:rFonts w:ascii="times new roman;times" w:hAnsi="times new roman;times"/>
          <w:sz w:val="20"/>
        </w:rPr>
        <w:t xml:space="preserve"> </w:t>
      </w:r>
      <w:r>
        <w:rPr>
          <w:rFonts w:ascii="times new roman;times" w:hAnsi="times new roman;times"/>
          <w:i/>
          <w:sz w:val="20"/>
        </w:rPr>
        <w:t>Consistent</w:t>
      </w:r>
      <w:r>
        <w:rPr>
          <w:rFonts w:ascii="times new roman;times" w:hAnsi="times new roman;times"/>
          <w:sz w:val="20"/>
        </w:rPr>
        <w:t xml:space="preserve"> </w:t>
      </w:r>
      <w:r>
        <w:rPr>
          <w:rFonts w:ascii="times new roman;times" w:hAnsi="times new roman;times"/>
          <w:i/>
          <w:sz w:val="20"/>
        </w:rPr>
        <w:t>OpEx</w:t>
      </w:r>
      <w:r>
        <w:rPr>
          <w:rFonts w:ascii="times new roman;times" w:hAnsi="times new roman;times"/>
          <w:sz w:val="20"/>
        </w:rPr>
        <w:t xml:space="preserve"> </w:t>
      </w:r>
      <w:r>
        <w:rPr>
          <w:rFonts w:ascii="times new roman;times" w:hAnsi="times new roman;times"/>
          <w:i/>
          <w:sz w:val="20"/>
        </w:rPr>
        <w:t xml:space="preserve">Efficiencies Through Q3 2023 </w:t>
      </w:r>
    </w:p>
    <w:p>
      <w:pPr>
        <w:pStyle w:val="TextBody"/>
        <w:numPr>
          <w:ilvl w:val="0"/>
          <w:numId w:val="5"/>
        </w:numPr>
        <w:pBdr/>
        <w:tabs>
          <w:tab w:val="clear" w:pos="1134"/>
          <w:tab w:val="left" w:pos="2021" w:leader="none"/>
        </w:tabs>
        <w:bidi w:val="0"/>
        <w:spacing w:before="0" w:after="0"/>
        <w:ind w:left="2021" w:right="0" w:hanging="283"/>
        <w:jc w:val="left"/>
        <w:rPr>
          <w:rFonts w:ascii="times new roman;times" w:hAnsi="times new roman;times"/>
          <w:sz w:val="20"/>
        </w:rPr>
      </w:pPr>
      <w:r>
        <w:rPr>
          <w:rFonts w:ascii="times new roman;times" w:hAnsi="times new roman;times"/>
          <w:sz w:val="20"/>
        </w:rPr>
        <w:t xml:space="preserve">GAAP operating expenses for the nine months ended September 30, 2023 decreased 23% relative to the comparable prior year period. </w:t>
      </w:r>
    </w:p>
    <w:p>
      <w:pPr>
        <w:pStyle w:val="TextBody"/>
        <w:numPr>
          <w:ilvl w:val="0"/>
          <w:numId w:val="5"/>
        </w:numPr>
        <w:pBdr/>
        <w:tabs>
          <w:tab w:val="clear" w:pos="1134"/>
          <w:tab w:val="left" w:pos="2021" w:leader="none"/>
        </w:tabs>
        <w:bidi w:val="0"/>
        <w:ind w:left="2021" w:right="0" w:hanging="283"/>
        <w:jc w:val="left"/>
        <w:rPr>
          <w:rFonts w:ascii="times new roman;times" w:hAnsi="times new roman;times"/>
          <w:sz w:val="20"/>
        </w:rPr>
      </w:pPr>
      <w:r>
        <w:rPr>
          <w:rFonts w:ascii="times new roman;times" w:hAnsi="times new roman;times"/>
          <w:sz w:val="20"/>
        </w:rPr>
        <w:t xml:space="preserve">Third quarter 2023 GAAP operating expenses decreased 16% compared to the third quarter of 2022 and decreased 3% compared to the second quarter of 2023. </w:t>
      </w:r>
    </w:p>
    <w:p>
      <w:pPr>
        <w:pStyle w:val="TextBody"/>
        <w:numPr>
          <w:ilvl w:val="0"/>
          <w:numId w:val="6"/>
        </w:numPr>
        <w:pBdr/>
        <w:tabs>
          <w:tab w:val="clear" w:pos="1134"/>
          <w:tab w:val="left" w:pos="1270" w:leader="none"/>
        </w:tabs>
        <w:bidi w:val="0"/>
        <w:spacing w:lineRule="auto" w:line="259"/>
        <w:ind w:left="1270" w:right="0" w:hanging="283"/>
        <w:jc w:val="left"/>
        <w:rPr>
          <w:rFonts w:ascii="times new roman;times" w:hAnsi="times new roman;times"/>
          <w:i/>
          <w:sz w:val="20"/>
        </w:rPr>
      </w:pPr>
      <w:r>
        <w:rPr>
          <w:rFonts w:ascii="times new roman;times" w:hAnsi="times new roman;times"/>
          <w:i/>
          <w:sz w:val="20"/>
        </w:rPr>
        <w:t xml:space="preserve">Achieved Major Production Improvements and Milestones  </w:t>
      </w:r>
    </w:p>
    <w:p>
      <w:pPr>
        <w:pStyle w:val="TextBody"/>
        <w:numPr>
          <w:ilvl w:val="0"/>
          <w:numId w:val="7"/>
        </w:numPr>
        <w:pBdr/>
        <w:tabs>
          <w:tab w:val="clear" w:pos="1134"/>
          <w:tab w:val="left" w:pos="2021" w:leader="none"/>
        </w:tabs>
        <w:bidi w:val="0"/>
        <w:spacing w:lineRule="auto" w:line="259" w:before="0" w:after="0"/>
        <w:ind w:left="2021" w:right="0" w:hanging="283"/>
        <w:jc w:val="left"/>
        <w:rPr>
          <w:rFonts w:ascii="times new roman;times" w:hAnsi="times new roman;times"/>
          <w:sz w:val="20"/>
        </w:rPr>
      </w:pPr>
      <w:r>
        <w:rPr>
          <w:rFonts w:ascii="times new roman;times" w:hAnsi="times new roman;times"/>
          <w:sz w:val="20"/>
        </w:rPr>
        <w:t xml:space="preserve">Completed the transition of the Company’s outsourced manufacturing from China to Singapore in Q4 2023. </w:t>
      </w:r>
    </w:p>
    <w:p>
      <w:pPr>
        <w:pStyle w:val="TextBody"/>
        <w:numPr>
          <w:ilvl w:val="0"/>
          <w:numId w:val="7"/>
        </w:numPr>
        <w:pBdr/>
        <w:tabs>
          <w:tab w:val="clear" w:pos="1134"/>
          <w:tab w:val="left" w:pos="2021" w:leader="none"/>
        </w:tabs>
        <w:bidi w:val="0"/>
        <w:spacing w:lineRule="auto" w:line="259" w:before="0" w:after="0"/>
        <w:ind w:left="2021" w:right="0" w:hanging="283"/>
        <w:jc w:val="left"/>
        <w:rPr>
          <w:rFonts w:ascii="times new roman;times" w:hAnsi="times new roman;times"/>
          <w:sz w:val="20"/>
        </w:rPr>
      </w:pPr>
      <w:r>
        <w:rPr>
          <w:rFonts w:ascii="times new roman;times" w:hAnsi="times new roman;times"/>
          <w:sz w:val="20"/>
        </w:rPr>
        <w:t xml:space="preserve">Drove significant backlog reductions in the second and third quarter as a result of increased production output from contract manufacturer. </w:t>
      </w:r>
    </w:p>
    <w:p>
      <w:pPr>
        <w:pStyle w:val="TextBody"/>
        <w:numPr>
          <w:ilvl w:val="0"/>
          <w:numId w:val="7"/>
        </w:numPr>
        <w:pBdr/>
        <w:tabs>
          <w:tab w:val="clear" w:pos="1134"/>
          <w:tab w:val="left" w:pos="2021" w:leader="none"/>
        </w:tabs>
        <w:bidi w:val="0"/>
        <w:spacing w:lineRule="auto" w:line="259" w:before="0" w:after="160"/>
        <w:ind w:left="2021" w:right="0" w:hanging="283"/>
        <w:jc w:val="left"/>
        <w:rPr>
          <w:rFonts w:ascii="times new roman;times" w:hAnsi="times new roman;times"/>
          <w:sz w:val="20"/>
        </w:rPr>
      </w:pPr>
      <w:r>
        <w:rPr>
          <w:rFonts w:ascii="times new roman;times" w:hAnsi="times new roman;times"/>
          <w:sz w:val="20"/>
        </w:rPr>
        <w:t xml:space="preserve">Restored production levels to pre-transition volumes. Orders for ClearOne’s most popular products are now shipped same-day for quicker delivery to customers.   </w:t>
      </w:r>
    </w:p>
    <w:p>
      <w:pPr>
        <w:pStyle w:val="TextBody"/>
        <w:widowControl w:val="false"/>
        <w:bidi w:val="0"/>
        <w:spacing w:before="0" w:after="0"/>
        <w:ind w:left="0" w:right="0" w:hanging="0"/>
        <w:jc w:val="both"/>
        <w:rPr>
          <w:rFonts w:ascii="times new roman;times" w:hAnsi="times new roman;times"/>
          <w:sz w:val="22"/>
        </w:rPr>
      </w:pPr>
      <w:r>
        <w:rPr>
          <w:rFonts w:ascii="times new roman;times" w:hAnsi="times new roman;times"/>
          <w:b/>
          <w:sz w:val="22"/>
        </w:rPr>
        <w:t>Product</w:t>
      </w:r>
      <w:r>
        <w:rPr>
          <w:rFonts w:ascii="times new roman;times" w:hAnsi="times new roman;times"/>
          <w:sz w:val="22"/>
        </w:rPr>
        <w:t xml:space="preserve"> </w:t>
      </w:r>
      <w:r>
        <w:rPr>
          <w:rFonts w:ascii="times new roman;times" w:hAnsi="times new roman;times"/>
          <w:b/>
          <w:sz w:val="22"/>
        </w:rPr>
        <w:t>Highlights</w:t>
      </w:r>
    </w:p>
    <w:p>
      <w:pPr>
        <w:pStyle w:val="TextBody"/>
        <w:widowControl w:val="false"/>
        <w:bidi w:val="0"/>
        <w:spacing w:lineRule="atLeast" w:line="142" w:before="0" w:after="0"/>
        <w:ind w:left="0" w:right="0" w:hanging="0"/>
        <w:jc w:val="both"/>
        <w:rPr/>
      </w:pPr>
      <w:r>
        <w:rPr/>
        <w:t> </w:t>
      </w:r>
    </w:p>
    <w:p>
      <w:pPr>
        <w:pStyle w:val="TextBody"/>
        <w:widowControl w:val="false"/>
        <w:bidi w:val="0"/>
        <w:spacing w:before="0" w:after="0"/>
        <w:ind w:left="0" w:right="0" w:hanging="0"/>
        <w:jc w:val="both"/>
        <w:rPr>
          <w:rFonts w:ascii="times new roman;times" w:hAnsi="times new roman;times"/>
          <w:sz w:val="22"/>
        </w:rPr>
      </w:pPr>
      <w:r>
        <w:rPr>
          <w:rFonts w:ascii="times new roman;times" w:hAnsi="times new roman;times"/>
          <w:sz w:val="22"/>
        </w:rPr>
        <w:t xml:space="preserve">Graham continued: “In tandem with our corporate and operational progress, we made strong advancements in our product innovation and broader industry presence. We launched several new camera, speakerphone, and microphone products over the past year, making several of these debuts at major global industry tradeshows to positive reception and increased foot traffic. Most recently, we introduced our new DIALOG® 20 USB microphone at ISE 2024 in Barcelona, Spain, and our booth at this show received a substantially higher number of visitors than we recorded during last year’s ISE appearance.   </w:t>
      </w:r>
    </w:p>
    <w:p>
      <w:pPr>
        <w:pStyle w:val="TextBody"/>
        <w:widowControl w:val="false"/>
        <w:bidi w:val="0"/>
        <w:spacing w:before="0" w:after="0"/>
        <w:ind w:left="0" w:right="0" w:hanging="0"/>
        <w:jc w:val="both"/>
        <w:rPr/>
      </w:pPr>
      <w:r>
        <w:rPr/>
        <w:t> </w:t>
      </w:r>
    </w:p>
    <w:p>
      <w:pPr>
        <w:pStyle w:val="TextBody"/>
        <w:widowControl w:val="false"/>
        <w:bidi w:val="0"/>
        <w:spacing w:before="0" w:after="0"/>
        <w:ind w:left="0" w:right="0" w:hanging="0"/>
        <w:jc w:val="both"/>
        <w:rPr/>
      </w:pPr>
      <w:r>
        <w:rPr/>
        <w:t>“</w:t>
      </w:r>
      <w:r>
        <w:rPr>
          <w:rFonts w:ascii="times new roman;times" w:hAnsi="times new roman;times"/>
          <w:sz w:val="22"/>
        </w:rPr>
        <w:t xml:space="preserve">In 2024, we are working to execute additional new product rollouts and increase traction for our core audio conferencing solutions. With our manufacturing transition complete, we are also ramping shipments of our most recently launched products, with the expectation that these shipments will yield greater revenue contributions as their cadence grows. I am proud of the momentum we have driven with new product introductions and industry event attendance heading into this year, and we remain focused on expanding our brand visibility and AV market share in the coming months.” </w:t>
      </w:r>
    </w:p>
    <w:p>
      <w:pPr>
        <w:pStyle w:val="TextBody"/>
        <w:widowControl w:val="false"/>
        <w:bidi w:val="0"/>
        <w:spacing w:before="0" w:after="0"/>
        <w:ind w:left="0" w:right="0" w:hanging="0"/>
        <w:jc w:val="both"/>
        <w:rPr/>
      </w:pPr>
      <w:r>
        <w:rPr/>
        <w:t> </w:t>
      </w:r>
    </w:p>
    <w:p>
      <w:pPr>
        <w:pStyle w:val="TextBody"/>
        <w:numPr>
          <w:ilvl w:val="0"/>
          <w:numId w:val="8"/>
        </w:numPr>
        <w:pBdr/>
        <w:tabs>
          <w:tab w:val="clear" w:pos="1134"/>
          <w:tab w:val="left" w:pos="1270" w:leader="none"/>
        </w:tabs>
        <w:bidi w:val="0"/>
        <w:spacing w:lineRule="auto" w:line="259"/>
        <w:ind w:left="1270" w:right="0" w:hanging="283"/>
        <w:jc w:val="left"/>
        <w:rPr>
          <w:rFonts w:ascii="times new roman;times" w:hAnsi="times new roman;times"/>
          <w:sz w:val="20"/>
        </w:rPr>
      </w:pPr>
      <w:r>
        <w:rPr>
          <w:rFonts w:ascii="times new roman;times" w:hAnsi="times new roman;times"/>
          <w:i/>
          <w:sz w:val="20"/>
        </w:rPr>
        <w:t>January 2023:</w:t>
      </w:r>
      <w:r>
        <w:rPr>
          <w:rFonts w:ascii="times new roman;times" w:hAnsi="times new roman;times"/>
          <w:sz w:val="20"/>
        </w:rPr>
        <w:t xml:space="preserve"> Launched new CHAT® 150 BT group speakerphone and UNITE 260 Pro camera products. Shipments of the CHAT® 150 BT launched in Q3 2023. </w:t>
      </w:r>
    </w:p>
    <w:p>
      <w:pPr>
        <w:pStyle w:val="TextBody"/>
        <w:numPr>
          <w:ilvl w:val="0"/>
          <w:numId w:val="9"/>
        </w:numPr>
        <w:pBdr/>
        <w:tabs>
          <w:tab w:val="clear" w:pos="1134"/>
          <w:tab w:val="left" w:pos="1270" w:leader="none"/>
        </w:tabs>
        <w:bidi w:val="0"/>
        <w:spacing w:lineRule="auto" w:line="259"/>
        <w:ind w:left="1270" w:right="0" w:hanging="283"/>
        <w:jc w:val="left"/>
        <w:rPr>
          <w:rFonts w:ascii="times new roman;times" w:hAnsi="times new roman;times"/>
          <w:sz w:val="20"/>
        </w:rPr>
      </w:pPr>
      <w:r>
        <w:rPr>
          <w:rFonts w:ascii="times new roman;times" w:hAnsi="times new roman;times"/>
          <w:i/>
          <w:sz w:val="20"/>
        </w:rPr>
        <w:t>June 2023:</w:t>
      </w:r>
      <w:r>
        <w:rPr>
          <w:rFonts w:ascii="times new roman;times" w:hAnsi="times new roman;times"/>
          <w:sz w:val="20"/>
        </w:rPr>
        <w:t xml:space="preserve"> Launched BMA 360D microphone array ceiling tile and DIALOG® UVHF Wireless Microphone System at InfoComm 2023, the largest Pro AV trade show in North America. During its exhibit at the show, ClearOne presented a complete suite of products, programs, and on-site demonstrations. </w:t>
      </w:r>
    </w:p>
    <w:p>
      <w:pPr>
        <w:pStyle w:val="TextBody"/>
        <w:numPr>
          <w:ilvl w:val="0"/>
          <w:numId w:val="10"/>
        </w:numPr>
        <w:pBdr/>
        <w:tabs>
          <w:tab w:val="clear" w:pos="1134"/>
          <w:tab w:val="left" w:pos="2021" w:leader="none"/>
        </w:tabs>
        <w:bidi w:val="0"/>
        <w:spacing w:lineRule="auto" w:line="259"/>
        <w:ind w:left="2021" w:right="0" w:hanging="283"/>
        <w:jc w:val="left"/>
        <w:rPr>
          <w:rFonts w:ascii="times new roman;times" w:hAnsi="times new roman;times"/>
          <w:sz w:val="20"/>
        </w:rPr>
      </w:pPr>
      <w:r>
        <w:rPr>
          <w:rFonts w:ascii="times new roman;times" w:hAnsi="times new roman;times"/>
          <w:sz w:val="20"/>
        </w:rPr>
        <w:t xml:space="preserve">The Company commenced shipments of the BMA 360D in Q3 2023. </w:t>
      </w:r>
    </w:p>
    <w:p>
      <w:pPr>
        <w:pStyle w:val="TextBody"/>
        <w:numPr>
          <w:ilvl w:val="0"/>
          <w:numId w:val="11"/>
        </w:numPr>
        <w:pBdr/>
        <w:tabs>
          <w:tab w:val="clear" w:pos="1134"/>
          <w:tab w:val="left" w:pos="1270" w:leader="none"/>
        </w:tabs>
        <w:bidi w:val="0"/>
        <w:spacing w:lineRule="auto" w:line="259"/>
        <w:ind w:left="1270" w:right="0" w:hanging="283"/>
        <w:jc w:val="left"/>
        <w:rPr>
          <w:rFonts w:ascii="times new roman;times" w:hAnsi="times new roman;times"/>
          <w:sz w:val="20"/>
        </w:rPr>
      </w:pPr>
      <w:r>
        <w:rPr>
          <w:rFonts w:ascii="times new roman;times" w:hAnsi="times new roman;times"/>
          <w:i/>
          <w:sz w:val="20"/>
        </w:rPr>
        <w:t>September</w:t>
      </w:r>
      <w:r>
        <w:rPr>
          <w:rFonts w:ascii="times new roman;times" w:hAnsi="times new roman;times"/>
          <w:sz w:val="20"/>
        </w:rPr>
        <w:t xml:space="preserve"> </w:t>
      </w:r>
      <w:r>
        <w:rPr>
          <w:rFonts w:ascii="times new roman;times" w:hAnsi="times new roman;times"/>
          <w:i/>
          <w:sz w:val="20"/>
        </w:rPr>
        <w:t xml:space="preserve">2023: </w:t>
      </w:r>
      <w:r>
        <w:rPr>
          <w:rFonts w:ascii="times new roman;times" w:hAnsi="times new roman;times"/>
          <w:sz w:val="20"/>
        </w:rPr>
        <w:t xml:space="preserve">Showcased full range of conferencing, collaboration, and communications solutions at CEDIA 2023, a significant residential technology trade show. </w:t>
      </w:r>
    </w:p>
    <w:p>
      <w:pPr>
        <w:pStyle w:val="TextBody"/>
        <w:numPr>
          <w:ilvl w:val="0"/>
          <w:numId w:val="12"/>
        </w:numPr>
        <w:pBdr/>
        <w:tabs>
          <w:tab w:val="clear" w:pos="1134"/>
          <w:tab w:val="left" w:pos="1270" w:leader="none"/>
        </w:tabs>
        <w:bidi w:val="0"/>
        <w:spacing w:lineRule="auto" w:line="259"/>
        <w:ind w:left="1270" w:right="0" w:hanging="283"/>
        <w:jc w:val="left"/>
        <w:rPr>
          <w:rFonts w:ascii="times new roman;times" w:hAnsi="times new roman;times"/>
          <w:sz w:val="20"/>
        </w:rPr>
      </w:pPr>
      <w:r>
        <w:rPr>
          <w:rFonts w:ascii="times new roman;times" w:hAnsi="times new roman;times"/>
          <w:i/>
          <w:sz w:val="20"/>
        </w:rPr>
        <w:t xml:space="preserve">October 2023: </w:t>
      </w:r>
      <w:r>
        <w:rPr>
          <w:rFonts w:ascii="times new roman;times" w:hAnsi="times new roman;times"/>
          <w:sz w:val="20"/>
        </w:rPr>
        <w:t xml:space="preserve">Debuted Versa® USB22D Dante® Adapter at InfoComm India 2023. </w:t>
      </w:r>
    </w:p>
    <w:p>
      <w:pPr>
        <w:pStyle w:val="TextBody"/>
        <w:numPr>
          <w:ilvl w:val="0"/>
          <w:numId w:val="13"/>
        </w:numPr>
        <w:pBdr/>
        <w:tabs>
          <w:tab w:val="clear" w:pos="1134"/>
          <w:tab w:val="left" w:pos="1270" w:leader="none"/>
        </w:tabs>
        <w:bidi w:val="0"/>
        <w:spacing w:lineRule="auto" w:line="259"/>
        <w:ind w:left="1270" w:right="0" w:hanging="283"/>
        <w:jc w:val="left"/>
        <w:rPr>
          <w:rFonts w:ascii="times new roman;times" w:hAnsi="times new roman;times"/>
          <w:sz w:val="20"/>
        </w:rPr>
      </w:pPr>
      <w:r>
        <w:rPr>
          <w:rFonts w:ascii="times new roman;times" w:hAnsi="times new roman;times"/>
          <w:i/>
          <w:sz w:val="20"/>
        </w:rPr>
        <w:t>January 2024:</w:t>
      </w:r>
      <w:r>
        <w:rPr>
          <w:rFonts w:ascii="times new roman;times" w:hAnsi="times new roman;times"/>
          <w:sz w:val="20"/>
        </w:rPr>
        <w:t xml:space="preserve"> Launched DIALOG® 20 USB microphone at ISE 2024, a leading global audiovisual expo. ClearOne’s booth at ISE 2024 recorded a 319% increase in unique visitors compared to the number of unique visitors the Company’s booth recorded in 2023. </w:t>
      </w:r>
    </w:p>
    <w:p>
      <w:pPr>
        <w:pStyle w:val="TextBody"/>
        <w:numPr>
          <w:ilvl w:val="0"/>
          <w:numId w:val="14"/>
        </w:numPr>
        <w:pBdr/>
        <w:tabs>
          <w:tab w:val="clear" w:pos="1134"/>
          <w:tab w:val="left" w:pos="2021" w:leader="none"/>
        </w:tabs>
        <w:bidi w:val="0"/>
        <w:spacing w:lineRule="auto" w:line="259"/>
        <w:ind w:left="2021" w:right="0" w:hanging="283"/>
        <w:jc w:val="left"/>
        <w:rPr>
          <w:rFonts w:ascii="times new roman;times" w:hAnsi="times new roman;times"/>
          <w:sz w:val="20"/>
        </w:rPr>
      </w:pPr>
      <w:r>
        <w:rPr>
          <w:rFonts w:ascii="times new roman;times" w:hAnsi="times new roman;times"/>
          <w:sz w:val="20"/>
        </w:rPr>
        <w:t xml:space="preserve">The DIALOG® UVHF Wireless Microphone System also received AV Technology Magazine’s Best in Show award at ISE 2024, having previously garnered other notable industry awards in 2023.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widowControl w:val="false"/>
        <w:bidi w:val="0"/>
        <w:spacing w:lineRule="atLeast" w:line="142" w:before="0" w:after="0"/>
        <w:ind w:left="0" w:right="0" w:hanging="0"/>
        <w:jc w:val="both"/>
        <w:rPr/>
      </w:pPr>
      <w:r>
        <w:rPr/>
        <w:t> </w:t>
      </w:r>
    </w:p>
    <w:p>
      <w:pPr>
        <w:pStyle w:val="TextBody"/>
        <w:bidi w:val="0"/>
        <w:spacing w:before="0" w:after="0"/>
        <w:ind w:left="0" w:right="0" w:hanging="0"/>
        <w:jc w:val="left"/>
        <w:rPr/>
      </w:pPr>
      <w:r>
        <w:rPr/>
        <w:drawing>
          <wp:inline distT="0" distB="0" distL="0" distR="0">
            <wp:extent cx="1724025" cy="44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24025" cy="447675"/>
                    </a:xfrm>
                    <a:prstGeom prst="rect">
                      <a:avLst/>
                    </a:prstGeom>
                  </pic:spPr>
                </pic:pic>
              </a:graphicData>
            </a:graphic>
          </wp:inline>
        </w:drawing>
      </w:r>
    </w:p>
    <w:p>
      <w:pPr>
        <w:pStyle w:val="TextBody"/>
        <w:widowControl w:val="false"/>
        <w:bidi w:val="0"/>
        <w:spacing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2"/>
        </w:rPr>
      </w:pPr>
      <w:r>
        <w:rPr>
          <w:rFonts w:ascii="times new roman;times" w:hAnsi="times new roman;times"/>
          <w:b/>
          <w:sz w:val="22"/>
        </w:rPr>
        <w:t>Regained</w:t>
      </w:r>
      <w:r>
        <w:rPr>
          <w:rFonts w:ascii="times new roman;times" w:hAnsi="times new roman;times"/>
          <w:sz w:val="22"/>
        </w:rPr>
        <w:t xml:space="preserve"> </w:t>
      </w:r>
      <w:r>
        <w:rPr>
          <w:rFonts w:ascii="times new roman;times" w:hAnsi="times new roman;times"/>
          <w:b/>
          <w:sz w:val="22"/>
        </w:rPr>
        <w:t>Compliance</w:t>
      </w:r>
      <w:r>
        <w:rPr>
          <w:rFonts w:ascii="times new roman;times" w:hAnsi="times new roman;times"/>
          <w:sz w:val="22"/>
        </w:rPr>
        <w:t xml:space="preserve"> </w:t>
      </w:r>
      <w:r>
        <w:rPr>
          <w:rFonts w:ascii="times new roman;times" w:hAnsi="times new roman;times"/>
          <w:b/>
          <w:sz w:val="22"/>
        </w:rPr>
        <w:t>with Nasdaq Minimum</w:t>
      </w:r>
      <w:r>
        <w:rPr>
          <w:rFonts w:ascii="times new roman;times" w:hAnsi="times new roman;times"/>
          <w:sz w:val="22"/>
        </w:rPr>
        <w:t xml:space="preserve"> </w:t>
      </w:r>
      <w:r>
        <w:rPr>
          <w:rFonts w:ascii="times new roman;times" w:hAnsi="times new roman;times"/>
          <w:b/>
          <w:sz w:val="22"/>
        </w:rPr>
        <w:t>Bid Price</w:t>
      </w:r>
      <w:r>
        <w:rPr>
          <w:rFonts w:ascii="times new roman;times" w:hAnsi="times new roman;times"/>
          <w:sz w:val="22"/>
        </w:rPr>
        <w:t xml:space="preserve"> </w:t>
      </w:r>
      <w:r>
        <w:rPr>
          <w:rFonts w:ascii="times new roman;times" w:hAnsi="times new roman;times"/>
          <w:b/>
          <w:sz w:val="22"/>
        </w:rPr>
        <w:t>Requirement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2"/>
        </w:rPr>
      </w:pPr>
      <w:r>
        <w:rPr>
          <w:rFonts w:ascii="times new roman;times" w:hAnsi="times new roman;times"/>
          <w:sz w:val="22"/>
        </w:rPr>
        <w:t xml:space="preserve">On January 26, 2024, ClearOne received a letter from Nasdaq providing notice that the Company had regained compliance with the minimum bid price requirement under Nasdaq Listing Rule 5550(a)(2) for continued listing on the Nasdaq Capital Market. To regain compliance, the Company’s common shares were required to maintain a minimum closing price of $1.00 or more for a period of 10 consecutive business days. This requirement was met on January 25, 2024.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2"/>
        </w:rPr>
      </w:pPr>
      <w:r>
        <w:rPr>
          <w:rFonts w:ascii="times new roman;times" w:hAnsi="times new roman;times"/>
          <w:sz w:val="22"/>
        </w:rPr>
        <w:t>Graham concluded: “Regaining compliance with Nasdaq’s minimum bid price requirement is another welcome step forward in our 2024 trajectory. With our robust balance sheet, efficient cost structure, and steady cadence of new product introductions, we are making progress in our recovery from headwinds related to the litigation and manufacturing transition processes. Both of these events are now past us, but our work is far from finished.</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pPr>
      <w:r>
        <w:rPr/>
        <w:t>“</w:t>
      </w:r>
      <w:r>
        <w:rPr>
          <w:rFonts w:ascii="times new roman;times" w:hAnsi="times new roman;times"/>
          <w:sz w:val="22"/>
        </w:rPr>
        <w:t xml:space="preserve">We are deeply committed to expanding the breadth and penetration of our innovative, high-quality product portfolio and tracking towards improving our runway for growth. We would like to thank our team and shareholders for their support as ClearOne enters a new chapter this year.” </w:t>
      </w:r>
    </w:p>
    <w:p>
      <w:pPr>
        <w:pStyle w:val="TextBody"/>
        <w:bidi w:val="0"/>
        <w:spacing w:lineRule="auto" w:line="288" w:before="0" w:after="0"/>
        <w:ind w:left="0" w:right="0" w:hanging="0"/>
        <w:jc w:val="both"/>
        <w:rPr/>
      </w:pPr>
      <w:r>
        <w:rPr/>
        <w:t> </w:t>
      </w:r>
    </w:p>
    <w:p>
      <w:pPr>
        <w:pStyle w:val="TextBody"/>
        <w:bidi w:val="0"/>
        <w:spacing w:lineRule="auto" w:line="288" w:before="0" w:after="120"/>
        <w:ind w:left="0" w:right="0" w:hanging="0"/>
        <w:jc w:val="both"/>
        <w:rPr>
          <w:rFonts w:ascii="times new roman;times" w:hAnsi="times new roman;times"/>
          <w:b/>
          <w:sz w:val="22"/>
        </w:rPr>
      </w:pPr>
      <w:r>
        <w:rPr>
          <w:rFonts w:ascii="times new roman;times" w:hAnsi="times new roman;times"/>
          <w:b/>
          <w:sz w:val="22"/>
        </w:rPr>
        <w:t>About ClearOne</w:t>
      </w:r>
    </w:p>
    <w:p>
      <w:pPr>
        <w:pStyle w:val="TextBody"/>
        <w:bidi w:val="0"/>
        <w:spacing w:lineRule="auto" w:line="288" w:before="0" w:after="0"/>
        <w:ind w:left="0" w:right="0" w:hanging="0"/>
        <w:jc w:val="both"/>
        <w:rPr>
          <w:rFonts w:ascii="times new roman;times" w:hAnsi="times new roman;times"/>
          <w:sz w:val="22"/>
        </w:rPr>
      </w:pPr>
      <w:r>
        <w:rPr>
          <w:rFonts w:ascii="times new roman;times" w:hAnsi="times new roman;times"/>
          <w:sz w:val="22"/>
        </w:rPr>
        <w:t>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t>
      </w:r>
      <w:r>
        <w:rPr>
          <w:rFonts w:ascii="times new roman;times" w:hAnsi="times new roman;times"/>
          <w:color w:val="0000FF"/>
          <w:sz w:val="22"/>
          <w:u w:val="single"/>
        </w:rPr>
        <w:t>www.clearone.com</w:t>
      </w:r>
      <w:r>
        <w:rPr>
          <w:rFonts w:ascii="times new roman;times" w:hAnsi="times new roman;times"/>
          <w:sz w:val="22"/>
        </w:rPr>
        <w: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sz w:val="22"/>
        </w:rPr>
      </w:pPr>
      <w:r>
        <w:rPr>
          <w:rFonts w:ascii="times new roman;times" w:hAnsi="times new roman;times"/>
          <w:b/>
          <w:sz w:val="22"/>
        </w:rPr>
        <w:t>Forward Looking Statements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2"/>
        </w:rPr>
      </w:pPr>
      <w:r>
        <w:rPr>
          <w:rFonts w:ascii="times new roman;times" w:hAnsi="times new roman;times"/>
          <w:sz w:val="22"/>
        </w:rPr>
        <w:t xml:space="preserve">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and the possible outcomes of litigation,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w:t>
      </w:r>
    </w:p>
    <w:p>
      <w:pPr>
        <w:pStyle w:val="TextBody"/>
        <w:bidi w:val="0"/>
        <w:spacing w:lineRule="auto" w:line="288" w:before="0" w:after="0"/>
        <w:ind w:left="0" w:right="144" w:hanging="0"/>
        <w:jc w:val="both"/>
        <w:rPr/>
      </w:pPr>
      <w:r>
        <w:rPr/>
        <w:t> </w:t>
      </w:r>
    </w:p>
    <w:p>
      <w:pPr>
        <w:pStyle w:val="TextBody"/>
        <w:bidi w:val="0"/>
        <w:spacing w:lineRule="auto" w:line="288" w:before="0" w:after="0"/>
        <w:ind w:left="0" w:right="0" w:hanging="0"/>
        <w:jc w:val="left"/>
        <w:rPr>
          <w:rFonts w:ascii="times new roman;times" w:hAnsi="times new roman;times"/>
          <w:b/>
          <w:sz w:val="22"/>
        </w:rPr>
      </w:pPr>
      <w:r>
        <w:rPr>
          <w:rFonts w:ascii="times new roman;times" w:hAnsi="times new roman;times"/>
          <w:b/>
          <w:sz w:val="22"/>
        </w:rPr>
        <w:t xml:space="preserve">Company Contact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2"/>
        </w:rPr>
        <w:t>Derek Graham</w:t>
      </w:r>
      <w:r>
        <w:rPr>
          <w:rFonts w:ascii="times new roman;times" w:hAnsi="times new roman;times"/>
          <w:sz w:val="20"/>
        </w:rPr>
        <w:br/>
      </w:r>
      <w:r>
        <w:rPr>
          <w:rFonts w:ascii="times new roman;times" w:hAnsi="times new roman;times"/>
          <w:sz w:val="22"/>
          <w:shd w:fill="FFFFFF" w:val="clear"/>
        </w:rPr>
        <w:t>801-303-3425</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color w:val="0000FF"/>
          <w:sz w:val="22"/>
          <w:u w:val="single"/>
          <w:shd w:fill="FFFFFF" w:val="clear"/>
        </w:rPr>
        <w:t>investor_relations@clearone.com</w:t>
      </w:r>
      <w:r>
        <w:rPr>
          <w:rFonts w:ascii="times new roman;times" w:hAnsi="times new roman;times"/>
          <w:sz w:val="22"/>
        </w:rPr>
        <w:t xml:space="preserve"> </w:t>
      </w:r>
      <w:r>
        <w:rPr>
          <w:rFonts w:ascii="times new roman;times" w:hAnsi="times new roman;times"/>
          <w:sz w:val="20"/>
        </w:rPr>
        <w:br/>
      </w:r>
      <w:r>
        <w:rPr>
          <w:rFonts w:ascii="times new roman;times" w:hAnsi="times new roman;times"/>
          <w:color w:val="0000FF"/>
          <w:sz w:val="22"/>
          <w:u w:val="single"/>
        </w:rPr>
        <w:t>http://investors.clearone.com</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b/>
          <w:sz w:val="22"/>
        </w:rPr>
      </w:pPr>
      <w:r>
        <w:rPr>
          <w:rFonts w:ascii="times new roman;times" w:hAnsi="times new roman;times"/>
          <w:b/>
          <w:sz w:val="22"/>
        </w:rPr>
        <w:t>Investor Relations Contact</w:t>
      </w:r>
    </w:p>
    <w:p>
      <w:pPr>
        <w:pStyle w:val="TextBody"/>
        <w:bidi w:val="0"/>
        <w:spacing w:lineRule="auto" w:line="288" w:before="0" w:after="0"/>
        <w:ind w:left="0" w:right="0" w:hanging="0"/>
        <w:jc w:val="left"/>
        <w:rPr>
          <w:rFonts w:ascii="times new roman;times" w:hAnsi="times new roman;times"/>
          <w:sz w:val="22"/>
        </w:rPr>
      </w:pPr>
      <w:r>
        <w:rPr>
          <w:rFonts w:ascii="times new roman;times" w:hAnsi="times new roman;times"/>
          <w:sz w:val="22"/>
        </w:rPr>
        <w:t xml:space="preserve">Matt Glover or Jackie Keshner </w:t>
      </w:r>
    </w:p>
    <w:p>
      <w:pPr>
        <w:pStyle w:val="TextBody"/>
        <w:bidi w:val="0"/>
        <w:spacing w:lineRule="auto" w:line="288" w:before="0" w:after="0"/>
        <w:ind w:left="0" w:right="0" w:hanging="0"/>
        <w:jc w:val="left"/>
        <w:rPr>
          <w:rFonts w:ascii="times new roman;times" w:hAnsi="times new roman;times"/>
          <w:sz w:val="22"/>
        </w:rPr>
      </w:pPr>
      <w:r>
        <w:rPr>
          <w:rFonts w:ascii="times new roman;times" w:hAnsi="times new roman;times"/>
          <w:sz w:val="22"/>
        </w:rPr>
        <w:t xml:space="preserve">Gateway Group, Inc. </w:t>
      </w:r>
    </w:p>
    <w:p>
      <w:pPr>
        <w:pStyle w:val="TextBody"/>
        <w:bidi w:val="0"/>
        <w:spacing w:lineRule="auto" w:line="288" w:before="0" w:after="0"/>
        <w:ind w:left="0" w:right="0" w:hanging="0"/>
        <w:jc w:val="left"/>
        <w:rPr>
          <w:rFonts w:ascii="times new roman;times" w:hAnsi="times new roman;times"/>
          <w:sz w:val="22"/>
        </w:rPr>
      </w:pPr>
      <w:r>
        <w:rPr>
          <w:rFonts w:ascii="times new roman;times" w:hAnsi="times new roman;times"/>
          <w:sz w:val="22"/>
        </w:rPr>
        <w:t xml:space="preserve">949-574-3860 </w:t>
      </w:r>
    </w:p>
    <w:p>
      <w:pPr>
        <w:pStyle w:val="TextBody"/>
        <w:bidi w:val="0"/>
        <w:spacing w:lineRule="auto" w:line="288" w:before="0" w:after="0"/>
        <w:ind w:left="0" w:right="0" w:hanging="0"/>
        <w:jc w:val="left"/>
        <w:rPr>
          <w:rFonts w:ascii="times new roman;times" w:hAnsi="times new roman;times"/>
          <w:color w:val="0000FF"/>
          <w:sz w:val="22"/>
          <w:u w:val="single"/>
        </w:rPr>
      </w:pPr>
      <w:r>
        <w:rPr>
          <w:rFonts w:ascii="times new roman;times" w:hAnsi="times new roman;times"/>
          <w:color w:val="0000FF"/>
          <w:sz w:val="22"/>
          <w:u w:val="single"/>
        </w:rPr>
        <w:t>CLRO@gateway-grp.com</w:t>
      </w:r>
    </w:p>
    <w:p>
      <w:pPr>
        <w:pStyle w:val="TextBody"/>
        <w:bidi w:val="0"/>
        <w:spacing w:before="0" w:after="0"/>
        <w:ind w:left="0" w:right="0" w:hanging="0"/>
        <w:jc w:val="both"/>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1919</Words>
  <Characters>10777</Characters>
  <CharactersWithSpaces>12765</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