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21"/>
          <w:szCs w:val="21"/>
          <w:b w:val="1"/>
          <w:bCs w:val="1"/>
          <w:u w:val="single" w:color="auto"/>
          <w:color w:val="auto"/>
        </w:rPr>
        <w:t>May 16, 2012</w:t>
      </w: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Utah</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(State or Other Jurisdiction of Incorporation)</w:t>
      </w:r>
    </w:p>
    <w:p>
      <w:pPr>
        <w:spacing w:after="0" w:line="200" w:lineRule="exact"/>
        <w:rPr>
          <w:sz w:val="24"/>
          <w:szCs w:val="24"/>
          <w:color w:val="auto"/>
        </w:rPr>
      </w:pPr>
    </w:p>
    <w:p>
      <w:pPr>
        <w:spacing w:after="0" w:line="222" w:lineRule="exact"/>
        <w:rPr>
          <w:sz w:val="24"/>
          <w:szCs w:val="24"/>
          <w:color w:val="auto"/>
        </w:rPr>
      </w:pPr>
    </w:p>
    <w:tbl>
      <w:tblPr>
        <w:tblLayout w:type="fixed"/>
        <w:tblInd w:w="2480" w:type="dxa"/>
        <w:tblCellMar>
          <w:top w:w="0" w:type="dxa"/>
          <w:left w:w="0" w:type="dxa"/>
          <w:bottom w:w="0" w:type="dxa"/>
          <w:right w:w="0" w:type="dxa"/>
        </w:tblCellMar>
      </w:tblPr>
      <w:tr>
        <w:trPr>
          <w:trHeight w:val="207"/>
        </w:trPr>
        <w:tc>
          <w:tcPr>
            <w:tcW w:w="2420" w:type="dxa"/>
            <w:vAlign w:val="bottom"/>
            <w:gridSpan w:val="2"/>
          </w:tcPr>
          <w:p>
            <w:pPr>
              <w:jc w:val="center"/>
              <w:ind w:left="1557"/>
              <w:spacing w:after="0"/>
              <w:rPr>
                <w:sz w:val="20"/>
                <w:szCs w:val="20"/>
                <w:color w:val="auto"/>
              </w:rPr>
            </w:pPr>
            <w:r>
              <w:rPr>
                <w:rFonts w:ascii="Arial" w:cs="Arial" w:eastAsia="Arial" w:hAnsi="Arial"/>
                <w:sz w:val="18"/>
                <w:szCs w:val="18"/>
                <w:b w:val="1"/>
                <w:bCs w:val="1"/>
                <w:color w:val="auto"/>
                <w:w w:val="90"/>
              </w:rPr>
              <w:t>001-33660</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87-0398877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gridSpan w:val="6"/>
          </w:tcPr>
          <w:p>
            <w:pPr>
              <w:jc w:val="center"/>
              <w:ind w:right="980"/>
              <w:spacing w:after="0"/>
              <w:rPr>
                <w:sz w:val="20"/>
                <w:szCs w:val="20"/>
                <w:color w:val="auto"/>
              </w:rPr>
            </w:pPr>
            <w:r>
              <w:rPr>
                <w:rFonts w:ascii="Arial" w:cs="Arial" w:eastAsia="Arial" w:hAnsi="Arial"/>
                <w:sz w:val="14"/>
                <w:szCs w:val="14"/>
                <w:color w:val="auto"/>
                <w:w w:val="96"/>
              </w:rPr>
              <w:t>(Commission File Number)</w:t>
            </w:r>
          </w:p>
        </w:tc>
        <w:tc>
          <w:tcPr>
            <w:tcW w:w="1460" w:type="dxa"/>
            <w:vAlign w:val="bottom"/>
            <w:gridSpan w:val="5"/>
          </w:tcPr>
          <w:p>
            <w:pPr>
              <w:jc w:val="center"/>
              <w:ind w:left="62"/>
              <w:spacing w:after="0"/>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gridSpan w:val="5"/>
          </w:tcPr>
          <w:p>
            <w:pPr>
              <w:jc w:val="center"/>
              <w:ind w:left="102"/>
              <w:spacing w:after="0"/>
              <w:rPr>
                <w:sz w:val="20"/>
                <w:szCs w:val="20"/>
                <w:color w:val="auto"/>
              </w:rPr>
            </w:pPr>
            <w:r>
              <w:rPr>
                <w:rFonts w:ascii="Arial" w:cs="Arial" w:eastAsia="Arial" w:hAnsi="Arial"/>
                <w:sz w:val="14"/>
                <w:szCs w:val="14"/>
                <w:color w:val="auto"/>
                <w:w w:val="95"/>
              </w:rPr>
              <w:t>identification number)</w:t>
            </w:r>
          </w:p>
        </w:tc>
        <w:tc>
          <w:tcPr>
            <w:tcW w:w="0" w:type="dxa"/>
            <w:vAlign w:val="bottom"/>
          </w:tcPr>
          <w:p>
            <w:pPr>
              <w:spacing w:after="0"/>
              <w:rPr>
                <w:sz w:val="1"/>
                <w:szCs w:val="1"/>
                <w:color w:val="auto"/>
              </w:rPr>
            </w:pPr>
          </w:p>
        </w:tc>
      </w:tr>
      <w:tr>
        <w:trPr>
          <w:trHeight w:val="377"/>
        </w:trPr>
        <w:tc>
          <w:tcPr>
            <w:tcW w:w="40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960" w:type="dxa"/>
            <w:vAlign w:val="bottom"/>
            <w:vMerge w:val="restart"/>
          </w:tcPr>
          <w:p>
            <w:pPr>
              <w:spacing w:after="0"/>
              <w:rPr>
                <w:sz w:val="24"/>
                <w:szCs w:val="24"/>
                <w:color w:val="auto"/>
              </w:rPr>
            </w:pPr>
          </w:p>
        </w:tc>
        <w:tc>
          <w:tcPr>
            <w:tcW w:w="600" w:type="dxa"/>
            <w:vAlign w:val="bottom"/>
            <w:gridSpan w:val="2"/>
            <w:vMerge w:val="restart"/>
          </w:tcPr>
          <w:p>
            <w:pPr>
              <w:spacing w:after="0"/>
              <w:rPr>
                <w:sz w:val="24"/>
                <w:szCs w:val="24"/>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83"/>
              </w:rPr>
              <w:t>84116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68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6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020" w:type="dxa"/>
            <w:vAlign w:val="bottom"/>
            <w:gridSpan w:val="6"/>
          </w:tcPr>
          <w:p>
            <w:pPr>
              <w:jc w:val="center"/>
              <w:ind w:right="980"/>
              <w:spacing w:after="0"/>
              <w:rPr>
                <w:sz w:val="20"/>
                <w:szCs w:val="20"/>
                <w:color w:val="auto"/>
              </w:rPr>
            </w:pPr>
            <w:r>
              <w:rPr>
                <w:rFonts w:ascii="Arial" w:cs="Arial" w:eastAsia="Arial" w:hAnsi="Arial"/>
                <w:sz w:val="14"/>
                <w:szCs w:val="14"/>
                <w:color w:val="auto"/>
                <w:w w:val="95"/>
              </w:rPr>
              <w:t>Address of principal executive offices)</w:t>
            </w:r>
          </w:p>
        </w:tc>
        <w:tc>
          <w:tcPr>
            <w:tcW w:w="380" w:type="dxa"/>
            <w:vAlign w:val="bottom"/>
          </w:tcPr>
          <w:p>
            <w:pPr>
              <w:spacing w:after="0"/>
              <w:rPr>
                <w:sz w:val="16"/>
                <w:szCs w:val="16"/>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741"/>
        </w:trPr>
        <w:tc>
          <w:tcPr>
            <w:tcW w:w="3800" w:type="dxa"/>
            <w:vAlign w:val="bottom"/>
            <w:gridSpan w:val="4"/>
          </w:tcPr>
          <w:p>
            <w:pPr>
              <w:jc w:val="center"/>
              <w:ind w:left="2597"/>
              <w:spacing w:after="0"/>
              <w:rPr>
                <w:sz w:val="20"/>
                <w:szCs w:val="20"/>
                <w:color w:val="auto"/>
              </w:rPr>
            </w:pPr>
            <w:r>
              <w:rPr>
                <w:rFonts w:ascii="Arial" w:cs="Arial" w:eastAsia="Arial" w:hAnsi="Arial"/>
                <w:sz w:val="18"/>
                <w:szCs w:val="18"/>
                <w:b w:val="1"/>
                <w:bCs w:val="1"/>
                <w:color w:val="auto"/>
                <w:w w:val="90"/>
              </w:rPr>
              <w:t>(801) 975-7200</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40" w:type="dxa"/>
            <w:vAlign w:val="bottom"/>
          </w:tcPr>
          <w:p>
            <w:pPr>
              <w:spacing w:after="0"/>
              <w:rPr>
                <w:sz w:val="16"/>
                <w:szCs w:val="16"/>
                <w:color w:val="auto"/>
              </w:rPr>
            </w:pPr>
          </w:p>
        </w:tc>
        <w:tc>
          <w:tcPr>
            <w:tcW w:w="3380" w:type="dxa"/>
            <w:vAlign w:val="bottom"/>
            <w:gridSpan w:val="5"/>
          </w:tcPr>
          <w:p>
            <w:pPr>
              <w:jc w:val="center"/>
              <w:ind w:right="180"/>
              <w:spacing w:after="0"/>
              <w:rPr>
                <w:sz w:val="20"/>
                <w:szCs w:val="20"/>
                <w:color w:val="auto"/>
              </w:rPr>
            </w:pPr>
            <w:r>
              <w:rPr>
                <w:rFonts w:ascii="Arial" w:cs="Arial" w:eastAsia="Arial" w:hAnsi="Arial"/>
                <w:sz w:val="14"/>
                <w:szCs w:val="14"/>
                <w:color w:val="auto"/>
                <w:w w:val="93"/>
              </w:rPr>
              <w:t>(Registrant’s Telephone Number, Including Area Code)</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12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0" w:lineRule="exact"/>
        <w:rPr>
          <w:sz w:val="24"/>
          <w:szCs w:val="24"/>
          <w:color w:val="auto"/>
        </w:rPr>
      </w:pPr>
    </w:p>
    <w:p>
      <w:pPr>
        <w:spacing w:after="0" w:line="22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gridSpan w:val="2"/>
          </w:tcPr>
          <w:p>
            <w:pPr>
              <w:ind w:left="6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gridSpan w:val="2"/>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300" w:type="dxa"/>
            <w:vAlign w:val="bottom"/>
            <w:gridSpan w:val="3"/>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300" w:type="dxa"/>
            <w:vAlign w:val="bottom"/>
            <w:gridSpan w:val="3"/>
          </w:tcPr>
          <w:p>
            <w:pPr>
              <w:ind w:left="60"/>
              <w:spacing w:after="0"/>
              <w:rPr>
                <w:sz w:val="20"/>
                <w:szCs w:val="20"/>
                <w:color w:val="auto"/>
              </w:rPr>
            </w:pPr>
            <w:r>
              <w:rPr>
                <w:rFonts w:ascii="Arial" w:cs="Arial" w:eastAsia="Arial" w:hAnsi="Arial"/>
                <w:sz w:val="18"/>
                <w:szCs w:val="18"/>
                <w:color w:val="auto"/>
                <w:w w:val="92"/>
              </w:rPr>
              <w:t>] Pre-commencement communication pursuant to Rule 13e-4(c) under the Exchange Act (17 CFR 240.13e-4(c))</w:t>
            </w:r>
          </w:p>
        </w:tc>
      </w:tr>
      <w:tr>
        <w:trPr>
          <w:trHeight w:val="432"/>
        </w:trPr>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Item 8.01.</w:t>
            </w:r>
          </w:p>
        </w:tc>
        <w:tc>
          <w:tcPr>
            <w:tcW w:w="7380" w:type="dxa"/>
            <w:vAlign w:val="bottom"/>
          </w:tcPr>
          <w:p>
            <w:pPr>
              <w:ind w:left="300"/>
              <w:spacing w:after="0"/>
              <w:rPr>
                <w:sz w:val="20"/>
                <w:szCs w:val="20"/>
                <w:color w:val="auto"/>
              </w:rPr>
            </w:pPr>
            <w:r>
              <w:rPr>
                <w:rFonts w:ascii="Arial" w:cs="Arial" w:eastAsia="Arial" w:hAnsi="Arial"/>
                <w:sz w:val="18"/>
                <w:szCs w:val="18"/>
                <w:b w:val="1"/>
                <w:bCs w:val="1"/>
                <w:color w:val="auto"/>
              </w:rPr>
              <w:t>Other Events.</w:t>
            </w:r>
          </w:p>
        </w:tc>
      </w:tr>
    </w:tbl>
    <w:p>
      <w:pPr>
        <w:spacing w:after="0" w:line="229"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On May 16, 2012, ClearOne Communications, Inc. (the “Company”) issued a press release attached hereto as Exhibit 99.1 and incorporated by reference. In the press release, the Company announced that its Board of Directors had authorized a stock buy-back program to acquire up to $2,000,000 in the Company’s common stock during the next twelve months. All purchases will be executed in accordance with applicable federal securities laws.</w:t>
      </w:r>
    </w:p>
    <w:p>
      <w:pPr>
        <w:spacing w:after="0" w:line="17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060" w:type="dxa"/>
            <w:vAlign w:val="bottom"/>
            <w:gridSpan w:val="2"/>
          </w:tcPr>
          <w:p>
            <w:pPr>
              <w:spacing w:after="0"/>
              <w:rPr>
                <w:sz w:val="20"/>
                <w:szCs w:val="20"/>
                <w:color w:val="auto"/>
              </w:rPr>
            </w:pPr>
            <w:r>
              <w:rPr>
                <w:rFonts w:ascii="Arial" w:cs="Arial" w:eastAsia="Arial" w:hAnsi="Arial"/>
                <w:sz w:val="18"/>
                <w:szCs w:val="18"/>
                <w:color w:val="auto"/>
              </w:rPr>
              <w:t>Title of Document</w:t>
            </w:r>
          </w:p>
        </w:tc>
        <w:tc>
          <w:tcPr>
            <w:tcW w:w="1000" w:type="dxa"/>
            <w:vAlign w:val="bottom"/>
            <w:gridSpan w:val="3"/>
          </w:tcPr>
          <w:p>
            <w:pPr>
              <w:ind w:left="220"/>
              <w:spacing w:after="0"/>
              <w:rPr>
                <w:sz w:val="20"/>
                <w:szCs w:val="20"/>
                <w:color w:val="auto"/>
              </w:rPr>
            </w:pPr>
            <w:r>
              <w:rPr>
                <w:rFonts w:ascii="Arial" w:cs="Arial" w:eastAsia="Arial" w:hAnsi="Arial"/>
                <w:sz w:val="18"/>
                <w:szCs w:val="18"/>
                <w:color w:val="auto"/>
              </w:rPr>
              <w:t>Location</w:t>
            </w:r>
          </w:p>
        </w:tc>
      </w:tr>
      <w:tr>
        <w:trPr>
          <w:trHeight w:val="20"/>
        </w:trPr>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3"/>
              </w:rPr>
              <w:t>Press Release dated May 16, 2012 captioned “ClearOne’s Board of</w:t>
            </w:r>
          </w:p>
        </w:tc>
        <w:tc>
          <w:tcPr>
            <w:tcW w:w="1000" w:type="dxa"/>
            <w:vAlign w:val="bottom"/>
            <w:gridSpan w:val="3"/>
          </w:tcPr>
          <w:p>
            <w:pPr>
              <w:ind w:left="220"/>
              <w:spacing w:after="0"/>
              <w:rPr>
                <w:sz w:val="20"/>
                <w:szCs w:val="20"/>
                <w:color w:val="auto"/>
              </w:rPr>
            </w:pPr>
            <w:r>
              <w:rPr>
                <w:rFonts w:ascii="Arial" w:cs="Arial" w:eastAsia="Arial" w:hAnsi="Arial"/>
                <w:sz w:val="18"/>
                <w:szCs w:val="18"/>
                <w:color w:val="auto"/>
                <w:w w:val="92"/>
              </w:rPr>
              <w:t>This Filing</w:t>
            </w:r>
          </w:p>
        </w:tc>
      </w:tr>
      <w:tr>
        <w:trPr>
          <w:trHeight w:val="230"/>
        </w:trPr>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Directors Authorizes Stock Buy-Back.”</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color w:val="auto"/>
              </w:rPr>
              <w:t>Date: May 16, 2012</w:t>
            </w:r>
          </w:p>
        </w:tc>
        <w:tc>
          <w:tcPr>
            <w:tcW w:w="1580" w:type="dxa"/>
            <w:vAlign w:val="bottom"/>
          </w:tcPr>
          <w:p>
            <w:pPr>
              <w:ind w:left="900"/>
              <w:spacing w:after="0"/>
              <w:rPr>
                <w:sz w:val="20"/>
                <w:szCs w:val="20"/>
                <w:color w:val="auto"/>
              </w:rPr>
            </w:pPr>
            <w:r>
              <w:rPr>
                <w:rFonts w:ascii="Arial" w:cs="Arial" w:eastAsia="Arial" w:hAnsi="Arial"/>
                <w:sz w:val="18"/>
                <w:szCs w:val="18"/>
                <w:color w:val="auto"/>
              </w:rPr>
              <w:t>By:</w:t>
            </w: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Zeynep Hakimoglu</w:t>
            </w:r>
          </w:p>
        </w:tc>
        <w:tc>
          <w:tcPr>
            <w:tcW w:w="1120" w:type="dxa"/>
            <w:vAlign w:val="bottom"/>
          </w:tcPr>
          <w:p>
            <w:pPr>
              <w:spacing w:after="0"/>
              <w:rPr>
                <w:sz w:val="17"/>
                <w:szCs w:val="17"/>
                <w:color w:val="auto"/>
              </w:rPr>
            </w:pPr>
          </w:p>
        </w:tc>
      </w:tr>
      <w:tr>
        <w:trPr>
          <w:trHeight w:val="237"/>
        </w:trPr>
        <w:tc>
          <w:tcPr>
            <w:tcW w:w="2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Zeynep Hakimoglu</w:t>
            </w:r>
          </w:p>
        </w:tc>
      </w:tr>
      <w:tr>
        <w:trPr>
          <w:trHeight w:val="243"/>
        </w:trPr>
        <w:tc>
          <w:tcPr>
            <w:tcW w:w="2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360"/>
          </w:cols>
          <w:pgMar w:left="240" w:top="220" w:right="299" w:bottom="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u w:val="single" w:color="auto"/>
          <w:color w:val="auto"/>
        </w:rPr>
        <w:t>Contact:</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Jeff LeFevre</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801-303-3438</w:t>
      </w:r>
    </w:p>
    <w:p>
      <w:pPr>
        <w:spacing w:after="0"/>
        <w:rPr>
          <w:sz w:val="20"/>
          <w:szCs w:val="20"/>
          <w:color w:val="auto"/>
        </w:rPr>
      </w:pPr>
      <w:r>
        <w:rPr>
          <w:rFonts w:ascii="Arial" w:cs="Arial" w:eastAsia="Arial" w:hAnsi="Arial"/>
          <w:sz w:val="22"/>
          <w:szCs w:val="22"/>
          <w:color w:val="auto"/>
        </w:rPr>
        <w:t>jeff.lefevre@clearone.com</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ClearOne’s Board of Directors Authorizes Stock Buy-back</w:t>
      </w:r>
    </w:p>
    <w:p>
      <w:pPr>
        <w:spacing w:after="0" w:line="233" w:lineRule="exact"/>
        <w:rPr>
          <w:sz w:val="20"/>
          <w:szCs w:val="20"/>
          <w:color w:val="auto"/>
        </w:rPr>
      </w:pPr>
    </w:p>
    <w:p>
      <w:pPr>
        <w:spacing w:after="0" w:line="284" w:lineRule="auto"/>
        <w:rPr>
          <w:sz w:val="20"/>
          <w:szCs w:val="20"/>
          <w:color w:val="auto"/>
        </w:rPr>
      </w:pPr>
      <w:r>
        <w:rPr>
          <w:rFonts w:ascii="Arial" w:cs="Arial" w:eastAsia="Arial" w:hAnsi="Arial"/>
          <w:sz w:val="19"/>
          <w:szCs w:val="19"/>
          <w:b w:val="1"/>
          <w:bCs w:val="1"/>
          <w:color w:val="auto"/>
        </w:rPr>
        <w:t xml:space="preserve">SALT LAKE CITY, UTAH (May 16, 2012) </w:t>
      </w:r>
      <w:r>
        <w:rPr>
          <w:rFonts w:ascii="Arial" w:cs="Arial" w:eastAsia="Arial" w:hAnsi="Arial"/>
          <w:sz w:val="19"/>
          <w:szCs w:val="19"/>
          <w:color w:val="auto"/>
        </w:rPr>
        <w:t>— ClearOne (NASDAQ: CLRO) today announced the company’s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has approved a stock repurchase program. Under the program, ClearOne is authorized to repurchase up to $2 million of its outstanding shares of common stock from time to time over the next 12 months in open market or privately negotiated transactions depending on prevailing market conditions and other factors. The repurchase program may be suspended or discontinued at any time. All purchases will be executed in accordance with applicable federal securities laws.</w:t>
      </w:r>
    </w:p>
    <w:p>
      <w:pPr>
        <w:spacing w:after="0" w:line="172" w:lineRule="exact"/>
        <w:rPr>
          <w:sz w:val="20"/>
          <w:szCs w:val="20"/>
          <w:color w:val="auto"/>
        </w:rPr>
      </w:pPr>
    </w:p>
    <w:p>
      <w:pPr>
        <w:ind w:right="180" w:firstLine="54"/>
        <w:spacing w:after="0" w:line="297" w:lineRule="auto"/>
        <w:rPr>
          <w:sz w:val="20"/>
          <w:szCs w:val="20"/>
          <w:color w:val="auto"/>
        </w:rPr>
      </w:pPr>
      <w:r>
        <w:rPr>
          <w:rFonts w:ascii="Arial" w:cs="Arial" w:eastAsia="Arial" w:hAnsi="Arial"/>
          <w:sz w:val="19"/>
          <w:szCs w:val="19"/>
          <w:color w:val="auto"/>
        </w:rPr>
        <w:t>“Our current market valuation, cash balance and ongoing cash flow generation are all factors leading to our decision to activate a repurchase program, which we feel is an appropriate use of cash,” said Zee Hakimoglu, President, Chief Executive Officer and Chairman of ClearOne. “This move will also provide ClearOne with adequate flexibility for future initiatives.”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ClearOne</w:t>
      </w:r>
    </w:p>
    <w:p>
      <w:pPr>
        <w:spacing w:after="0" w:line="14"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 xml:space="preserve">ClearOne is a global company that designs, develops and sells conferencing, collaboration, streaming and digital signage solutions for audio, video and data multimedia communication. The performance and simplicity of its advanced comprehensive solutions enhance the quality of life. ClearOne products are designed for business and residential use, offering unprecedented levels of functionality, reliability and scalability. More information about the company can be found at </w:t>
      </w:r>
      <w:r>
        <w:rPr>
          <w:rFonts w:ascii="Arial" w:cs="Arial" w:eastAsia="Arial" w:hAnsi="Arial"/>
          <w:sz w:val="19"/>
          <w:szCs w:val="19"/>
          <w:u w:val="single" w:color="auto"/>
          <w:color w:val="0000FF"/>
        </w:rPr>
        <w:t>www.clearone.com</w:t>
      </w:r>
      <w:r>
        <w:rPr>
          <w:rFonts w:ascii="Arial" w:cs="Arial" w:eastAsia="Arial" w:hAnsi="Arial"/>
          <w:sz w:val="19"/>
          <w:szCs w:val="19"/>
          <w:color w:val="auto"/>
        </w:rPr>
        <w:t>.</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2019-12-09T10:39:55Z</dcterms:created>
  <dcterms:modified xsi:type="dcterms:W3CDTF">2019-12-09T10:39:55Z</dcterms:modified>
</cp:coreProperties>
</file>