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44"/>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149225</wp:posOffset>
            </wp:positionH>
            <wp:positionV relativeFrom="page">
              <wp:posOffset>156845</wp:posOffset>
            </wp:positionV>
            <wp:extent cx="726249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2495" cy="7620"/>
                    </a:xfrm>
                    <a:prstGeom prst="rect">
                      <a:avLst/>
                    </a:prstGeom>
                    <a:noFill/>
                  </pic:spPr>
                </pic:pic>
              </a:graphicData>
            </a:graphic>
          </wp:anchor>
        </w:drawing>
        <w:drawing>
          <wp:anchor simplePos="0" relativeHeight="251657728" behindDoc="1" locked="0" layoutInCell="0" allowOverlap="1">
            <wp:simplePos x="0" y="0"/>
            <wp:positionH relativeFrom="page">
              <wp:posOffset>149225</wp:posOffset>
            </wp:positionH>
            <wp:positionV relativeFrom="page">
              <wp:posOffset>194945</wp:posOffset>
            </wp:positionV>
            <wp:extent cx="72624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2495" cy="7620"/>
                    </a:xfrm>
                    <a:prstGeom prst="rect">
                      <a:avLst/>
                    </a:prstGeom>
                    <a:noFill/>
                  </pic:spPr>
                </pic:pic>
              </a:graphicData>
            </a:graphic>
          </wp:anchor>
        </w:drawing>
        <w:t>UNITED STATES</w:t>
      </w:r>
    </w:p>
    <w:p>
      <w:pPr>
        <w:spacing w:after="0" w:line="11" w:lineRule="exact"/>
        <w:rPr>
          <w:sz w:val="24"/>
          <w:szCs w:val="24"/>
          <w:color w:val="auto"/>
        </w:rPr>
      </w:pPr>
    </w:p>
    <w:p>
      <w:pPr>
        <w:jc w:val="center"/>
        <w:ind w:right="-144"/>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44"/>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2870200</wp:posOffset>
            </wp:positionH>
            <wp:positionV relativeFrom="paragraph">
              <wp:posOffset>196215</wp:posOffset>
            </wp:positionV>
            <wp:extent cx="15220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2095" cy="762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44"/>
        <w:spacing w:after="0"/>
        <w:rPr>
          <w:sz w:val="20"/>
          <w:szCs w:val="20"/>
          <w:color w:val="auto"/>
        </w:rPr>
      </w:pPr>
      <w:r>
        <w:rPr>
          <w:rFonts w:ascii="Arial" w:cs="Arial" w:eastAsia="Arial" w:hAnsi="Arial"/>
          <w:sz w:val="29"/>
          <w:szCs w:val="29"/>
          <w:b w:val="1"/>
          <w:bCs w:val="1"/>
          <w:color w:val="auto"/>
        </w:rPr>
        <w:t>SCHEDULE 14A</w:t>
      </w:r>
    </w:p>
    <w:p>
      <w:pPr>
        <w:spacing w:after="0" w:line="22" w:lineRule="exact"/>
        <w:rPr>
          <w:sz w:val="24"/>
          <w:szCs w:val="24"/>
          <w:color w:val="auto"/>
        </w:rPr>
      </w:pPr>
    </w:p>
    <w:p>
      <w:pPr>
        <w:jc w:val="center"/>
        <w:ind w:right="-144"/>
        <w:spacing w:after="0"/>
        <w:rPr>
          <w:sz w:val="20"/>
          <w:szCs w:val="20"/>
          <w:color w:val="auto"/>
        </w:rPr>
      </w:pPr>
      <w:r>
        <w:rPr>
          <w:rFonts w:ascii="Arial" w:cs="Arial" w:eastAsia="Arial" w:hAnsi="Arial"/>
          <w:sz w:val="19"/>
          <w:szCs w:val="19"/>
          <w:b w:val="1"/>
          <w:bCs w:val="1"/>
          <w:color w:val="auto"/>
        </w:rPr>
        <w:t>(Rule 14a-101)</w:t>
      </w:r>
    </w:p>
    <w:p>
      <w:pPr>
        <w:spacing w:after="0" w:line="153" w:lineRule="exact"/>
        <w:rPr>
          <w:sz w:val="24"/>
          <w:szCs w:val="24"/>
          <w:color w:val="auto"/>
        </w:rPr>
      </w:pPr>
    </w:p>
    <w:p>
      <w:pPr>
        <w:jc w:val="center"/>
        <w:ind w:right="-144"/>
        <w:spacing w:after="0"/>
        <w:rPr>
          <w:sz w:val="20"/>
          <w:szCs w:val="20"/>
          <w:color w:val="auto"/>
        </w:rPr>
      </w:pPr>
      <w:r>
        <w:rPr>
          <w:rFonts w:ascii="Arial" w:cs="Arial" w:eastAsia="Arial" w:hAnsi="Arial"/>
          <w:sz w:val="29"/>
          <w:szCs w:val="29"/>
          <w:b w:val="1"/>
          <w:bCs w:val="1"/>
          <w:color w:val="auto"/>
        </w:rPr>
        <w:t>SCHEDULE 14A INFORMATION</w:t>
      </w:r>
    </w:p>
    <w:p>
      <w:pPr>
        <w:spacing w:after="0" w:line="191" w:lineRule="exact"/>
        <w:rPr>
          <w:sz w:val="24"/>
          <w:szCs w:val="24"/>
          <w:color w:val="auto"/>
        </w:rPr>
      </w:pPr>
    </w:p>
    <w:p>
      <w:pPr>
        <w:jc w:val="center"/>
        <w:ind w:right="-144"/>
        <w:spacing w:after="0"/>
        <w:rPr>
          <w:sz w:val="20"/>
          <w:szCs w:val="20"/>
          <w:color w:val="auto"/>
        </w:rPr>
      </w:pPr>
      <w:r>
        <w:rPr>
          <w:rFonts w:ascii="Arial" w:cs="Arial" w:eastAsia="Arial" w:hAnsi="Arial"/>
          <w:sz w:val="19"/>
          <w:szCs w:val="19"/>
          <w:b w:val="1"/>
          <w:bCs w:val="1"/>
          <w:color w:val="auto"/>
        </w:rPr>
        <w:t>Proxy Statement Pursuant to Section 14(a) of the</w:t>
      </w:r>
    </w:p>
    <w:p>
      <w:pPr>
        <w:spacing w:after="0" w:line="18" w:lineRule="exact"/>
        <w:rPr>
          <w:sz w:val="24"/>
          <w:szCs w:val="24"/>
          <w:color w:val="auto"/>
        </w:rPr>
      </w:pPr>
    </w:p>
    <w:p>
      <w:pPr>
        <w:jc w:val="center"/>
        <w:ind w:right="-144"/>
        <w:spacing w:after="0"/>
        <w:rPr>
          <w:sz w:val="20"/>
          <w:szCs w:val="20"/>
          <w:color w:val="auto"/>
        </w:rPr>
      </w:pPr>
      <w:r>
        <w:rPr>
          <w:rFonts w:ascii="Arial" w:cs="Arial" w:eastAsia="Arial" w:hAnsi="Arial"/>
          <w:sz w:val="19"/>
          <w:szCs w:val="19"/>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2870200</wp:posOffset>
            </wp:positionH>
            <wp:positionV relativeFrom="paragraph">
              <wp:posOffset>203835</wp:posOffset>
            </wp:positionV>
            <wp:extent cx="152209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2095" cy="762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ind w:left="5"/>
        <w:spacing w:after="0" w:line="184" w:lineRule="exact"/>
        <w:tabs>
          <w:tab w:leader="none" w:pos="2804"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226" w:lineRule="exact"/>
        <w:rPr>
          <w:sz w:val="24"/>
          <w:szCs w:val="24"/>
          <w:color w:val="auto"/>
        </w:rPr>
      </w:pPr>
    </w:p>
    <w:p>
      <w:pPr>
        <w:ind w:left="5"/>
        <w:spacing w:after="0"/>
        <w:rPr>
          <w:sz w:val="20"/>
          <w:szCs w:val="20"/>
          <w:color w:val="auto"/>
        </w:rPr>
      </w:pPr>
      <w:r>
        <w:rPr>
          <w:rFonts w:ascii="Arial" w:cs="Arial" w:eastAsia="Arial" w:hAnsi="Arial"/>
          <w:sz w:val="16"/>
          <w:szCs w:val="16"/>
          <w:color w:val="auto"/>
        </w:rPr>
        <w:t>Check the appropriate box:</w:t>
      </w:r>
    </w:p>
    <w:p>
      <w:pPr>
        <w:spacing w:after="0" w:line="114" w:lineRule="exact"/>
        <w:rPr>
          <w:sz w:val="24"/>
          <w:szCs w:val="24"/>
          <w:color w:val="auto"/>
        </w:rPr>
      </w:pPr>
    </w:p>
    <w:p>
      <w:pPr>
        <w:ind w:left="465" w:hanging="465"/>
        <w:spacing w:after="0"/>
        <w:tabs>
          <w:tab w:leader="none" w:pos="46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98" w:lineRule="exact"/>
        <w:rPr>
          <w:rFonts w:ascii="MS PGothic" w:cs="MS PGothic" w:eastAsia="MS PGothic" w:hAnsi="MS PGothic"/>
          <w:sz w:val="16"/>
          <w:szCs w:val="16"/>
          <w:color w:val="auto"/>
        </w:rPr>
      </w:pPr>
    </w:p>
    <w:p>
      <w:pPr>
        <w:ind w:left="465" w:hanging="465"/>
        <w:spacing w:after="0"/>
        <w:tabs>
          <w:tab w:leader="none" w:pos="465"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06" w:lineRule="exact"/>
        <w:rPr>
          <w:rFonts w:ascii="MS PGothic" w:cs="MS PGothic" w:eastAsia="MS PGothic" w:hAnsi="MS PGothic"/>
          <w:sz w:val="16"/>
          <w:szCs w:val="16"/>
          <w:color w:val="auto"/>
        </w:rPr>
      </w:pPr>
    </w:p>
    <w:p>
      <w:pPr>
        <w:ind w:left="465" w:hanging="465"/>
        <w:spacing w:after="0"/>
        <w:tabs>
          <w:tab w:leader="none" w:pos="46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02" w:lineRule="exact"/>
        <w:rPr>
          <w:sz w:val="24"/>
          <w:szCs w:val="24"/>
          <w:color w:val="auto"/>
        </w:rPr>
      </w:pPr>
    </w:p>
    <w:p>
      <w:pPr>
        <w:ind w:left="465" w:hanging="465"/>
        <w:spacing w:after="0"/>
        <w:tabs>
          <w:tab w:leader="none" w:pos="465"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02" w:lineRule="exact"/>
        <w:rPr>
          <w:sz w:val="24"/>
          <w:szCs w:val="24"/>
          <w:color w:val="auto"/>
        </w:rPr>
      </w:pPr>
    </w:p>
    <w:p>
      <w:pPr>
        <w:ind w:left="465" w:hanging="465"/>
        <w:spacing w:after="0"/>
        <w:tabs>
          <w:tab w:leader="none" w:pos="465"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§240.14a-12.</w:t>
      </w:r>
    </w:p>
    <w:p>
      <w:pPr>
        <w:spacing w:after="0" w:line="264" w:lineRule="exact"/>
        <w:rPr>
          <w:sz w:val="24"/>
          <w:szCs w:val="24"/>
          <w:color w:val="auto"/>
        </w:rPr>
      </w:pPr>
    </w:p>
    <w:p>
      <w:pPr>
        <w:jc w:val="center"/>
        <w:ind w:right="-144"/>
        <w:spacing w:after="0"/>
        <w:rPr>
          <w:sz w:val="20"/>
          <w:szCs w:val="20"/>
          <w:color w:val="auto"/>
        </w:rPr>
      </w:pPr>
      <w:r>
        <w:rPr>
          <w:rFonts w:ascii="Arial" w:cs="Arial" w:eastAsia="Arial" w:hAnsi="Arial"/>
          <w:sz w:val="35"/>
          <w:szCs w:val="35"/>
          <w:b w:val="1"/>
          <w:bCs w:val="1"/>
          <w:color w:val="auto"/>
        </w:rPr>
        <w:t>ClearOne, Inc.</w:t>
      </w:r>
    </w:p>
    <w:p>
      <w:pPr>
        <w:spacing w:after="0" w:line="34" w:lineRule="exact"/>
        <w:rPr>
          <w:sz w:val="24"/>
          <w:szCs w:val="24"/>
          <w:color w:val="auto"/>
        </w:rPr>
      </w:pPr>
    </w:p>
    <w:p>
      <w:pPr>
        <w:jc w:val="center"/>
        <w:ind w:right="-144"/>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307" w:lineRule="exact"/>
        <w:rPr>
          <w:sz w:val="24"/>
          <w:szCs w:val="24"/>
          <w:color w:val="auto"/>
        </w:rPr>
      </w:pPr>
    </w:p>
    <w:p>
      <w:pPr>
        <w:jc w:val="center"/>
        <w:ind w:right="-144"/>
        <w:spacing w:after="0"/>
        <w:rPr>
          <w:sz w:val="20"/>
          <w:szCs w:val="20"/>
          <w:color w:val="auto"/>
        </w:rPr>
      </w:pPr>
      <w:r>
        <w:rPr>
          <w:rFonts w:ascii="Arial" w:cs="Arial" w:eastAsia="Arial" w:hAnsi="Arial"/>
          <w:sz w:val="13"/>
          <w:szCs w:val="13"/>
          <w:b w:val="1"/>
          <w:bCs w:val="1"/>
          <w:color w:val="auto"/>
        </w:rPr>
        <w:t>(Name of Person(s) Filing Proxy Statement, if other than Registrant)</w:t>
      </w:r>
    </w:p>
    <w:p>
      <w:pPr>
        <w:spacing w:after="0" w:line="275" w:lineRule="exact"/>
        <w:rPr>
          <w:sz w:val="24"/>
          <w:szCs w:val="24"/>
          <w:color w:val="auto"/>
        </w:rPr>
      </w:pPr>
    </w:p>
    <w:p>
      <w:pPr>
        <w:ind w:left="5"/>
        <w:spacing w:after="0"/>
        <w:rPr>
          <w:sz w:val="20"/>
          <w:szCs w:val="20"/>
          <w:color w:val="auto"/>
        </w:rPr>
      </w:pPr>
      <w:r>
        <w:rPr>
          <w:rFonts w:ascii="Arial" w:cs="Arial" w:eastAsia="Arial" w:hAnsi="Arial"/>
          <w:sz w:val="16"/>
          <w:szCs w:val="16"/>
          <w:color w:val="auto"/>
        </w:rPr>
        <w:t>Payment of Filing Fee (Check the appropriate box):</w:t>
      </w:r>
    </w:p>
    <w:p>
      <w:pPr>
        <w:spacing w:after="0" w:line="198" w:lineRule="exact"/>
        <w:rPr>
          <w:sz w:val="24"/>
          <w:szCs w:val="24"/>
          <w:color w:val="auto"/>
        </w:rPr>
      </w:pPr>
    </w:p>
    <w:p>
      <w:pPr>
        <w:ind w:left="465" w:hanging="465"/>
        <w:spacing w:after="0"/>
        <w:tabs>
          <w:tab w:leader="none" w:pos="465"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98" w:lineRule="exact"/>
        <w:rPr>
          <w:sz w:val="24"/>
          <w:szCs w:val="24"/>
          <w:color w:val="auto"/>
        </w:rPr>
      </w:pPr>
    </w:p>
    <w:p>
      <w:pPr>
        <w:ind w:left="465" w:hanging="465"/>
        <w:spacing w:after="0"/>
        <w:tabs>
          <w:tab w:leader="none" w:pos="465"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14a-6(i)(4) and 0-11.</w:t>
      </w:r>
    </w:p>
    <w:p>
      <w:pPr>
        <w:spacing w:after="0" w:line="197" w:lineRule="exact"/>
        <w:rPr>
          <w:rFonts w:ascii="MS PGothic" w:cs="MS PGothic" w:eastAsia="MS PGothic" w:hAnsi="MS PGothic"/>
          <w:sz w:val="16"/>
          <w:szCs w:val="16"/>
          <w:color w:val="auto"/>
        </w:rPr>
      </w:pPr>
    </w:p>
    <w:p>
      <w:pPr>
        <w:ind w:left="925" w:hanging="459"/>
        <w:spacing w:after="0"/>
        <w:tabs>
          <w:tab w:leader="none" w:pos="925"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00" w:lineRule="exact"/>
        <w:rPr>
          <w:rFonts w:ascii="Arial" w:cs="Arial" w:eastAsia="Arial" w:hAnsi="Arial"/>
          <w:sz w:val="16"/>
          <w:szCs w:val="16"/>
          <w:color w:val="auto"/>
        </w:rPr>
      </w:pPr>
    </w:p>
    <w:p>
      <w:pPr>
        <w:spacing w:after="0" w:line="236" w:lineRule="exact"/>
        <w:rPr>
          <w:rFonts w:ascii="Arial" w:cs="Arial" w:eastAsia="Arial" w:hAnsi="Arial"/>
          <w:sz w:val="16"/>
          <w:szCs w:val="16"/>
          <w:color w:val="auto"/>
        </w:rPr>
      </w:pPr>
    </w:p>
    <w:p>
      <w:pPr>
        <w:ind w:left="925" w:hanging="459"/>
        <w:spacing w:after="0"/>
        <w:tabs>
          <w:tab w:leader="none" w:pos="925"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w:t>
      </w:r>
    </w:p>
    <w:p>
      <w:pPr>
        <w:spacing w:after="0" w:line="200" w:lineRule="exact"/>
        <w:rPr>
          <w:rFonts w:ascii="Arial" w:cs="Arial" w:eastAsia="Arial" w:hAnsi="Arial"/>
          <w:sz w:val="16"/>
          <w:szCs w:val="16"/>
          <w:color w:val="auto"/>
        </w:rPr>
      </w:pPr>
    </w:p>
    <w:p>
      <w:pPr>
        <w:spacing w:after="0" w:line="236" w:lineRule="exact"/>
        <w:rPr>
          <w:rFonts w:ascii="Arial" w:cs="Arial" w:eastAsia="Arial" w:hAnsi="Arial"/>
          <w:sz w:val="16"/>
          <w:szCs w:val="16"/>
          <w:color w:val="auto"/>
        </w:rPr>
      </w:pPr>
    </w:p>
    <w:p>
      <w:pPr>
        <w:ind w:left="925" w:hanging="459"/>
        <w:spacing w:after="0" w:line="274" w:lineRule="auto"/>
        <w:tabs>
          <w:tab w:leader="none" w:pos="925"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90" w:lineRule="exact"/>
        <w:rPr>
          <w:rFonts w:ascii="Arial" w:cs="Arial" w:eastAsia="Arial" w:hAnsi="Arial"/>
          <w:sz w:val="16"/>
          <w:szCs w:val="16"/>
          <w:color w:val="auto"/>
        </w:rPr>
      </w:pPr>
    </w:p>
    <w:p>
      <w:pPr>
        <w:ind w:left="925" w:hanging="459"/>
        <w:spacing w:after="0"/>
        <w:tabs>
          <w:tab w:leader="none" w:pos="925"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0" w:lineRule="exact"/>
        <w:rPr>
          <w:rFonts w:ascii="Arial" w:cs="Arial" w:eastAsia="Arial" w:hAnsi="Arial"/>
          <w:sz w:val="16"/>
          <w:szCs w:val="16"/>
          <w:color w:val="auto"/>
        </w:rPr>
      </w:pPr>
    </w:p>
    <w:p>
      <w:pPr>
        <w:spacing w:after="0" w:line="236" w:lineRule="exact"/>
        <w:rPr>
          <w:rFonts w:ascii="Arial" w:cs="Arial" w:eastAsia="Arial" w:hAnsi="Arial"/>
          <w:sz w:val="16"/>
          <w:szCs w:val="16"/>
          <w:color w:val="auto"/>
        </w:rPr>
      </w:pPr>
    </w:p>
    <w:p>
      <w:pPr>
        <w:ind w:left="925" w:hanging="459"/>
        <w:spacing w:after="0"/>
        <w:tabs>
          <w:tab w:leader="none" w:pos="925"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2" w:lineRule="exact"/>
        <w:rPr>
          <w:rFonts w:ascii="Arial" w:cs="Arial" w:eastAsia="Arial" w:hAnsi="Arial"/>
          <w:sz w:val="16"/>
          <w:szCs w:val="16"/>
          <w:color w:val="auto"/>
        </w:rPr>
      </w:pPr>
    </w:p>
    <w:p>
      <w:pPr>
        <w:ind w:left="465" w:hanging="465"/>
        <w:spacing w:after="0"/>
        <w:tabs>
          <w:tab w:leader="none" w:pos="465"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93" w:lineRule="exact"/>
        <w:rPr>
          <w:rFonts w:ascii="MS PGothic" w:cs="MS PGothic" w:eastAsia="MS PGothic" w:hAnsi="MS PGothic"/>
          <w:sz w:val="16"/>
          <w:szCs w:val="16"/>
          <w:color w:val="auto"/>
        </w:rPr>
      </w:pPr>
    </w:p>
    <w:p>
      <w:pPr>
        <w:ind w:left="465" w:right="40" w:hanging="465"/>
        <w:spacing w:after="0" w:line="274" w:lineRule="auto"/>
        <w:tabs>
          <w:tab w:leader="none" w:pos="465"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5" w:hanging="459"/>
        <w:spacing w:after="0"/>
        <w:tabs>
          <w:tab w:leader="none" w:pos="925"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236" w:lineRule="exact"/>
        <w:rPr>
          <w:rFonts w:ascii="Arial" w:cs="Arial" w:eastAsia="Arial" w:hAnsi="Arial"/>
          <w:sz w:val="16"/>
          <w:szCs w:val="16"/>
          <w:color w:val="auto"/>
        </w:rPr>
      </w:pPr>
    </w:p>
    <w:p>
      <w:pPr>
        <w:ind w:left="925" w:hanging="459"/>
        <w:spacing w:after="0"/>
        <w:tabs>
          <w:tab w:leader="none" w:pos="925"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236" w:lineRule="exact"/>
        <w:rPr>
          <w:rFonts w:ascii="Arial" w:cs="Arial" w:eastAsia="Arial" w:hAnsi="Arial"/>
          <w:sz w:val="16"/>
          <w:szCs w:val="16"/>
          <w:color w:val="auto"/>
        </w:rPr>
      </w:pPr>
    </w:p>
    <w:p>
      <w:pPr>
        <w:ind w:left="925" w:hanging="459"/>
        <w:spacing w:after="0"/>
        <w:tabs>
          <w:tab w:leader="none" w:pos="925"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236" w:lineRule="exact"/>
        <w:rPr>
          <w:rFonts w:ascii="Arial" w:cs="Arial" w:eastAsia="Arial" w:hAnsi="Arial"/>
          <w:sz w:val="16"/>
          <w:szCs w:val="16"/>
          <w:color w:val="auto"/>
        </w:rPr>
      </w:pPr>
    </w:p>
    <w:p>
      <w:pPr>
        <w:ind w:left="925" w:hanging="459"/>
        <w:spacing w:after="0"/>
        <w:tabs>
          <w:tab w:leader="none" w:pos="925"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582930</wp:posOffset>
            </wp:positionH>
            <wp:positionV relativeFrom="paragraph">
              <wp:posOffset>-3909695</wp:posOffset>
            </wp:positionV>
            <wp:extent cx="667956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79565" cy="762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-3515995</wp:posOffset>
            </wp:positionV>
            <wp:extent cx="66795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79565" cy="762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-3001010</wp:posOffset>
            </wp:positionV>
            <wp:extent cx="66795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79565" cy="762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-2607310</wp:posOffset>
            </wp:positionV>
            <wp:extent cx="66795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79565" cy="762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-2213610</wp:posOffset>
            </wp:positionV>
            <wp:extent cx="66795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79565" cy="762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-911225</wp:posOffset>
            </wp:positionV>
            <wp:extent cx="66795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79565" cy="762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-516890</wp:posOffset>
            </wp:positionV>
            <wp:extent cx="667956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79565" cy="762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-123190</wp:posOffset>
            </wp:positionV>
            <wp:extent cx="667956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79565" cy="762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269875</wp:posOffset>
            </wp:positionV>
            <wp:extent cx="667956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795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428625</wp:posOffset>
            </wp:positionV>
            <wp:extent cx="726249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24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466725</wp:posOffset>
            </wp:positionV>
            <wp:extent cx="726249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2495" cy="7620"/>
                    </a:xfrm>
                    <a:prstGeom prst="rect">
                      <a:avLst/>
                    </a:prstGeom>
                    <a:noFill/>
                  </pic:spPr>
                </pic:pic>
              </a:graphicData>
            </a:graphic>
          </wp:anchor>
        </w:drawing>
      </w:r>
    </w:p>
    <w:p>
      <w:pPr>
        <w:sectPr>
          <w:pgSz w:w="11900" w:h="16838" w:orient="portrait"/>
          <w:cols w:equalWidth="0" w:num="1">
            <w:col w:w="11305"/>
          </w:cols>
          <w:pgMar w:left="235" w:top="473" w:right="359" w:bottom="673"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135" cy="35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3135" cy="35560"/>
                    </a:xfrm>
                    <a:prstGeom prst="rect">
                      <a:avLst/>
                    </a:prstGeom>
                    <a:noFill/>
                  </pic:spPr>
                </pic:pic>
              </a:graphicData>
            </a:graphic>
          </wp:anchor>
        </w:drawing>
        <w:drawing>
          <wp:anchor simplePos="0" relativeHeight="251657728" behindDoc="1" locked="0" layoutInCell="0" allowOverlap="1">
            <wp:simplePos x="0" y="0"/>
            <wp:positionH relativeFrom="page">
              <wp:posOffset>149225</wp:posOffset>
            </wp:positionH>
            <wp:positionV relativeFrom="page">
              <wp:posOffset>172085</wp:posOffset>
            </wp:positionV>
            <wp:extent cx="5149850" cy="356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149850" cy="356235"/>
                    </a:xfrm>
                    <a:prstGeom prst="rect">
                      <a:avLst/>
                    </a:prstGeom>
                    <a:noFill/>
                  </pic:spPr>
                </pic:pic>
              </a:graphicData>
            </a:graphic>
          </wp:anchor>
        </w:drawing>
        <w:t>Dear Fellow Shareholders: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It is time to vote your ClearOne proxy. You have less than fifteen days to have your voice heard.</w:t>
      </w:r>
    </w:p>
    <w:p>
      <w:pPr>
        <w:spacing w:after="0" w:line="198"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ClearOne is on a roll thanks to the support and trust of you, our shareholders; the guidance of our board of directors; the vision and leadership of management; the enthusiasm of our partners; and, of course, the creative energy of our employees. We are delivering profitable growth and solid returns by managing our business with a relentless focus on operational excellence, product innovation and prudent use of hard-earned capital.</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growing wealth for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3684905</wp:posOffset>
            </wp:positionH>
            <wp:positionV relativeFrom="paragraph">
              <wp:posOffset>-105410</wp:posOffset>
            </wp:positionV>
            <wp:extent cx="1696085" cy="1166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96085" cy="1166495"/>
                    </a:xfrm>
                    <a:prstGeom prst="rect">
                      <a:avLst/>
                    </a:prstGeom>
                    <a:noFill/>
                  </pic:spPr>
                </pic:pic>
              </a:graphicData>
            </a:graphic>
          </wp:anchor>
        </w:drawing>
      </w:r>
    </w:p>
    <w:p>
      <w:pPr>
        <w:spacing w:after="0" w:line="202" w:lineRule="exact"/>
        <w:rPr>
          <w:sz w:val="20"/>
          <w:szCs w:val="20"/>
          <w:color w:val="auto"/>
        </w:rPr>
      </w:pPr>
    </w:p>
    <w:p>
      <w:pPr>
        <w:ind w:left="360" w:right="6360" w:hanging="293"/>
        <w:spacing w:after="0" w:line="281" w:lineRule="auto"/>
        <w:tabs>
          <w:tab w:leader="none" w:pos="360"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 xml:space="preserve">We grew revenues to $48.4 million in 2013 </w:t>
      </w:r>
      <w:r>
        <w:rPr>
          <w:rFonts w:ascii="Arial" w:cs="Arial" w:eastAsia="Arial" w:hAnsi="Arial"/>
          <w:sz w:val="15"/>
          <w:szCs w:val="15"/>
          <w:color w:val="auto"/>
        </w:rPr>
        <w:t>(twelve months ended</w:t>
      </w:r>
      <w:r>
        <w:rPr>
          <w:rFonts w:ascii="Arial" w:cs="Arial" w:eastAsia="Arial" w:hAnsi="Arial"/>
          <w:sz w:val="15"/>
          <w:szCs w:val="15"/>
          <w:b w:val="1"/>
          <w:bCs w:val="1"/>
          <w:color w:val="auto"/>
        </w:rPr>
        <w:t xml:space="preserve"> </w:t>
      </w:r>
      <w:r>
        <w:rPr>
          <w:rFonts w:ascii="Arial" w:cs="Arial" w:eastAsia="Arial" w:hAnsi="Arial"/>
          <w:sz w:val="15"/>
          <w:szCs w:val="15"/>
          <w:color w:val="auto"/>
        </w:rPr>
        <w:t>September 30, 2013) from $35.7 million in 2009 (twelve months ended December 31, 2009), while maintaining gross margins of about 60% and consistently generating positive cash flow.</w:t>
      </w:r>
    </w:p>
    <w:p>
      <w:pPr>
        <w:spacing w:after="0" w:line="174" w:lineRule="exact"/>
        <w:rPr>
          <w:rFonts w:ascii="Arial" w:cs="Arial" w:eastAsia="Arial" w:hAnsi="Arial"/>
          <w:sz w:val="15"/>
          <w:szCs w:val="15"/>
          <w:color w:val="auto"/>
        </w:rPr>
      </w:pPr>
    </w:p>
    <w:p>
      <w:pPr>
        <w:ind w:left="360" w:right="5880" w:hanging="293"/>
        <w:spacing w:after="0" w:line="257" w:lineRule="auto"/>
        <w:tabs>
          <w:tab w:leader="none" w:pos="36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Strategic acquisitions of VCON, NetStreams and MagicBox and their complementary video and network technologies fortified our flagship voice conferencing solutions, </w:t>
      </w:r>
      <w:r>
        <w:rPr>
          <w:rFonts w:ascii="Arial" w:cs="Arial" w:eastAsia="Arial" w:hAnsi="Arial"/>
          <w:sz w:val="16"/>
          <w:szCs w:val="16"/>
          <w:b w:val="1"/>
          <w:bCs w:val="1"/>
          <w:color w:val="auto"/>
        </w:rPr>
        <w:t>making ClearOne a player in the growing $5+ billion</w:t>
      </w:r>
      <w:r>
        <w:rPr>
          <w:rFonts w:ascii="Arial" w:cs="Arial" w:eastAsia="Arial" w:hAnsi="Arial"/>
          <w:sz w:val="16"/>
          <w:szCs w:val="16"/>
          <w:color w:val="auto"/>
        </w:rPr>
        <w:t xml:space="preserve"> </w:t>
      </w:r>
      <w:r>
        <w:rPr>
          <w:rFonts w:ascii="Arial" w:cs="Arial" w:eastAsia="Arial" w:hAnsi="Arial"/>
          <w:sz w:val="16"/>
          <w:szCs w:val="16"/>
          <w:b w:val="1"/>
          <w:bCs w:val="1"/>
          <w:color w:val="auto"/>
        </w:rPr>
        <w:t>video communications market.</w:t>
      </w:r>
    </w:p>
    <w:p>
      <w:pPr>
        <w:spacing w:after="0" w:line="189" w:lineRule="exact"/>
        <w:rPr>
          <w:rFonts w:ascii="Arial" w:cs="Arial" w:eastAsia="Arial" w:hAnsi="Arial"/>
          <w:sz w:val="16"/>
          <w:szCs w:val="16"/>
          <w:color w:val="auto"/>
        </w:rPr>
      </w:pPr>
    </w:p>
    <w:p>
      <w:pPr>
        <w:ind w:left="360" w:right="5880" w:hanging="293"/>
        <w:spacing w:after="0" w:line="272" w:lineRule="auto"/>
        <w:tabs>
          <w:tab w:leader="none" w:pos="360" w:val="left"/>
        </w:tabs>
        <w:numPr>
          <w:ilvl w:val="0"/>
          <w:numId w:val="6"/>
        </w:numPr>
        <w:rPr>
          <w:rFonts w:ascii="Arial" w:cs="Arial" w:eastAsia="Arial" w:hAnsi="Arial"/>
          <w:sz w:val="15"/>
          <w:szCs w:val="15"/>
          <w:color w:val="auto"/>
        </w:rPr>
      </w:pPr>
      <w:r>
        <w:rPr>
          <w:rFonts w:ascii="Arial" w:cs="Arial" w:eastAsia="Arial" w:hAnsi="Arial"/>
          <w:sz w:val="15"/>
          <w:szCs w:val="15"/>
          <w:color w:val="auto"/>
        </w:rPr>
        <w:t>Early this year, ClearOne was awarded damages of $45 million related to auction rate securities sold to the company leaving us with approximately $24.4 million after legal fees and taxes. Soon after the award, the Board authorized the repurchase of up to $10 million of ClearOne stock, and we have repurchased $2.8 million so far. This is only the latest in repurchases—since our NASDAQ relisting in 2006, we have repurchased nearly $20 million or about 30 percent of ClearOne outstanding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3684905</wp:posOffset>
            </wp:positionH>
            <wp:positionV relativeFrom="paragraph">
              <wp:posOffset>-1057275</wp:posOffset>
            </wp:positionV>
            <wp:extent cx="1696085" cy="12344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96085" cy="123444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the right strategy to continue this momentum:</w:t>
      </w:r>
    </w:p>
    <w:p>
      <w:pPr>
        <w:spacing w:after="0" w:line="142" w:lineRule="exact"/>
        <w:rPr>
          <w:sz w:val="20"/>
          <w:szCs w:val="20"/>
          <w:color w:val="auto"/>
        </w:rPr>
      </w:pPr>
    </w:p>
    <w:p>
      <w:pPr>
        <w:jc w:val="both"/>
        <w:ind w:right="360"/>
        <w:spacing w:after="0" w:line="261" w:lineRule="auto"/>
        <w:rPr>
          <w:sz w:val="20"/>
          <w:szCs w:val="20"/>
          <w:color w:val="auto"/>
        </w:rPr>
      </w:pPr>
      <w:r>
        <w:rPr>
          <w:rFonts w:ascii="Arial" w:cs="Arial" w:eastAsia="Arial" w:hAnsi="Arial"/>
          <w:sz w:val="16"/>
          <w:szCs w:val="16"/>
          <w:color w:val="auto"/>
        </w:rPr>
        <w:t>We are evaluating options to invest to grow our share price and revenue while expanding our footprint in the audio visual industry through strategic acquisitions and internal investments. With our current cash position, a debt-free balance sheet and a demonstrated ability to generate growth, we believe our focused and prudent strategy will drive additional growth and wealth for all stakeholders.</w:t>
      </w:r>
    </w:p>
    <w:p>
      <w:pPr>
        <w:spacing w:after="0" w:line="163"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 xml:space="preserve">Our current strategy is working thanks to the support of ClearOne’s management team, employees, board of directors and shareholders. To continue implementing this strategy, it is critical that we have the ongoing support of our fellow shareholders. The time is </w:t>
      </w:r>
      <w:r>
        <w:rPr>
          <w:rFonts w:ascii="Arial" w:cs="Arial" w:eastAsia="Arial" w:hAnsi="Arial"/>
          <w:sz w:val="15"/>
          <w:szCs w:val="15"/>
          <w:b w:val="1"/>
          <w:bCs w:val="1"/>
          <w:u w:val="single" w:color="auto"/>
          <w:color w:val="auto"/>
        </w:rPr>
        <w:t>NOW</w:t>
      </w:r>
      <w:r>
        <w:rPr>
          <w:rFonts w:ascii="Arial" w:cs="Arial" w:eastAsia="Arial" w:hAnsi="Arial"/>
          <w:sz w:val="15"/>
          <w:szCs w:val="15"/>
          <w:color w:val="auto"/>
        </w:rPr>
        <w:t xml:space="preserve"> to vote </w:t>
      </w:r>
      <w:r>
        <w:rPr>
          <w:rFonts w:ascii="Arial" w:cs="Arial" w:eastAsia="Arial" w:hAnsi="Arial"/>
          <w:sz w:val="15"/>
          <w:szCs w:val="15"/>
          <w:b w:val="1"/>
          <w:bCs w:val="1"/>
          <w:u w:val="single" w:color="auto"/>
          <w:color w:val="auto"/>
        </w:rPr>
        <w:t>FOR</w:t>
      </w:r>
      <w:r>
        <w:rPr>
          <w:rFonts w:ascii="Arial" w:cs="Arial" w:eastAsia="Arial" w:hAnsi="Arial"/>
          <w:sz w:val="15"/>
          <w:szCs w:val="15"/>
          <w:color w:val="auto"/>
        </w:rPr>
        <w:t xml:space="preserve"> management’s recommendations and </w:t>
      </w:r>
      <w:r>
        <w:rPr>
          <w:rFonts w:ascii="Arial" w:cs="Arial" w:eastAsia="Arial" w:hAnsi="Arial"/>
          <w:sz w:val="15"/>
          <w:szCs w:val="15"/>
          <w:b w:val="1"/>
          <w:bCs w:val="1"/>
          <w:u w:val="single" w:color="auto"/>
          <w:color w:val="auto"/>
        </w:rPr>
        <w:t>FOR</w:t>
      </w:r>
      <w:r>
        <w:rPr>
          <w:rFonts w:ascii="Arial" w:cs="Arial" w:eastAsia="Arial" w:hAnsi="Arial"/>
          <w:sz w:val="15"/>
          <w:szCs w:val="15"/>
          <w:color w:val="auto"/>
        </w:rPr>
        <w:t xml:space="preserve"> ClearOne’s continued growth. I urge you to </w:t>
      </w:r>
      <w:r>
        <w:rPr>
          <w:rFonts w:ascii="Arial" w:cs="Arial" w:eastAsia="Arial" w:hAnsi="Arial"/>
          <w:sz w:val="15"/>
          <w:szCs w:val="15"/>
          <w:b w:val="1"/>
          <w:bCs w:val="1"/>
          <w:color w:val="auto"/>
        </w:rPr>
        <w:t>vote FOR the Board’s recommendations</w:t>
      </w:r>
      <w:r>
        <w:rPr>
          <w:rFonts w:ascii="Arial" w:cs="Arial" w:eastAsia="Arial" w:hAnsi="Arial"/>
          <w:sz w:val="15"/>
          <w:szCs w:val="15"/>
          <w:color w:val="auto"/>
        </w:rPr>
        <w:t xml:space="preserve"> on your proxy to maintain our growth and preserve your power as a shareholder.</w:t>
      </w:r>
    </w:p>
    <w:p>
      <w:pPr>
        <w:sectPr>
          <w:pgSz w:w="11900" w:h="16838" w:orient="portrait"/>
          <w:cols w:equalWidth="0" w:num="1">
            <w:col w:w="11340"/>
          </w:cols>
          <w:pgMar w:left="240" w:top="1010" w:right="319" w:bottom="1440" w:gutter="0" w:footer="0" w:header="0"/>
        </w:sectPr>
      </w:pPr>
    </w:p>
    <w:bookmarkStart w:id="2" w:name="page3"/>
    <w:bookmarkEnd w:id="2"/>
    <w:p>
      <w:pPr>
        <w:ind w:right="340"/>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135" cy="35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3135" cy="35560"/>
                    </a:xfrm>
                    <a:prstGeom prst="rect">
                      <a:avLst/>
                    </a:prstGeom>
                    <a:noFill/>
                  </pic:spPr>
                </pic:pic>
              </a:graphicData>
            </a:graphic>
          </wp:anchor>
        </w:drawing>
        <w:t xml:space="preserve">I am also pleased to report that the largest and most influential proxy advisory service – </w:t>
      </w:r>
      <w:r>
        <w:rPr>
          <w:rFonts w:ascii="Arial" w:cs="Arial" w:eastAsia="Arial" w:hAnsi="Arial"/>
          <w:sz w:val="16"/>
          <w:szCs w:val="16"/>
          <w:b w:val="1"/>
          <w:bCs w:val="1"/>
          <w:color w:val="auto"/>
        </w:rPr>
        <w:t>Institutional Shareholder Services (ISS) – has endorsed the Board’s proposals on</w:t>
      </w:r>
      <w:r>
        <w:rPr>
          <w:rFonts w:ascii="Arial" w:cs="Arial" w:eastAsia="Arial" w:hAnsi="Arial"/>
          <w:sz w:val="16"/>
          <w:szCs w:val="16"/>
          <w:color w:val="auto"/>
        </w:rPr>
        <w:t xml:space="preserve"> </w:t>
      </w:r>
      <w:r>
        <w:rPr>
          <w:rFonts w:ascii="Arial" w:cs="Arial" w:eastAsia="Arial" w:hAnsi="Arial"/>
          <w:sz w:val="16"/>
          <w:szCs w:val="16"/>
          <w:b w:val="1"/>
          <w:bCs w:val="1"/>
          <w:color w:val="auto"/>
        </w:rPr>
        <w:t>every issue we consider key to the future of the company</w:t>
      </w:r>
      <w:r>
        <w:rPr>
          <w:rFonts w:ascii="Arial" w:cs="Arial" w:eastAsia="Arial" w:hAnsi="Arial"/>
          <w:sz w:val="16"/>
          <w:szCs w:val="16"/>
          <w:color w:val="auto"/>
        </w:rPr>
        <w:t>.</w:t>
      </w:r>
    </w:p>
    <w:p>
      <w:pPr>
        <w:spacing w:after="0" w:line="149" w:lineRule="exact"/>
        <w:rPr>
          <w:sz w:val="20"/>
          <w:szCs w:val="20"/>
          <w:color w:val="auto"/>
        </w:rPr>
      </w:pPr>
    </w:p>
    <w:p>
      <w:pPr>
        <w:ind w:right="260"/>
        <w:spacing w:after="0" w:line="274" w:lineRule="auto"/>
        <w:rPr>
          <w:sz w:val="20"/>
          <w:szCs w:val="20"/>
          <w:color w:val="auto"/>
        </w:rPr>
      </w:pPr>
      <w:r>
        <w:rPr>
          <w:rFonts w:ascii="Arial" w:cs="Arial" w:eastAsia="Arial" w:hAnsi="Arial"/>
          <w:sz w:val="16"/>
          <w:szCs w:val="16"/>
          <w:color w:val="auto"/>
        </w:rPr>
        <w:t>Please vote today. The deadline to vote for the future of your company is less than fifteen days away. Exercise your right to vote. You are important regardless of the number of shares you own. Do not delay.</w:t>
      </w:r>
    </w:p>
    <w:p>
      <w:pPr>
        <w:spacing w:after="0" w:line="152"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You are invited to attend our Annual Meeting, scheduled to be held at ClearOne’s corporate offices on December 3, 2013 at 9 a.m. local time. Our offices are located at 5225 Wiley Post Way, Suite 500, Salt Lake City, Utah 84116.</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Zee Hakimoglu</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Chairman, President and Chief Executive Officer</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ClearOne, Inc.</w:t>
      </w:r>
    </w:p>
    <w:p>
      <w:pPr>
        <w:sectPr>
          <w:pgSz w:w="11900" w:h="16838" w:orient="portrait"/>
          <w:cols w:equalWidth="0" w:num="1">
            <w:col w:w="11420"/>
          </w:cols>
          <w:pgMar w:left="240" w:top="25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1260" w:type="dxa"/>
            <w:vAlign w:val="bottom"/>
          </w:tcPr>
          <w:p>
            <w:pPr>
              <w:jc w:val="center"/>
              <w:ind w:left="132"/>
              <w:spacing w:after="0"/>
              <w:rPr>
                <w:sz w:val="20"/>
                <w:szCs w:val="20"/>
                <w:color w:val="auto"/>
              </w:rPr>
            </w:pPr>
            <w:r>
              <w:rPr>
                <w:rFonts w:ascii="Arial" w:cs="Arial" w:eastAsia="Arial" w:hAnsi="Arial"/>
                <w:sz w:val="14"/>
                <w:szCs w:val="14"/>
                <w:b w:val="1"/>
                <w:bCs w:val="1"/>
                <w:color w:val="FFFFFF"/>
              </w:rPr>
              <w:t>January 2003</w:t>
            </w:r>
          </w:p>
        </w:tc>
        <w:tc>
          <w:tcPr>
            <w:tcW w:w="5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FFFFFF"/>
              </w:rPr>
              <w:t>January 2007</w:t>
            </w: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80" w:type="dxa"/>
            <w:vAlign w:val="bottom"/>
            <w:gridSpan w:val="2"/>
          </w:tcPr>
          <w:p>
            <w:pPr>
              <w:jc w:val="center"/>
              <w:ind w:left="1031"/>
              <w:spacing w:after="0"/>
              <w:rPr>
                <w:sz w:val="20"/>
                <w:szCs w:val="20"/>
                <w:color w:val="auto"/>
              </w:rPr>
            </w:pPr>
            <w:r>
              <w:rPr>
                <w:rFonts w:ascii="Arial" w:cs="Arial" w:eastAsia="Arial" w:hAnsi="Arial"/>
                <w:sz w:val="13"/>
                <w:szCs w:val="13"/>
                <w:b w:val="1"/>
                <w:bCs w:val="1"/>
                <w:color w:val="FFFFFF"/>
              </w:rPr>
              <w:t>Company event</w:t>
            </w:r>
          </w:p>
        </w:tc>
        <w:tc>
          <w:tcPr>
            <w:tcW w:w="0" w:type="dxa"/>
            <w:vAlign w:val="bottom"/>
          </w:tcPr>
          <w:p>
            <w:pPr>
              <w:spacing w:after="0"/>
              <w:rPr>
                <w:sz w:val="1"/>
                <w:szCs w:val="1"/>
                <w:color w:val="auto"/>
              </w:rPr>
            </w:pPr>
          </w:p>
        </w:tc>
      </w:tr>
      <w:tr>
        <w:trPr>
          <w:trHeight w:val="155"/>
        </w:trPr>
        <w:tc>
          <w:tcPr>
            <w:tcW w:w="1800" w:type="dxa"/>
            <w:vAlign w:val="bottom"/>
            <w:gridSpan w:val="2"/>
          </w:tcPr>
          <w:p>
            <w:pPr>
              <w:jc w:val="center"/>
              <w:ind w:right="251"/>
              <w:spacing w:after="0"/>
              <w:rPr>
                <w:sz w:val="20"/>
                <w:szCs w:val="20"/>
                <w:color w:val="auto"/>
              </w:rPr>
            </w:pPr>
            <w:r>
              <w:rPr>
                <w:rFonts w:ascii="Arial" w:cs="Arial" w:eastAsia="Arial" w:hAnsi="Arial"/>
                <w:sz w:val="13"/>
                <w:szCs w:val="13"/>
                <w:color w:val="FFFFFF"/>
              </w:rPr>
              <w:t>SEC files complaint</w:t>
            </w:r>
          </w:p>
        </w:tc>
        <w:tc>
          <w:tcPr>
            <w:tcW w:w="1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Arial" w:cs="Arial" w:eastAsia="Arial" w:hAnsi="Arial"/>
                <w:sz w:val="13"/>
                <w:szCs w:val="13"/>
                <w:color w:val="FFFFFF"/>
              </w:rPr>
              <w:t>Zee Hakimoglu named</w:t>
            </w:r>
          </w:p>
        </w:tc>
        <w:tc>
          <w:tcPr>
            <w:tcW w:w="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80" w:type="dxa"/>
            <w:vAlign w:val="bottom"/>
            <w:gridSpan w:val="2"/>
            <w:vMerge w:val="restart"/>
          </w:tcPr>
          <w:p>
            <w:pPr>
              <w:jc w:val="center"/>
              <w:ind w:left="1051"/>
              <w:spacing w:after="0"/>
              <w:rPr>
                <w:sz w:val="20"/>
                <w:szCs w:val="20"/>
                <w:color w:val="auto"/>
              </w:rPr>
            </w:pPr>
            <w:r>
              <w:rPr>
                <w:rFonts w:ascii="Arial" w:cs="Arial" w:eastAsia="Arial" w:hAnsi="Arial"/>
                <w:sz w:val="13"/>
                <w:szCs w:val="13"/>
                <w:b w:val="1"/>
                <w:bCs w:val="1"/>
                <w:color w:val="FFFFFF"/>
                <w:w w:val="99"/>
              </w:rPr>
              <w:t>Stock buy-back</w:t>
            </w:r>
          </w:p>
        </w:tc>
        <w:tc>
          <w:tcPr>
            <w:tcW w:w="0" w:type="dxa"/>
            <w:vAlign w:val="bottom"/>
          </w:tcPr>
          <w:p>
            <w:pPr>
              <w:spacing w:after="0"/>
              <w:rPr>
                <w:sz w:val="1"/>
                <w:szCs w:val="1"/>
                <w:color w:val="auto"/>
              </w:rPr>
            </w:pPr>
          </w:p>
        </w:tc>
      </w:tr>
      <w:tr>
        <w:trPr>
          <w:trHeight w:val="131"/>
        </w:trPr>
        <w:tc>
          <w:tcPr>
            <w:tcW w:w="1260" w:type="dxa"/>
            <w:vAlign w:val="bottom"/>
          </w:tcPr>
          <w:p>
            <w:pPr>
              <w:jc w:val="center"/>
              <w:ind w:left="132"/>
              <w:spacing w:after="0" w:line="131" w:lineRule="exact"/>
              <w:rPr>
                <w:sz w:val="20"/>
                <w:szCs w:val="20"/>
                <w:color w:val="auto"/>
              </w:rPr>
            </w:pPr>
            <w:r>
              <w:rPr>
                <w:rFonts w:ascii="Arial" w:cs="Arial" w:eastAsia="Arial" w:hAnsi="Arial"/>
                <w:sz w:val="13"/>
                <w:szCs w:val="13"/>
                <w:color w:val="FFFFFF"/>
              </w:rPr>
              <w:t>against ClearOne</w:t>
            </w:r>
          </w:p>
        </w:tc>
        <w:tc>
          <w:tcPr>
            <w:tcW w:w="5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500" w:type="dxa"/>
            <w:vAlign w:val="bottom"/>
          </w:tcPr>
          <w:p>
            <w:pPr>
              <w:jc w:val="center"/>
              <w:ind w:left="31"/>
              <w:spacing w:after="0" w:line="131" w:lineRule="exact"/>
              <w:rPr>
                <w:sz w:val="20"/>
                <w:szCs w:val="20"/>
                <w:color w:val="auto"/>
              </w:rPr>
            </w:pPr>
            <w:r>
              <w:rPr>
                <w:rFonts w:ascii="Arial" w:cs="Arial" w:eastAsia="Arial" w:hAnsi="Arial"/>
                <w:sz w:val="13"/>
                <w:szCs w:val="13"/>
                <w:color w:val="FFFFFF"/>
              </w:rPr>
              <w:t>Audio Conference CEO</w:t>
            </w:r>
          </w:p>
        </w:tc>
        <w:tc>
          <w:tcPr>
            <w:tcW w:w="4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3"/>
                <w:szCs w:val="13"/>
                <w:color w:val="FFFFFF"/>
              </w:rPr>
              <w:t>of the Year</w:t>
            </w:r>
          </w:p>
        </w:tc>
        <w:tc>
          <w:tcPr>
            <w:tcW w:w="3980" w:type="dxa"/>
            <w:vAlign w:val="bottom"/>
            <w:gridSpan w:val="4"/>
          </w:tcPr>
          <w:p>
            <w:pPr>
              <w:spacing w:after="0" w:line="143" w:lineRule="exact"/>
              <w:rPr>
                <w:sz w:val="20"/>
                <w:szCs w:val="20"/>
                <w:color w:val="auto"/>
              </w:rPr>
            </w:pPr>
            <w:r>
              <w:rPr>
                <w:rFonts w:ascii="Arial" w:cs="Arial" w:eastAsia="Arial" w:hAnsi="Arial"/>
                <w:sz w:val="16"/>
                <w:szCs w:val="16"/>
                <w:b w:val="1"/>
                <w:bCs w:val="1"/>
                <w:i w:val="1"/>
                <w:iCs w:val="1"/>
                <w:color w:val="4F81BD"/>
              </w:rPr>
              <w:t>A Decade of Progress</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80" w:type="dxa"/>
            <w:vAlign w:val="bottom"/>
            <w:gridSpan w:val="2"/>
            <w:vMerge w:val="restart"/>
          </w:tcPr>
          <w:p>
            <w:pPr>
              <w:jc w:val="center"/>
              <w:ind w:left="991"/>
              <w:spacing w:after="0"/>
              <w:rPr>
                <w:sz w:val="20"/>
                <w:szCs w:val="20"/>
                <w:color w:val="auto"/>
              </w:rPr>
            </w:pPr>
            <w:r>
              <w:rPr>
                <w:rFonts w:ascii="Arial" w:cs="Arial" w:eastAsia="Arial" w:hAnsi="Arial"/>
                <w:sz w:val="13"/>
                <w:szCs w:val="13"/>
                <w:b w:val="1"/>
                <w:bCs w:val="1"/>
                <w:color w:val="FFFFFF"/>
                <w:w w:val="98"/>
              </w:rPr>
              <w:t>Acquisition</w:t>
            </w:r>
          </w:p>
        </w:tc>
        <w:tc>
          <w:tcPr>
            <w:tcW w:w="0" w:type="dxa"/>
            <w:vAlign w:val="bottom"/>
          </w:tcPr>
          <w:p>
            <w:pPr>
              <w:spacing w:after="0" w:line="20" w:lineRule="exact"/>
              <w:rPr>
                <w:sz w:val="1"/>
                <w:szCs w:val="1"/>
                <w:color w:val="auto"/>
              </w:rPr>
            </w:pPr>
          </w:p>
        </w:tc>
      </w:tr>
      <w:tr>
        <w:trPr>
          <w:trHeight w:val="155"/>
        </w:trPr>
        <w:tc>
          <w:tcPr>
            <w:tcW w:w="1260" w:type="dxa"/>
            <w:vAlign w:val="bottom"/>
            <w:vMerge w:val="restart"/>
          </w:tcPr>
          <w:p>
            <w:pPr>
              <w:jc w:val="center"/>
              <w:ind w:left="112"/>
              <w:spacing w:after="0"/>
              <w:rPr>
                <w:sz w:val="20"/>
                <w:szCs w:val="20"/>
                <w:color w:val="auto"/>
              </w:rPr>
            </w:pPr>
            <w:r>
              <w:rPr>
                <w:rFonts w:ascii="Arial" w:cs="Arial" w:eastAsia="Arial" w:hAnsi="Arial"/>
                <w:sz w:val="14"/>
                <w:szCs w:val="14"/>
                <w:b w:val="1"/>
                <w:bCs w:val="1"/>
                <w:color w:val="FFFFFF"/>
              </w:rPr>
              <w:t>January 2003</w:t>
            </w:r>
          </w:p>
        </w:tc>
        <w:tc>
          <w:tcPr>
            <w:tcW w:w="5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800" w:type="dxa"/>
            <w:vAlign w:val="bottom"/>
            <w:gridSpan w:val="2"/>
          </w:tcPr>
          <w:p>
            <w:pPr>
              <w:jc w:val="center"/>
              <w:ind w:right="251"/>
              <w:spacing w:after="0"/>
              <w:rPr>
                <w:sz w:val="20"/>
                <w:szCs w:val="20"/>
                <w:color w:val="auto"/>
              </w:rPr>
            </w:pPr>
            <w:r>
              <w:rPr>
                <w:rFonts w:ascii="Arial" w:cs="Arial" w:eastAsia="Arial" w:hAnsi="Arial"/>
                <w:sz w:val="13"/>
                <w:szCs w:val="13"/>
                <w:color w:val="FFFFFF"/>
              </w:rPr>
              <w:t>NASDAQ halts trading,</w:t>
            </w:r>
          </w:p>
        </w:tc>
        <w:tc>
          <w:tcPr>
            <w:tcW w:w="1440" w:type="dxa"/>
            <w:vAlign w:val="bottom"/>
            <w:vMerge w:val="restart"/>
          </w:tcPr>
          <w:p>
            <w:pPr>
              <w:jc w:val="right"/>
              <w:ind w:right="310"/>
              <w:spacing w:after="0"/>
              <w:rPr>
                <w:sz w:val="20"/>
                <w:szCs w:val="20"/>
                <w:color w:val="auto"/>
              </w:rPr>
            </w:pPr>
            <w:r>
              <w:rPr>
                <w:rFonts w:ascii="Arial" w:cs="Arial" w:eastAsia="Arial" w:hAnsi="Arial"/>
                <w:sz w:val="14"/>
                <w:szCs w:val="14"/>
                <w:b w:val="1"/>
                <w:bCs w:val="1"/>
                <w:color w:val="FFFFFF"/>
              </w:rPr>
              <w:t>May 2006</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July 2007</w:t>
            </w:r>
          </w:p>
        </w:tc>
        <w:tc>
          <w:tcPr>
            <w:tcW w:w="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800" w:type="dxa"/>
            <w:vAlign w:val="bottom"/>
            <w:gridSpan w:val="2"/>
          </w:tcPr>
          <w:p>
            <w:pPr>
              <w:jc w:val="center"/>
              <w:ind w:right="331"/>
              <w:spacing w:after="0" w:line="119" w:lineRule="exact"/>
              <w:rPr>
                <w:sz w:val="20"/>
                <w:szCs w:val="20"/>
                <w:color w:val="auto"/>
              </w:rPr>
            </w:pPr>
            <w:r>
              <w:rPr>
                <w:rFonts w:ascii="Arial" w:cs="Arial" w:eastAsia="Arial" w:hAnsi="Arial"/>
                <w:sz w:val="13"/>
                <w:szCs w:val="13"/>
                <w:color w:val="FFFFFF"/>
              </w:rPr>
              <w:t>requests information</w:t>
            </w:r>
          </w:p>
        </w:tc>
        <w:tc>
          <w:tcPr>
            <w:tcW w:w="144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1520" w:type="dxa"/>
            <w:vAlign w:val="bottom"/>
            <w:vMerge w:val="restart"/>
          </w:tcPr>
          <w:p>
            <w:pPr>
              <w:ind w:left="440"/>
              <w:spacing w:after="0"/>
              <w:rPr>
                <w:sz w:val="20"/>
                <w:szCs w:val="20"/>
                <w:color w:val="auto"/>
              </w:rPr>
            </w:pPr>
            <w:r>
              <w:rPr>
                <w:rFonts w:ascii="Arial" w:cs="Arial" w:eastAsia="Arial" w:hAnsi="Arial"/>
                <w:sz w:val="14"/>
                <w:szCs w:val="14"/>
                <w:b w:val="1"/>
                <w:bCs w:val="1"/>
                <w:color w:val="FFFFFF"/>
              </w:rPr>
              <w:t>July 2011</w:t>
            </w:r>
          </w:p>
        </w:tc>
        <w:tc>
          <w:tcPr>
            <w:tcW w:w="500" w:type="dxa"/>
            <w:vAlign w:val="bottom"/>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February 2012</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260" w:type="dxa"/>
            <w:vAlign w:val="bottom"/>
            <w:vMerge w:val="restart"/>
          </w:tcPr>
          <w:p>
            <w:pPr>
              <w:jc w:val="center"/>
              <w:ind w:left="52"/>
              <w:spacing w:after="0"/>
              <w:rPr>
                <w:sz w:val="20"/>
                <w:szCs w:val="20"/>
                <w:color w:val="auto"/>
              </w:rPr>
            </w:pPr>
            <w:r>
              <w:rPr>
                <w:rFonts w:ascii="Arial" w:cs="Arial" w:eastAsia="Arial" w:hAnsi="Arial"/>
                <w:sz w:val="13"/>
                <w:szCs w:val="13"/>
                <w:color w:val="FFFFFF"/>
              </w:rPr>
              <w:t>from ClearOne</w:t>
            </w:r>
          </w:p>
        </w:tc>
        <w:tc>
          <w:tcPr>
            <w:tcW w:w="540" w:type="dxa"/>
            <w:vAlign w:val="bottom"/>
          </w:tcPr>
          <w:p>
            <w:pPr>
              <w:spacing w:after="0"/>
              <w:rPr>
                <w:sz w:val="8"/>
                <w:szCs w:val="8"/>
                <w:color w:val="auto"/>
              </w:rPr>
            </w:pPr>
          </w:p>
        </w:tc>
        <w:tc>
          <w:tcPr>
            <w:tcW w:w="1440" w:type="dxa"/>
            <w:vAlign w:val="bottom"/>
            <w:vMerge w:val="restart"/>
          </w:tcPr>
          <w:p>
            <w:pPr>
              <w:jc w:val="center"/>
              <w:ind w:left="10"/>
              <w:spacing w:after="0"/>
              <w:rPr>
                <w:sz w:val="20"/>
                <w:szCs w:val="20"/>
                <w:color w:val="auto"/>
              </w:rPr>
            </w:pPr>
            <w:r>
              <w:rPr>
                <w:rFonts w:ascii="Arial" w:cs="Arial" w:eastAsia="Arial" w:hAnsi="Arial"/>
                <w:sz w:val="13"/>
                <w:szCs w:val="13"/>
                <w:color w:val="FFFFFF"/>
              </w:rPr>
              <w:t>Zee Hakimoglu</w:t>
            </w: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500" w:type="dxa"/>
            <w:vAlign w:val="bottom"/>
            <w:vMerge w:val="restart"/>
          </w:tcPr>
          <w:p>
            <w:pPr>
              <w:jc w:val="center"/>
              <w:spacing w:after="0"/>
              <w:rPr>
                <w:sz w:val="20"/>
                <w:szCs w:val="20"/>
                <w:color w:val="auto"/>
              </w:rPr>
            </w:pPr>
            <w:r>
              <w:rPr>
                <w:rFonts w:ascii="Arial" w:cs="Arial" w:eastAsia="Arial" w:hAnsi="Arial"/>
                <w:sz w:val="13"/>
                <w:szCs w:val="13"/>
                <w:color w:val="FFFFFF"/>
              </w:rPr>
              <w:t>Zee Hakimoglu named</w:t>
            </w:r>
          </w:p>
        </w:tc>
        <w:tc>
          <w:tcPr>
            <w:tcW w:w="48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2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1520" w:type="dxa"/>
            <w:vAlign w:val="bottom"/>
            <w:vMerge w:val="restart"/>
          </w:tcPr>
          <w:p>
            <w:pPr>
              <w:ind w:left="120"/>
              <w:spacing w:after="0"/>
              <w:rPr>
                <w:sz w:val="20"/>
                <w:szCs w:val="20"/>
                <w:color w:val="auto"/>
              </w:rPr>
            </w:pPr>
            <w:r>
              <w:rPr>
                <w:rFonts w:ascii="Arial" w:cs="Arial" w:eastAsia="Arial" w:hAnsi="Arial"/>
                <w:sz w:val="13"/>
                <w:szCs w:val="13"/>
                <w:color w:val="FFFFFF"/>
              </w:rPr>
              <w:t>CLRO added to Russell</w:t>
            </w:r>
          </w:p>
        </w:tc>
        <w:tc>
          <w:tcPr>
            <w:tcW w:w="500" w:type="dxa"/>
            <w:vAlign w:val="bottom"/>
          </w:tcPr>
          <w:p>
            <w:pPr>
              <w:spacing w:after="0"/>
              <w:rPr>
                <w:sz w:val="5"/>
                <w:szCs w:val="5"/>
                <w:color w:val="auto"/>
              </w:rPr>
            </w:pPr>
          </w:p>
        </w:tc>
        <w:tc>
          <w:tcPr>
            <w:tcW w:w="1480" w:type="dxa"/>
            <w:vAlign w:val="bottom"/>
            <w:vMerge w:val="restart"/>
          </w:tcPr>
          <w:p>
            <w:pPr>
              <w:jc w:val="center"/>
              <w:spacing w:after="0"/>
              <w:rPr>
                <w:sz w:val="20"/>
                <w:szCs w:val="20"/>
                <w:color w:val="auto"/>
              </w:rPr>
            </w:pPr>
            <w:r>
              <w:rPr>
                <w:rFonts w:ascii="Arial" w:cs="Arial" w:eastAsia="Arial" w:hAnsi="Arial"/>
                <w:sz w:val="13"/>
                <w:szCs w:val="13"/>
                <w:color w:val="FFFFFF"/>
                <w:w w:val="99"/>
              </w:rPr>
              <w:t>ClearOne acquires</w:t>
            </w: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40" w:type="dxa"/>
            <w:vAlign w:val="bottom"/>
            <w:vMerge w:val="restart"/>
          </w:tcPr>
          <w:p>
            <w:pPr>
              <w:jc w:val="center"/>
              <w:spacing w:after="0"/>
              <w:rPr>
                <w:sz w:val="20"/>
                <w:szCs w:val="20"/>
                <w:color w:val="auto"/>
              </w:rPr>
            </w:pPr>
            <w:r>
              <w:rPr>
                <w:rFonts w:ascii="Arial" w:cs="Arial" w:eastAsia="Arial" w:hAnsi="Arial"/>
                <w:sz w:val="13"/>
                <w:szCs w:val="13"/>
                <w:color w:val="FFFFFF"/>
              </w:rPr>
              <w:t>named to Board</w:t>
            </w: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500" w:type="dxa"/>
            <w:vAlign w:val="bottom"/>
            <w:vMerge w:val="restart"/>
          </w:tcPr>
          <w:p>
            <w:pPr>
              <w:jc w:val="center"/>
              <w:spacing w:after="0"/>
              <w:rPr>
                <w:sz w:val="20"/>
                <w:szCs w:val="20"/>
                <w:color w:val="auto"/>
              </w:rPr>
            </w:pPr>
            <w:r>
              <w:rPr>
                <w:rFonts w:ascii="Arial" w:cs="Arial" w:eastAsia="Arial" w:hAnsi="Arial"/>
                <w:sz w:val="13"/>
                <w:szCs w:val="13"/>
                <w:color w:val="FFFFFF"/>
                <w:w w:val="99"/>
              </w:rPr>
              <w:t>Chairman of ClearOne</w:t>
            </w:r>
          </w:p>
        </w:tc>
        <w:tc>
          <w:tcPr>
            <w:tcW w:w="48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1520" w:type="dxa"/>
            <w:vAlign w:val="bottom"/>
            <w:vMerge w:val="restart"/>
          </w:tcPr>
          <w:p>
            <w:pPr>
              <w:jc w:val="center"/>
              <w:spacing w:after="0"/>
              <w:rPr>
                <w:sz w:val="20"/>
                <w:szCs w:val="20"/>
                <w:color w:val="auto"/>
              </w:rPr>
            </w:pPr>
            <w:r>
              <w:rPr>
                <w:rFonts w:ascii="Arial" w:cs="Arial" w:eastAsia="Arial" w:hAnsi="Arial"/>
                <w:sz w:val="13"/>
                <w:szCs w:val="13"/>
                <w:color w:val="FFFFFF"/>
                <w:w w:val="99"/>
              </w:rPr>
              <w:t>Microcap®Index</w:t>
            </w:r>
          </w:p>
        </w:tc>
        <w:tc>
          <w:tcPr>
            <w:tcW w:w="500" w:type="dxa"/>
            <w:vAlign w:val="bottom"/>
          </w:tcPr>
          <w:p>
            <w:pPr>
              <w:spacing w:after="0"/>
              <w:rPr>
                <w:sz w:val="8"/>
                <w:szCs w:val="8"/>
                <w:color w:val="auto"/>
              </w:rPr>
            </w:pPr>
          </w:p>
        </w:tc>
        <w:tc>
          <w:tcPr>
            <w:tcW w:w="1480" w:type="dxa"/>
            <w:vAlign w:val="bottom"/>
            <w:vMerge w:val="restart"/>
          </w:tcPr>
          <w:p>
            <w:pPr>
              <w:jc w:val="center"/>
              <w:spacing w:after="0"/>
              <w:rPr>
                <w:sz w:val="20"/>
                <w:szCs w:val="20"/>
                <w:color w:val="auto"/>
              </w:rPr>
            </w:pPr>
            <w:r>
              <w:rPr>
                <w:rFonts w:ascii="Arial" w:cs="Arial" w:eastAsia="Arial" w:hAnsi="Arial"/>
                <w:sz w:val="13"/>
                <w:szCs w:val="13"/>
                <w:color w:val="FFFFFF"/>
              </w:rPr>
              <w:t>VCON</w:t>
            </w: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260" w:type="dxa"/>
            <w:vAlign w:val="bottom"/>
            <w:vMerge w:val="restart"/>
          </w:tcPr>
          <w:p>
            <w:pPr>
              <w:jc w:val="center"/>
              <w:ind w:left="132"/>
              <w:spacing w:after="0"/>
              <w:rPr>
                <w:sz w:val="20"/>
                <w:szCs w:val="20"/>
                <w:color w:val="auto"/>
              </w:rPr>
            </w:pPr>
            <w:r>
              <w:rPr>
                <w:rFonts w:ascii="Arial" w:cs="Arial" w:eastAsia="Arial" w:hAnsi="Arial"/>
                <w:sz w:val="14"/>
                <w:szCs w:val="14"/>
                <w:b w:val="1"/>
                <w:bCs w:val="1"/>
                <w:color w:val="FFFFFF"/>
              </w:rPr>
              <w:t>January 2003</w:t>
            </w:r>
          </w:p>
        </w:tc>
        <w:tc>
          <w:tcPr>
            <w:tcW w:w="5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12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800" w:type="dxa"/>
            <w:vAlign w:val="bottom"/>
            <w:gridSpan w:val="2"/>
          </w:tcPr>
          <w:p>
            <w:pPr>
              <w:jc w:val="center"/>
              <w:ind w:right="191"/>
              <w:spacing w:after="0"/>
              <w:rPr>
                <w:sz w:val="20"/>
                <w:szCs w:val="20"/>
                <w:color w:val="auto"/>
              </w:rPr>
            </w:pPr>
            <w:r>
              <w:rPr>
                <w:rFonts w:ascii="Arial" w:cs="Arial" w:eastAsia="Arial" w:hAnsi="Arial"/>
                <w:sz w:val="13"/>
                <w:szCs w:val="13"/>
                <w:color w:val="FFFFFF"/>
              </w:rPr>
              <w:t>ClearOne delays earnings</w:t>
            </w:r>
          </w:p>
        </w:tc>
        <w:tc>
          <w:tcPr>
            <w:tcW w:w="1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800" w:type="dxa"/>
            <w:vAlign w:val="bottom"/>
            <w:gridSpan w:val="2"/>
          </w:tcPr>
          <w:p>
            <w:pPr>
              <w:jc w:val="center"/>
              <w:ind w:right="171"/>
              <w:spacing w:after="0"/>
              <w:rPr>
                <w:sz w:val="20"/>
                <w:szCs w:val="20"/>
                <w:color w:val="auto"/>
              </w:rPr>
            </w:pPr>
            <w:r>
              <w:rPr>
                <w:rFonts w:ascii="Arial" w:cs="Arial" w:eastAsia="Arial" w:hAnsi="Arial"/>
                <w:sz w:val="13"/>
                <w:szCs w:val="13"/>
                <w:color w:val="FFFFFF"/>
              </w:rPr>
              <w:t>as it assesses SEC</w:t>
            </w:r>
          </w:p>
        </w:tc>
        <w:tc>
          <w:tcPr>
            <w:tcW w:w="1440" w:type="dxa"/>
            <w:vAlign w:val="bottom"/>
          </w:tcPr>
          <w:p>
            <w:pPr>
              <w:jc w:val="center"/>
              <w:ind w:left="10"/>
              <w:spacing w:after="0"/>
              <w:rPr>
                <w:sz w:val="20"/>
                <w:szCs w:val="20"/>
                <w:color w:val="auto"/>
              </w:rPr>
            </w:pPr>
            <w:r>
              <w:rPr>
                <w:rFonts w:ascii="Arial" w:cs="Arial" w:eastAsia="Arial" w:hAnsi="Arial"/>
                <w:sz w:val="14"/>
                <w:szCs w:val="14"/>
                <w:b w:val="1"/>
                <w:bCs w:val="1"/>
                <w:color w:val="FFFFFF"/>
              </w:rPr>
              <w:t>July 2006</w:t>
            </w: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FFFFFF"/>
              </w:rPr>
              <w:t>August 2007</w:t>
            </w:r>
          </w:p>
        </w:tc>
        <w:tc>
          <w:tcPr>
            <w:tcW w:w="480" w:type="dxa"/>
            <w:vAlign w:val="bottom"/>
          </w:tcPr>
          <w:p>
            <w:pPr>
              <w:spacing w:after="0"/>
              <w:rPr>
                <w:sz w:val="16"/>
                <w:szCs w:val="16"/>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August 2011</w:t>
            </w:r>
          </w:p>
        </w:tc>
        <w:tc>
          <w:tcPr>
            <w:tcW w:w="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800" w:type="dxa"/>
            <w:vAlign w:val="bottom"/>
            <w:gridSpan w:val="2"/>
          </w:tcPr>
          <w:p>
            <w:pPr>
              <w:jc w:val="center"/>
              <w:ind w:right="151"/>
              <w:spacing w:after="0" w:line="108" w:lineRule="exact"/>
              <w:rPr>
                <w:sz w:val="20"/>
                <w:szCs w:val="20"/>
                <w:color w:val="auto"/>
              </w:rPr>
            </w:pPr>
            <w:r>
              <w:rPr>
                <w:rFonts w:ascii="Arial" w:cs="Arial" w:eastAsia="Arial" w:hAnsi="Arial"/>
                <w:sz w:val="12"/>
                <w:szCs w:val="12"/>
                <w:color w:val="FFFFFF"/>
              </w:rPr>
              <w:t>allegations; CEO and CFO</w:t>
            </w:r>
          </w:p>
        </w:tc>
        <w:tc>
          <w:tcPr>
            <w:tcW w:w="1440" w:type="dxa"/>
            <w:vAlign w:val="bottom"/>
            <w:vMerge w:val="restart"/>
          </w:tcPr>
          <w:p>
            <w:pPr>
              <w:jc w:val="center"/>
              <w:ind w:left="50"/>
              <w:spacing w:after="0"/>
              <w:rPr>
                <w:sz w:val="20"/>
                <w:szCs w:val="20"/>
                <w:color w:val="auto"/>
              </w:rPr>
            </w:pPr>
            <w:r>
              <w:rPr>
                <w:rFonts w:ascii="Arial" w:cs="Arial" w:eastAsia="Arial" w:hAnsi="Arial"/>
                <w:sz w:val="13"/>
                <w:szCs w:val="13"/>
                <w:color w:val="FFFFFF"/>
              </w:rPr>
              <w:t>SEC terminates</w:t>
            </w: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500" w:type="dxa"/>
            <w:vAlign w:val="bottom"/>
            <w:vMerge w:val="restart"/>
          </w:tcPr>
          <w:p>
            <w:pPr>
              <w:jc w:val="center"/>
              <w:ind w:left="11"/>
              <w:spacing w:after="0"/>
              <w:rPr>
                <w:sz w:val="20"/>
                <w:szCs w:val="20"/>
                <w:color w:val="auto"/>
              </w:rPr>
            </w:pPr>
            <w:r>
              <w:rPr>
                <w:rFonts w:ascii="Arial" w:cs="Arial" w:eastAsia="Arial" w:hAnsi="Arial"/>
                <w:sz w:val="13"/>
                <w:szCs w:val="13"/>
                <w:color w:val="FFFFFF"/>
              </w:rPr>
              <w:t>CLRO begins trading on</w:t>
            </w:r>
          </w:p>
        </w:tc>
        <w:tc>
          <w:tcPr>
            <w:tcW w:w="4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480" w:type="dxa"/>
            <w:vAlign w:val="bottom"/>
            <w:vMerge w:val="restart"/>
          </w:tcPr>
          <w:p>
            <w:pPr>
              <w:jc w:val="center"/>
              <w:spacing w:after="0" w:line="155" w:lineRule="exact"/>
              <w:rPr>
                <w:sz w:val="20"/>
                <w:szCs w:val="20"/>
                <w:color w:val="auto"/>
              </w:rPr>
            </w:pPr>
            <w:r>
              <w:rPr>
                <w:rFonts w:ascii="Arial" w:cs="Arial" w:eastAsia="Arial" w:hAnsi="Arial"/>
                <w:sz w:val="14"/>
                <w:szCs w:val="14"/>
                <w:b w:val="1"/>
                <w:bCs w:val="1"/>
                <w:color w:val="FFFFFF"/>
                <w:w w:val="99"/>
              </w:rPr>
              <w:t>May 2012</w:t>
            </w: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1260" w:type="dxa"/>
            <w:vAlign w:val="bottom"/>
            <w:vMerge w:val="restart"/>
          </w:tcPr>
          <w:p>
            <w:pPr>
              <w:jc w:val="center"/>
              <w:ind w:left="72"/>
              <w:spacing w:after="0"/>
              <w:rPr>
                <w:sz w:val="20"/>
                <w:szCs w:val="20"/>
                <w:color w:val="auto"/>
              </w:rPr>
            </w:pPr>
            <w:r>
              <w:rPr>
                <w:rFonts w:ascii="Arial" w:cs="Arial" w:eastAsia="Arial" w:hAnsi="Arial"/>
                <w:sz w:val="13"/>
                <w:szCs w:val="13"/>
                <w:color w:val="FFFFFF"/>
              </w:rPr>
              <w:t>relieved of duties</w:t>
            </w:r>
          </w:p>
        </w:tc>
        <w:tc>
          <w:tcPr>
            <w:tcW w:w="54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26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1440" w:type="dxa"/>
            <w:vAlign w:val="bottom"/>
          </w:tcPr>
          <w:p>
            <w:pPr>
              <w:jc w:val="center"/>
              <w:ind w:left="30"/>
              <w:spacing w:after="0"/>
              <w:rPr>
                <w:sz w:val="20"/>
                <w:szCs w:val="20"/>
                <w:color w:val="auto"/>
              </w:rPr>
            </w:pPr>
            <w:r>
              <w:rPr>
                <w:rFonts w:ascii="Arial" w:cs="Arial" w:eastAsia="Arial" w:hAnsi="Arial"/>
                <w:sz w:val="13"/>
                <w:szCs w:val="13"/>
                <w:color w:val="FFFFFF"/>
              </w:rPr>
              <w:t>ClearOne investigation</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Arial" w:cs="Arial" w:eastAsia="Arial" w:hAnsi="Arial"/>
                <w:sz w:val="13"/>
                <w:szCs w:val="13"/>
                <w:color w:val="FFFFFF"/>
              </w:rPr>
              <w:t>NASDAQ</w:t>
            </w:r>
          </w:p>
        </w:tc>
        <w:tc>
          <w:tcPr>
            <w:tcW w:w="48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Arial" w:cs="Arial" w:eastAsia="Arial" w:hAnsi="Arial"/>
                <w:sz w:val="13"/>
                <w:szCs w:val="13"/>
                <w:color w:val="FFFFFF"/>
              </w:rPr>
              <w:t>Court of Appeals affirms</w:t>
            </w:r>
          </w:p>
        </w:tc>
        <w:tc>
          <w:tcPr>
            <w:tcW w:w="5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FFFFFF"/>
              </w:rPr>
              <w:t>Board authorizes $2M</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20" w:type="dxa"/>
            <w:vAlign w:val="bottom"/>
          </w:tcPr>
          <w:p>
            <w:pPr>
              <w:jc w:val="center"/>
              <w:spacing w:after="0" w:line="120" w:lineRule="exact"/>
              <w:rPr>
                <w:sz w:val="20"/>
                <w:szCs w:val="20"/>
                <w:color w:val="auto"/>
              </w:rPr>
            </w:pPr>
            <w:r>
              <w:rPr>
                <w:rFonts w:ascii="Arial" w:cs="Arial" w:eastAsia="Arial" w:hAnsi="Arial"/>
                <w:sz w:val="13"/>
                <w:szCs w:val="13"/>
                <w:color w:val="FFFFFF"/>
              </w:rPr>
              <w:t>ClearOne $11.7M award</w:t>
            </w:r>
          </w:p>
        </w:tc>
        <w:tc>
          <w:tcPr>
            <w:tcW w:w="500" w:type="dxa"/>
            <w:vAlign w:val="bottom"/>
          </w:tcPr>
          <w:p>
            <w:pPr>
              <w:spacing w:after="0"/>
              <w:rPr>
                <w:sz w:val="10"/>
                <w:szCs w:val="10"/>
                <w:color w:val="auto"/>
              </w:rPr>
            </w:pPr>
          </w:p>
        </w:tc>
        <w:tc>
          <w:tcPr>
            <w:tcW w:w="1480" w:type="dxa"/>
            <w:vAlign w:val="bottom"/>
          </w:tcPr>
          <w:p>
            <w:pPr>
              <w:jc w:val="center"/>
              <w:spacing w:after="0" w:line="120" w:lineRule="exact"/>
              <w:rPr>
                <w:sz w:val="20"/>
                <w:szCs w:val="20"/>
                <w:color w:val="auto"/>
              </w:rPr>
            </w:pPr>
            <w:r>
              <w:rPr>
                <w:rFonts w:ascii="Arial" w:cs="Arial" w:eastAsia="Arial" w:hAnsi="Arial"/>
                <w:sz w:val="13"/>
                <w:szCs w:val="13"/>
                <w:color w:val="FFFFFF"/>
              </w:rPr>
              <w:t>stock buy-back</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260" w:type="dxa"/>
            <w:vAlign w:val="bottom"/>
          </w:tcPr>
          <w:p>
            <w:pPr>
              <w:jc w:val="center"/>
              <w:ind w:left="112"/>
              <w:spacing w:after="0"/>
              <w:rPr>
                <w:sz w:val="20"/>
                <w:szCs w:val="20"/>
                <w:color w:val="auto"/>
              </w:rPr>
            </w:pPr>
            <w:r>
              <w:rPr>
                <w:rFonts w:ascii="Arial" w:cs="Arial" w:eastAsia="Arial" w:hAnsi="Arial"/>
                <w:sz w:val="14"/>
                <w:szCs w:val="14"/>
                <w:b w:val="1"/>
                <w:bCs w:val="1"/>
                <w:color w:val="FFFFFF"/>
              </w:rPr>
              <w:t>January 2003</w:t>
            </w:r>
          </w:p>
        </w:tc>
        <w:tc>
          <w:tcPr>
            <w:tcW w:w="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3"/>
                <w:szCs w:val="13"/>
                <w:color w:val="FFFFFF"/>
              </w:rPr>
              <w:t>in trade secrets case</w:t>
            </w:r>
          </w:p>
        </w:tc>
        <w:tc>
          <w:tcPr>
            <w:tcW w:w="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800" w:type="dxa"/>
            <w:vAlign w:val="bottom"/>
            <w:gridSpan w:val="2"/>
          </w:tcPr>
          <w:p>
            <w:pPr>
              <w:jc w:val="center"/>
              <w:ind w:right="271"/>
              <w:spacing w:after="0"/>
              <w:rPr>
                <w:sz w:val="20"/>
                <w:szCs w:val="20"/>
                <w:color w:val="auto"/>
              </w:rPr>
            </w:pPr>
            <w:r>
              <w:rPr>
                <w:rFonts w:ascii="Arial" w:cs="Arial" w:eastAsia="Arial" w:hAnsi="Arial"/>
                <w:sz w:val="13"/>
                <w:szCs w:val="13"/>
                <w:color w:val="FFFFFF"/>
              </w:rPr>
              <w:t>U.S. Attorney’s Office for</w:t>
            </w:r>
          </w:p>
        </w:tc>
        <w:tc>
          <w:tcPr>
            <w:tcW w:w="1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260" w:type="dxa"/>
            <w:vAlign w:val="bottom"/>
          </w:tcPr>
          <w:p>
            <w:pPr>
              <w:jc w:val="center"/>
              <w:ind w:left="72"/>
              <w:spacing w:after="0" w:line="143" w:lineRule="exact"/>
              <w:rPr>
                <w:sz w:val="20"/>
                <w:szCs w:val="20"/>
                <w:color w:val="auto"/>
              </w:rPr>
            </w:pPr>
            <w:r>
              <w:rPr>
                <w:rFonts w:ascii="Arial" w:cs="Arial" w:eastAsia="Arial" w:hAnsi="Arial"/>
                <w:sz w:val="13"/>
                <w:szCs w:val="13"/>
                <w:color w:val="FFFFFF"/>
              </w:rPr>
              <w:t>the District of Utah</w:t>
            </w:r>
          </w:p>
        </w:tc>
        <w:tc>
          <w:tcPr>
            <w:tcW w:w="540" w:type="dxa"/>
            <w:vAlign w:val="bottom"/>
          </w:tcPr>
          <w:p>
            <w:pPr>
              <w:spacing w:after="0"/>
              <w:rPr>
                <w:sz w:val="12"/>
                <w:szCs w:val="12"/>
                <w:color w:val="auto"/>
              </w:rPr>
            </w:pPr>
          </w:p>
        </w:tc>
        <w:tc>
          <w:tcPr>
            <w:tcW w:w="1440" w:type="dxa"/>
            <w:vAlign w:val="bottom"/>
            <w:vMerge w:val="restart"/>
          </w:tcPr>
          <w:p>
            <w:pPr>
              <w:jc w:val="center"/>
              <w:ind w:left="50"/>
              <w:spacing w:after="0"/>
              <w:rPr>
                <w:sz w:val="20"/>
                <w:szCs w:val="20"/>
                <w:color w:val="auto"/>
              </w:rPr>
            </w:pPr>
            <w:r>
              <w:rPr>
                <w:rFonts w:ascii="Arial" w:cs="Arial" w:eastAsia="Arial" w:hAnsi="Arial"/>
                <w:sz w:val="14"/>
                <w:szCs w:val="14"/>
                <w:b w:val="1"/>
                <w:bCs w:val="1"/>
                <w:color w:val="FFFFFF"/>
              </w:rPr>
              <w:t>July 2004</w:t>
            </w: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September 2007</w:t>
            </w:r>
          </w:p>
        </w:tc>
        <w:tc>
          <w:tcPr>
            <w:tcW w:w="48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September 2011</w:t>
            </w:r>
          </w:p>
        </w:tc>
        <w:tc>
          <w:tcPr>
            <w:tcW w:w="50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October 2012</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260" w:type="dxa"/>
            <w:vAlign w:val="bottom"/>
            <w:vMerge w:val="restart"/>
          </w:tcPr>
          <w:p>
            <w:pPr>
              <w:jc w:val="center"/>
              <w:ind w:left="52"/>
              <w:spacing w:after="0"/>
              <w:rPr>
                <w:sz w:val="20"/>
                <w:szCs w:val="20"/>
                <w:color w:val="auto"/>
              </w:rPr>
            </w:pPr>
            <w:r>
              <w:rPr>
                <w:rFonts w:ascii="Arial" w:cs="Arial" w:eastAsia="Arial" w:hAnsi="Arial"/>
                <w:sz w:val="13"/>
                <w:szCs w:val="13"/>
                <w:color w:val="FFFFFF"/>
                <w:w w:val="99"/>
              </w:rPr>
              <w:t>begins criminal</w:t>
            </w:r>
          </w:p>
        </w:tc>
        <w:tc>
          <w:tcPr>
            <w:tcW w:w="54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2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13"/>
                <w:szCs w:val="13"/>
                <w:color w:val="FFFFFF"/>
              </w:rPr>
              <w:t>ClearOne announces</w:t>
            </w:r>
          </w:p>
        </w:tc>
        <w:tc>
          <w:tcPr>
            <w:tcW w:w="48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1800" w:type="dxa"/>
            <w:vAlign w:val="bottom"/>
            <w:gridSpan w:val="2"/>
            <w:vMerge w:val="restart"/>
          </w:tcPr>
          <w:p>
            <w:pPr>
              <w:jc w:val="center"/>
              <w:ind w:right="291"/>
              <w:spacing w:after="0"/>
              <w:rPr>
                <w:sz w:val="20"/>
                <w:szCs w:val="20"/>
                <w:color w:val="auto"/>
              </w:rPr>
            </w:pPr>
            <w:r>
              <w:rPr>
                <w:rFonts w:ascii="Arial" w:cs="Arial" w:eastAsia="Arial" w:hAnsi="Arial"/>
                <w:sz w:val="13"/>
                <w:szCs w:val="13"/>
                <w:color w:val="FFFFFF"/>
              </w:rPr>
              <w:t>investigation stemming</w:t>
            </w:r>
          </w:p>
        </w:tc>
        <w:tc>
          <w:tcPr>
            <w:tcW w:w="1440" w:type="dxa"/>
            <w:vAlign w:val="bottom"/>
            <w:vMerge w:val="restart"/>
          </w:tcPr>
          <w:p>
            <w:pPr>
              <w:jc w:val="center"/>
              <w:ind w:left="50"/>
              <w:spacing w:after="0"/>
              <w:rPr>
                <w:sz w:val="20"/>
                <w:szCs w:val="20"/>
                <w:color w:val="auto"/>
              </w:rPr>
            </w:pPr>
            <w:r>
              <w:rPr>
                <w:rFonts w:ascii="Arial" w:cs="Arial" w:eastAsia="Arial" w:hAnsi="Arial"/>
                <w:sz w:val="13"/>
                <w:szCs w:val="13"/>
                <w:color w:val="FFFFFF"/>
              </w:rPr>
              <w:t>Zee Hakimoglu</w:t>
            </w: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520" w:type="dxa"/>
            <w:vAlign w:val="bottom"/>
            <w:vMerge w:val="restart"/>
          </w:tcPr>
          <w:p>
            <w:pPr>
              <w:jc w:val="center"/>
              <w:spacing w:after="0"/>
              <w:rPr>
                <w:sz w:val="20"/>
                <w:szCs w:val="20"/>
                <w:color w:val="auto"/>
              </w:rPr>
            </w:pPr>
            <w:r>
              <w:rPr>
                <w:rFonts w:ascii="Arial" w:cs="Arial" w:eastAsia="Arial" w:hAnsi="Arial"/>
                <w:sz w:val="13"/>
                <w:szCs w:val="13"/>
                <w:color w:val="FFFFFF"/>
                <w:w w:val="99"/>
              </w:rPr>
              <w:t>ClearOne acquires</w:t>
            </w:r>
          </w:p>
        </w:tc>
        <w:tc>
          <w:tcPr>
            <w:tcW w:w="500" w:type="dxa"/>
            <w:vAlign w:val="bottom"/>
          </w:tcPr>
          <w:p>
            <w:pPr>
              <w:spacing w:after="0"/>
              <w:rPr>
                <w:sz w:val="7"/>
                <w:szCs w:val="7"/>
                <w:color w:val="auto"/>
              </w:rPr>
            </w:pPr>
          </w:p>
        </w:tc>
        <w:tc>
          <w:tcPr>
            <w:tcW w:w="1480" w:type="dxa"/>
            <w:vAlign w:val="bottom"/>
            <w:vMerge w:val="restart"/>
          </w:tcPr>
          <w:p>
            <w:pPr>
              <w:jc w:val="center"/>
              <w:spacing w:after="0"/>
              <w:rPr>
                <w:sz w:val="20"/>
                <w:szCs w:val="20"/>
                <w:color w:val="auto"/>
              </w:rPr>
            </w:pPr>
            <w:r>
              <w:rPr>
                <w:rFonts w:ascii="Arial" w:cs="Arial" w:eastAsia="Arial" w:hAnsi="Arial"/>
                <w:sz w:val="13"/>
                <w:szCs w:val="13"/>
                <w:color w:val="FFFFFF"/>
              </w:rPr>
              <w:t>Zee Hakimoglu wins</w:t>
            </w: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800" w:type="dxa"/>
            <w:vAlign w:val="bottom"/>
            <w:gridSpan w:val="2"/>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13"/>
                <w:szCs w:val="13"/>
                <w:color w:val="FFFFFF"/>
              </w:rPr>
              <w:t>$3.6M stock buy-back</w:t>
            </w:r>
          </w:p>
        </w:tc>
        <w:tc>
          <w:tcPr>
            <w:tcW w:w="48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1800" w:type="dxa"/>
            <w:vAlign w:val="bottom"/>
            <w:gridSpan w:val="2"/>
            <w:vMerge w:val="restart"/>
          </w:tcPr>
          <w:p>
            <w:pPr>
              <w:jc w:val="center"/>
              <w:ind w:right="251"/>
              <w:spacing w:after="0"/>
              <w:rPr>
                <w:sz w:val="20"/>
                <w:szCs w:val="20"/>
                <w:color w:val="auto"/>
              </w:rPr>
            </w:pPr>
            <w:r>
              <w:rPr>
                <w:rFonts w:ascii="Arial" w:cs="Arial" w:eastAsia="Arial" w:hAnsi="Arial"/>
                <w:sz w:val="13"/>
                <w:szCs w:val="13"/>
                <w:color w:val="FFFFFF"/>
              </w:rPr>
              <w:t>from the SEC complaint</w:t>
            </w:r>
          </w:p>
        </w:tc>
        <w:tc>
          <w:tcPr>
            <w:tcW w:w="1440" w:type="dxa"/>
            <w:vAlign w:val="bottom"/>
            <w:vMerge w:val="restart"/>
          </w:tcPr>
          <w:p>
            <w:pPr>
              <w:jc w:val="center"/>
              <w:ind w:left="70"/>
              <w:spacing w:after="0"/>
              <w:rPr>
                <w:sz w:val="20"/>
                <w:szCs w:val="20"/>
                <w:color w:val="auto"/>
              </w:rPr>
            </w:pPr>
            <w:r>
              <w:rPr>
                <w:rFonts w:ascii="Arial" w:cs="Arial" w:eastAsia="Arial" w:hAnsi="Arial"/>
                <w:sz w:val="13"/>
                <w:szCs w:val="13"/>
                <w:color w:val="FFFFFF"/>
              </w:rPr>
              <w:t>appointed CEO</w:t>
            </w: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520" w:type="dxa"/>
            <w:vAlign w:val="bottom"/>
            <w:vMerge w:val="restart"/>
          </w:tcPr>
          <w:p>
            <w:pPr>
              <w:jc w:val="center"/>
              <w:spacing w:after="0"/>
              <w:rPr>
                <w:sz w:val="20"/>
                <w:szCs w:val="20"/>
                <w:color w:val="auto"/>
              </w:rPr>
            </w:pPr>
            <w:r>
              <w:rPr>
                <w:rFonts w:ascii="Arial" w:cs="Arial" w:eastAsia="Arial" w:hAnsi="Arial"/>
                <w:sz w:val="13"/>
                <w:szCs w:val="13"/>
                <w:color w:val="FFFFFF"/>
              </w:rPr>
              <w:t>MagicBox</w:t>
            </w:r>
          </w:p>
        </w:tc>
        <w:tc>
          <w:tcPr>
            <w:tcW w:w="500" w:type="dxa"/>
            <w:vAlign w:val="bottom"/>
          </w:tcPr>
          <w:p>
            <w:pPr>
              <w:spacing w:after="0"/>
              <w:rPr>
                <w:sz w:val="7"/>
                <w:szCs w:val="7"/>
                <w:color w:val="auto"/>
              </w:rPr>
            </w:pPr>
          </w:p>
        </w:tc>
        <w:tc>
          <w:tcPr>
            <w:tcW w:w="1480" w:type="dxa"/>
            <w:vAlign w:val="bottom"/>
            <w:vMerge w:val="restart"/>
          </w:tcPr>
          <w:p>
            <w:pPr>
              <w:ind w:left="140"/>
              <w:spacing w:after="0"/>
              <w:rPr>
                <w:sz w:val="20"/>
                <w:szCs w:val="20"/>
                <w:color w:val="auto"/>
              </w:rPr>
            </w:pPr>
            <w:r>
              <w:rPr>
                <w:rFonts w:ascii="Arial" w:cs="Arial" w:eastAsia="Arial" w:hAnsi="Arial"/>
                <w:sz w:val="13"/>
                <w:szCs w:val="13"/>
                <w:i w:val="1"/>
                <w:iCs w:val="1"/>
                <w:color w:val="FFFFFF"/>
              </w:rPr>
              <w:t xml:space="preserve">Women in AV </w:t>
            </w:r>
            <w:r>
              <w:rPr>
                <w:rFonts w:ascii="Arial" w:cs="Arial" w:eastAsia="Arial" w:hAnsi="Arial"/>
                <w:sz w:val="15"/>
                <w:szCs w:val="15"/>
                <w:i w:val="1"/>
                <w:iCs w:val="1"/>
                <w:color w:val="FFFFFF"/>
              </w:rPr>
              <w:t>Award</w:t>
            </w: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800" w:type="dxa"/>
            <w:vAlign w:val="bottom"/>
            <w:gridSpan w:val="2"/>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0"/>
        </w:trPr>
        <w:tc>
          <w:tcPr>
            <w:tcW w:w="1260" w:type="dxa"/>
            <w:vAlign w:val="bottom"/>
          </w:tcPr>
          <w:p>
            <w:pPr>
              <w:jc w:val="right"/>
              <w:ind w:right="512"/>
              <w:spacing w:after="0"/>
              <w:rPr>
                <w:sz w:val="20"/>
                <w:szCs w:val="20"/>
                <w:color w:val="auto"/>
              </w:rPr>
            </w:pPr>
            <w:r>
              <w:rPr>
                <w:rFonts w:ascii="Arial" w:cs="Arial" w:eastAsia="Arial" w:hAnsi="Arial"/>
                <w:sz w:val="18"/>
                <w:szCs w:val="18"/>
                <w:b w:val="1"/>
                <w:bCs w:val="1"/>
                <w:color w:val="FFFFFF"/>
              </w:rPr>
              <w:t>2003</w:t>
            </w:r>
          </w:p>
        </w:tc>
        <w:tc>
          <w:tcPr>
            <w:tcW w:w="540" w:type="dxa"/>
            <w:vAlign w:val="bottom"/>
          </w:tcPr>
          <w:p>
            <w:pPr>
              <w:jc w:val="right"/>
              <w:ind w:right="31"/>
              <w:spacing w:after="0"/>
              <w:rPr>
                <w:sz w:val="20"/>
                <w:szCs w:val="20"/>
                <w:color w:val="auto"/>
              </w:rPr>
            </w:pPr>
            <w:r>
              <w:rPr>
                <w:rFonts w:ascii="Arial" w:cs="Arial" w:eastAsia="Arial" w:hAnsi="Arial"/>
                <w:sz w:val="18"/>
                <w:szCs w:val="18"/>
                <w:b w:val="1"/>
                <w:bCs w:val="1"/>
                <w:color w:val="FFFFFF"/>
                <w:w w:val="99"/>
              </w:rPr>
              <w:t>2004</w:t>
            </w:r>
          </w:p>
        </w:tc>
        <w:tc>
          <w:tcPr>
            <w:tcW w:w="1440" w:type="dxa"/>
            <w:vAlign w:val="bottom"/>
          </w:tcPr>
          <w:p>
            <w:pPr>
              <w:jc w:val="right"/>
              <w:ind w:right="510"/>
              <w:spacing w:after="0"/>
              <w:rPr>
                <w:sz w:val="20"/>
                <w:szCs w:val="20"/>
                <w:color w:val="auto"/>
              </w:rPr>
            </w:pPr>
            <w:r>
              <w:rPr>
                <w:rFonts w:ascii="Arial" w:cs="Arial" w:eastAsia="Arial" w:hAnsi="Arial"/>
                <w:sz w:val="18"/>
                <w:szCs w:val="18"/>
                <w:b w:val="1"/>
                <w:bCs w:val="1"/>
                <w:color w:val="FFFFFF"/>
              </w:rPr>
              <w:t>2005</w:t>
            </w:r>
          </w:p>
        </w:tc>
        <w:tc>
          <w:tcPr>
            <w:tcW w:w="720" w:type="dxa"/>
            <w:vAlign w:val="bottom"/>
          </w:tcPr>
          <w:p>
            <w:pPr>
              <w:jc w:val="right"/>
              <w:ind w:right="211"/>
              <w:spacing w:after="0"/>
              <w:rPr>
                <w:sz w:val="20"/>
                <w:szCs w:val="20"/>
                <w:color w:val="auto"/>
              </w:rPr>
            </w:pPr>
            <w:r>
              <w:rPr>
                <w:rFonts w:ascii="Arial" w:cs="Arial" w:eastAsia="Arial" w:hAnsi="Arial"/>
                <w:sz w:val="18"/>
                <w:szCs w:val="18"/>
                <w:b w:val="1"/>
                <w:bCs w:val="1"/>
                <w:color w:val="FFFFFF"/>
                <w:w w:val="99"/>
              </w:rPr>
              <w:t>2006</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FFFFFF"/>
              </w:rPr>
              <w:t>2007</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FFFFFF"/>
                <w:w w:val="99"/>
              </w:rPr>
              <w:t>2008</w:t>
            </w:r>
          </w:p>
        </w:tc>
        <w:tc>
          <w:tcPr>
            <w:tcW w:w="480" w:type="dxa"/>
            <w:vAlign w:val="bottom"/>
          </w:tcPr>
          <w:p>
            <w:pPr>
              <w:ind w:left="20"/>
              <w:spacing w:after="0"/>
              <w:rPr>
                <w:sz w:val="20"/>
                <w:szCs w:val="20"/>
                <w:color w:val="auto"/>
              </w:rPr>
            </w:pPr>
            <w:r>
              <w:rPr>
                <w:rFonts w:ascii="Arial" w:cs="Arial" w:eastAsia="Arial" w:hAnsi="Arial"/>
                <w:sz w:val="18"/>
                <w:szCs w:val="18"/>
                <w:b w:val="1"/>
                <w:bCs w:val="1"/>
                <w:color w:val="FFFFFF"/>
              </w:rPr>
              <w:t>2009</w:t>
            </w:r>
          </w:p>
        </w:tc>
        <w:tc>
          <w:tcPr>
            <w:tcW w:w="1520" w:type="dxa"/>
            <w:vAlign w:val="bottom"/>
          </w:tcPr>
          <w:p>
            <w:pPr>
              <w:jc w:val="center"/>
              <w:ind w:right="11"/>
              <w:spacing w:after="0"/>
              <w:rPr>
                <w:sz w:val="20"/>
                <w:szCs w:val="20"/>
                <w:color w:val="auto"/>
              </w:rPr>
            </w:pPr>
            <w:r>
              <w:rPr>
                <w:rFonts w:ascii="Arial" w:cs="Arial" w:eastAsia="Arial" w:hAnsi="Arial"/>
                <w:sz w:val="18"/>
                <w:szCs w:val="18"/>
                <w:b w:val="1"/>
                <w:bCs w:val="1"/>
                <w:color w:val="FFFFFF"/>
                <w:w w:val="99"/>
              </w:rPr>
              <w:t>2010</w:t>
            </w:r>
          </w:p>
        </w:tc>
        <w:tc>
          <w:tcPr>
            <w:tcW w:w="500" w:type="dxa"/>
            <w:vAlign w:val="bottom"/>
          </w:tcPr>
          <w:p>
            <w:pPr>
              <w:jc w:val="right"/>
              <w:ind w:right="11"/>
              <w:spacing w:after="0"/>
              <w:rPr>
                <w:sz w:val="20"/>
                <w:szCs w:val="20"/>
                <w:color w:val="auto"/>
              </w:rPr>
            </w:pPr>
            <w:r>
              <w:rPr>
                <w:rFonts w:ascii="Arial" w:cs="Arial" w:eastAsia="Arial" w:hAnsi="Arial"/>
                <w:sz w:val="18"/>
                <w:szCs w:val="18"/>
                <w:b w:val="1"/>
                <w:bCs w:val="1"/>
                <w:color w:val="FFFFFF"/>
                <w:w w:val="94"/>
              </w:rPr>
              <w:t>2011</w:t>
            </w:r>
          </w:p>
        </w:tc>
        <w:tc>
          <w:tcPr>
            <w:tcW w:w="1480" w:type="dxa"/>
            <w:vAlign w:val="bottom"/>
          </w:tcPr>
          <w:p>
            <w:pPr>
              <w:jc w:val="right"/>
              <w:ind w:right="511"/>
              <w:spacing w:after="0"/>
              <w:rPr>
                <w:sz w:val="20"/>
                <w:szCs w:val="20"/>
                <w:color w:val="auto"/>
              </w:rPr>
            </w:pPr>
            <w:r>
              <w:rPr>
                <w:rFonts w:ascii="Arial" w:cs="Arial" w:eastAsia="Arial" w:hAnsi="Arial"/>
                <w:sz w:val="18"/>
                <w:szCs w:val="18"/>
                <w:b w:val="1"/>
                <w:bCs w:val="1"/>
                <w:color w:val="FFFFFF"/>
              </w:rPr>
              <w:t>2012</w:t>
            </w:r>
          </w:p>
        </w:tc>
        <w:tc>
          <w:tcPr>
            <w:tcW w:w="600" w:type="dxa"/>
            <w:vAlign w:val="bottom"/>
          </w:tcPr>
          <w:p>
            <w:pPr>
              <w:jc w:val="right"/>
              <w:ind w:right="111"/>
              <w:spacing w:after="0"/>
              <w:rPr>
                <w:sz w:val="20"/>
                <w:szCs w:val="20"/>
                <w:color w:val="auto"/>
              </w:rPr>
            </w:pPr>
            <w:r>
              <w:rPr>
                <w:rFonts w:ascii="Arial" w:cs="Arial" w:eastAsia="Arial" w:hAnsi="Arial"/>
                <w:sz w:val="18"/>
                <w:szCs w:val="18"/>
                <w:b w:val="1"/>
                <w:bCs w:val="1"/>
                <w:color w:val="FFFFFF"/>
                <w:w w:val="94"/>
              </w:rPr>
              <w:t>2013</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880"/>
          </w:cols>
          <w:pgMar w:left="640" w:top="517" w:right="379" w:bottom="1440" w:gutter="0" w:footer="0" w:header="0"/>
        </w:sectPr>
      </w:pPr>
      <w:r>
        <w:rPr>
          <w:sz w:val="20"/>
          <w:szCs w:val="20"/>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135" cy="55130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3135" cy="5513070"/>
                    </a:xfrm>
                    <a:prstGeom prst="rect">
                      <a:avLst/>
                    </a:prstGeom>
                    <a:noFill/>
                  </pic:spPr>
                </pic:pic>
              </a:graphicData>
            </a:graphic>
          </wp:anchor>
        </w:drawing>
      </w:r>
    </w:p>
    <w:p>
      <w:pPr>
        <w:spacing w:after="0" w:line="395"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1240" w:type="dxa"/>
            <w:vAlign w:val="bottom"/>
          </w:tcPr>
          <w:p>
            <w:pPr>
              <w:ind w:left="60"/>
              <w:spacing w:after="0"/>
              <w:rPr>
                <w:sz w:val="20"/>
                <w:szCs w:val="20"/>
                <w:color w:val="auto"/>
              </w:rPr>
            </w:pPr>
            <w:r>
              <w:rPr>
                <w:rFonts w:ascii="Arial" w:cs="Arial" w:eastAsia="Arial" w:hAnsi="Arial"/>
                <w:sz w:val="14"/>
                <w:szCs w:val="14"/>
                <w:b w:val="1"/>
                <w:bCs w:val="1"/>
                <w:color w:val="FFFFFF"/>
              </w:rPr>
              <w:t>April 2003</w:t>
            </w:r>
          </w:p>
        </w:tc>
        <w:tc>
          <w:tcPr>
            <w:tcW w:w="2440" w:type="dxa"/>
            <w:vAlign w:val="bottom"/>
          </w:tcPr>
          <w:p>
            <w:pPr>
              <w:jc w:val="center"/>
              <w:ind w:right="373"/>
              <w:spacing w:after="0"/>
              <w:rPr>
                <w:sz w:val="20"/>
                <w:szCs w:val="20"/>
                <w:color w:val="auto"/>
              </w:rPr>
            </w:pPr>
            <w:r>
              <w:rPr>
                <w:rFonts w:ascii="Arial" w:cs="Arial" w:eastAsia="Arial" w:hAnsi="Arial"/>
                <w:sz w:val="14"/>
                <w:szCs w:val="14"/>
                <w:b w:val="1"/>
                <w:bCs w:val="1"/>
                <w:color w:val="FFFFFF"/>
              </w:rPr>
              <w:t>August 2005</w:t>
            </w:r>
          </w:p>
        </w:tc>
        <w:tc>
          <w:tcPr>
            <w:tcW w:w="2480" w:type="dxa"/>
            <w:vAlign w:val="bottom"/>
          </w:tcPr>
          <w:p>
            <w:pPr>
              <w:ind w:left="1120"/>
              <w:spacing w:after="0"/>
              <w:rPr>
                <w:sz w:val="20"/>
                <w:szCs w:val="20"/>
                <w:color w:val="auto"/>
              </w:rPr>
            </w:pPr>
            <w:r>
              <w:rPr>
                <w:rFonts w:ascii="Arial" w:cs="Arial" w:eastAsia="Arial" w:hAnsi="Arial"/>
                <w:sz w:val="14"/>
                <w:szCs w:val="14"/>
                <w:b w:val="1"/>
                <w:bCs w:val="1"/>
                <w:color w:val="FFFFFF"/>
              </w:rPr>
              <w:t>May 2008</w:t>
            </w:r>
          </w:p>
        </w:tc>
        <w:tc>
          <w:tcPr>
            <w:tcW w:w="1660" w:type="dxa"/>
            <w:vAlign w:val="bottom"/>
          </w:tcPr>
          <w:p>
            <w:pPr>
              <w:jc w:val="center"/>
              <w:ind w:left="232"/>
              <w:spacing w:after="0"/>
              <w:rPr>
                <w:sz w:val="20"/>
                <w:szCs w:val="20"/>
                <w:color w:val="auto"/>
              </w:rPr>
            </w:pPr>
            <w:r>
              <w:rPr>
                <w:rFonts w:ascii="Arial" w:cs="Arial" w:eastAsia="Arial" w:hAnsi="Arial"/>
                <w:sz w:val="14"/>
                <w:szCs w:val="14"/>
                <w:b w:val="1"/>
                <w:bCs w:val="1"/>
                <w:color w:val="FFFFFF"/>
              </w:rPr>
              <w:t>July 2009</w:t>
            </w:r>
          </w:p>
        </w:tc>
      </w:tr>
      <w:tr>
        <w:trPr>
          <w:trHeight w:val="155"/>
        </w:trPr>
        <w:tc>
          <w:tcPr>
            <w:tcW w:w="1240" w:type="dxa"/>
            <w:vAlign w:val="bottom"/>
          </w:tcPr>
          <w:p>
            <w:pPr>
              <w:spacing w:after="0"/>
              <w:rPr>
                <w:sz w:val="20"/>
                <w:szCs w:val="20"/>
                <w:color w:val="auto"/>
              </w:rPr>
            </w:pPr>
            <w:r>
              <w:rPr>
                <w:rFonts w:ascii="Arial" w:cs="Arial" w:eastAsia="Arial" w:hAnsi="Arial"/>
                <w:sz w:val="13"/>
                <w:szCs w:val="13"/>
                <w:color w:val="FFFFFF"/>
              </w:rPr>
              <w:t>CLRO delisted</w:t>
            </w:r>
          </w:p>
        </w:tc>
        <w:tc>
          <w:tcPr>
            <w:tcW w:w="2440" w:type="dxa"/>
            <w:vAlign w:val="bottom"/>
          </w:tcPr>
          <w:p>
            <w:pPr>
              <w:jc w:val="center"/>
              <w:ind w:right="353"/>
              <w:spacing w:after="0"/>
              <w:rPr>
                <w:sz w:val="20"/>
                <w:szCs w:val="20"/>
                <w:color w:val="auto"/>
              </w:rPr>
            </w:pPr>
            <w:r>
              <w:rPr>
                <w:rFonts w:ascii="Arial" w:cs="Arial" w:eastAsia="Arial" w:hAnsi="Arial"/>
                <w:sz w:val="13"/>
                <w:szCs w:val="13"/>
                <w:color w:val="FFFFFF"/>
              </w:rPr>
              <w:t>ClearOne restates</w:t>
            </w:r>
          </w:p>
        </w:tc>
        <w:tc>
          <w:tcPr>
            <w:tcW w:w="2480" w:type="dxa"/>
            <w:vAlign w:val="bottom"/>
          </w:tcPr>
          <w:p>
            <w:pPr>
              <w:ind w:left="840"/>
              <w:spacing w:after="0"/>
              <w:rPr>
                <w:sz w:val="20"/>
                <w:szCs w:val="20"/>
                <w:color w:val="auto"/>
              </w:rPr>
            </w:pPr>
            <w:r>
              <w:rPr>
                <w:rFonts w:ascii="Arial" w:cs="Arial" w:eastAsia="Arial" w:hAnsi="Arial"/>
                <w:sz w:val="13"/>
                <w:szCs w:val="13"/>
                <w:color w:val="FFFFFF"/>
              </w:rPr>
              <w:t>ClearOne adds $1M to</w:t>
            </w:r>
          </w:p>
        </w:tc>
        <w:tc>
          <w:tcPr>
            <w:tcW w:w="1660" w:type="dxa"/>
            <w:vAlign w:val="bottom"/>
          </w:tcPr>
          <w:p>
            <w:pPr>
              <w:jc w:val="center"/>
              <w:ind w:left="252"/>
              <w:spacing w:after="0"/>
              <w:rPr>
                <w:sz w:val="20"/>
                <w:szCs w:val="20"/>
                <w:color w:val="auto"/>
              </w:rPr>
            </w:pPr>
            <w:r>
              <w:rPr>
                <w:rFonts w:ascii="Arial" w:cs="Arial" w:eastAsia="Arial" w:hAnsi="Arial"/>
                <w:sz w:val="13"/>
                <w:szCs w:val="13"/>
                <w:color w:val="FFFFFF"/>
              </w:rPr>
              <w:t>Narsi Narayanan</w:t>
            </w:r>
          </w:p>
        </w:tc>
      </w:tr>
      <w:tr>
        <w:trPr>
          <w:trHeight w:val="155"/>
        </w:trPr>
        <w:tc>
          <w:tcPr>
            <w:tcW w:w="1240" w:type="dxa"/>
            <w:vAlign w:val="bottom"/>
          </w:tcPr>
          <w:p>
            <w:pPr>
              <w:spacing w:after="0"/>
              <w:rPr>
                <w:sz w:val="20"/>
                <w:szCs w:val="20"/>
                <w:color w:val="auto"/>
              </w:rPr>
            </w:pPr>
            <w:r>
              <w:rPr>
                <w:rFonts w:ascii="Arial" w:cs="Arial" w:eastAsia="Arial" w:hAnsi="Arial"/>
                <w:sz w:val="13"/>
                <w:szCs w:val="13"/>
                <w:color w:val="FFFFFF"/>
              </w:rPr>
              <w:t>from NASDAQ</w:t>
            </w:r>
          </w:p>
        </w:tc>
        <w:tc>
          <w:tcPr>
            <w:tcW w:w="2440" w:type="dxa"/>
            <w:vAlign w:val="bottom"/>
          </w:tcPr>
          <w:p>
            <w:pPr>
              <w:jc w:val="center"/>
              <w:ind w:right="373"/>
              <w:spacing w:after="0"/>
              <w:rPr>
                <w:sz w:val="20"/>
                <w:szCs w:val="20"/>
                <w:color w:val="auto"/>
              </w:rPr>
            </w:pPr>
            <w:r>
              <w:rPr>
                <w:rFonts w:ascii="Arial" w:cs="Arial" w:eastAsia="Arial" w:hAnsi="Arial"/>
                <w:sz w:val="13"/>
                <w:szCs w:val="13"/>
                <w:color w:val="FFFFFF"/>
                <w:w w:val="99"/>
              </w:rPr>
              <w:t>consolidated financial</w:t>
            </w:r>
          </w:p>
        </w:tc>
        <w:tc>
          <w:tcPr>
            <w:tcW w:w="2480" w:type="dxa"/>
            <w:vAlign w:val="bottom"/>
          </w:tcPr>
          <w:p>
            <w:pPr>
              <w:ind w:left="1020"/>
              <w:spacing w:after="0"/>
              <w:rPr>
                <w:sz w:val="20"/>
                <w:szCs w:val="20"/>
                <w:color w:val="auto"/>
              </w:rPr>
            </w:pPr>
            <w:r>
              <w:rPr>
                <w:rFonts w:ascii="Arial" w:cs="Arial" w:eastAsia="Arial" w:hAnsi="Arial"/>
                <w:sz w:val="13"/>
                <w:szCs w:val="13"/>
                <w:color w:val="FFFFFF"/>
              </w:rPr>
              <w:t>stock buy-back</w:t>
            </w:r>
          </w:p>
        </w:tc>
        <w:tc>
          <w:tcPr>
            <w:tcW w:w="1660" w:type="dxa"/>
            <w:vAlign w:val="bottom"/>
          </w:tcPr>
          <w:p>
            <w:pPr>
              <w:ind w:left="340"/>
              <w:spacing w:after="0"/>
              <w:rPr>
                <w:sz w:val="20"/>
                <w:szCs w:val="20"/>
                <w:color w:val="auto"/>
              </w:rPr>
            </w:pPr>
            <w:r>
              <w:rPr>
                <w:rFonts w:ascii="Arial" w:cs="Arial" w:eastAsia="Arial" w:hAnsi="Arial"/>
                <w:sz w:val="13"/>
                <w:szCs w:val="13"/>
                <w:color w:val="FFFFFF"/>
                <w:w w:val="98"/>
              </w:rPr>
              <w:t>appointed VP, Finance</w:t>
            </w:r>
          </w:p>
        </w:tc>
      </w:tr>
      <w:tr>
        <w:trPr>
          <w:trHeight w:val="157"/>
        </w:trPr>
        <w:tc>
          <w:tcPr>
            <w:tcW w:w="1240" w:type="dxa"/>
            <w:vAlign w:val="bottom"/>
          </w:tcPr>
          <w:p>
            <w:pPr>
              <w:spacing w:after="0"/>
              <w:rPr>
                <w:sz w:val="13"/>
                <w:szCs w:val="13"/>
                <w:color w:val="auto"/>
              </w:rPr>
            </w:pPr>
          </w:p>
        </w:tc>
        <w:tc>
          <w:tcPr>
            <w:tcW w:w="2440" w:type="dxa"/>
            <w:vAlign w:val="bottom"/>
          </w:tcPr>
          <w:p>
            <w:pPr>
              <w:ind w:left="640"/>
              <w:spacing w:after="0"/>
              <w:rPr>
                <w:sz w:val="20"/>
                <w:szCs w:val="20"/>
                <w:color w:val="auto"/>
              </w:rPr>
            </w:pPr>
            <w:r>
              <w:rPr>
                <w:rFonts w:ascii="Arial" w:cs="Arial" w:eastAsia="Arial" w:hAnsi="Arial"/>
                <w:sz w:val="13"/>
                <w:szCs w:val="13"/>
                <w:color w:val="FFFFFF"/>
              </w:rPr>
              <w:t>statements</w:t>
            </w:r>
          </w:p>
        </w:tc>
        <w:tc>
          <w:tcPr>
            <w:tcW w:w="2480" w:type="dxa"/>
            <w:vAlign w:val="bottom"/>
          </w:tcPr>
          <w:p>
            <w:pPr>
              <w:spacing w:after="0"/>
              <w:rPr>
                <w:sz w:val="13"/>
                <w:szCs w:val="13"/>
                <w:color w:val="auto"/>
              </w:rPr>
            </w:pPr>
          </w:p>
        </w:tc>
        <w:tc>
          <w:tcPr>
            <w:tcW w:w="166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FFFFFF"/>
        </w:rPr>
        <w:t>January 2013</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3"/>
          <w:szCs w:val="13"/>
          <w:color w:val="FFFFFF"/>
        </w:rPr>
        <w:t>ClearOne receives</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3"/>
          <w:szCs w:val="13"/>
          <w:color w:val="FFFFFF"/>
        </w:rPr>
        <w:t>$45M auction-rate</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FFFFFF"/>
        </w:rPr>
        <w:t>securities settlement</w:t>
      </w:r>
    </w:p>
    <w:p>
      <w:pPr>
        <w:spacing w:after="0" w:line="96" w:lineRule="exact"/>
        <w:rPr>
          <w:sz w:val="20"/>
          <w:szCs w:val="20"/>
          <w:color w:val="auto"/>
        </w:rPr>
      </w:pPr>
    </w:p>
    <w:p>
      <w:pPr>
        <w:sectPr>
          <w:pgSz w:w="11900" w:h="16838" w:orient="portrait"/>
          <w:cols w:equalWidth="0" w:num="2">
            <w:col w:w="8140" w:space="680"/>
            <w:col w:w="2060"/>
          </w:cols>
          <w:pgMar w:left="640" w:top="517" w:right="379" w:bottom="1440" w:gutter="0" w:footer="0" w:header="0"/>
          <w:type w:val="continuous"/>
        </w:sectPr>
      </w:pPr>
    </w:p>
    <w:p>
      <w:pPr>
        <w:spacing w:after="0" w:line="119"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2140" w:type="dxa"/>
            <w:vAlign w:val="bottom"/>
          </w:tcPr>
          <w:p>
            <w:pPr>
              <w:jc w:val="center"/>
              <w:ind w:right="754"/>
              <w:spacing w:after="0"/>
              <w:rPr>
                <w:sz w:val="20"/>
                <w:szCs w:val="20"/>
                <w:color w:val="auto"/>
              </w:rPr>
            </w:pPr>
            <w:r>
              <w:rPr>
                <w:rFonts w:ascii="Arial" w:cs="Arial" w:eastAsia="Arial" w:hAnsi="Arial"/>
                <w:sz w:val="14"/>
                <w:szCs w:val="14"/>
                <w:b w:val="1"/>
                <w:bCs w:val="1"/>
                <w:color w:val="FFFFFF"/>
              </w:rPr>
              <w:t>December 2003</w:t>
            </w:r>
          </w:p>
        </w:tc>
        <w:tc>
          <w:tcPr>
            <w:tcW w:w="2080" w:type="dxa"/>
            <w:vAlign w:val="bottom"/>
          </w:tcPr>
          <w:p>
            <w:pPr>
              <w:jc w:val="center"/>
              <w:ind w:left="652"/>
              <w:spacing w:after="0"/>
              <w:rPr>
                <w:sz w:val="20"/>
                <w:szCs w:val="20"/>
                <w:color w:val="auto"/>
              </w:rPr>
            </w:pPr>
            <w:r>
              <w:rPr>
                <w:rFonts w:ascii="Arial" w:cs="Arial" w:eastAsia="Arial" w:hAnsi="Arial"/>
                <w:sz w:val="14"/>
                <w:szCs w:val="14"/>
                <w:b w:val="1"/>
                <w:bCs w:val="1"/>
                <w:color w:val="FFFFFF"/>
              </w:rPr>
              <w:t>August 2006</w:t>
            </w:r>
          </w:p>
        </w:tc>
        <w:tc>
          <w:tcPr>
            <w:tcW w:w="0" w:type="dxa"/>
            <w:vAlign w:val="bottom"/>
          </w:tcPr>
          <w:p>
            <w:pPr>
              <w:spacing w:after="0"/>
              <w:rPr>
                <w:sz w:val="1"/>
                <w:szCs w:val="1"/>
                <w:color w:val="auto"/>
              </w:rPr>
            </w:pPr>
          </w:p>
        </w:tc>
      </w:tr>
      <w:tr>
        <w:trPr>
          <w:trHeight w:val="155"/>
        </w:trPr>
        <w:tc>
          <w:tcPr>
            <w:tcW w:w="2140" w:type="dxa"/>
            <w:vAlign w:val="bottom"/>
          </w:tcPr>
          <w:p>
            <w:pPr>
              <w:jc w:val="center"/>
              <w:ind w:right="674"/>
              <w:spacing w:after="0"/>
              <w:rPr>
                <w:sz w:val="20"/>
                <w:szCs w:val="20"/>
                <w:color w:val="auto"/>
              </w:rPr>
            </w:pPr>
            <w:r>
              <w:rPr>
                <w:rFonts w:ascii="Arial" w:cs="Arial" w:eastAsia="Arial" w:hAnsi="Arial"/>
                <w:sz w:val="13"/>
                <w:szCs w:val="13"/>
                <w:color w:val="FFFFFF"/>
              </w:rPr>
              <w:t>ClearOne settles SEC</w:t>
            </w:r>
          </w:p>
        </w:tc>
        <w:tc>
          <w:tcPr>
            <w:tcW w:w="2080" w:type="dxa"/>
            <w:vAlign w:val="bottom"/>
          </w:tcPr>
          <w:p>
            <w:pPr>
              <w:jc w:val="center"/>
              <w:ind w:left="692"/>
              <w:spacing w:after="0"/>
              <w:rPr>
                <w:sz w:val="20"/>
                <w:szCs w:val="20"/>
                <w:color w:val="auto"/>
              </w:rPr>
            </w:pPr>
            <w:r>
              <w:rPr>
                <w:rFonts w:ascii="Arial" w:cs="Arial" w:eastAsia="Arial" w:hAnsi="Arial"/>
                <w:sz w:val="13"/>
                <w:szCs w:val="13"/>
                <w:color w:val="FFFFFF"/>
              </w:rPr>
              <w:t>Shares begin trading</w:t>
            </w:r>
          </w:p>
        </w:tc>
        <w:tc>
          <w:tcPr>
            <w:tcW w:w="0" w:type="dxa"/>
            <w:vAlign w:val="bottom"/>
          </w:tcPr>
          <w:p>
            <w:pPr>
              <w:spacing w:after="0"/>
              <w:rPr>
                <w:sz w:val="1"/>
                <w:szCs w:val="1"/>
                <w:color w:val="auto"/>
              </w:rPr>
            </w:pPr>
          </w:p>
        </w:tc>
      </w:tr>
      <w:tr>
        <w:trPr>
          <w:trHeight w:val="155"/>
        </w:trPr>
        <w:tc>
          <w:tcPr>
            <w:tcW w:w="2140" w:type="dxa"/>
            <w:vAlign w:val="bottom"/>
          </w:tcPr>
          <w:p>
            <w:pPr>
              <w:jc w:val="center"/>
              <w:ind w:right="774"/>
              <w:spacing w:after="0"/>
              <w:rPr>
                <w:sz w:val="20"/>
                <w:szCs w:val="20"/>
                <w:color w:val="auto"/>
              </w:rPr>
            </w:pPr>
            <w:r>
              <w:rPr>
                <w:rFonts w:ascii="Arial" w:cs="Arial" w:eastAsia="Arial" w:hAnsi="Arial"/>
                <w:sz w:val="13"/>
                <w:szCs w:val="13"/>
                <w:color w:val="FFFFFF"/>
              </w:rPr>
              <w:t>and class action</w:t>
            </w:r>
          </w:p>
        </w:tc>
        <w:tc>
          <w:tcPr>
            <w:tcW w:w="2080" w:type="dxa"/>
            <w:vAlign w:val="bottom"/>
          </w:tcPr>
          <w:p>
            <w:pPr>
              <w:jc w:val="center"/>
              <w:ind w:left="692"/>
              <w:spacing w:after="0"/>
              <w:rPr>
                <w:sz w:val="20"/>
                <w:szCs w:val="20"/>
                <w:color w:val="auto"/>
              </w:rPr>
            </w:pPr>
            <w:r>
              <w:rPr>
                <w:rFonts w:ascii="Arial" w:cs="Arial" w:eastAsia="Arial" w:hAnsi="Arial"/>
                <w:sz w:val="13"/>
                <w:szCs w:val="13"/>
                <w:color w:val="FFFFFF"/>
              </w:rPr>
              <w:t>on OTC Bulletin Board</w:t>
            </w:r>
          </w:p>
        </w:tc>
        <w:tc>
          <w:tcPr>
            <w:tcW w:w="0" w:type="dxa"/>
            <w:vAlign w:val="bottom"/>
          </w:tcPr>
          <w:p>
            <w:pPr>
              <w:spacing w:after="0"/>
              <w:rPr>
                <w:sz w:val="1"/>
                <w:szCs w:val="1"/>
                <w:color w:val="auto"/>
              </w:rPr>
            </w:pPr>
          </w:p>
        </w:tc>
      </w:tr>
      <w:tr>
        <w:trPr>
          <w:trHeight w:val="155"/>
        </w:trPr>
        <w:tc>
          <w:tcPr>
            <w:tcW w:w="2140" w:type="dxa"/>
            <w:vAlign w:val="bottom"/>
          </w:tcPr>
          <w:p>
            <w:pPr>
              <w:jc w:val="center"/>
              <w:ind w:right="734"/>
              <w:spacing w:after="0"/>
              <w:rPr>
                <w:sz w:val="20"/>
                <w:szCs w:val="20"/>
                <w:color w:val="auto"/>
              </w:rPr>
            </w:pPr>
            <w:r>
              <w:rPr>
                <w:rFonts w:ascii="Arial" w:cs="Arial" w:eastAsia="Arial" w:hAnsi="Arial"/>
                <w:sz w:val="13"/>
                <w:szCs w:val="13"/>
                <w:color w:val="FFFFFF"/>
                <w:w w:val="99"/>
              </w:rPr>
              <w:t>proceedings; pays $5M</w:t>
            </w: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40" w:type="dxa"/>
            <w:vAlign w:val="bottom"/>
          </w:tcPr>
          <w:p>
            <w:pPr>
              <w:jc w:val="center"/>
              <w:ind w:right="734"/>
              <w:spacing w:after="0"/>
              <w:rPr>
                <w:sz w:val="20"/>
                <w:szCs w:val="20"/>
                <w:color w:val="auto"/>
              </w:rPr>
            </w:pPr>
            <w:r>
              <w:rPr>
                <w:rFonts w:ascii="Arial" w:cs="Arial" w:eastAsia="Arial" w:hAnsi="Arial"/>
                <w:sz w:val="13"/>
                <w:szCs w:val="13"/>
                <w:color w:val="FFFFFF"/>
              </w:rPr>
              <w:t>and $1.2M in shares to</w:t>
            </w:r>
          </w:p>
        </w:tc>
        <w:tc>
          <w:tcPr>
            <w:tcW w:w="2080" w:type="dxa"/>
            <w:vAlign w:val="bottom"/>
            <w:vMerge w:val="restart"/>
          </w:tcPr>
          <w:p>
            <w:pPr>
              <w:jc w:val="center"/>
              <w:ind w:left="632"/>
              <w:spacing w:after="0"/>
              <w:rPr>
                <w:sz w:val="20"/>
                <w:szCs w:val="20"/>
                <w:color w:val="auto"/>
              </w:rPr>
            </w:pPr>
            <w:r>
              <w:rPr>
                <w:rFonts w:ascii="Arial" w:cs="Arial" w:eastAsia="Arial" w:hAnsi="Arial"/>
                <w:sz w:val="14"/>
                <w:szCs w:val="14"/>
                <w:b w:val="1"/>
                <w:bCs w:val="1"/>
                <w:color w:val="FFFFFF"/>
              </w:rPr>
              <w:t>August 2006</w:t>
            </w:r>
          </w:p>
        </w:tc>
        <w:tc>
          <w:tcPr>
            <w:tcW w:w="0" w:type="dxa"/>
            <w:vAlign w:val="bottom"/>
          </w:tcPr>
          <w:p>
            <w:pPr>
              <w:spacing w:after="0"/>
              <w:rPr>
                <w:sz w:val="1"/>
                <w:szCs w:val="1"/>
                <w:color w:val="auto"/>
              </w:rPr>
            </w:pPr>
          </w:p>
        </w:tc>
      </w:tr>
      <w:tr>
        <w:trPr>
          <w:trHeight w:val="143"/>
        </w:trPr>
        <w:tc>
          <w:tcPr>
            <w:tcW w:w="2140" w:type="dxa"/>
            <w:vAlign w:val="bottom"/>
          </w:tcPr>
          <w:p>
            <w:pPr>
              <w:jc w:val="center"/>
              <w:ind w:right="774"/>
              <w:spacing w:after="0" w:line="143" w:lineRule="exact"/>
              <w:rPr>
                <w:sz w:val="20"/>
                <w:szCs w:val="20"/>
                <w:color w:val="auto"/>
              </w:rPr>
            </w:pPr>
            <w:r>
              <w:rPr>
                <w:rFonts w:ascii="Arial" w:cs="Arial" w:eastAsia="Arial" w:hAnsi="Arial"/>
                <w:sz w:val="13"/>
                <w:szCs w:val="13"/>
                <w:color w:val="FFFFFF"/>
              </w:rPr>
              <w:t>former shareholders;</w:t>
            </w:r>
          </w:p>
        </w:tc>
        <w:tc>
          <w:tcPr>
            <w:tcW w:w="2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140" w:type="dxa"/>
            <w:vAlign w:val="bottom"/>
          </w:tcPr>
          <w:p>
            <w:pPr>
              <w:jc w:val="center"/>
              <w:ind w:right="694"/>
              <w:spacing w:after="0"/>
              <w:rPr>
                <w:sz w:val="20"/>
                <w:szCs w:val="20"/>
                <w:color w:val="auto"/>
              </w:rPr>
            </w:pPr>
            <w:r>
              <w:rPr>
                <w:rFonts w:ascii="Arial" w:cs="Arial" w:eastAsia="Arial" w:hAnsi="Arial"/>
                <w:sz w:val="13"/>
                <w:szCs w:val="13"/>
                <w:color w:val="FFFFFF"/>
              </w:rPr>
              <w:t>pays no fine to the SEC</w:t>
            </w:r>
          </w:p>
        </w:tc>
        <w:tc>
          <w:tcPr>
            <w:tcW w:w="2080" w:type="dxa"/>
            <w:vAlign w:val="bottom"/>
          </w:tcPr>
          <w:p>
            <w:pPr>
              <w:jc w:val="center"/>
              <w:ind w:left="652"/>
              <w:spacing w:after="0"/>
              <w:rPr>
                <w:sz w:val="20"/>
                <w:szCs w:val="20"/>
                <w:color w:val="auto"/>
              </w:rPr>
            </w:pPr>
            <w:r>
              <w:rPr>
                <w:rFonts w:ascii="Arial" w:cs="Arial" w:eastAsia="Arial" w:hAnsi="Arial"/>
                <w:sz w:val="13"/>
                <w:szCs w:val="13"/>
                <w:color w:val="FFFFFF"/>
              </w:rPr>
              <w:t>Board authorizes $2M</w:t>
            </w:r>
          </w:p>
        </w:tc>
        <w:tc>
          <w:tcPr>
            <w:tcW w:w="0" w:type="dxa"/>
            <w:vAlign w:val="bottom"/>
          </w:tcPr>
          <w:p>
            <w:pPr>
              <w:spacing w:after="0"/>
              <w:rPr>
                <w:sz w:val="1"/>
                <w:szCs w:val="1"/>
                <w:color w:val="auto"/>
              </w:rPr>
            </w:pPr>
          </w:p>
        </w:tc>
      </w:tr>
      <w:tr>
        <w:trPr>
          <w:trHeight w:val="157"/>
        </w:trPr>
        <w:tc>
          <w:tcPr>
            <w:tcW w:w="2140" w:type="dxa"/>
            <w:vAlign w:val="bottom"/>
          </w:tcPr>
          <w:p>
            <w:pPr>
              <w:spacing w:after="0"/>
              <w:rPr>
                <w:sz w:val="13"/>
                <w:szCs w:val="13"/>
                <w:color w:val="auto"/>
              </w:rPr>
            </w:pPr>
          </w:p>
        </w:tc>
        <w:tc>
          <w:tcPr>
            <w:tcW w:w="2080" w:type="dxa"/>
            <w:vAlign w:val="bottom"/>
          </w:tcPr>
          <w:p>
            <w:pPr>
              <w:ind w:left="920"/>
              <w:spacing w:after="0"/>
              <w:rPr>
                <w:sz w:val="20"/>
                <w:szCs w:val="20"/>
                <w:color w:val="auto"/>
              </w:rPr>
            </w:pPr>
            <w:r>
              <w:rPr>
                <w:rFonts w:ascii="Arial" w:cs="Arial" w:eastAsia="Arial" w:hAnsi="Arial"/>
                <w:sz w:val="13"/>
                <w:szCs w:val="13"/>
                <w:color w:val="FFFFFF"/>
              </w:rPr>
              <w:t>stock buy-back</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80"/>
        <w:spacing w:after="0"/>
        <w:rPr>
          <w:sz w:val="20"/>
          <w:szCs w:val="20"/>
          <w:color w:val="auto"/>
        </w:rPr>
      </w:pPr>
      <w:r>
        <w:rPr>
          <w:rFonts w:ascii="Arial" w:cs="Arial" w:eastAsia="Arial" w:hAnsi="Arial"/>
          <w:sz w:val="23"/>
          <w:szCs w:val="23"/>
          <w:color w:val="FFFFFF"/>
        </w:rPr>
        <w:t>SEC Investigation</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6"/>
          <w:szCs w:val="16"/>
          <w:color w:val="FFFFFF"/>
        </w:rPr>
        <w:t>January 2003-July 2006</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Arial" w:cs="Arial" w:eastAsia="Arial" w:hAnsi="Arial"/>
          <w:sz w:val="14"/>
          <w:szCs w:val="14"/>
          <w:b w:val="1"/>
          <w:bCs w:val="1"/>
          <w:color w:val="FFFFFF"/>
        </w:rPr>
        <w:t>August 2008</w:t>
      </w:r>
    </w:p>
    <w:p>
      <w:pPr>
        <w:spacing w:after="0" w:line="23" w:lineRule="exact"/>
        <w:rPr>
          <w:sz w:val="20"/>
          <w:szCs w:val="20"/>
          <w:color w:val="auto"/>
        </w:rPr>
      </w:pPr>
    </w:p>
    <w:p>
      <w:pPr>
        <w:ind w:firstLine="179"/>
        <w:spacing w:after="0" w:line="254" w:lineRule="auto"/>
        <w:rPr>
          <w:sz w:val="20"/>
          <w:szCs w:val="20"/>
          <w:color w:val="auto"/>
        </w:rPr>
      </w:pPr>
      <w:r>
        <w:rPr>
          <w:rFonts w:ascii="Arial" w:cs="Arial" w:eastAsia="Arial" w:hAnsi="Arial"/>
          <w:sz w:val="13"/>
          <w:szCs w:val="13"/>
          <w:color w:val="FFFFFF"/>
        </w:rPr>
        <w:t>Tender offer to repurchase up to 20% shares outstanding</w:t>
      </w:r>
    </w:p>
    <w:p>
      <w:pPr>
        <w:spacing w:after="0" w:line="26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November 2008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ClearOne awarded</w:t>
      </w:r>
    </w:p>
    <w:p>
      <w:pPr>
        <w:jc w:val="center"/>
        <w:ind w:right="60"/>
        <w:spacing w:after="0"/>
        <w:rPr>
          <w:sz w:val="20"/>
          <w:szCs w:val="20"/>
          <w:color w:val="auto"/>
        </w:rPr>
      </w:pPr>
      <w:r>
        <w:rPr>
          <w:rFonts w:ascii="Arial" w:cs="Arial" w:eastAsia="Arial" w:hAnsi="Arial"/>
          <w:sz w:val="13"/>
          <w:szCs w:val="13"/>
          <w:color w:val="FFFFFF"/>
        </w:rPr>
        <w:t>$10.5M in punitive</w:t>
      </w:r>
    </w:p>
    <w:p>
      <w:pPr>
        <w:jc w:val="center"/>
        <w:ind w:right="20"/>
        <w:spacing w:after="0"/>
        <w:rPr>
          <w:sz w:val="20"/>
          <w:szCs w:val="20"/>
          <w:color w:val="auto"/>
        </w:rPr>
      </w:pPr>
      <w:r>
        <w:rPr>
          <w:rFonts w:ascii="Arial" w:cs="Arial" w:eastAsia="Arial" w:hAnsi="Arial"/>
          <w:sz w:val="13"/>
          <w:szCs w:val="13"/>
          <w:color w:val="FFFFFF"/>
        </w:rPr>
        <w:t>and compensatory</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FFFFFF"/>
        </w:rPr>
        <w:t>damages in trade</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FFFFFF"/>
        </w:rPr>
        <w:t>secret case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FFFFFF"/>
        </w:rPr>
        <w:t>July 2009</w:t>
      </w:r>
    </w:p>
    <w:tbl>
      <w:tblPr>
        <w:tblLayout w:type="fixed"/>
        <w:tblInd w:w="0" w:type="dxa"/>
        <w:tblCellMar>
          <w:top w:w="0" w:type="dxa"/>
          <w:left w:w="0" w:type="dxa"/>
          <w:bottom w:w="0" w:type="dxa"/>
          <w:right w:w="0" w:type="dxa"/>
        </w:tblCellMar>
      </w:tblPr>
      <w:tr>
        <w:trPr>
          <w:trHeight w:val="154"/>
        </w:trPr>
        <w:tc>
          <w:tcPr>
            <w:tcW w:w="1720" w:type="dxa"/>
            <w:vAlign w:val="bottom"/>
          </w:tcPr>
          <w:p>
            <w:pPr>
              <w:jc w:val="center"/>
              <w:ind w:right="254"/>
              <w:spacing w:after="0"/>
              <w:rPr>
                <w:sz w:val="20"/>
                <w:szCs w:val="20"/>
                <w:color w:val="auto"/>
              </w:rPr>
            </w:pPr>
            <w:r>
              <w:rPr>
                <w:rFonts w:ascii="Arial" w:cs="Arial" w:eastAsia="Arial" w:hAnsi="Arial"/>
                <w:sz w:val="13"/>
                <w:szCs w:val="13"/>
                <w:color w:val="FFFFFF"/>
              </w:rPr>
              <w:t>ClearOne named one of</w:t>
            </w:r>
          </w:p>
        </w:tc>
        <w:tc>
          <w:tcPr>
            <w:tcW w:w="1600" w:type="dxa"/>
            <w:vAlign w:val="bottom"/>
          </w:tcPr>
          <w:p>
            <w:pPr>
              <w:jc w:val="center"/>
              <w:ind w:left="213"/>
              <w:spacing w:after="0" w:line="154" w:lineRule="exact"/>
              <w:rPr>
                <w:sz w:val="20"/>
                <w:szCs w:val="20"/>
                <w:color w:val="auto"/>
              </w:rPr>
            </w:pPr>
            <w:r>
              <w:rPr>
                <w:rFonts w:ascii="Arial" w:cs="Arial" w:eastAsia="Arial" w:hAnsi="Arial"/>
                <w:sz w:val="14"/>
                <w:szCs w:val="14"/>
                <w:b w:val="1"/>
                <w:bCs w:val="1"/>
                <w:color w:val="FFFFFF"/>
              </w:rPr>
              <w:t>February 2013</w:t>
            </w:r>
          </w:p>
        </w:tc>
        <w:tc>
          <w:tcPr>
            <w:tcW w:w="0" w:type="dxa"/>
            <w:vAlign w:val="bottom"/>
          </w:tcPr>
          <w:p>
            <w:pPr>
              <w:spacing w:after="0"/>
              <w:rPr>
                <w:sz w:val="1"/>
                <w:szCs w:val="1"/>
                <w:color w:val="auto"/>
              </w:rPr>
            </w:pPr>
          </w:p>
        </w:tc>
      </w:tr>
      <w:tr>
        <w:trPr>
          <w:trHeight w:val="155"/>
        </w:trPr>
        <w:tc>
          <w:tcPr>
            <w:tcW w:w="1720" w:type="dxa"/>
            <w:vAlign w:val="bottom"/>
          </w:tcPr>
          <w:p>
            <w:pPr>
              <w:jc w:val="center"/>
              <w:ind w:right="294"/>
              <w:spacing w:after="0"/>
              <w:rPr>
                <w:sz w:val="20"/>
                <w:szCs w:val="20"/>
                <w:color w:val="auto"/>
              </w:rPr>
            </w:pPr>
            <w:r>
              <w:rPr>
                <w:rFonts w:ascii="Arial" w:cs="Arial" w:eastAsia="Arial" w:hAnsi="Arial"/>
                <w:sz w:val="13"/>
                <w:szCs w:val="13"/>
                <w:color w:val="FFFFFF"/>
              </w:rPr>
              <w:t>America’s fastest</w:t>
            </w:r>
          </w:p>
        </w:tc>
        <w:tc>
          <w:tcPr>
            <w:tcW w:w="1600" w:type="dxa"/>
            <w:vAlign w:val="bottom"/>
          </w:tcPr>
          <w:p>
            <w:pPr>
              <w:jc w:val="center"/>
              <w:ind w:left="173"/>
              <w:spacing w:after="0"/>
              <w:rPr>
                <w:sz w:val="20"/>
                <w:szCs w:val="20"/>
                <w:color w:val="auto"/>
              </w:rPr>
            </w:pPr>
            <w:r>
              <w:rPr>
                <w:rFonts w:ascii="Arial" w:cs="Arial" w:eastAsia="Arial" w:hAnsi="Arial"/>
                <w:sz w:val="13"/>
                <w:szCs w:val="13"/>
                <w:color w:val="FFFFFF"/>
              </w:rPr>
              <w:t>Board approves</w:t>
            </w:r>
          </w:p>
        </w:tc>
        <w:tc>
          <w:tcPr>
            <w:tcW w:w="0" w:type="dxa"/>
            <w:vAlign w:val="bottom"/>
          </w:tcPr>
          <w:p>
            <w:pPr>
              <w:spacing w:after="0"/>
              <w:rPr>
                <w:sz w:val="1"/>
                <w:szCs w:val="1"/>
                <w:color w:val="auto"/>
              </w:rPr>
            </w:pPr>
          </w:p>
        </w:tc>
      </w:tr>
      <w:tr>
        <w:trPr>
          <w:trHeight w:val="155"/>
        </w:trPr>
        <w:tc>
          <w:tcPr>
            <w:tcW w:w="1720" w:type="dxa"/>
            <w:vAlign w:val="bottom"/>
          </w:tcPr>
          <w:p>
            <w:pPr>
              <w:jc w:val="center"/>
              <w:ind w:right="274"/>
              <w:spacing w:after="0"/>
              <w:rPr>
                <w:sz w:val="20"/>
                <w:szCs w:val="20"/>
                <w:color w:val="auto"/>
              </w:rPr>
            </w:pPr>
            <w:r>
              <w:rPr>
                <w:rFonts w:ascii="Arial" w:cs="Arial" w:eastAsia="Arial" w:hAnsi="Arial"/>
                <w:sz w:val="13"/>
                <w:szCs w:val="13"/>
                <w:color w:val="FFFFFF"/>
              </w:rPr>
              <w:t>growing small public</w:t>
            </w:r>
          </w:p>
        </w:tc>
        <w:tc>
          <w:tcPr>
            <w:tcW w:w="1600" w:type="dxa"/>
            <w:vAlign w:val="bottom"/>
          </w:tcPr>
          <w:p>
            <w:pPr>
              <w:jc w:val="center"/>
              <w:ind w:left="253"/>
              <w:spacing w:after="0"/>
              <w:rPr>
                <w:sz w:val="20"/>
                <w:szCs w:val="20"/>
                <w:color w:val="auto"/>
              </w:rPr>
            </w:pPr>
            <w:r>
              <w:rPr>
                <w:rFonts w:ascii="Arial" w:cs="Arial" w:eastAsia="Arial" w:hAnsi="Arial"/>
                <w:sz w:val="13"/>
                <w:szCs w:val="13"/>
                <w:color w:val="FFFFFF"/>
              </w:rPr>
              <w:t>increase of stock buy-</w:t>
            </w:r>
          </w:p>
        </w:tc>
        <w:tc>
          <w:tcPr>
            <w:tcW w:w="0" w:type="dxa"/>
            <w:vAlign w:val="bottom"/>
          </w:tcPr>
          <w:p>
            <w:pPr>
              <w:spacing w:after="0"/>
              <w:rPr>
                <w:sz w:val="1"/>
                <w:szCs w:val="1"/>
                <w:color w:val="auto"/>
              </w:rPr>
            </w:pPr>
          </w:p>
        </w:tc>
      </w:tr>
      <w:tr>
        <w:trPr>
          <w:trHeight w:val="167"/>
        </w:trPr>
        <w:tc>
          <w:tcPr>
            <w:tcW w:w="1720" w:type="dxa"/>
            <w:vAlign w:val="bottom"/>
          </w:tcPr>
          <w:p>
            <w:pPr>
              <w:jc w:val="center"/>
              <w:ind w:right="274"/>
              <w:spacing w:after="0"/>
              <w:rPr>
                <w:sz w:val="20"/>
                <w:szCs w:val="20"/>
                <w:color w:val="auto"/>
              </w:rPr>
            </w:pPr>
            <w:r>
              <w:rPr>
                <w:rFonts w:ascii="Arial" w:cs="Arial" w:eastAsia="Arial" w:hAnsi="Arial"/>
                <w:sz w:val="13"/>
                <w:szCs w:val="13"/>
                <w:color w:val="FFFFFF"/>
              </w:rPr>
              <w:t>companies by Fortune</w:t>
            </w:r>
          </w:p>
        </w:tc>
        <w:tc>
          <w:tcPr>
            <w:tcW w:w="1600" w:type="dxa"/>
            <w:vAlign w:val="bottom"/>
          </w:tcPr>
          <w:p>
            <w:pPr>
              <w:jc w:val="center"/>
              <w:ind w:left="153"/>
              <w:spacing w:after="0"/>
              <w:rPr>
                <w:sz w:val="20"/>
                <w:szCs w:val="20"/>
                <w:color w:val="auto"/>
              </w:rPr>
            </w:pPr>
            <w:r>
              <w:rPr>
                <w:rFonts w:ascii="Arial" w:cs="Arial" w:eastAsia="Arial" w:hAnsi="Arial"/>
                <w:sz w:val="13"/>
                <w:szCs w:val="13"/>
                <w:color w:val="FFFFFF"/>
                <w:w w:val="99"/>
              </w:rPr>
              <w:t>back to $10M</w:t>
            </w:r>
          </w:p>
        </w:tc>
        <w:tc>
          <w:tcPr>
            <w:tcW w:w="0" w:type="dxa"/>
            <w:vAlign w:val="bottom"/>
          </w:tcPr>
          <w:p>
            <w:pPr>
              <w:spacing w:after="0"/>
              <w:rPr>
                <w:sz w:val="1"/>
                <w:szCs w:val="1"/>
                <w:color w:val="auto"/>
              </w:rPr>
            </w:pPr>
          </w:p>
        </w:tc>
      </w:tr>
      <w:tr>
        <w:trPr>
          <w:trHeight w:val="155"/>
        </w:trPr>
        <w:tc>
          <w:tcPr>
            <w:tcW w:w="1720" w:type="dxa"/>
            <w:vAlign w:val="bottom"/>
          </w:tcPr>
          <w:p>
            <w:pPr>
              <w:jc w:val="center"/>
              <w:ind w:right="274"/>
              <w:spacing w:after="0"/>
              <w:rPr>
                <w:sz w:val="20"/>
                <w:szCs w:val="20"/>
                <w:color w:val="auto"/>
              </w:rPr>
            </w:pPr>
            <w:r>
              <w:rPr>
                <w:rFonts w:ascii="Arial" w:cs="Arial" w:eastAsia="Arial" w:hAnsi="Arial"/>
                <w:sz w:val="13"/>
                <w:szCs w:val="13"/>
                <w:color w:val="FFFFFF"/>
              </w:rPr>
              <w:t>Small Business</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720" w:type="dxa"/>
            <w:vAlign w:val="bottom"/>
          </w:tcPr>
          <w:p>
            <w:pPr>
              <w:ind w:left="380"/>
              <w:spacing w:after="0"/>
              <w:rPr>
                <w:sz w:val="20"/>
                <w:szCs w:val="20"/>
                <w:color w:val="auto"/>
              </w:rPr>
            </w:pPr>
            <w:r>
              <w:rPr>
                <w:rFonts w:ascii="Arial" w:cs="Arial" w:eastAsia="Arial" w:hAnsi="Arial"/>
                <w:sz w:val="13"/>
                <w:szCs w:val="13"/>
                <w:color w:val="FFFFFF"/>
              </w:rPr>
              <w:t>magazine</w:t>
            </w:r>
          </w:p>
        </w:tc>
        <w:tc>
          <w:tcPr>
            <w:tcW w:w="1600" w:type="dxa"/>
            <w:vAlign w:val="bottom"/>
            <w:vMerge w:val="restart"/>
          </w:tcPr>
          <w:p>
            <w:pPr>
              <w:jc w:val="center"/>
              <w:ind w:left="133"/>
              <w:spacing w:after="0"/>
              <w:rPr>
                <w:sz w:val="20"/>
                <w:szCs w:val="20"/>
                <w:color w:val="auto"/>
              </w:rPr>
            </w:pPr>
            <w:r>
              <w:rPr>
                <w:rFonts w:ascii="Arial" w:cs="Arial" w:eastAsia="Arial" w:hAnsi="Arial"/>
                <w:sz w:val="14"/>
                <w:szCs w:val="14"/>
                <w:b w:val="1"/>
                <w:bCs w:val="1"/>
                <w:color w:val="FFFFFF"/>
              </w:rPr>
              <w:t>April 2013</w:t>
            </w:r>
          </w:p>
        </w:tc>
        <w:tc>
          <w:tcPr>
            <w:tcW w:w="0" w:type="dxa"/>
            <w:vAlign w:val="bottom"/>
          </w:tcPr>
          <w:p>
            <w:pPr>
              <w:spacing w:after="0"/>
              <w:rPr>
                <w:sz w:val="1"/>
                <w:szCs w:val="1"/>
                <w:color w:val="auto"/>
              </w:rPr>
            </w:pPr>
          </w:p>
        </w:tc>
      </w:tr>
      <w:tr>
        <w:trPr>
          <w:trHeight w:val="106"/>
        </w:trPr>
        <w:tc>
          <w:tcPr>
            <w:tcW w:w="172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1600" w:type="dxa"/>
            <w:vAlign w:val="bottom"/>
          </w:tcPr>
          <w:p>
            <w:pPr>
              <w:jc w:val="center"/>
              <w:ind w:left="193"/>
              <w:spacing w:after="0"/>
              <w:rPr>
                <w:sz w:val="20"/>
                <w:szCs w:val="20"/>
                <w:color w:val="auto"/>
              </w:rPr>
            </w:pPr>
            <w:r>
              <w:rPr>
                <w:rFonts w:ascii="Arial" w:cs="Arial" w:eastAsia="Arial" w:hAnsi="Arial"/>
                <w:sz w:val="13"/>
                <w:szCs w:val="13"/>
                <w:color w:val="FFFFFF"/>
              </w:rPr>
              <w:t>ClearOne recoups</w:t>
            </w:r>
          </w:p>
        </w:tc>
        <w:tc>
          <w:tcPr>
            <w:tcW w:w="0" w:type="dxa"/>
            <w:vAlign w:val="bottom"/>
          </w:tcPr>
          <w:p>
            <w:pPr>
              <w:spacing w:after="0"/>
              <w:rPr>
                <w:sz w:val="1"/>
                <w:szCs w:val="1"/>
                <w:color w:val="auto"/>
              </w:rPr>
            </w:pPr>
          </w:p>
        </w:tc>
      </w:tr>
      <w:tr>
        <w:trPr>
          <w:trHeight w:val="155"/>
        </w:trPr>
        <w:tc>
          <w:tcPr>
            <w:tcW w:w="1720" w:type="dxa"/>
            <w:vAlign w:val="bottom"/>
          </w:tcPr>
          <w:p>
            <w:pPr>
              <w:jc w:val="center"/>
              <w:ind w:right="234"/>
              <w:spacing w:after="0" w:line="155" w:lineRule="exact"/>
              <w:rPr>
                <w:sz w:val="20"/>
                <w:szCs w:val="20"/>
                <w:color w:val="auto"/>
              </w:rPr>
            </w:pPr>
            <w:r>
              <w:rPr>
                <w:rFonts w:ascii="Arial" w:cs="Arial" w:eastAsia="Arial" w:hAnsi="Arial"/>
                <w:sz w:val="14"/>
                <w:szCs w:val="14"/>
                <w:b w:val="1"/>
                <w:bCs w:val="1"/>
                <w:color w:val="FFFFFF"/>
              </w:rPr>
              <w:t>November 2009</w:t>
            </w:r>
          </w:p>
        </w:tc>
        <w:tc>
          <w:tcPr>
            <w:tcW w:w="1600" w:type="dxa"/>
            <w:vAlign w:val="bottom"/>
          </w:tcPr>
          <w:p>
            <w:pPr>
              <w:jc w:val="center"/>
              <w:ind w:left="173"/>
              <w:spacing w:after="0"/>
              <w:rPr>
                <w:sz w:val="20"/>
                <w:szCs w:val="20"/>
                <w:color w:val="auto"/>
              </w:rPr>
            </w:pPr>
            <w:r>
              <w:rPr>
                <w:rFonts w:ascii="Arial" w:cs="Arial" w:eastAsia="Arial" w:hAnsi="Arial"/>
                <w:sz w:val="13"/>
                <w:szCs w:val="13"/>
                <w:color w:val="FFFFFF"/>
              </w:rPr>
              <w:t>~$500K in legal</w:t>
            </w:r>
          </w:p>
        </w:tc>
        <w:tc>
          <w:tcPr>
            <w:tcW w:w="0" w:type="dxa"/>
            <w:vAlign w:val="bottom"/>
          </w:tcPr>
          <w:p>
            <w:pPr>
              <w:spacing w:after="0"/>
              <w:rPr>
                <w:sz w:val="1"/>
                <w:szCs w:val="1"/>
                <w:color w:val="auto"/>
              </w:rPr>
            </w:pPr>
          </w:p>
        </w:tc>
      </w:tr>
      <w:tr>
        <w:trPr>
          <w:trHeight w:val="179"/>
        </w:trPr>
        <w:tc>
          <w:tcPr>
            <w:tcW w:w="1720" w:type="dxa"/>
            <w:vAlign w:val="bottom"/>
          </w:tcPr>
          <w:p>
            <w:pPr>
              <w:jc w:val="center"/>
              <w:ind w:right="214"/>
              <w:spacing w:after="0"/>
              <w:rPr>
                <w:sz w:val="20"/>
                <w:szCs w:val="20"/>
                <w:color w:val="auto"/>
              </w:rPr>
            </w:pPr>
            <w:r>
              <w:rPr>
                <w:rFonts w:ascii="Arial" w:cs="Arial" w:eastAsia="Arial" w:hAnsi="Arial"/>
                <w:sz w:val="13"/>
                <w:szCs w:val="13"/>
                <w:color w:val="FFFFFF"/>
                <w:w w:val="99"/>
              </w:rPr>
              <w:t>ClearOne acquires</w:t>
            </w:r>
          </w:p>
        </w:tc>
        <w:tc>
          <w:tcPr>
            <w:tcW w:w="1600" w:type="dxa"/>
            <w:vAlign w:val="bottom"/>
          </w:tcPr>
          <w:p>
            <w:pPr>
              <w:jc w:val="center"/>
              <w:ind w:left="133"/>
              <w:spacing w:after="0"/>
              <w:rPr>
                <w:sz w:val="20"/>
                <w:szCs w:val="20"/>
                <w:color w:val="auto"/>
              </w:rPr>
            </w:pPr>
            <w:r>
              <w:rPr>
                <w:rFonts w:ascii="Arial" w:cs="Arial" w:eastAsia="Arial" w:hAnsi="Arial"/>
                <w:sz w:val="13"/>
                <w:szCs w:val="13"/>
                <w:color w:val="FFFFFF"/>
              </w:rPr>
              <w:t>expenses</w:t>
            </w:r>
          </w:p>
        </w:tc>
        <w:tc>
          <w:tcPr>
            <w:tcW w:w="0" w:type="dxa"/>
            <w:vAlign w:val="bottom"/>
          </w:tcPr>
          <w:p>
            <w:pPr>
              <w:spacing w:after="0"/>
              <w:rPr>
                <w:sz w:val="1"/>
                <w:szCs w:val="1"/>
                <w:color w:val="auto"/>
              </w:rPr>
            </w:pPr>
          </w:p>
        </w:tc>
      </w:tr>
      <w:tr>
        <w:trPr>
          <w:trHeight w:val="157"/>
        </w:trPr>
        <w:tc>
          <w:tcPr>
            <w:tcW w:w="1720" w:type="dxa"/>
            <w:vAlign w:val="bottom"/>
          </w:tcPr>
          <w:p>
            <w:pPr>
              <w:jc w:val="center"/>
              <w:ind w:right="274"/>
              <w:spacing w:after="0"/>
              <w:rPr>
                <w:sz w:val="20"/>
                <w:szCs w:val="20"/>
                <w:color w:val="auto"/>
              </w:rPr>
            </w:pPr>
            <w:r>
              <w:rPr>
                <w:rFonts w:ascii="Arial" w:cs="Arial" w:eastAsia="Arial" w:hAnsi="Arial"/>
                <w:sz w:val="13"/>
                <w:szCs w:val="13"/>
                <w:color w:val="FFFFFF"/>
              </w:rPr>
              <w:t>NetStreams</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sectPr>
          <w:pgSz w:w="11900" w:h="16838" w:orient="portrait"/>
          <w:cols w:equalWidth="0" w:num="3">
            <w:col w:w="4300" w:space="540"/>
            <w:col w:w="1280" w:space="660"/>
            <w:col w:w="4100"/>
          </w:cols>
          <w:pgMar w:left="640" w:top="517" w:right="379" w:bottom="1440" w:gutter="0" w:footer="0" w:header="0"/>
          <w:type w:val="continuous"/>
        </w:sectPr>
      </w:pPr>
    </w:p>
    <w:p>
      <w:pPr>
        <w:ind w:left="1040"/>
        <w:spacing w:after="0"/>
        <w:tabs>
          <w:tab w:leader="none" w:pos="6460" w:val="left"/>
        </w:tabs>
        <w:rPr>
          <w:sz w:val="20"/>
          <w:szCs w:val="20"/>
          <w:color w:val="auto"/>
        </w:rPr>
      </w:pPr>
      <w:r>
        <w:rPr>
          <w:rFonts w:ascii="Arial" w:cs="Arial" w:eastAsia="Arial" w:hAnsi="Arial"/>
          <w:sz w:val="23"/>
          <w:szCs w:val="23"/>
          <w:color w:val="FFFFFF"/>
        </w:rPr>
        <w:t>Delisted from NASDAQ</w:t>
      </w:r>
      <w:r>
        <w:rPr>
          <w:sz w:val="20"/>
          <w:szCs w:val="20"/>
          <w:color w:val="auto"/>
        </w:rPr>
        <w:tab/>
      </w:r>
      <w:r>
        <w:rPr>
          <w:rFonts w:ascii="Arial" w:cs="Arial" w:eastAsia="Arial" w:hAnsi="Arial"/>
          <w:sz w:val="22"/>
          <w:szCs w:val="22"/>
          <w:color w:val="FFFFFF"/>
        </w:rPr>
        <w:t>CLRO Trades on NASDAQ</w:t>
      </w:r>
    </w:p>
    <w:p>
      <w:pPr>
        <w:spacing w:after="0" w:line="15" w:lineRule="exact"/>
        <w:rPr>
          <w:sz w:val="20"/>
          <w:szCs w:val="20"/>
          <w:color w:val="auto"/>
        </w:rPr>
      </w:pPr>
    </w:p>
    <w:p>
      <w:pPr>
        <w:ind w:left="1280"/>
        <w:spacing w:after="0"/>
        <w:tabs>
          <w:tab w:leader="none" w:pos="6920" w:val="left"/>
        </w:tabs>
        <w:rPr>
          <w:sz w:val="20"/>
          <w:szCs w:val="20"/>
          <w:color w:val="auto"/>
        </w:rPr>
      </w:pPr>
      <w:r>
        <w:rPr>
          <w:rFonts w:ascii="Arial" w:cs="Arial" w:eastAsia="Arial" w:hAnsi="Arial"/>
          <w:sz w:val="16"/>
          <w:szCs w:val="16"/>
          <w:color w:val="FFFFFF"/>
        </w:rPr>
        <w:t>April 2003-August 2007</w:t>
      </w:r>
      <w:r>
        <w:rPr>
          <w:sz w:val="20"/>
          <w:szCs w:val="20"/>
          <w:color w:val="auto"/>
        </w:rPr>
        <w:tab/>
      </w:r>
      <w:r>
        <w:rPr>
          <w:rFonts w:ascii="Arial" w:cs="Arial" w:eastAsia="Arial" w:hAnsi="Arial"/>
          <w:sz w:val="14"/>
          <w:szCs w:val="14"/>
          <w:color w:val="FFFFFF"/>
        </w:rPr>
        <w:t>August 2007-Present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November 18, 2013</w:t>
      </w:r>
    </w:p>
    <w:sectPr>
      <w:pgSz w:w="11900" w:h="16838" w:orient="portrait"/>
      <w:cols w:equalWidth="0" w:num="1">
        <w:col w:w="10880"/>
      </w:cols>
      <w:pgMar w:left="640" w:top="517"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2019-12-06T04:11:14Z</dcterms:created>
  <dcterms:modified xsi:type="dcterms:W3CDTF">2019-12-06T04:11:14Z</dcterms:modified>
</cp:coreProperties>
</file>