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 SECURITIES AND EXCHANGE COMMISSION</w:t>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0"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8-K</w:t>
      </w:r>
    </w:p>
    <w:p>
      <w:pPr>
        <w:spacing w:after="0" w:line="23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u w:val="single" w:color="auto"/>
          <w:color w:val="auto"/>
        </w:rPr>
        <w:t>August 24, 2021</w:t>
      </w:r>
      <w:r>
        <w:rPr>
          <w:rFonts w:ascii="Arial" w:cs="Arial" w:eastAsia="Arial" w:hAnsi="Arial"/>
          <w:sz w:val="18"/>
          <w:szCs w:val="18"/>
          <w:color w:val="auto"/>
        </w:rPr>
        <w:t xml:space="preserve"> </w:t>
      </w:r>
      <w:r>
        <w:rPr>
          <w:rFonts w:ascii="Arial" w:cs="Arial" w:eastAsia="Arial" w:hAnsi="Arial"/>
          <w:sz w:val="18"/>
          <w:szCs w:val="18"/>
          <w:b w:val="1"/>
          <w:bCs w:val="1"/>
          <w:color w:val="auto"/>
        </w:rPr>
        <w:t>(August 20, 2021)</w:t>
      </w:r>
    </w:p>
    <w:p>
      <w:pPr>
        <w:spacing w:after="0" w:line="220" w:lineRule="exact"/>
        <w:rPr>
          <w:sz w:val="24"/>
          <w:szCs w:val="24"/>
          <w:color w:val="auto"/>
        </w:rPr>
      </w:pPr>
    </w:p>
    <w:p>
      <w:pPr>
        <w:jc w:val="center"/>
        <w:spacing w:after="0"/>
        <w:rPr>
          <w:sz w:val="20"/>
          <w:szCs w:val="20"/>
          <w:color w:val="auto"/>
        </w:rPr>
      </w:pPr>
      <w:r>
        <w:rPr>
          <w:rFonts w:ascii="Arial" w:cs="Arial" w:eastAsia="Arial" w:hAnsi="Arial"/>
          <w:sz w:val="25"/>
          <w:szCs w:val="25"/>
          <w:b w:val="1"/>
          <w:bCs w:val="1"/>
          <w:u w:val="single" w:color="auto"/>
          <w:color w:val="auto"/>
        </w:rPr>
        <w:t>ClearOne, Inc.</w:t>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52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93"/>
              </w:rPr>
              <w:t>Delaware</w:t>
            </w:r>
          </w:p>
        </w:tc>
        <w:tc>
          <w:tcPr>
            <w:tcW w:w="1780" w:type="dxa"/>
            <w:vAlign w:val="bottom"/>
            <w:gridSpan w:val="2"/>
          </w:tcPr>
          <w:p>
            <w:pPr>
              <w:jc w:val="center"/>
              <w:ind w:left="350"/>
              <w:spacing w:after="0"/>
              <w:rPr>
                <w:sz w:val="20"/>
                <w:szCs w:val="20"/>
                <w:color w:val="auto"/>
              </w:rPr>
            </w:pPr>
            <w:r>
              <w:rPr>
                <w:rFonts w:ascii="Arial" w:cs="Arial" w:eastAsia="Arial" w:hAnsi="Arial"/>
                <w:sz w:val="18"/>
                <w:szCs w:val="18"/>
                <w:b w:val="1"/>
                <w:bCs w:val="1"/>
                <w:color w:val="auto"/>
                <w:w w:val="90"/>
              </w:rPr>
              <w:t>001-33660</w:t>
            </w:r>
          </w:p>
        </w:tc>
        <w:tc>
          <w:tcPr>
            <w:tcW w:w="4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jc w:val="right"/>
              <w:ind w:right="1690"/>
              <w:spacing w:after="0"/>
              <w:rPr>
                <w:sz w:val="20"/>
                <w:szCs w:val="20"/>
                <w:color w:val="auto"/>
              </w:rPr>
            </w:pPr>
            <w:r>
              <w:rPr>
                <w:rFonts w:ascii="Arial" w:cs="Arial" w:eastAsia="Arial" w:hAnsi="Arial"/>
                <w:sz w:val="18"/>
                <w:szCs w:val="18"/>
                <w:b w:val="1"/>
                <w:bCs w:val="1"/>
                <w:color w:val="auto"/>
              </w:rPr>
              <w:t>87-0398877</w:t>
            </w:r>
          </w:p>
        </w:tc>
      </w:tr>
      <w:tr>
        <w:trPr>
          <w:trHeight w:val="224"/>
        </w:trPr>
        <w:tc>
          <w:tcPr>
            <w:tcW w:w="44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(State or Other Jurisdiction of Incorporation)</w:t>
            </w:r>
          </w:p>
        </w:tc>
        <w:tc>
          <w:tcPr>
            <w:tcW w:w="80" w:type="dxa"/>
            <w:vAlign w:val="bottom"/>
          </w:tcPr>
          <w:p>
            <w:pPr>
              <w:spacing w:after="0"/>
              <w:rPr>
                <w:sz w:val="19"/>
                <w:szCs w:val="19"/>
                <w:color w:val="auto"/>
              </w:rPr>
            </w:pPr>
          </w:p>
        </w:tc>
        <w:tc>
          <w:tcPr>
            <w:tcW w:w="2240" w:type="dxa"/>
            <w:vAlign w:val="bottom"/>
            <w:tcBorders>
              <w:top w:val="single" w:sz="8" w:color="auto"/>
            </w:tcBorders>
            <w:gridSpan w:val="3"/>
          </w:tcPr>
          <w:p>
            <w:pPr>
              <w:ind w:left="140"/>
              <w:spacing w:after="0"/>
              <w:rPr>
                <w:sz w:val="20"/>
                <w:szCs w:val="20"/>
                <w:color w:val="auto"/>
              </w:rPr>
            </w:pPr>
            <w:r>
              <w:rPr>
                <w:rFonts w:ascii="Arial" w:cs="Arial" w:eastAsia="Arial" w:hAnsi="Arial"/>
                <w:sz w:val="18"/>
                <w:szCs w:val="18"/>
                <w:color w:val="auto"/>
                <w:w w:val="97"/>
              </w:rPr>
              <w:t>(Commission File Number)</w:t>
            </w:r>
          </w:p>
        </w:tc>
        <w:tc>
          <w:tcPr>
            <w:tcW w:w="60" w:type="dxa"/>
            <w:vAlign w:val="bottom"/>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3600" w:type="dxa"/>
            <w:vAlign w:val="bottom"/>
            <w:tcBorders>
              <w:top w:val="single" w:sz="8" w:color="auto"/>
            </w:tcBorders>
          </w:tcPr>
          <w:p>
            <w:pPr>
              <w:jc w:val="center"/>
              <w:ind w:right="710"/>
              <w:spacing w:after="0"/>
              <w:rPr>
                <w:sz w:val="20"/>
                <w:szCs w:val="20"/>
                <w:color w:val="auto"/>
              </w:rPr>
            </w:pPr>
            <w:r>
              <w:rPr>
                <w:rFonts w:ascii="Arial" w:cs="Arial" w:eastAsia="Arial" w:hAnsi="Arial"/>
                <w:sz w:val="18"/>
                <w:szCs w:val="18"/>
                <w:color w:val="auto"/>
                <w:w w:val="93"/>
              </w:rPr>
              <w:t>(I.R.S. Employer Identification No.)</w:t>
            </w:r>
          </w:p>
        </w:tc>
      </w:tr>
      <w:tr>
        <w:trPr>
          <w:trHeight w:val="418"/>
        </w:trPr>
        <w:tc>
          <w:tcPr>
            <w:tcW w:w="7640" w:type="dxa"/>
            <w:vAlign w:val="bottom"/>
            <w:gridSpan w:val="8"/>
          </w:tcPr>
          <w:p>
            <w:pPr>
              <w:jc w:val="center"/>
              <w:ind w:right="200"/>
              <w:spacing w:after="0"/>
              <w:rPr>
                <w:sz w:val="20"/>
                <w:szCs w:val="20"/>
                <w:color w:val="auto"/>
              </w:rPr>
            </w:pPr>
            <w:r>
              <w:rPr>
                <w:rFonts w:ascii="Arial" w:cs="Arial" w:eastAsia="Arial" w:hAnsi="Arial"/>
                <w:sz w:val="18"/>
                <w:szCs w:val="18"/>
                <w:b w:val="1"/>
                <w:bCs w:val="1"/>
                <w:color w:val="auto"/>
                <w:w w:val="91"/>
              </w:rPr>
              <w:t>5225 Wiley Post Way, Suite 500, Salt Lake City , Utah</w:t>
            </w:r>
          </w:p>
        </w:tc>
        <w:tc>
          <w:tcPr>
            <w:tcW w:w="3600" w:type="dxa"/>
            <w:vAlign w:val="bottom"/>
          </w:tcPr>
          <w:p>
            <w:pPr>
              <w:jc w:val="right"/>
              <w:ind w:right="1490"/>
              <w:spacing w:after="0"/>
              <w:rPr>
                <w:sz w:val="20"/>
                <w:szCs w:val="20"/>
                <w:color w:val="auto"/>
              </w:rPr>
            </w:pPr>
            <w:r>
              <w:rPr>
                <w:rFonts w:ascii="Arial" w:cs="Arial" w:eastAsia="Arial" w:hAnsi="Arial"/>
                <w:sz w:val="18"/>
                <w:szCs w:val="18"/>
                <w:b w:val="1"/>
                <w:bCs w:val="1"/>
                <w:color w:val="auto"/>
              </w:rPr>
              <w:t>84116</w:t>
            </w:r>
          </w:p>
        </w:tc>
      </w:tr>
      <w:tr>
        <w:trPr>
          <w:trHeight w:val="224"/>
        </w:trPr>
        <w:tc>
          <w:tcPr>
            <w:tcW w:w="7440" w:type="dxa"/>
            <w:vAlign w:val="bottom"/>
            <w:tcBorders>
              <w:top w:val="single" w:sz="8" w:color="auto"/>
            </w:tcBorders>
            <w:gridSpan w:val="7"/>
          </w:tcPr>
          <w:p>
            <w:pPr>
              <w:jc w:val="center"/>
              <w:spacing w:after="0"/>
              <w:rPr>
                <w:sz w:val="20"/>
                <w:szCs w:val="20"/>
                <w:color w:val="auto"/>
              </w:rPr>
            </w:pPr>
            <w:r>
              <w:rPr>
                <w:rFonts w:ascii="Arial" w:cs="Arial" w:eastAsia="Arial" w:hAnsi="Arial"/>
                <w:sz w:val="18"/>
                <w:szCs w:val="18"/>
                <w:color w:val="auto"/>
                <w:w w:val="92"/>
              </w:rPr>
              <w:t>(Address of principal executive offices)</w:t>
            </w:r>
          </w:p>
        </w:tc>
        <w:tc>
          <w:tcPr>
            <w:tcW w:w="200" w:type="dxa"/>
            <w:vAlign w:val="bottom"/>
          </w:tcPr>
          <w:p>
            <w:pPr>
              <w:spacing w:after="0"/>
              <w:rPr>
                <w:sz w:val="19"/>
                <w:szCs w:val="19"/>
                <w:color w:val="auto"/>
              </w:rPr>
            </w:pPr>
          </w:p>
        </w:tc>
        <w:tc>
          <w:tcPr>
            <w:tcW w:w="36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(Zip Code)</w:t>
            </w:r>
          </w:p>
        </w:tc>
      </w:tr>
      <w:tr>
        <w:trPr>
          <w:trHeight w:val="377"/>
        </w:trPr>
        <w:tc>
          <w:tcPr>
            <w:tcW w:w="4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+1 (801) 975-7200</w:t>
            </w: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237"/>
        </w:trPr>
        <w:tc>
          <w:tcPr>
            <w:tcW w:w="7640" w:type="dxa"/>
            <w:vAlign w:val="bottom"/>
            <w:gridSpan w:val="8"/>
          </w:tcPr>
          <w:p>
            <w:pPr>
              <w:jc w:val="center"/>
              <w:ind w:left="3510"/>
              <w:spacing w:after="0"/>
              <w:rPr>
                <w:sz w:val="20"/>
                <w:szCs w:val="20"/>
                <w:color w:val="auto"/>
              </w:rPr>
            </w:pPr>
            <w:r>
              <w:rPr>
                <w:rFonts w:ascii="Arial" w:cs="Arial" w:eastAsia="Arial" w:hAnsi="Arial"/>
                <w:sz w:val="18"/>
                <w:szCs w:val="18"/>
                <w:color w:val="auto"/>
                <w:w w:val="89"/>
              </w:rPr>
              <w:t>(Registrant’s telephone number, including area code)</w:t>
            </w:r>
          </w:p>
        </w:tc>
        <w:tc>
          <w:tcPr>
            <w:tcW w:w="3600" w:type="dxa"/>
            <w:vAlign w:val="bottom"/>
          </w:tcPr>
          <w:p>
            <w:pPr>
              <w:spacing w:after="0"/>
              <w:rPr>
                <w:sz w:val="20"/>
                <w:szCs w:val="20"/>
                <w:color w:val="auto"/>
              </w:rPr>
            </w:pPr>
          </w:p>
        </w:tc>
      </w:tr>
    </w:tbl>
    <w:p>
      <w:pPr>
        <w:spacing w:after="0" w:line="198" w:lineRule="exact"/>
        <w:rPr>
          <w:sz w:val="24"/>
          <w:szCs w:val="24"/>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Not applicable</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11" w:lineRule="exact"/>
        <w:rPr>
          <w:sz w:val="24"/>
          <w:szCs w:val="24"/>
          <w:color w:val="auto"/>
        </w:rPr>
      </w:pPr>
    </w:p>
    <w:p>
      <w:pPr>
        <w:jc w:val="both"/>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420" w:hanging="412"/>
        <w:spacing w:after="0"/>
        <w:tabs>
          <w:tab w:leader="none" w:pos="4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5" w:lineRule="exact"/>
        <w:rPr>
          <w:rFonts w:ascii="MS PGothic" w:cs="MS PGothic" w:eastAsia="MS PGothic" w:hAnsi="MS PGothic"/>
          <w:sz w:val="18"/>
          <w:szCs w:val="18"/>
          <w:color w:val="auto"/>
        </w:rPr>
      </w:pPr>
    </w:p>
    <w:p>
      <w:pPr>
        <w:ind w:left="420" w:hanging="412"/>
        <w:spacing w:after="0"/>
        <w:tabs>
          <w:tab w:leader="none" w:pos="4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420" w:hanging="412"/>
        <w:spacing w:after="0"/>
        <w:tabs>
          <w:tab w:leader="none" w:pos="4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420" w:hanging="412"/>
        <w:spacing w:after="0"/>
        <w:tabs>
          <w:tab w:leader="none" w:pos="4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 pursuant to Rule 13e-4© under the Exchange Act (17 CFR 240.13e-4©)</w:t>
      </w:r>
    </w:p>
    <w:p>
      <w:pPr>
        <w:spacing w:after="0" w:line="209" w:lineRule="exact"/>
        <w:rPr>
          <w:sz w:val="24"/>
          <w:szCs w:val="24"/>
          <w:color w:val="auto"/>
        </w:rPr>
      </w:pPr>
    </w:p>
    <w:p>
      <w:pPr>
        <w:ind w:right="20"/>
        <w:spacing w:after="0" w:line="233" w:lineRule="exact"/>
        <w:rPr>
          <w:sz w:val="20"/>
          <w:szCs w:val="20"/>
          <w:color w:val="auto"/>
        </w:rPr>
      </w:pPr>
      <w:r>
        <w:rPr>
          <w:rFonts w:ascii="Arial" w:cs="Arial" w:eastAsia="Arial" w:hAnsi="Arial"/>
          <w:sz w:val="18"/>
          <w:szCs w:val="18"/>
          <w:color w:val="auto"/>
        </w:rPr>
        <w:t xml:space="preserve">Indicate by check mark whether the registrant is an emerging growth company as defined in Rule 405 of the Securities Act of 1933 (§230.405 of this chapter) or Rule 12b-2 of the Securities Exchange Act of 1934 (§240.12b-2 of this chapter). Emerging growth company </w:t>
      </w:r>
      <w:r>
        <w:rPr>
          <w:rFonts w:ascii="MS PGothic" w:cs="MS PGothic" w:eastAsia="MS PGothic" w:hAnsi="MS PGothic"/>
          <w:sz w:val="18"/>
          <w:szCs w:val="18"/>
          <w:color w:val="auto"/>
        </w:rPr>
        <w:t>☐</w:t>
      </w:r>
    </w:p>
    <w:p>
      <w:pPr>
        <w:spacing w:after="0" w:line="182" w:lineRule="exact"/>
        <w:rPr>
          <w:sz w:val="24"/>
          <w:szCs w:val="24"/>
          <w:color w:val="auto"/>
        </w:rPr>
      </w:pPr>
    </w:p>
    <w:p>
      <w:pPr>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82"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08"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1260" w:type="dxa"/>
            <w:vAlign w:val="bottom"/>
          </w:tcPr>
          <w:p>
            <w:pPr>
              <w:spacing w:after="0"/>
              <w:rPr>
                <w:sz w:val="18"/>
                <w:szCs w:val="18"/>
                <w:color w:val="auto"/>
              </w:rPr>
            </w:pPr>
          </w:p>
        </w:tc>
        <w:tc>
          <w:tcPr>
            <w:tcW w:w="1300" w:type="dxa"/>
            <w:vAlign w:val="bottom"/>
          </w:tcPr>
          <w:p>
            <w:pPr>
              <w:jc w:val="center"/>
              <w:spacing w:after="0"/>
              <w:rPr>
                <w:sz w:val="20"/>
                <w:szCs w:val="20"/>
                <w:color w:val="auto"/>
              </w:rPr>
            </w:pPr>
            <w:r>
              <w:rPr>
                <w:rFonts w:ascii="Arial" w:cs="Arial" w:eastAsia="Arial" w:hAnsi="Arial"/>
                <w:sz w:val="18"/>
                <w:szCs w:val="18"/>
                <w:color w:val="auto"/>
                <w:w w:val="90"/>
              </w:rPr>
              <w:t>Title of each class</w:t>
            </w:r>
          </w:p>
        </w:tc>
        <w:tc>
          <w:tcPr>
            <w:tcW w:w="960" w:type="dxa"/>
            <w:vAlign w:val="bottom"/>
          </w:tcPr>
          <w:p>
            <w:pPr>
              <w:spacing w:after="0"/>
              <w:rPr>
                <w:sz w:val="18"/>
                <w:szCs w:val="18"/>
                <w:color w:val="auto"/>
              </w:rPr>
            </w:pPr>
          </w:p>
        </w:tc>
        <w:tc>
          <w:tcPr>
            <w:tcW w:w="2840" w:type="dxa"/>
            <w:vAlign w:val="bottom"/>
            <w:gridSpan w:val="3"/>
          </w:tcPr>
          <w:p>
            <w:pPr>
              <w:jc w:val="center"/>
              <w:spacing w:after="0"/>
              <w:rPr>
                <w:sz w:val="20"/>
                <w:szCs w:val="20"/>
                <w:color w:val="auto"/>
              </w:rPr>
            </w:pPr>
            <w:r>
              <w:rPr>
                <w:rFonts w:ascii="Arial" w:cs="Arial" w:eastAsia="Arial" w:hAnsi="Arial"/>
                <w:sz w:val="18"/>
                <w:szCs w:val="18"/>
                <w:color w:val="auto"/>
                <w:w w:val="92"/>
              </w:rPr>
              <w:t>Trading Symbol(s)</w:t>
            </w:r>
          </w:p>
        </w:tc>
        <w:tc>
          <w:tcPr>
            <w:tcW w:w="4880" w:type="dxa"/>
            <w:vAlign w:val="bottom"/>
            <w:gridSpan w:val="3"/>
          </w:tcPr>
          <w:p>
            <w:pPr>
              <w:jc w:val="center"/>
              <w:ind w:right="260"/>
              <w:spacing w:after="0"/>
              <w:rPr>
                <w:sz w:val="20"/>
                <w:szCs w:val="20"/>
                <w:color w:val="auto"/>
              </w:rPr>
            </w:pPr>
            <w:r>
              <w:rPr>
                <w:rFonts w:ascii="Arial" w:cs="Arial" w:eastAsia="Arial" w:hAnsi="Arial"/>
                <w:sz w:val="18"/>
                <w:szCs w:val="18"/>
                <w:color w:val="auto"/>
                <w:w w:val="89"/>
              </w:rPr>
              <w:t>Name of each exchange on which registered</w:t>
            </w:r>
          </w:p>
        </w:tc>
      </w:tr>
      <w:tr>
        <w:trPr>
          <w:trHeight w:val="20"/>
        </w:trPr>
        <w:tc>
          <w:tcPr>
            <w:tcW w:w="126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180" w:type="dxa"/>
            <w:vAlign w:val="bottom"/>
            <w:shd w:val="clear" w:color="auto" w:fill="000000"/>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250"/>
        </w:trPr>
        <w:tc>
          <w:tcPr>
            <w:tcW w:w="3520" w:type="dxa"/>
            <w:vAlign w:val="bottom"/>
            <w:gridSpan w:val="3"/>
          </w:tcPr>
          <w:p>
            <w:pPr>
              <w:jc w:val="center"/>
              <w:ind w:left="210"/>
              <w:spacing w:after="0"/>
              <w:rPr>
                <w:sz w:val="20"/>
                <w:szCs w:val="20"/>
                <w:color w:val="auto"/>
              </w:rPr>
            </w:pPr>
            <w:r>
              <w:rPr>
                <w:rFonts w:ascii="Arial" w:cs="Arial" w:eastAsia="Arial" w:hAnsi="Arial"/>
                <w:sz w:val="18"/>
                <w:szCs w:val="18"/>
                <w:color w:val="auto"/>
                <w:w w:val="90"/>
              </w:rPr>
              <w:t>Common Stock, $0.001</w:t>
            </w:r>
          </w:p>
        </w:tc>
        <w:tc>
          <w:tcPr>
            <w:tcW w:w="760" w:type="dxa"/>
            <w:vAlign w:val="bottom"/>
          </w:tcPr>
          <w:p>
            <w:pPr>
              <w:spacing w:after="0"/>
              <w:rPr>
                <w:sz w:val="21"/>
                <w:szCs w:val="21"/>
                <w:color w:val="auto"/>
              </w:rPr>
            </w:pPr>
          </w:p>
        </w:tc>
        <w:tc>
          <w:tcPr>
            <w:tcW w:w="2080" w:type="dxa"/>
            <w:vAlign w:val="bottom"/>
            <w:gridSpan w:val="2"/>
          </w:tcPr>
          <w:p>
            <w:pPr>
              <w:jc w:val="center"/>
              <w:ind w:right="720"/>
              <w:spacing w:after="0"/>
              <w:rPr>
                <w:sz w:val="20"/>
                <w:szCs w:val="20"/>
                <w:color w:val="auto"/>
              </w:rPr>
            </w:pPr>
            <w:r>
              <w:rPr>
                <w:rFonts w:ascii="Arial" w:cs="Arial" w:eastAsia="Arial" w:hAnsi="Arial"/>
                <w:sz w:val="18"/>
                <w:szCs w:val="18"/>
                <w:color w:val="auto"/>
                <w:w w:val="95"/>
              </w:rPr>
              <w:t>CLRO</w:t>
            </w:r>
          </w:p>
        </w:tc>
        <w:tc>
          <w:tcPr>
            <w:tcW w:w="720" w:type="dxa"/>
            <w:vAlign w:val="bottom"/>
          </w:tcPr>
          <w:p>
            <w:pPr>
              <w:spacing w:after="0"/>
              <w:rPr>
                <w:sz w:val="21"/>
                <w:szCs w:val="21"/>
                <w:color w:val="auto"/>
              </w:rPr>
            </w:pPr>
          </w:p>
        </w:tc>
        <w:tc>
          <w:tcPr>
            <w:tcW w:w="4160" w:type="dxa"/>
            <w:vAlign w:val="bottom"/>
            <w:gridSpan w:val="2"/>
          </w:tcPr>
          <w:p>
            <w:pPr>
              <w:jc w:val="center"/>
              <w:ind w:right="960"/>
              <w:spacing w:after="0"/>
              <w:rPr>
                <w:sz w:val="20"/>
                <w:szCs w:val="20"/>
                <w:color w:val="auto"/>
              </w:rPr>
            </w:pPr>
            <w:r>
              <w:rPr>
                <w:rFonts w:ascii="Arial" w:cs="Arial" w:eastAsia="Arial" w:hAnsi="Arial"/>
                <w:sz w:val="18"/>
                <w:szCs w:val="18"/>
                <w:color w:val="auto"/>
                <w:w w:val="94"/>
              </w:rPr>
              <w:t>The NASDAQ Capital Market</w:t>
            </w:r>
          </w:p>
        </w:tc>
      </w:tr>
      <w:tr>
        <w:trPr>
          <w:trHeight w:val="331"/>
        </w:trPr>
        <w:tc>
          <w:tcPr>
            <w:tcW w:w="126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31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62"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5.07. Submission of Matters to a Vote of Security Holders.</w:t>
      </w:r>
    </w:p>
    <w:p>
      <w:pPr>
        <w:spacing w:after="0" w:line="9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August 20, 2021 ClearOne, Inc. (the “Company”) held its 2021 annual meeting of shareholders (the “Annual Meeting”) at which shareholders voted on one proposal listed below. The final voting result with respect to the proposal is also set forth below. As of June 22, 2021, the record date for the Annual Meeting, there were 18,775,773 shares of common stock issued and outstanding.</w:t>
      </w:r>
    </w:p>
    <w:p>
      <w:pPr>
        <w:spacing w:after="0" w:line="373" w:lineRule="exact"/>
        <w:rPr>
          <w:sz w:val="20"/>
          <w:szCs w:val="20"/>
          <w:color w:val="auto"/>
        </w:rPr>
      </w:pPr>
    </w:p>
    <w:p>
      <w:pPr>
        <w:ind w:left="540" w:right="20" w:hanging="168"/>
        <w:spacing w:after="0" w:line="277" w:lineRule="auto"/>
        <w:tabs>
          <w:tab w:leader="none" w:pos="540" w:val="left"/>
        </w:tabs>
        <w:numPr>
          <w:ilvl w:val="0"/>
          <w:numId w:val="2"/>
        </w:numPr>
        <w:rPr>
          <w:rFonts w:ascii="Arial" w:cs="Arial" w:eastAsia="Arial" w:hAnsi="Arial"/>
          <w:sz w:val="18"/>
          <w:szCs w:val="18"/>
          <w:color w:val="auto"/>
        </w:rPr>
      </w:pPr>
      <w:r>
        <w:rPr>
          <w:rFonts w:ascii="Arial" w:cs="Arial" w:eastAsia="Arial" w:hAnsi="Arial"/>
          <w:sz w:val="18"/>
          <w:szCs w:val="18"/>
          <w:color w:val="auto"/>
        </w:rPr>
        <w:t>Election of Directors: All five directors were re-elected to serve terms expiring at the 2022 annual meeting of shareholders or until their successors are duly elected and qualified.</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20" w:type="dxa"/>
            <w:vAlign w:val="bottom"/>
            <w:tcBorders>
              <w:bottom w:val="single" w:sz="8" w:color="auto"/>
            </w:tcBorders>
          </w:tcPr>
          <w:p>
            <w:pPr>
              <w:spacing w:after="0"/>
              <w:rPr>
                <w:sz w:val="20"/>
                <w:szCs w:val="20"/>
                <w:color w:val="auto"/>
              </w:rPr>
            </w:pPr>
          </w:p>
        </w:tc>
        <w:tc>
          <w:tcPr>
            <w:tcW w:w="1920" w:type="dxa"/>
            <w:vAlign w:val="bottom"/>
            <w:tcBorders>
              <w:bottom w:val="single" w:sz="8" w:color="auto"/>
            </w:tcBorders>
          </w:tcPr>
          <w:p>
            <w:pPr>
              <w:ind w:left="60"/>
              <w:spacing w:after="0"/>
              <w:rPr>
                <w:sz w:val="20"/>
                <w:szCs w:val="20"/>
                <w:color w:val="auto"/>
              </w:rPr>
            </w:pPr>
            <w:r>
              <w:rPr>
                <w:rFonts w:ascii="Arial" w:cs="Arial" w:eastAsia="Arial" w:hAnsi="Arial"/>
                <w:sz w:val="18"/>
                <w:szCs w:val="18"/>
                <w:b w:val="1"/>
                <w:bCs w:val="1"/>
                <w:color w:val="auto"/>
              </w:rPr>
              <w:t>Nominee</w:t>
            </w:r>
          </w:p>
        </w:tc>
        <w:tc>
          <w:tcPr>
            <w:tcW w:w="540" w:type="dxa"/>
            <w:vAlign w:val="bottom"/>
          </w:tcPr>
          <w:p>
            <w:pPr>
              <w:spacing w:after="0"/>
              <w:rPr>
                <w:sz w:val="20"/>
                <w:szCs w:val="20"/>
                <w:color w:val="auto"/>
              </w:rPr>
            </w:pPr>
          </w:p>
        </w:tc>
        <w:tc>
          <w:tcPr>
            <w:tcW w:w="33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Votes for</w:t>
            </w:r>
          </w:p>
        </w:tc>
        <w:tc>
          <w:tcPr>
            <w:tcW w:w="560" w:type="dxa"/>
            <w:vAlign w:val="bottom"/>
          </w:tcPr>
          <w:p>
            <w:pPr>
              <w:spacing w:after="0"/>
              <w:rPr>
                <w:sz w:val="20"/>
                <w:szCs w:val="20"/>
                <w:color w:val="auto"/>
              </w:rPr>
            </w:pPr>
          </w:p>
        </w:tc>
        <w:tc>
          <w:tcPr>
            <w:tcW w:w="3720" w:type="dxa"/>
            <w:vAlign w:val="bottom"/>
            <w:tcBorders>
              <w:bottom w:val="single" w:sz="8" w:color="auto"/>
            </w:tcBorders>
          </w:tcPr>
          <w:p>
            <w:pPr>
              <w:ind w:left="1300"/>
              <w:spacing w:after="0"/>
              <w:rPr>
                <w:sz w:val="20"/>
                <w:szCs w:val="20"/>
                <w:color w:val="auto"/>
              </w:rPr>
            </w:pPr>
            <w:r>
              <w:rPr>
                <w:rFonts w:ascii="Arial" w:cs="Arial" w:eastAsia="Arial" w:hAnsi="Arial"/>
                <w:sz w:val="18"/>
                <w:szCs w:val="18"/>
                <w:b w:val="1"/>
                <w:bCs w:val="1"/>
                <w:color w:val="auto"/>
              </w:rPr>
              <w:t>Votes withheld</w:t>
            </w:r>
          </w:p>
        </w:tc>
      </w:tr>
      <w:tr>
        <w:trPr>
          <w:trHeight w:val="250"/>
        </w:trPr>
        <w:tc>
          <w:tcPr>
            <w:tcW w:w="3580" w:type="dxa"/>
            <w:vAlign w:val="bottom"/>
            <w:gridSpan w:val="3"/>
          </w:tcPr>
          <w:p>
            <w:pPr>
              <w:spacing w:after="0"/>
              <w:rPr>
                <w:sz w:val="20"/>
                <w:szCs w:val="20"/>
                <w:color w:val="auto"/>
              </w:rPr>
            </w:pPr>
            <w:r>
              <w:rPr>
                <w:rFonts w:ascii="Arial" w:cs="Arial" w:eastAsia="Arial" w:hAnsi="Arial"/>
                <w:sz w:val="18"/>
                <w:szCs w:val="18"/>
                <w:color w:val="auto"/>
              </w:rPr>
              <w:t>Zeynep Hakimoglu</w:t>
            </w:r>
          </w:p>
        </w:tc>
        <w:tc>
          <w:tcPr>
            <w:tcW w:w="3380" w:type="dxa"/>
            <w:vAlign w:val="bottom"/>
          </w:tcPr>
          <w:p>
            <w:pPr>
              <w:jc w:val="center"/>
              <w:spacing w:after="0"/>
              <w:rPr>
                <w:sz w:val="20"/>
                <w:szCs w:val="20"/>
                <w:color w:val="auto"/>
              </w:rPr>
            </w:pPr>
            <w:r>
              <w:rPr>
                <w:rFonts w:ascii="Arial" w:cs="Arial" w:eastAsia="Arial" w:hAnsi="Arial"/>
                <w:sz w:val="18"/>
                <w:szCs w:val="18"/>
                <w:color w:val="auto"/>
                <w:w w:val="90"/>
              </w:rPr>
              <w:t>15,717,628</w:t>
            </w:r>
          </w:p>
        </w:tc>
        <w:tc>
          <w:tcPr>
            <w:tcW w:w="560" w:type="dxa"/>
            <w:vAlign w:val="bottom"/>
          </w:tcPr>
          <w:p>
            <w:pPr>
              <w:spacing w:after="0"/>
              <w:rPr>
                <w:sz w:val="21"/>
                <w:szCs w:val="21"/>
                <w:color w:val="auto"/>
              </w:rPr>
            </w:pPr>
          </w:p>
        </w:tc>
        <w:tc>
          <w:tcPr>
            <w:tcW w:w="3720" w:type="dxa"/>
            <w:vAlign w:val="bottom"/>
          </w:tcPr>
          <w:p>
            <w:pPr>
              <w:jc w:val="center"/>
              <w:spacing w:after="0"/>
              <w:rPr>
                <w:sz w:val="20"/>
                <w:szCs w:val="20"/>
                <w:color w:val="auto"/>
              </w:rPr>
            </w:pPr>
            <w:r>
              <w:rPr>
                <w:rFonts w:ascii="Arial" w:cs="Arial" w:eastAsia="Arial" w:hAnsi="Arial"/>
                <w:sz w:val="18"/>
                <w:szCs w:val="18"/>
                <w:color w:val="auto"/>
                <w:w w:val="90"/>
              </w:rPr>
              <w:t>49,463</w:t>
            </w:r>
          </w:p>
        </w:tc>
      </w:tr>
      <w:tr>
        <w:trPr>
          <w:trHeight w:val="270"/>
        </w:trPr>
        <w:tc>
          <w:tcPr>
            <w:tcW w:w="3580" w:type="dxa"/>
            <w:vAlign w:val="bottom"/>
            <w:gridSpan w:val="3"/>
          </w:tcPr>
          <w:p>
            <w:pPr>
              <w:spacing w:after="0"/>
              <w:rPr>
                <w:sz w:val="20"/>
                <w:szCs w:val="20"/>
                <w:color w:val="auto"/>
              </w:rPr>
            </w:pPr>
            <w:r>
              <w:rPr>
                <w:rFonts w:ascii="Arial" w:cs="Arial" w:eastAsia="Arial" w:hAnsi="Arial"/>
                <w:sz w:val="18"/>
                <w:szCs w:val="18"/>
                <w:color w:val="auto"/>
              </w:rPr>
              <w:t>Larry R. Hendricks</w:t>
            </w:r>
          </w:p>
        </w:tc>
        <w:tc>
          <w:tcPr>
            <w:tcW w:w="3380" w:type="dxa"/>
            <w:vAlign w:val="bottom"/>
          </w:tcPr>
          <w:p>
            <w:pPr>
              <w:jc w:val="center"/>
              <w:spacing w:after="0"/>
              <w:rPr>
                <w:sz w:val="20"/>
                <w:szCs w:val="20"/>
                <w:color w:val="auto"/>
              </w:rPr>
            </w:pPr>
            <w:r>
              <w:rPr>
                <w:rFonts w:ascii="Arial" w:cs="Arial" w:eastAsia="Arial" w:hAnsi="Arial"/>
                <w:sz w:val="18"/>
                <w:szCs w:val="18"/>
                <w:color w:val="auto"/>
                <w:w w:val="90"/>
              </w:rPr>
              <w:t>15,600,861</w:t>
            </w:r>
          </w:p>
        </w:tc>
        <w:tc>
          <w:tcPr>
            <w:tcW w:w="560" w:type="dxa"/>
            <w:vAlign w:val="bottom"/>
          </w:tcPr>
          <w:p>
            <w:pPr>
              <w:spacing w:after="0"/>
              <w:rPr>
                <w:sz w:val="23"/>
                <w:szCs w:val="23"/>
                <w:color w:val="auto"/>
              </w:rPr>
            </w:pPr>
          </w:p>
        </w:tc>
        <w:tc>
          <w:tcPr>
            <w:tcW w:w="3720" w:type="dxa"/>
            <w:vAlign w:val="bottom"/>
          </w:tcPr>
          <w:p>
            <w:pPr>
              <w:jc w:val="center"/>
              <w:spacing w:after="0"/>
              <w:rPr>
                <w:sz w:val="20"/>
                <w:szCs w:val="20"/>
                <w:color w:val="auto"/>
              </w:rPr>
            </w:pPr>
            <w:r>
              <w:rPr>
                <w:rFonts w:ascii="Arial" w:cs="Arial" w:eastAsia="Arial" w:hAnsi="Arial"/>
                <w:sz w:val="18"/>
                <w:szCs w:val="18"/>
                <w:color w:val="auto"/>
                <w:w w:val="89"/>
              </w:rPr>
              <w:t>166,230</w:t>
            </w:r>
          </w:p>
        </w:tc>
      </w:tr>
      <w:tr>
        <w:trPr>
          <w:trHeight w:val="270"/>
        </w:trPr>
        <w:tc>
          <w:tcPr>
            <w:tcW w:w="1120" w:type="dxa"/>
            <w:vAlign w:val="bottom"/>
          </w:tcPr>
          <w:p>
            <w:pPr>
              <w:spacing w:after="0"/>
              <w:rPr>
                <w:sz w:val="20"/>
                <w:szCs w:val="20"/>
                <w:color w:val="auto"/>
              </w:rPr>
            </w:pPr>
            <w:r>
              <w:rPr>
                <w:rFonts w:ascii="Arial" w:cs="Arial" w:eastAsia="Arial" w:hAnsi="Arial"/>
                <w:sz w:val="18"/>
                <w:szCs w:val="18"/>
                <w:color w:val="auto"/>
                <w:w w:val="99"/>
              </w:rPr>
              <w:t>Lisa B. Higley</w:t>
            </w:r>
          </w:p>
        </w:tc>
        <w:tc>
          <w:tcPr>
            <w:tcW w:w="19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3380" w:type="dxa"/>
            <w:vAlign w:val="bottom"/>
          </w:tcPr>
          <w:p>
            <w:pPr>
              <w:jc w:val="center"/>
              <w:spacing w:after="0"/>
              <w:rPr>
                <w:sz w:val="20"/>
                <w:szCs w:val="20"/>
                <w:color w:val="auto"/>
              </w:rPr>
            </w:pPr>
            <w:r>
              <w:rPr>
                <w:rFonts w:ascii="Arial" w:cs="Arial" w:eastAsia="Arial" w:hAnsi="Arial"/>
                <w:sz w:val="18"/>
                <w:szCs w:val="18"/>
                <w:color w:val="auto"/>
                <w:w w:val="90"/>
              </w:rPr>
              <w:t>14,850,072</w:t>
            </w:r>
          </w:p>
        </w:tc>
        <w:tc>
          <w:tcPr>
            <w:tcW w:w="560" w:type="dxa"/>
            <w:vAlign w:val="bottom"/>
          </w:tcPr>
          <w:p>
            <w:pPr>
              <w:spacing w:after="0"/>
              <w:rPr>
                <w:sz w:val="23"/>
                <w:szCs w:val="23"/>
                <w:color w:val="auto"/>
              </w:rPr>
            </w:pPr>
          </w:p>
        </w:tc>
        <w:tc>
          <w:tcPr>
            <w:tcW w:w="3720" w:type="dxa"/>
            <w:vAlign w:val="bottom"/>
          </w:tcPr>
          <w:p>
            <w:pPr>
              <w:jc w:val="center"/>
              <w:spacing w:after="0"/>
              <w:rPr>
                <w:sz w:val="20"/>
                <w:szCs w:val="20"/>
                <w:color w:val="auto"/>
              </w:rPr>
            </w:pPr>
            <w:r>
              <w:rPr>
                <w:rFonts w:ascii="Arial" w:cs="Arial" w:eastAsia="Arial" w:hAnsi="Arial"/>
                <w:sz w:val="18"/>
                <w:szCs w:val="18"/>
                <w:color w:val="auto"/>
                <w:w w:val="89"/>
              </w:rPr>
              <w:t>917,019</w:t>
            </w:r>
          </w:p>
        </w:tc>
      </w:tr>
      <w:tr>
        <w:trPr>
          <w:trHeight w:val="270"/>
        </w:trPr>
        <w:tc>
          <w:tcPr>
            <w:tcW w:w="3580" w:type="dxa"/>
            <w:vAlign w:val="bottom"/>
            <w:gridSpan w:val="3"/>
          </w:tcPr>
          <w:p>
            <w:pPr>
              <w:spacing w:after="0"/>
              <w:rPr>
                <w:sz w:val="20"/>
                <w:szCs w:val="20"/>
                <w:color w:val="auto"/>
              </w:rPr>
            </w:pPr>
            <w:r>
              <w:rPr>
                <w:rFonts w:ascii="Arial" w:cs="Arial" w:eastAsia="Arial" w:hAnsi="Arial"/>
                <w:sz w:val="18"/>
                <w:szCs w:val="18"/>
                <w:color w:val="auto"/>
              </w:rPr>
              <w:t>Eric L. Robinson</w:t>
            </w:r>
          </w:p>
        </w:tc>
        <w:tc>
          <w:tcPr>
            <w:tcW w:w="3380" w:type="dxa"/>
            <w:vAlign w:val="bottom"/>
          </w:tcPr>
          <w:p>
            <w:pPr>
              <w:jc w:val="center"/>
              <w:spacing w:after="0"/>
              <w:rPr>
                <w:sz w:val="20"/>
                <w:szCs w:val="20"/>
                <w:color w:val="auto"/>
              </w:rPr>
            </w:pPr>
            <w:r>
              <w:rPr>
                <w:rFonts w:ascii="Arial" w:cs="Arial" w:eastAsia="Arial" w:hAnsi="Arial"/>
                <w:sz w:val="18"/>
                <w:szCs w:val="18"/>
                <w:color w:val="auto"/>
                <w:w w:val="90"/>
              </w:rPr>
              <w:t>15,073,094</w:t>
            </w:r>
          </w:p>
        </w:tc>
        <w:tc>
          <w:tcPr>
            <w:tcW w:w="560" w:type="dxa"/>
            <w:vAlign w:val="bottom"/>
          </w:tcPr>
          <w:p>
            <w:pPr>
              <w:spacing w:after="0"/>
              <w:rPr>
                <w:sz w:val="23"/>
                <w:szCs w:val="23"/>
                <w:color w:val="auto"/>
              </w:rPr>
            </w:pPr>
          </w:p>
        </w:tc>
        <w:tc>
          <w:tcPr>
            <w:tcW w:w="3720" w:type="dxa"/>
            <w:vAlign w:val="bottom"/>
          </w:tcPr>
          <w:p>
            <w:pPr>
              <w:jc w:val="center"/>
              <w:spacing w:after="0"/>
              <w:rPr>
                <w:sz w:val="20"/>
                <w:szCs w:val="20"/>
                <w:color w:val="auto"/>
              </w:rPr>
            </w:pPr>
            <w:r>
              <w:rPr>
                <w:rFonts w:ascii="Arial" w:cs="Arial" w:eastAsia="Arial" w:hAnsi="Arial"/>
                <w:sz w:val="18"/>
                <w:szCs w:val="18"/>
                <w:color w:val="auto"/>
                <w:w w:val="89"/>
              </w:rPr>
              <w:t>693,997</w:t>
            </w:r>
          </w:p>
        </w:tc>
      </w:tr>
      <w:tr>
        <w:trPr>
          <w:trHeight w:val="257"/>
        </w:trPr>
        <w:tc>
          <w:tcPr>
            <w:tcW w:w="1120" w:type="dxa"/>
            <w:vAlign w:val="bottom"/>
          </w:tcPr>
          <w:p>
            <w:pPr>
              <w:spacing w:after="0"/>
              <w:rPr>
                <w:sz w:val="20"/>
                <w:szCs w:val="20"/>
                <w:color w:val="auto"/>
              </w:rPr>
            </w:pPr>
            <w:r>
              <w:rPr>
                <w:rFonts w:ascii="Arial" w:cs="Arial" w:eastAsia="Arial" w:hAnsi="Arial"/>
                <w:sz w:val="18"/>
                <w:szCs w:val="18"/>
                <w:color w:val="auto"/>
                <w:w w:val="98"/>
              </w:rPr>
              <w:t>Bruce Whaley</w:t>
            </w:r>
          </w:p>
        </w:tc>
        <w:tc>
          <w:tcPr>
            <w:tcW w:w="19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3380" w:type="dxa"/>
            <w:vAlign w:val="bottom"/>
          </w:tcPr>
          <w:p>
            <w:pPr>
              <w:jc w:val="center"/>
              <w:spacing w:after="0"/>
              <w:rPr>
                <w:sz w:val="20"/>
                <w:szCs w:val="20"/>
                <w:color w:val="auto"/>
              </w:rPr>
            </w:pPr>
            <w:r>
              <w:rPr>
                <w:rFonts w:ascii="Arial" w:cs="Arial" w:eastAsia="Arial" w:hAnsi="Arial"/>
                <w:sz w:val="18"/>
                <w:szCs w:val="18"/>
                <w:color w:val="auto"/>
                <w:w w:val="90"/>
              </w:rPr>
              <w:t>14,736,015</w:t>
            </w:r>
          </w:p>
        </w:tc>
        <w:tc>
          <w:tcPr>
            <w:tcW w:w="560" w:type="dxa"/>
            <w:vAlign w:val="bottom"/>
          </w:tcPr>
          <w:p>
            <w:pPr>
              <w:spacing w:after="0"/>
              <w:rPr>
                <w:sz w:val="22"/>
                <w:szCs w:val="22"/>
                <w:color w:val="auto"/>
              </w:rPr>
            </w:pPr>
          </w:p>
        </w:tc>
        <w:tc>
          <w:tcPr>
            <w:tcW w:w="3720" w:type="dxa"/>
            <w:vAlign w:val="bottom"/>
          </w:tcPr>
          <w:p>
            <w:pPr>
              <w:jc w:val="center"/>
              <w:spacing w:after="0"/>
              <w:rPr>
                <w:sz w:val="20"/>
                <w:szCs w:val="20"/>
                <w:color w:val="auto"/>
              </w:rPr>
            </w:pPr>
            <w:r>
              <w:rPr>
                <w:rFonts w:ascii="Arial" w:cs="Arial" w:eastAsia="Arial" w:hAnsi="Arial"/>
                <w:sz w:val="18"/>
                <w:szCs w:val="18"/>
                <w:color w:val="auto"/>
                <w:w w:val="89"/>
              </w:rPr>
              <w:t>1,031,076</w:t>
            </w:r>
          </w:p>
        </w:tc>
      </w:tr>
      <w:tr>
        <w:trPr>
          <w:trHeight w:val="432"/>
        </w:trPr>
        <w:tc>
          <w:tcPr>
            <w:tcW w:w="3580" w:type="dxa"/>
            <w:vAlign w:val="bottom"/>
            <w:gridSpan w:val="3"/>
          </w:tcPr>
          <w:p>
            <w:pPr>
              <w:spacing w:after="0"/>
              <w:rPr>
                <w:sz w:val="20"/>
                <w:szCs w:val="20"/>
                <w:color w:val="auto"/>
              </w:rPr>
            </w:pPr>
            <w:r>
              <w:rPr>
                <w:rFonts w:ascii="Arial" w:cs="Arial" w:eastAsia="Arial" w:hAnsi="Arial"/>
                <w:sz w:val="18"/>
                <w:szCs w:val="18"/>
                <w:b w:val="1"/>
                <w:bCs w:val="1"/>
                <w:color w:val="auto"/>
                <w:w w:val="92"/>
              </w:rPr>
              <w:t>Item 9.01. Financial Statements and Exhibits.</w:t>
            </w:r>
          </w:p>
        </w:tc>
        <w:tc>
          <w:tcPr>
            <w:tcW w:w="33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720" w:type="dxa"/>
            <w:vAlign w:val="bottom"/>
          </w:tcPr>
          <w:p>
            <w:pPr>
              <w:spacing w:after="0"/>
              <w:rPr>
                <w:sz w:val="24"/>
                <w:szCs w:val="24"/>
                <w:color w:val="auto"/>
              </w:rPr>
            </w:pPr>
          </w:p>
        </w:tc>
      </w:tr>
      <w:tr>
        <w:trPr>
          <w:trHeight w:val="432"/>
        </w:trPr>
        <w:tc>
          <w:tcPr>
            <w:tcW w:w="1120" w:type="dxa"/>
            <w:vAlign w:val="bottom"/>
          </w:tcPr>
          <w:p>
            <w:pPr>
              <w:spacing w:after="0"/>
              <w:rPr>
                <w:sz w:val="20"/>
                <w:szCs w:val="20"/>
                <w:color w:val="auto"/>
              </w:rPr>
            </w:pPr>
            <w:r>
              <w:rPr>
                <w:rFonts w:ascii="Arial" w:cs="Arial" w:eastAsia="Arial" w:hAnsi="Arial"/>
                <w:sz w:val="18"/>
                <w:szCs w:val="18"/>
                <w:color w:val="auto"/>
              </w:rPr>
              <w:t>(d) Exhibits.</w:t>
            </w:r>
          </w:p>
        </w:tc>
        <w:tc>
          <w:tcPr>
            <w:tcW w:w="19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720" w:type="dxa"/>
            <w:vAlign w:val="bottom"/>
          </w:tcPr>
          <w:p>
            <w:pPr>
              <w:spacing w:after="0"/>
              <w:rPr>
                <w:sz w:val="24"/>
                <w:szCs w:val="24"/>
                <w:color w:val="auto"/>
              </w:rPr>
            </w:pPr>
          </w:p>
        </w:tc>
      </w:tr>
      <w:tr>
        <w:trPr>
          <w:trHeight w:val="431"/>
        </w:trPr>
        <w:tc>
          <w:tcPr>
            <w:tcW w:w="1120" w:type="dxa"/>
            <w:vAlign w:val="bottom"/>
          </w:tcPr>
          <w:p>
            <w:pPr>
              <w:spacing w:after="0"/>
              <w:rPr>
                <w:sz w:val="20"/>
                <w:szCs w:val="20"/>
                <w:color w:val="auto"/>
              </w:rPr>
            </w:pPr>
            <w:r>
              <w:rPr>
                <w:rFonts w:ascii="Arial" w:cs="Arial" w:eastAsia="Arial" w:hAnsi="Arial"/>
                <w:sz w:val="18"/>
                <w:szCs w:val="18"/>
                <w:b w:val="1"/>
                <w:bCs w:val="1"/>
                <w:color w:val="auto"/>
              </w:rPr>
              <w:t>Exhibit No.</w:t>
            </w:r>
          </w:p>
        </w:tc>
        <w:tc>
          <w:tcPr>
            <w:tcW w:w="2460" w:type="dxa"/>
            <w:vAlign w:val="bottom"/>
            <w:gridSpan w:val="2"/>
          </w:tcPr>
          <w:p>
            <w:pPr>
              <w:ind w:left="260"/>
              <w:spacing w:after="0"/>
              <w:rPr>
                <w:sz w:val="20"/>
                <w:szCs w:val="20"/>
                <w:color w:val="auto"/>
              </w:rPr>
            </w:pPr>
            <w:r>
              <w:rPr>
                <w:rFonts w:ascii="Arial" w:cs="Arial" w:eastAsia="Arial" w:hAnsi="Arial"/>
                <w:sz w:val="18"/>
                <w:szCs w:val="18"/>
                <w:b w:val="1"/>
                <w:bCs w:val="1"/>
                <w:color w:val="auto"/>
              </w:rPr>
              <w:t>Description</w:t>
            </w:r>
          </w:p>
        </w:tc>
        <w:tc>
          <w:tcPr>
            <w:tcW w:w="33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720" w:type="dxa"/>
            <w:vAlign w:val="bottom"/>
          </w:tcPr>
          <w:p>
            <w:pPr>
              <w:spacing w:after="0"/>
              <w:rPr>
                <w:sz w:val="24"/>
                <w:szCs w:val="24"/>
                <w:color w:val="auto"/>
              </w:rPr>
            </w:pPr>
          </w:p>
        </w:tc>
      </w:tr>
      <w:tr>
        <w:trPr>
          <w:trHeight w:val="230"/>
        </w:trPr>
        <w:tc>
          <w:tcPr>
            <w:tcW w:w="1120" w:type="dxa"/>
            <w:vAlign w:val="bottom"/>
          </w:tcPr>
          <w:p>
            <w:pPr>
              <w:spacing w:after="0"/>
              <w:rPr>
                <w:sz w:val="20"/>
                <w:szCs w:val="20"/>
                <w:color w:val="auto"/>
              </w:rPr>
            </w:pPr>
            <w:r>
              <w:rPr>
                <w:rFonts w:ascii="Arial" w:cs="Arial" w:eastAsia="Arial" w:hAnsi="Arial"/>
                <w:sz w:val="18"/>
                <w:szCs w:val="18"/>
                <w:color w:val="auto"/>
              </w:rPr>
              <w:t>Exhibit 104.1</w:t>
            </w:r>
          </w:p>
        </w:tc>
        <w:tc>
          <w:tcPr>
            <w:tcW w:w="6400" w:type="dxa"/>
            <w:vAlign w:val="bottom"/>
            <w:gridSpan w:val="4"/>
          </w:tcPr>
          <w:p>
            <w:pPr>
              <w:ind w:left="260"/>
              <w:spacing w:after="0"/>
              <w:rPr>
                <w:sz w:val="20"/>
                <w:szCs w:val="20"/>
                <w:color w:val="auto"/>
              </w:rPr>
            </w:pPr>
            <w:r>
              <w:rPr>
                <w:rFonts w:ascii="Arial" w:cs="Arial" w:eastAsia="Arial" w:hAnsi="Arial"/>
                <w:sz w:val="18"/>
                <w:szCs w:val="18"/>
                <w:color w:val="auto"/>
                <w:w w:val="95"/>
              </w:rPr>
              <w:t>The cover page from this Current Report on Form 8-K, formatted in Inline XBRL.</w:t>
            </w:r>
          </w:p>
        </w:tc>
        <w:tc>
          <w:tcPr>
            <w:tcW w:w="3720" w:type="dxa"/>
            <w:vAlign w:val="bottom"/>
          </w:tcPr>
          <w:p>
            <w:pPr>
              <w:spacing w:after="0"/>
              <w:rPr>
                <w:sz w:val="20"/>
                <w:szCs w:val="20"/>
                <w:color w:val="auto"/>
              </w:rPr>
            </w:pPr>
          </w:p>
        </w:tc>
      </w:tr>
      <w:tr>
        <w:trPr>
          <w:trHeight w:val="561"/>
        </w:trPr>
        <w:tc>
          <w:tcPr>
            <w:tcW w:w="112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338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3720" w:type="dxa"/>
            <w:vAlign w:val="bottom"/>
            <w:tcBorders>
              <w:bottom w:val="single" w:sz="8" w:color="auto"/>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648"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340" w:type="dxa"/>
            <w:vAlign w:val="bottom"/>
          </w:tcPr>
          <w:p>
            <w:pPr>
              <w:spacing w:after="0"/>
              <w:rPr>
                <w:sz w:val="20"/>
                <w:szCs w:val="20"/>
                <w:color w:val="auto"/>
              </w:rPr>
            </w:pPr>
          </w:p>
        </w:tc>
        <w:tc>
          <w:tcPr>
            <w:tcW w:w="7900" w:type="dxa"/>
            <w:vAlign w:val="bottom"/>
            <w:gridSpan w:val="2"/>
          </w:tcPr>
          <w:p>
            <w:pPr>
              <w:ind w:left="1700"/>
              <w:spacing w:after="0"/>
              <w:rPr>
                <w:sz w:val="20"/>
                <w:szCs w:val="20"/>
                <w:color w:val="auto"/>
              </w:rPr>
            </w:pPr>
            <w:r>
              <w:rPr>
                <w:rFonts w:ascii="Arial" w:cs="Arial" w:eastAsia="Arial" w:hAnsi="Arial"/>
                <w:sz w:val="18"/>
                <w:szCs w:val="18"/>
                <w:color w:val="auto"/>
              </w:rPr>
              <w:t>CLEARONE, INC.</w:t>
            </w:r>
          </w:p>
        </w:tc>
      </w:tr>
      <w:tr>
        <w:trPr>
          <w:trHeight w:val="459"/>
        </w:trPr>
        <w:tc>
          <w:tcPr>
            <w:tcW w:w="3340" w:type="dxa"/>
            <w:vAlign w:val="bottom"/>
          </w:tcPr>
          <w:p>
            <w:pPr>
              <w:spacing w:after="0"/>
              <w:rPr>
                <w:sz w:val="20"/>
                <w:szCs w:val="20"/>
                <w:color w:val="auto"/>
              </w:rPr>
            </w:pPr>
            <w:r>
              <w:rPr>
                <w:rFonts w:ascii="Arial" w:cs="Arial" w:eastAsia="Arial" w:hAnsi="Arial"/>
                <w:sz w:val="18"/>
                <w:szCs w:val="18"/>
                <w:color w:val="auto"/>
              </w:rPr>
              <w:t>Date: August 24, 2021</w:t>
            </w:r>
          </w:p>
        </w:tc>
        <w:tc>
          <w:tcPr>
            <w:tcW w:w="7900" w:type="dxa"/>
            <w:vAlign w:val="bottom"/>
            <w:gridSpan w:val="2"/>
          </w:tcPr>
          <w:p>
            <w:pPr>
              <w:ind w:left="1700"/>
              <w:spacing w:after="0"/>
              <w:rPr>
                <w:sz w:val="20"/>
                <w:szCs w:val="20"/>
                <w:color w:val="auto"/>
              </w:rPr>
            </w:pPr>
            <w:r>
              <w:rPr>
                <w:rFonts w:ascii="Arial" w:cs="Arial" w:eastAsia="Arial" w:hAnsi="Arial"/>
                <w:sz w:val="18"/>
                <w:szCs w:val="18"/>
                <w:color w:val="auto"/>
              </w:rPr>
              <w:t>By:</w:t>
            </w:r>
            <w:r>
              <w:rPr>
                <w:rFonts w:ascii="Arial" w:cs="Arial" w:eastAsia="Arial" w:hAnsi="Arial"/>
                <w:sz w:val="18"/>
                <w:szCs w:val="18"/>
                <w:i w:val="1"/>
                <w:iCs w:val="1"/>
                <w:color w:val="auto"/>
              </w:rPr>
              <w:t>/s/ Zeynep Hakimoglu</w:t>
            </w:r>
          </w:p>
        </w:tc>
      </w:tr>
      <w:tr>
        <w:trPr>
          <w:trHeight w:val="224"/>
        </w:trPr>
        <w:tc>
          <w:tcPr>
            <w:tcW w:w="334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59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Zeynep Hakimoglu</w:t>
            </w:r>
          </w:p>
        </w:tc>
      </w:tr>
      <w:tr>
        <w:trPr>
          <w:trHeight w:val="445"/>
        </w:trPr>
        <w:tc>
          <w:tcPr>
            <w:tcW w:w="334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5920" w:type="dxa"/>
            <w:vAlign w:val="bottom"/>
          </w:tcPr>
          <w:p>
            <w:pPr>
              <w:ind w:left="20"/>
              <w:spacing w:after="0"/>
              <w:rPr>
                <w:sz w:val="20"/>
                <w:szCs w:val="20"/>
                <w:color w:val="auto"/>
              </w:rPr>
            </w:pPr>
            <w:r>
              <w:rPr>
                <w:rFonts w:ascii="Arial" w:cs="Arial" w:eastAsia="Arial" w:hAnsi="Arial"/>
                <w:sz w:val="18"/>
                <w:szCs w:val="18"/>
                <w:color w:val="auto"/>
              </w:rPr>
              <w:t>Chief Executive Officer (Principal Executive Officer)</w:t>
            </w:r>
          </w:p>
        </w:tc>
      </w:tr>
    </w:tbl>
    <w:p>
      <w:pPr>
        <w:spacing w:after="0" w:line="1" w:lineRule="exact"/>
        <w:rPr>
          <w:sz w:val="20"/>
          <w:szCs w:val="20"/>
          <w:color w:val="auto"/>
        </w:rPr>
      </w:pPr>
    </w:p>
    <w:sectPr>
      <w:pgSz w:w="11900" w:h="16838" w:orient="portrait"/>
      <w:cols w:equalWidth="0" w:num="1">
        <w:col w:w="11240"/>
      </w:cols>
      <w:pgMar w:left="320" w:top="55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2021-08-24T05:15:13Z</dcterms:created>
  <dcterms:modified xsi:type="dcterms:W3CDTF">2021-08-24T05:15:13Z</dcterms:modified>
</cp:coreProperties>
</file>