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40" w:right="2120" w:hanging="328"/>
        <w:spacing w:after="0" w:line="266"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2019</w:t>
      </w:r>
    </w:p>
    <w:p>
      <w:pPr>
        <w:spacing w:after="0" w:line="68" w:lineRule="exact"/>
        <w:rPr>
          <w:sz w:val="24"/>
          <w:szCs w:val="24"/>
          <w:color w:val="auto"/>
        </w:rPr>
      </w:pPr>
    </w:p>
    <w:p>
      <w:pPr>
        <w:ind w:left="340" w:right="1740" w:hanging="328"/>
        <w:spacing w:after="0" w:line="282"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spacing w:after="0" w:line="1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001-33660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3"/>
          </w:tcPr>
          <w:p>
            <w:pPr>
              <w:jc w:val="right"/>
              <w:ind w:right="201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40" w:type="dxa"/>
            <w:vAlign w:val="bottom"/>
            <w:gridSpan w:val="5"/>
          </w:tcPr>
          <w:p>
            <w:pPr>
              <w:jc w:val="center"/>
              <w:ind w:lef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0" w:type="dxa"/>
            <w:vAlign w:val="bottom"/>
            <w:gridSpan w:val="3"/>
          </w:tcPr>
          <w:p>
            <w:pPr>
              <w:jc w:val="center"/>
              <w:ind w:right="57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494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40" w:type="dxa"/>
            <w:vAlign w:val="bottom"/>
            <w:gridSpan w:val="5"/>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370"/>
              <w:spacing w:after="0"/>
              <w:rPr>
                <w:sz w:val="20"/>
                <w:szCs w:val="20"/>
                <w:color w:val="auto"/>
              </w:rPr>
            </w:pPr>
            <w:r>
              <w:rPr>
                <w:rFonts w:ascii="Arial" w:cs="Arial" w:eastAsia="Arial" w:hAnsi="Arial"/>
                <w:sz w:val="18"/>
                <w:szCs w:val="18"/>
                <w:color w:val="auto"/>
                <w:w w:val="91"/>
              </w:rPr>
              <w:t>(Zip Code)</w:t>
            </w:r>
          </w:p>
        </w:tc>
      </w:tr>
      <w:tr>
        <w:trPr>
          <w:trHeight w:val="377"/>
        </w:trPr>
        <w:tc>
          <w:tcPr>
            <w:tcW w:w="4940" w:type="dxa"/>
            <w:vAlign w:val="bottom"/>
            <w:gridSpan w:val="5"/>
          </w:tcPr>
          <w:p>
            <w:pP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u w:val="single" w:color="auto"/>
                <w:color w:val="auto"/>
                <w:w w:val="90"/>
              </w:rPr>
              <w:t>(801)</w:t>
            </w:r>
            <w:r>
              <w:rPr>
                <w:rFonts w:ascii="Arial" w:cs="Arial" w:eastAsia="Arial" w:hAnsi="Arial"/>
                <w:sz w:val="18"/>
                <w:szCs w:val="18"/>
                <w:color w:val="auto"/>
                <w:w w:val="90"/>
              </w:rPr>
              <w:t xml:space="preserve"> 975-7200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60" w:type="dxa"/>
            <w:vAlign w:val="bottom"/>
            <w:gridSpan w:val="3"/>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40" w:type="dxa"/>
            <w:vAlign w:val="bottom"/>
            <w:gridSpan w:val="5"/>
          </w:tcPr>
          <w:p>
            <w:pPr>
              <w:jc w:val="center"/>
              <w:ind w:right="13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on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5"/>
              </w:rPr>
              <w:t>CLRO</w:t>
            </w: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178" w:lineRule="exact"/>
        <w:rPr>
          <w:sz w:val="24"/>
          <w:szCs w:val="24"/>
          <w:color w:val="auto"/>
        </w:rPr>
      </w:pPr>
    </w:p>
    <w:p>
      <w:pPr>
        <w:ind w:right="1720"/>
        <w:spacing w:after="0" w:line="31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8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15" w:right="339" w:bottom="1440" w:gutter="0" w:footer="0" w:header="0"/>
        </w:sectPr>
      </w:pPr>
    </w:p>
    <w:p>
      <w:pPr>
        <w:spacing w:after="0" w:line="15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7" w:lineRule="exact"/>
        <w:rPr>
          <w:sz w:val="24"/>
          <w:szCs w:val="24"/>
          <w:color w:val="auto"/>
        </w:rPr>
      </w:pPr>
    </w:p>
    <w:p>
      <w:pPr>
        <w:sectPr>
          <w:pgSz w:w="11900" w:h="16838" w:orient="portrait"/>
          <w:cols w:equalWidth="0" w:num="2">
            <w:col w:w="4900" w:space="720"/>
            <w:col w:w="5620"/>
          </w:cols>
          <w:pgMar w:left="320" w:top="215"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$13.0 million at June 30, 2019</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most recently completed second fiscal quarter), based on the $2.23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March 25, 2020 was 16,650,725.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14"/>
          </w:tcPr>
          <w:p>
            <w:pPr>
              <w:jc w:val="center"/>
              <w:ind w:right="3340"/>
              <w:spacing w:after="0"/>
              <w:rPr>
                <w:sz w:val="20"/>
                <w:szCs w:val="20"/>
                <w:color w:val="auto"/>
              </w:rPr>
            </w:pPr>
            <w:r>
              <w:rPr>
                <w:rFonts w:ascii="Arial" w:cs="Arial" w:eastAsia="Arial" w:hAnsi="Arial"/>
                <w:sz w:val="18"/>
                <w:szCs w:val="18"/>
                <w:b w:val="1"/>
                <w:bCs w:val="1"/>
                <w:color w:val="auto"/>
              </w:rPr>
              <w:t>CLEARONE,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gridSpan w:val="17"/>
          </w:tcPr>
          <w:p>
            <w:pPr>
              <w:jc w:val="center"/>
              <w:ind w:right="2060"/>
              <w:spacing w:after="0"/>
              <w:rPr>
                <w:sz w:val="20"/>
                <w:szCs w:val="20"/>
                <w:color w:val="auto"/>
              </w:rPr>
            </w:pPr>
            <w:r>
              <w:rPr>
                <w:rFonts w:ascii="Arial" w:cs="Arial" w:eastAsia="Arial" w:hAnsi="Arial"/>
                <w:sz w:val="18"/>
                <w:szCs w:val="18"/>
                <w:b w:val="1"/>
                <w:bCs w:val="1"/>
                <w:color w:val="auto"/>
                <w:w w:val="91"/>
              </w:rPr>
              <w:t>Annual Report on Form 10-K For the year ended December 31, 2019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14"/>
          </w:tcPr>
          <w:p>
            <w:pPr>
              <w:jc w:val="center"/>
              <w:ind w:right="334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40" w:type="dxa"/>
            <w:vAlign w:val="bottom"/>
            <w:vMerge w:val="restart"/>
          </w:tcPr>
          <w:p>
            <w:pPr>
              <w:jc w:val="cente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4440" w:type="dxa"/>
            <w:vAlign w:val="bottom"/>
            <w:gridSpan w:val="8"/>
            <w:vMerge w:val="restart"/>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tcBorders>
              <w:bottom w:val="single" w:sz="8" w:color="0000EE"/>
            </w:tcBorders>
            <w:vMerge w:val="continue"/>
          </w:tcPr>
          <w:p>
            <w:pPr>
              <w:spacing w:after="0"/>
              <w:rPr>
                <w:sz w:val="14"/>
                <w:szCs w:val="14"/>
                <w:color w:val="auto"/>
              </w:rPr>
            </w:pPr>
          </w:p>
        </w:tc>
        <w:tc>
          <w:tcPr>
            <w:tcW w:w="4440" w:type="dxa"/>
            <w:vAlign w:val="bottom"/>
            <w:gridSpan w:val="8"/>
            <w:vMerge w:val="continue"/>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780" w:type="dxa"/>
            <w:vAlign w:val="bottom"/>
            <w:gridSpan w:val="25"/>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520" w:type="dxa"/>
            <w:vAlign w:val="bottom"/>
            <w:gridSpan w:val="23"/>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Unresolved Staff Comments</w:t>
              </w:r>
            </w:hyperlink>
          </w:p>
        </w:tc>
        <w:tc>
          <w:tcPr>
            <w:tcW w:w="7380" w:type="dxa"/>
            <w:vAlign w:val="bottom"/>
            <w:gridSpan w:val="17"/>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2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2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gridSpan w:val="10"/>
          </w:tcPr>
          <w:p>
            <w:pPr>
              <w:jc w:val="center"/>
              <w:ind w:right="4420"/>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PART II</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3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8"/>
          </w:tcPr>
          <w:p>
            <w:pPr>
              <w:spacing w:after="0"/>
              <w:rPr>
                <w:sz w:val="17"/>
                <w:szCs w:val="17"/>
                <w:color w:val="auto"/>
              </w:rPr>
            </w:pPr>
          </w:p>
        </w:tc>
        <w:tc>
          <w:tcPr>
            <w:tcW w:w="298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942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96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660" w:type="dxa"/>
            <w:vAlign w:val="bottom"/>
            <w:gridSpan w:val="19"/>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PART III</w:t>
              </w:r>
            </w:hyperlink>
          </w:p>
        </w:tc>
        <w:tc>
          <w:tcPr>
            <w:tcW w:w="4380" w:type="dxa"/>
            <w:vAlign w:val="bottom"/>
            <w:gridSpan w:val="6"/>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Directors, Executive Officers and Corporate Governance</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40" w:type="dxa"/>
            <w:vAlign w:val="bottom"/>
            <w:gridSpan w:val="13"/>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42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Certain Relationships and Related Transactions, and Director Independence</w:t>
              </w:r>
            </w:hyperlink>
          </w:p>
        </w:tc>
        <w:tc>
          <w:tcPr>
            <w:tcW w:w="2140" w:type="dxa"/>
            <w:vAlign w:val="bottom"/>
            <w:gridSpan w:val="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Principal Accounting Fees and Services</w:t>
              </w:r>
            </w:hyperlink>
          </w:p>
        </w:tc>
        <w:tc>
          <w:tcPr>
            <w:tcW w:w="3980" w:type="dxa"/>
            <w:vAlign w:val="bottom"/>
            <w:gridSpan w:val="5"/>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12"/>
          </w:tcPr>
          <w:p>
            <w:pPr>
              <w:jc w:val="center"/>
              <w:ind w:right="4300"/>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PART IV</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Exhibits, Financial Statement Schedules</w:t>
              </w:r>
            </w:hyperlink>
          </w:p>
        </w:tc>
        <w:tc>
          <w:tcPr>
            <w:tcW w:w="1480" w:type="dxa"/>
            <w:vAlign w:val="bottom"/>
            <w:gridSpan w:val="4"/>
          </w:tcPr>
          <w:p>
            <w:pPr>
              <w:spacing w:after="0"/>
              <w:rPr>
                <w:sz w:val="18"/>
                <w:szCs w:val="18"/>
                <w:color w:val="auto"/>
              </w:rPr>
            </w:pPr>
          </w:p>
        </w:tc>
        <w:tc>
          <w:tcPr>
            <w:tcW w:w="660" w:type="dxa"/>
            <w:vAlign w:val="bottom"/>
            <w:tcBorders>
              <w:top w:val="single" w:sz="8" w:color="0000EE"/>
            </w:tcBorders>
            <w:gridSpan w:val="5"/>
          </w:tcPr>
          <w:p>
            <w:pPr>
              <w:spacing w:after="0"/>
              <w:rPr>
                <w:sz w:val="18"/>
                <w:szCs w:val="18"/>
                <w:color w:val="auto"/>
              </w:rPr>
            </w:pPr>
          </w:p>
        </w:tc>
        <w:tc>
          <w:tcPr>
            <w:tcW w:w="4380" w:type="dxa"/>
            <w:vAlign w:val="bottom"/>
            <w:gridSpan w:val="6"/>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942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Form 10-K Summary</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622"/>
        </w:trPr>
        <w:tc>
          <w:tcPr>
            <w:tcW w:w="92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Inc., a Delaware corporation, and, unless the context otherwise requires or is otherwise expressly stated,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color w:val="auto"/>
        </w:rPr>
        <w:t>1</w:t>
      </w:r>
      <w:r>
        <w:rPr>
          <w:rFonts w:ascii="Arial" w:cs="Arial" w:eastAsia="Arial" w:hAnsi="Arial"/>
          <w:sz w:val="18"/>
          <w:szCs w:val="18"/>
          <w:b w:val="1"/>
          <w:bCs w:val="1"/>
          <w:color w:val="auto"/>
        </w:rPr>
        <w: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(the Company) was incorporated in Utah in 1983 and reincorporated in Delaware on October 25, 2018. The Company is headquartered in Salt Lake City, Utah. The Company has other locations in Gainesville, Florida; Austin, Texas; Zaragoza, Spain; Chennai, India; and Dubai, United Arab Emirates.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4, 2018, we closed a subscription rights offering (the “Rights Offering”) in which we raised $10.0 million in gross proceeds. In the Rights Offering, we issued one subscription right to each of our shareholders for each share of our common stock that they held. Each subscription right entitled the shareholder to purchase one share of our common stock at a purchase price of $1.20 per share. At the closing, we sold 8,306,535 shares of our common stock and returned subscriptions for 754,868 shares that were oversubscribed after allocating oversubscribed shares on a pro-rata basis.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2019, the Company completed the issuance and sale of $3,000,000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The Notes are convertible to shares of the Company’s common stock at an initial conversion price of $2.11 per share, and the Warrants have an initial exercise price of $1.76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address is http://www.clearone.com.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 These reports are also available on the SEC’s website, which is located at http://www.sec.gov.</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ITEM 1-BUSINESS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primary challenge is the loss in revenue due to infringement of our patents by competitors and consequent reduction in cash flows due to operating losses and litigation costs. Our current strategy consists of the following three elements to overcome this adverse situation:</w:t>
      </w:r>
    </w:p>
    <w:p>
      <w:pPr>
        <w:spacing w:after="0" w:line="146" w:lineRule="exact"/>
        <w:rPr>
          <w:sz w:val="20"/>
          <w:szCs w:val="20"/>
          <w:color w:val="auto"/>
        </w:rPr>
      </w:pPr>
    </w:p>
    <w:p>
      <w:pPr>
        <w:ind w:left="300" w:hanging="205"/>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our product innovation to bring to market products that are needed by our partners and end-users</w:t>
      </w:r>
    </w:p>
    <w:p>
      <w:pPr>
        <w:spacing w:after="0" w:line="23" w:lineRule="exact"/>
        <w:rPr>
          <w:rFonts w:ascii="Arial" w:cs="Arial" w:eastAsia="Arial" w:hAnsi="Arial"/>
          <w:sz w:val="18"/>
          <w:szCs w:val="18"/>
          <w:color w:val="auto"/>
        </w:rPr>
      </w:pPr>
    </w:p>
    <w:p>
      <w:pPr>
        <w:ind w:left="300" w:hanging="205"/>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Cut costs to operate efficiently</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Defend our intellectual property through litigation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225" w:lineRule="exact"/>
        <w:rPr>
          <w:sz w:val="20"/>
          <w:szCs w:val="20"/>
          <w:color w:val="auto"/>
        </w:rPr>
      </w:pPr>
    </w:p>
    <w:p>
      <w:pPr>
        <w:ind w:left="300" w:hanging="205"/>
        <w:spacing w:after="0" w:line="258"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aspects of audio conferencing including installed professional audio conferencing through DSP mixers, USB based speakerphones and table-top conferencing;</w:t>
      </w:r>
    </w:p>
    <w:p>
      <w:pPr>
        <w:spacing w:after="0" w:line="1" w:lineRule="exact"/>
        <w:rPr>
          <w:rFonts w:ascii="Arial" w:cs="Arial" w:eastAsia="Arial" w:hAnsi="Arial"/>
          <w:sz w:val="18"/>
          <w:szCs w:val="18"/>
          <w:color w:val="auto"/>
        </w:rPr>
      </w:pPr>
    </w:p>
    <w:p>
      <w:pPr>
        <w:ind w:left="300" w:right="20" w:hanging="205"/>
        <w:spacing w:after="0" w:line="250"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microphones to support audio and video collaboration through patented beamforming microphones, ceiling microphones and wireless microphones;</w:t>
      </w:r>
    </w:p>
    <w:p>
      <w:pPr>
        <w:ind w:left="300" w:right="20" w:hanging="205"/>
        <w:spacing w:after="0" w:line="250"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Visual collaboration in all forms including low-cost room appliances, professional cameras, Bring-Your-Own-Device and cloud video services encompassing conferencing, interactive whiteboarding, webinar, and wireless sharing; and</w:t>
      </w:r>
    </w:p>
    <w:p>
      <w:pPr>
        <w:ind w:left="300" w:hanging="205"/>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Audio Visual Networking which includes network media streaming, video walls, sound reinforcement and audio distribution.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300" w:hanging="205"/>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our global market share in professional installed audio conferencing products for large businesses and organizations;</w:t>
      </w:r>
    </w:p>
    <w:p>
      <w:pPr>
        <w:spacing w:after="0" w:line="23" w:lineRule="exact"/>
        <w:rPr>
          <w:rFonts w:ascii="Arial" w:cs="Arial" w:eastAsia="Arial" w:hAnsi="Arial"/>
          <w:sz w:val="18"/>
          <w:szCs w:val="18"/>
          <w:color w:val="auto"/>
        </w:rPr>
      </w:pPr>
    </w:p>
    <w:p>
      <w:pPr>
        <w:ind w:left="300" w:right="20" w:hanging="205"/>
        <w:spacing w:after="0" w:line="250"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 ClearOne as the preferred AV channel partner uniquely offering a complete value-chain of natively integrated solutions from audio to video maximizing AV channel partner profitability;</w:t>
      </w:r>
    </w:p>
    <w:p>
      <w:pPr>
        <w:ind w:left="300" w:hanging="205"/>
        <w:spacing w:after="0" w:line="250"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 total addressable market from installed audio conferencing beachhead to adjacent complementary markets – microphones, video collaboration and AV networking;</w:t>
      </w:r>
    </w:p>
    <w:p>
      <w:pPr>
        <w:ind w:left="300" w:hanging="205"/>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leverage the video conferencing, collaboration and AV networking technologies to enlarge our current market share;</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on the small and medium business market with appropriately scaled, lower cost and less complex products and solutions;</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Capitalize on the growing influence of information technology channels in the audio-visual market and introduce more solutions to these channels;</w:t>
      </w:r>
    </w:p>
    <w:p>
      <w:pPr>
        <w:spacing w:after="0" w:line="32" w:lineRule="exact"/>
        <w:rPr>
          <w:rFonts w:ascii="Arial" w:cs="Arial" w:eastAsia="Arial" w:hAnsi="Arial"/>
          <w:sz w:val="16"/>
          <w:szCs w:val="16"/>
          <w:color w:val="auto"/>
        </w:rPr>
      </w:pPr>
    </w:p>
    <w:p>
      <w:pPr>
        <w:ind w:left="300" w:hanging="205"/>
        <w:spacing w:after="0" w:line="250"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the convergence of audio visual and information technology to meet enterprise and commercial multimedia needs and the end-users’ transition from high-priced systems to low cost, complete AV room solutions and cloud services;</w:t>
      </w:r>
    </w:p>
    <w:p>
      <w:pPr>
        <w:ind w:left="300" w:hanging="205"/>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software-based platforms across all our product lines; and</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225" w:lineRule="exact"/>
        <w:rPr>
          <w:sz w:val="20"/>
          <w:szCs w:val="20"/>
          <w:color w:val="auto"/>
        </w:rPr>
      </w:pPr>
    </w:p>
    <w:p>
      <w:pPr>
        <w:ind w:left="300" w:hanging="20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23" w:lineRule="exact"/>
        <w:rPr>
          <w:rFonts w:ascii="Arial" w:cs="Arial" w:eastAsia="Arial" w:hAnsi="Arial"/>
          <w:sz w:val="18"/>
          <w:szCs w:val="18"/>
          <w:color w:val="auto"/>
        </w:rPr>
      </w:pPr>
    </w:p>
    <w:p>
      <w:pPr>
        <w:ind w:left="300" w:hanging="20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the complete value chain for audio visual communication;</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Extending our capabilities in product innovation through software-based video collaboration and AV networking</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Offering greater innovation, interoperability and value to our end-users and channel partners;</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Strengthening existing end-user and channel partner relationships through dedicated and comprehensive support.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ITEM 1- BUSINESS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225" w:lineRule="exact"/>
        <w:rPr>
          <w:sz w:val="20"/>
          <w:szCs w:val="20"/>
          <w:color w:val="auto"/>
        </w:rPr>
      </w:pPr>
    </w:p>
    <w:p>
      <w:pPr>
        <w:ind w:left="300" w:hanging="205"/>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Audio conferencing including installed DSP based professional audio conferencing, USB-based speakerphones and table-top audio conferencing</w:t>
      </w:r>
    </w:p>
    <w:p>
      <w:pPr>
        <w:spacing w:after="0" w:line="34" w:lineRule="exact"/>
        <w:rPr>
          <w:rFonts w:ascii="Arial" w:cs="Arial" w:eastAsia="Arial" w:hAnsi="Arial"/>
          <w:sz w:val="17"/>
          <w:szCs w:val="17"/>
          <w:color w:val="auto"/>
        </w:rPr>
      </w:pPr>
    </w:p>
    <w:p>
      <w:pPr>
        <w:ind w:left="300" w:hanging="205"/>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microphones consisting of patented beamforming microphones, ceiling microphones and wireless microphones; and</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 products including video collaboration and AV networking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audio conferencing products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audio conferencing products contributed 46.3% and 49.5% of our consolidated revenue in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installed audio conferencing and sound reinforcement</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have been a global market leader in the professional installed audio conferencing market. We have been a pioneer in the development of high-end, professional conferencing products and we have established strong brand recognition for these products worldwide. Our installed professional conferencing products include the CONVERGE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 2, CONVERGE Pro and CONVERGE SR product lines.</w:t>
      </w:r>
    </w:p>
    <w:p>
      <w:pPr>
        <w:spacing w:after="0" w:line="1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flagship CONVERGE Pro 2 and CONVERGE Pro product lines lead our professionally installed audio products line. The CONVERGE Pro product line includes the CONVERGE Pro 880, CONVERGE Pro 880T, CONVERGE Pro 880TA, CONVERGE Pro 840T, CONVERGE Pro 8i, CONVERGE Pro TH20 and CONVERGE Pro VH20, and the CONVERGE SR product line including CONVERGE SR1212 and SR1212A which together offer various levels of integration and features to allow a commercial system integrator to optimize a system to fit diverse conferencing applications and environments.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began shipping a limited number of SKUs of the latest generation of CONVERGE Pro products broadly called as CONVERGE Pro 2 at the end of 2016. We added more SKUs to CONVERGE Pro 2 line which now includes CONVERGE Pro 2 128, CONVERGE Pro 2 128D, CONVERGE Pro 2 128T, CONVERGE Pro 2 128TD, CONVERGE Pro 2 128V, CONVERGE Pro 2 128VD, CONVERGE Pro 2 128VT, CONVERGE Pro 2 128VTD, CONVERGE Pro 2 120, CONVERGE Pro 2 012, CONVERGE Pro 2 48T, CONVERGE Pro 2 48V, CONVERGE Pro 2 48VT, CONVERGE Pro 2 48VTD, CONVERGE Pro 2 128SR and CONVERGE Pro 2 128SRD.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CONVERGE Pro 2’s broad DSP platform satisfies clients’ diverse audio needs with these features:</w:t>
      </w:r>
    </w:p>
    <w:p>
      <w:pPr>
        <w:spacing w:after="0" w:line="225" w:lineRule="exact"/>
        <w:rPr>
          <w:sz w:val="20"/>
          <w:szCs w:val="20"/>
          <w:color w:val="auto"/>
        </w:rPr>
      </w:pPr>
    </w:p>
    <w:p>
      <w:pPr>
        <w:ind w:left="300" w:right="20" w:hanging="205"/>
        <w:spacing w:after="0" w:line="258"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Best-in-class audio delivered through next-gen Acoustic Echo Cancellation and Noise Cancellation processing with Acoustic Intelligence, advanced microphone gating and built-in DARE™ feedback elimination.</w:t>
      </w:r>
    </w:p>
    <w:p>
      <w:pPr>
        <w:spacing w:after="0" w:line="1" w:lineRule="exact"/>
        <w:rPr>
          <w:rFonts w:ascii="Arial" w:cs="Arial" w:eastAsia="Arial" w:hAnsi="Arial"/>
          <w:sz w:val="18"/>
          <w:szCs w:val="18"/>
          <w:color w:val="auto"/>
        </w:rPr>
      </w:pPr>
    </w:p>
    <w:p>
      <w:pPr>
        <w:ind w:left="300" w:hanging="205"/>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Powerful architecture with smaller footprint – 12 Mic/line inputs per unit, built-in USB audio interface, built-in optional Dante™ for networked audio.</w:t>
      </w:r>
    </w:p>
    <w:p>
      <w:pPr>
        <w:spacing w:after="0" w:line="32" w:lineRule="exact"/>
        <w:rPr>
          <w:rFonts w:ascii="Arial" w:cs="Arial" w:eastAsia="Arial" w:hAnsi="Arial"/>
          <w:sz w:val="16"/>
          <w:szCs w:val="16"/>
          <w:color w:val="auto"/>
        </w:rPr>
      </w:pPr>
    </w:p>
    <w:p>
      <w:pPr>
        <w:jc w:val="both"/>
        <w:ind w:left="300" w:hanging="205"/>
        <w:spacing w:after="0" w:line="250"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Daisy-chainable design to support up to 144 Mic/line inputs, C-Link expansion bus with 64 channels and P-Link bus for scalable connection of peripheral devices including any combination of ClearOne peripheral devices, such as the new Beamforming Microphone Array 2, USB Expander unit, GPIO Expander unit and/or the new DIALOG® 20 Wireless Microphone system.</w:t>
      </w:r>
    </w:p>
    <w:p>
      <w:pPr>
        <w:spacing w:after="0" w:line="1" w:lineRule="exact"/>
        <w:rPr>
          <w:rFonts w:ascii="Arial" w:cs="Arial" w:eastAsia="Arial" w:hAnsi="Arial"/>
          <w:sz w:val="18"/>
          <w:szCs w:val="18"/>
          <w:color w:val="auto"/>
        </w:rPr>
      </w:pPr>
    </w:p>
    <w:p>
      <w:pPr>
        <w:ind w:left="300" w:hanging="205"/>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Supports video conferencing, audio and web conferencing, Skype® for Business meetings, in-room meetings, wireless presentation, and more.</w:t>
      </w:r>
    </w:p>
    <w:p>
      <w:pPr>
        <w:spacing w:after="0" w:line="20" w:lineRule="exact"/>
        <w:rPr>
          <w:rFonts w:ascii="Arial" w:cs="Arial" w:eastAsia="Arial" w:hAnsi="Arial"/>
          <w:sz w:val="17"/>
          <w:szCs w:val="17"/>
          <w:color w:val="auto"/>
        </w:rPr>
      </w:pPr>
    </w:p>
    <w:p>
      <w:pPr>
        <w:ind w:left="300" w:hanging="205"/>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VoIP or telephony, USB, and Dante™ for maximum functionality.</w:t>
      </w:r>
    </w:p>
    <w:p>
      <w:pPr>
        <w:spacing w:after="0" w:line="9" w:lineRule="exact"/>
        <w:rPr>
          <w:rFonts w:ascii="Arial" w:cs="Arial" w:eastAsia="Arial" w:hAnsi="Arial"/>
          <w:sz w:val="18"/>
          <w:szCs w:val="18"/>
          <w:color w:val="auto"/>
        </w:rPr>
      </w:pPr>
    </w:p>
    <w:p>
      <w:pPr>
        <w:ind w:left="300" w:hanging="205"/>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new expansion bus that delivers increased audio-channel scalability to support large audio projects.</w:t>
      </w:r>
    </w:p>
    <w:p>
      <w:pPr>
        <w:spacing w:after="0" w:line="9" w:lineRule="exact"/>
        <w:rPr>
          <w:rFonts w:ascii="Arial" w:cs="Arial" w:eastAsia="Arial" w:hAnsi="Arial"/>
          <w:sz w:val="18"/>
          <w:szCs w:val="18"/>
          <w:color w:val="auto"/>
        </w:rPr>
      </w:pPr>
    </w:p>
    <w:p>
      <w:pPr>
        <w:ind w:left="300" w:hanging="205"/>
        <w:spacing w:after="0" w:line="250"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control local meeting rooms and audio distribution applications with flexible options – touch panel controller, BYOD dialer apps or 3rd party control modules.</w:t>
      </w:r>
    </w:p>
    <w:p>
      <w:pPr>
        <w:ind w:left="300" w:right="20" w:hanging="205"/>
        <w:spacing w:after="0" w:line="260"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Configure, manage, monitor and troubleshoot the entire system of auto-discovered devices with MatrixView™ and FlowView™ for visualized audio signal paths.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CONVERGE Pro 2 line of products is ably supported by a touch panel controller, a GPIO expansion box, a USB expansion box and a wall-mount Bluetooth Expander. CONVERGE Pro 2 VoIP SKUs are certified to interoperate with Cisco, Avaya and ShoreTel SIP based VoIP systems and also interoperate with Microsoft Skype for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Mid-Tier Premium Conferencing</w:t>
      </w: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INTERACT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2018, we introduced and started shipping CONVERGE Huddle, another addition to the mid-tier premium conferencing line. CONVERGE Huddle is a versatile solution for multiple use huddle room environments at a price point that meets budget requirements for audio and video collaboration applications. CONVERGE Huddle connects to ClearOne or third-party peripheral devices, such as microphones, speakers, cameras, and display screens and applications such as Spontania®, Skype® for Business, GoToMeeting ™, WebEx® through single clutter-free connection via USB 3.0 to laptop. It comes with the latest Acoustic Echo Cancellation and Noise Cancellation algorithms and a user-friendly CONSOLE® software. It can be mounted easily under a table, behind a display, on a wall or in a rack.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Speakerphone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CHAT 50/60/70 personal speakerphones are approximately the size of a deck of cards, and connect to PCs and MACs for rich, clear, hands-free audio and playback. CHAT 150 group speakerphones are designed for small group use. These can also connect many of the same devices and applications as the CHAT personal speakerphones but feature three microphones in larger design for use by a larger number of participants. CHAT 150/160/170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150 group speakerphones which can be daisy-chained together to function as a single conferencing system for much larger coverage than a single CHAT 150. CHAT group speakerphones are integral to our media collaboration product line as our media collaboration products are tightly integrated with CHAT group speakerphones for high quality audio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Tabletop Conferencing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tabletop conferencing product line offered under MAX® brand is comprised of the following product families: MAX EX and MAXAttach® wired conference phones; MAX Wireless and MAXAttach Wireless conference phones; and MAX IP and MAXAttach IP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MICROPHONES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microphones contributed 35.2% and 32.0% of our consolidated revenue in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Beamforming Microphone Array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ClearOne began shipping the first generation Beamforming Microphone Array in March 2013. This product works with CONVERGE Pro 880, CONVERGE Pro 880T, CONVERGE Pro 880TA and CONVERGE Pro 840T.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Beamforming Microphone Array 2, the next generation Beamforming Microphone Array started shipping in the last quarter of 2017 and affirmed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ClearOne’s clear industry leadership with the following outstanding features:</w:t>
      </w:r>
    </w:p>
    <w:p>
      <w:pPr>
        <w:spacing w:after="0" w:line="211" w:lineRule="exact"/>
        <w:rPr>
          <w:sz w:val="20"/>
          <w:szCs w:val="20"/>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enhanced and new echo cancellation, using direction of arrival determination for demanding acoustic environments.</w:t>
      </w:r>
    </w:p>
    <w:p>
      <w:pPr>
        <w:spacing w:after="0" w:line="23" w:lineRule="exact"/>
        <w:rPr>
          <w:rFonts w:ascii="Arial" w:cs="Arial" w:eastAsia="Arial" w:hAnsi="Arial"/>
          <w:sz w:val="18"/>
          <w:szCs w:val="18"/>
          <w:color w:val="auto"/>
        </w:rPr>
      </w:pPr>
    </w:p>
    <w:p>
      <w:pPr>
        <w:jc w:val="both"/>
        <w:ind w:left="500" w:right="20" w:hanging="303"/>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Acoustic intelligence with adaptive ambience - 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w:t>
      </w:r>
    </w:p>
    <w:p>
      <w:pPr>
        <w:spacing w:after="0" w:line="1"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Dramatically better mic pickup, including using an augmenting microphone signal, sharpening the capability to detect softer voices.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and clearly intelligible audio, even when two people speak at once.</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consumption of analog I/O and signal processing in the DSP mixer leaving those resources available for other needs.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Single cable for power, audio and control.</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power options – P-Link and POE.</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Daisy-chains with all ClearOne P-Link devices and works with CONVERGE Pro 2 DSP AEC mixers.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Easy configuration and management through CONSOLE software.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2019, the Company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Ceiling Microphone Array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product line was further strengthened in 2018 by the introduction of the Ceiling Microphone Array Analog-X series of ceiling microphones. These products feature superior sound quality, adjustability for desired height from 0 to 7 feet and numbered microphone elements for easy identification.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Microphones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standard compatible versions and more frequency ranges catering to various international markets.</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2017, we started shipping DIALOG</w:t>
      </w:r>
      <w:r>
        <w:rPr>
          <w:rFonts w:ascii="Arial" w:cs="Arial" w:eastAsia="Arial" w:hAnsi="Arial"/>
          <w:sz w:val="29"/>
          <w:szCs w:val="29"/>
          <w:color w:val="auto"/>
          <w:vertAlign w:val="superscript"/>
        </w:rPr>
        <w:t>®</w:t>
      </w:r>
      <w:r>
        <w:rPr>
          <w:rFonts w:ascii="Arial" w:cs="Arial" w:eastAsia="Arial" w:hAnsi="Arial"/>
          <w:sz w:val="18"/>
          <w:szCs w:val="18"/>
          <w:color w:val="auto"/>
        </w:rPr>
        <w:t xml:space="preserve"> 20, the two-channel wireless microphone system. Leveraging the full power of ClearOne's 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new CONVERGE Pro 2 or new Beamforming Microphone Array 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video products include video collaboration and AV networking products. Our video products contributed 18.4% and 18.5% of our consolidated revenue in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Collaboration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Media Collaboration suite of products is led by our comprehensive portfolio of industry-leading COLLABORATE® branded videoconferencing and collaboration solutions.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COLLABORATE Live 300 includes a free 90-day COLLABORATE Space web conferencing subscription, a Skype for Business client, SIP/H.323 video conferencing, wireless presentation and interactive whiteboard capabilities — along with one CHAT 150 speakerphone and one UNITE 150 PTZ camera</w:t>
      </w:r>
    </w:p>
    <w:p>
      <w:pPr>
        <w:jc w:val="both"/>
        <w:spacing w:after="0" w:line="239" w:lineRule="auto"/>
        <w:rPr>
          <w:sz w:val="20"/>
          <w:szCs w:val="20"/>
          <w:color w:val="auto"/>
        </w:rPr>
      </w:pPr>
      <w:r>
        <w:rPr>
          <w:rFonts w:ascii="Arial" w:cs="Arial" w:eastAsia="Arial" w:hAnsi="Arial"/>
          <w:sz w:val="18"/>
          <w:szCs w:val="18"/>
          <w:color w:val="auto"/>
        </w:rPr>
        <w:t>with 1080p30, 12x optical zoom. COLLABORATE Live 300 succeeded COLLABORATE Pro 300, which included video appliance, UNITE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150 camera, CHAT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150C speakerphone and 90-days subscription to Spontania cloud video, audio and web conferencing, SIP/H.323 video conferencing, in-room wireless presentation and optional Skype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Business native integration.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COLLABORATE Live 600 is a video collaboration system that delivers crystal-clear, full-duplex audio for medium-sized conference room environments. It offers the same suite of built-in video conferencing capabilities, the UNITE 200 PTZ camera, an ultra-friendly user interface, and a 90-day free COLLABORATE Space trial subscription. For audio, the system features two ClearOne CHAT® 150 speakerphones that daisy chain with CHATAttach® for crystal-clear audio quality. COLLABORATE Live 600 succeeded COLLABORATE Pro 600, which included video appliance, UNITE 200 camera,</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CHATAttach</w:t>
      </w:r>
      <w:r>
        <w:rPr>
          <w:rFonts w:ascii="Arial" w:cs="Arial" w:eastAsia="Arial" w:hAnsi="Arial"/>
          <w:sz w:val="29"/>
          <w:szCs w:val="29"/>
          <w:color w:val="auto"/>
          <w:vertAlign w:val="superscript"/>
        </w:rPr>
        <w:t>®</w:t>
      </w:r>
      <w:r>
        <w:rPr>
          <w:rFonts w:ascii="Arial" w:cs="Arial" w:eastAsia="Arial" w:hAnsi="Arial"/>
          <w:sz w:val="18"/>
          <w:szCs w:val="18"/>
          <w:color w:val="auto"/>
        </w:rPr>
        <w:t xml:space="preserve"> 150 speakerphones, and 90-days subscription to Spontania cloud video, audio and web conferencing, SIP/H.323 video conferencing with 4-way built-in MCU, in-room wireless presentation, optional Skype for Business native integration, capture recording and streaming. This solution is targeted at medium-size rooms.</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 large-sized boardrooms, auditoriums, conference rooms, lecture halls, courtrooms, training centers and telemedicine facilities, COLLABORATE Live 900 delivers a complete professional quality collaboration system solution featuring a powerful combination of video components integrated with the most advanced audio DSP technology for the richest possible large meeting room collaboration experience. COLLABORATE 900 features a suite of built-in video conferencing capabilities including a Skype® for Business client, SIP/H.323 video conferencing, wireless presentation, interactive whiteboard, recording and streaming and a user interface that’s as simple and familiar as the interface found on a tablet or mobile device. It also includes a CONVERGE® Pro 2 DSP mixer, the industry’s most advanced audio processor and ClearOne’s Beamforming Microphone Array 2, which features adaptive steering technology (think of it as smart switching) to provide unsurpassed audio pick-up coverage of an entire room. For high-quality video capture of all participants in the room, the COLLABORATE Live 900 comes with the UNITE® 200 PTZ 1080p60 camera with 12x optical zoom. The system also includes a 90-day free trial of the ClearOne COLLABORATE Space cloud-based video conferencing application. COLLABORATE Live 900</w:t>
      </w:r>
    </w:p>
    <w:p>
      <w:pPr>
        <w:spacing w:after="0" w:line="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succeeded COLLABORATE Pro 900, which included video appliance, UNITE 200 camera, CONVERGE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 installed audio endpoint, Beamforming Microphone Array and 90-days subscription to Spontania cloud video, audio and web conferencing, SIP/H.323 video conferencing with 4-way built-in MCU, multi-user in-room wireless presentation, optional Skype for Business native integration, capture recording and streaming. This solution is targeted at medium and large-size rooms.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COLLABORATE Live 1000 includes ClearOne’s newest beamforming microphone product, the Beamforming Microphone Array Ceiling Tile (BMA CT). COLLABORATE Live 1000 also includes COLLABORATE Space cloud conferencing, Skype® for Business client, SIP/H.323 video conferencing, wireless presentation, interactive whiteboard, recording, and streaming. The system comes complete with the CONVERGE Pro 2 48VT DSP mixer, the industry’s most advanced audio processor, and a user interface that’s as simple and familiar as that found on a tablet or mobile device. A UNITE® 200 PTZ 1080p60 camera with 12x optical zoom ensures high-quality capture of all room participants.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Rounding out ClearOne’s new COLLABORATE Live product line is COLLABORATE Live 200, a new video collaboration system with ultra-wide angle video capture, which is critical for viewing all conference participants in huddle spaces and smaller room environments. Designed specifically to meet huddle space budgets, COLLABORATE Live 200 features the UNITE 50 EPTZ 1080p30 camera with 3x digital zoom and a 120-degree wide-angle field of view. Other features are similar to those found in the COLLABORATE Live 300 system, including the free 90-day COLLABORATE Space subscription.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Media Collaboration series also include COLLABORATE Space, a suite of solutions that unifies messaging, calls, meetings and, perhaps most importantly, minds in a way that will energize workflows and increase productivity for everyone involved in the enterprise. Designed as a persistent, user-friendly collaboration suite, COLLABORATE Space contains many powerful UCC capabilities, as well as the seamless ability to make calls outside the network. By adding phone credits on the account, customers can reach anyone in the world on a standard landline or mobile phone with the system’s integrated phone dialer.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 Team members wishing to move from email can also create searchable private and public channels, organized by topic, which can be accessed from anywhere. They can also search, access and store agendas, notes, messages, documents, whiteboards, session recordings, and more. Finally, COLLABORATE Space runs on any device, from desktop to mobile, and on any standards-based video endpoint.</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COLLABORATE Space Enterprise has all the functionality people have come to expect from a full-featured cloud collaboration app, with the increased security and full, enterprise control associated with on-premise platforms. In addition to “Enterprise” platform, COLLABORATE Space is available in cloud-based “Basic” and “Pro” versions.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COLLABORATE Space was preceded by Spontania cloud video, audio and web conferencing service that can be deployed on-premises or in the cloud. Spontania offered all sorts of collaboration tools such as screen sharing, application sharing, whiteboard, annotation over presentation, recording, hand-raise and chat. The service is targeted for any workspace including mobile, desktop and rooms of any size; and multiple use cases including meetings, classrooms and training sessions.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Bring your own video and web conferencing – COLLABORATE Versa series offer a USB PTZ camera, a speakerphone and a central hub that connects the laptop to the meeting room peripherals via single USB 3.0 connectivity. COLLABORATE Versa, compatible with Cisco WebEx</w:t>
      </w:r>
      <w:r>
        <w:rPr>
          <w:rFonts w:ascii="Arial" w:cs="Arial" w:eastAsia="Arial" w:hAnsi="Arial"/>
          <w:sz w:val="26"/>
          <w:szCs w:val="26"/>
          <w:color w:val="auto"/>
          <w:vertAlign w:val="superscript"/>
        </w:rPr>
        <w:t>®</w:t>
      </w:r>
      <w:r>
        <w:rPr>
          <w:rFonts w:ascii="Arial" w:cs="Arial" w:eastAsia="Arial" w:hAnsi="Arial"/>
          <w:sz w:val="16"/>
          <w:szCs w:val="16"/>
          <w:color w:val="auto"/>
        </w:rPr>
        <w:t>, Google Hangouts</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Microsoft Skype for Business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more, is also bundled with 90-days subscription of Spontania cloud video, audio and web conferencing. This solution is targeted at huddle spaces and medium conference rooms.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COLLABORATE Versa 50 features a ClearOne UNITE® 50 EPTZ 3x zoom 1080p30 camera to capture all participants in the room; a central hub for connecting to dual displays, cameras, audio endpoints, networks and other peripherals; a CHAT® 150 speakerphone with advanced audio processing for a rich conferencing experience; and a complimentary 90-day trial of COLLABORATE Space, ClearOne’s powerful cloud-based audio and video conferencing applications.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COLLABORATE Versa Pro 50 addresses today’s AV collaboration needs for COLLABORATE Space, MS Teams, Skype® for Business, Zoom, WebEx, GoToMeeting and Spontania with a complete huddle space solution. It features a CONVERGE® Huddle audio DSP mixer for a professional audio experience, a ClearOne UNITE® 50 EPTZ 3x zoom 1080p30 camera, a ceiling microphone array with 360-degree coverage reducing reverberation and noise, and a complimentary 90-day trial of ClearOne COLLABORATE Space. Customers purchasing the COLLABORATE Versa Pro 150 get upgraded to a 1080p30 UNITE® 150 PTZ camera with 12x optical zoom.</w:t>
      </w:r>
    </w:p>
    <w:p>
      <w:pPr>
        <w:spacing w:after="0" w:line="1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COLLABORATE Versa Pro CT, includes a Huddle DSP mixer and the Huddle-compatible and patented BMA CTH that is a perfect fit for small-to medium-sized rooms. The COLLABORATE Versa Pro CT is a great room solution for Bring Your Own Device (BYOD) collaboration using any cloud-</w:t>
      </w:r>
    </w:p>
    <w:p>
      <w:pPr>
        <w:jc w:val="both"/>
        <w:spacing w:after="0" w:line="244" w:lineRule="auto"/>
        <w:rPr>
          <w:sz w:val="20"/>
          <w:szCs w:val="20"/>
          <w:color w:val="auto"/>
        </w:rPr>
      </w:pPr>
      <w:r>
        <w:rPr>
          <w:rFonts w:ascii="Arial" w:cs="Arial" w:eastAsia="Arial" w:hAnsi="Arial"/>
          <w:sz w:val="17"/>
          <w:szCs w:val="17"/>
          <w:color w:val="auto"/>
        </w:rPr>
        <w:t>based service. such as COLLABORATE® Space, Microsoft® Teams, WebEx</w:t>
      </w:r>
      <w:r>
        <w:rPr>
          <w:rFonts w:ascii="Arial" w:cs="Arial" w:eastAsia="Arial" w:hAnsi="Arial"/>
          <w:sz w:val="28"/>
          <w:szCs w:val="28"/>
          <w:color w:val="auto"/>
          <w:vertAlign w:val="superscript"/>
        </w:rPr>
        <w:t>®</w:t>
      </w:r>
      <w:r>
        <w:rPr>
          <w:rFonts w:ascii="Arial" w:cs="Arial" w:eastAsia="Arial" w:hAnsi="Arial"/>
          <w:sz w:val="17"/>
          <w:szCs w:val="17"/>
          <w:color w:val="auto"/>
        </w:rPr>
        <w:t>, Zoom</w:t>
      </w:r>
      <w:r>
        <w:rPr>
          <w:rFonts w:ascii="Arial" w:cs="Arial" w:eastAsia="Arial" w:hAnsi="Arial"/>
          <w:sz w:val="28"/>
          <w:szCs w:val="28"/>
          <w:color w:val="auto"/>
          <w:vertAlign w:val="superscript"/>
        </w:rPr>
        <w:t>®</w:t>
      </w:r>
      <w:r>
        <w:rPr>
          <w:rFonts w:ascii="Arial" w:cs="Arial" w:eastAsia="Arial" w:hAnsi="Arial"/>
          <w:sz w:val="17"/>
          <w:szCs w:val="17"/>
          <w:color w:val="auto"/>
        </w:rPr>
        <w:t>, and more. The system includes the Company’s new BMA CTH Beamforming Microphone Array Ceiling Tile with built-in AEC, providing the same impeccable room coverage as the BMA CT using adaptive steering (think of it as smart switching). The COLLABORATE Versa Pro CT system also includes mic/line inputs with AEC, line outputs, 4x10 Watt power amps, USB audio, mobile phone jack, and HDMI. The system comes preloaded with a project file ready for the most common room configuration. Or it can be further configured using CONSOLE® AI software, now with enhanced visualization and Audio Intelligence.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both COLLABORATE Versa Pro 50 and Versa Pro 150 solutions feature a CONVERGE® Huddle audio DSP mixer for a professional audio experience, a Ceiling Microphone Array with 360-degree coverage that reduces reverberation and noise; and an optional clutter-free CONVERGE Huddle VESA mount.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 200/150 is a professional-grade PTZ camera series supporting USB, HDMI and IP connectivity. It delivers 1080p HD resolution, 12X optical zoom and is compatible with PC-based and Pro-AV applications, supporting wide range of meeting spaces.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 50 4K camera is plug-and-play ready with 120-degree field-of-view, digital zoom and pairs easily with any microphone/speaker combination. The UNITE 50 4K camera’s ultra-wide-angle field-of-view is ideally suited for PC-based video conferencing, web conferencing and unified communications, and other collaboration experiences in huddle spaces and small conference rooms. The camera also supports the USB Video Class (UVC) 1.1 standard for maximum compatibility with a wide variety of cloud and room-based solutions. Along with 4K30 resolution, the autofocus camera features 3x digital zoom and a full-function USB 3.0 interface for video and power. Its wide dynamic range provides support for optimal image capture — critical for all video conferencing.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 Networking</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AV networking products are primarily sold under VIEW</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VIEW Pro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w:t>
      </w:r>
    </w:p>
    <w:p>
      <w:pPr>
        <w:jc w:val="both"/>
        <w:spacing w:after="0" w:line="236" w:lineRule="auto"/>
        <w:rPr>
          <w:sz w:val="20"/>
          <w:szCs w:val="20"/>
          <w:color w:val="auto"/>
        </w:rPr>
      </w:pPr>
      <w:r>
        <w:rPr>
          <w:rFonts w:ascii="Arial" w:cs="Arial" w:eastAsia="Arial" w:hAnsi="Arial"/>
          <w:sz w:val="18"/>
          <w:szCs w:val="18"/>
          <w:color w:val="auto"/>
        </w:rPr>
        <w:t>controlled IP-based systems. The ClearOne VIEW and VIEW Pro products are powered by ClearOne’s patented StreamNet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VIEW Pro systems have no limits on the numbers of sources, displays, or amplifiers in a project and can be used in venues from high-end residential homes to large-scale commercial projects. The number of devices could be determined by the network bandwidth availability, number of media streams and its bandwidth requirements.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when they were encoded. The addition of Digital Encoder and Digital Decoder products with DVI/HDMI input and output enhances the flexibility of complete AV distribution system and makes it as easy to use as analog devices.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VIEW Pro solution provides 1080p60, H.264 high definition HDMI video-audio, 4:4:4 true-color, 24 bit per pixel video output. It comes with dual inputs encoder, single input encoder and single output decoder with balanced audio, general purpose control ports and clock synchronized video output. VIEW</w:t>
      </w:r>
    </w:p>
    <w:p>
      <w:pPr>
        <w:jc w:val="both"/>
        <w:spacing w:after="0" w:line="244" w:lineRule="auto"/>
        <w:rPr>
          <w:sz w:val="20"/>
          <w:szCs w:val="20"/>
          <w:color w:val="auto"/>
        </w:rPr>
      </w:pPr>
      <w:r>
        <w:rPr>
          <w:rFonts w:ascii="Arial" w:cs="Arial" w:eastAsia="Arial" w:hAnsi="Arial"/>
          <w:sz w:val="17"/>
          <w:szCs w:val="17"/>
          <w:color w:val="auto"/>
        </w:rPr>
        <w:t>Pro system also provides PANORAMA</w:t>
      </w:r>
      <w:r>
        <w:rPr>
          <w:rFonts w:ascii="Arial" w:cs="Arial" w:eastAsia="Arial" w:hAnsi="Arial"/>
          <w:sz w:val="28"/>
          <w:szCs w:val="28"/>
          <w:color w:val="auto"/>
          <w:vertAlign w:val="superscript"/>
        </w:rPr>
        <w:t>TM</w:t>
      </w:r>
      <w:r>
        <w:rPr>
          <w:rFonts w:ascii="Arial" w:cs="Arial" w:eastAsia="Arial" w:hAnsi="Arial"/>
          <w:sz w:val="17"/>
          <w:szCs w:val="17"/>
          <w:color w:val="auto"/>
        </w:rPr>
        <w:t>, 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VIEW Pro solution also comes with multiple license options including audio mixing, video composition, video wall, multicast RTSP and local playback.</w:t>
      </w:r>
    </w:p>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VIEW CONSOLE software gives integrators a comprehensive platform from which to configure, manage, monitor, and control VIEW system installation using an easy, modern interface. The new toolset, which spotlights the latest in advanced software development technologies, works across ClearOne’s full line of VIEW/VIEW Pro products. In 2017, we released an updated version of VIEW CONSOLE and PANORAMA software applications.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2018, the VIEW line of products was strengthened by the introduction of VIEW Lite. The VIEW Lite series which includes an encoder, a decoder and a controller, provide essential functionality that meets the full needs of simple AV over IP applications while simultaneously delivering superb price-to-performance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audio-visual consultants. We also sell our commercial products directly to certain dealers, systems integrators, value-added resellers, and end-users.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product sales generated in the United States and outside the United States for the years ended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Revenue in millions</w:t>
            </w:r>
          </w:p>
        </w:tc>
        <w:tc>
          <w:tcPr>
            <w:tcW w:w="900" w:type="dxa"/>
            <w:vAlign w:val="bottom"/>
          </w:tcPr>
          <w:p>
            <w:pPr>
              <w:spacing w:after="0"/>
              <w:rPr>
                <w:sz w:val="20"/>
                <w:szCs w:val="20"/>
                <w:color w:val="auto"/>
              </w:rPr>
            </w:pPr>
          </w:p>
        </w:tc>
        <w:tc>
          <w:tcPr>
            <w:tcW w:w="1380" w:type="dxa"/>
            <w:vAlign w:val="bottom"/>
            <w:gridSpan w:val="3"/>
          </w:tcPr>
          <w:p>
            <w:pPr>
              <w:jc w:val="right"/>
              <w:ind w:right="699"/>
              <w:spacing w:after="0"/>
              <w:rPr>
                <w:sz w:val="20"/>
                <w:szCs w:val="20"/>
                <w:color w:val="auto"/>
              </w:rPr>
            </w:pPr>
            <w:r>
              <w:rPr>
                <w:rFonts w:ascii="Arial" w:cs="Arial" w:eastAsia="Arial" w:hAnsi="Arial"/>
                <w:sz w:val="16"/>
                <w:szCs w:val="16"/>
                <w:color w:val="auto"/>
              </w:rPr>
              <w:t>2019</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3"/>
        </w:trPr>
        <w:tc>
          <w:tcPr>
            <w:tcW w:w="374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Revenue</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the United States</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80" w:type="dxa"/>
            <w:vAlign w:val="bottom"/>
          </w:tcPr>
          <w:p>
            <w:pPr>
              <w:spacing w:after="0"/>
              <w:rPr>
                <w:sz w:val="18"/>
                <w:szCs w:val="18"/>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Outside United States</w:t>
            </w:r>
          </w:p>
        </w:tc>
        <w:tc>
          <w:tcPr>
            <w:tcW w:w="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680" w:type="dxa"/>
            <w:vAlign w:val="bottom"/>
          </w:tcPr>
          <w:p>
            <w:pPr>
              <w:spacing w:after="0"/>
              <w:rPr>
                <w:sz w:val="19"/>
                <w:szCs w:val="19"/>
                <w:color w:val="auto"/>
              </w:rPr>
            </w:pPr>
          </w:p>
        </w:tc>
      </w:tr>
      <w:tr>
        <w:trPr>
          <w:trHeight w:val="210"/>
        </w:trPr>
        <w:tc>
          <w:tcPr>
            <w:tcW w:w="3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25.0</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80" w:type="dxa"/>
            <w:vAlign w:val="bottom"/>
          </w:tcPr>
          <w:p>
            <w:pPr>
              <w:spacing w:after="0"/>
              <w:rPr>
                <w:sz w:val="18"/>
                <w:szCs w:val="18"/>
                <w:color w:val="auto"/>
              </w:rPr>
            </w:pPr>
          </w:p>
        </w:tc>
      </w:tr>
      <w:tr>
        <w:trPr>
          <w:trHeight w:val="452"/>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gridSpan w:val="3"/>
          </w:tcPr>
          <w:p>
            <w:pPr>
              <w:jc w:val="right"/>
              <w:ind w:right="359"/>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29"/>
        </w:trPr>
        <w:tc>
          <w:tcPr>
            <w:tcW w:w="3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directly to our distributors and resellers in approximately 61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Distributors, Resellers and Independent Integrators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sold our products directly to approximately 345 distributors and direct resellers throughout the world during 2019.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We also conduct public relations initiatives to get press coverage and product reviews in industry and non-industry publications alike.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we sell through distributors and value-added resellers, we do not have comprehensive information on end-users who ultimately use our products. As a result, we do not know whether any end-user accounted for more than 10% of our total revenue during any of the periods reported in this Annual Report. Our customers are distributors and value-added resellers. During the year ended December 31, 2019, one distributor accounted for approximately 11% of consolidated revenue with no other customer accounting for more that 10% of consolidated revenue. During the year ended December 31, 2018 no customer accounted for more than 10% of consolidated revenue.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orders fulfilled on which we had not recognized revenue were $0.2 million and $0.3 million as of December 31, 2019 and 2018, respectively. We had a backlog of unfulfilled orders of approximately $0.2 million and $0.3 million as of December 31, 2019 and 2018,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principal factors drive our sales:</w:t>
      </w:r>
    </w:p>
    <w:p>
      <w:pPr>
        <w:spacing w:after="0" w:line="225" w:lineRule="exact"/>
        <w:rPr>
          <w:sz w:val="20"/>
          <w:szCs w:val="20"/>
          <w:color w:val="auto"/>
        </w:rPr>
      </w:pPr>
    </w:p>
    <w:p>
      <w:pPr>
        <w:ind w:left="780" w:hanging="44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23" w:lineRule="exact"/>
        <w:rPr>
          <w:rFonts w:ascii="Arial" w:cs="Arial" w:eastAsia="Arial" w:hAnsi="Arial"/>
          <w:sz w:val="18"/>
          <w:szCs w:val="18"/>
          <w:color w:val="auto"/>
        </w:rPr>
      </w:pPr>
    </w:p>
    <w:p>
      <w:pPr>
        <w:ind w:left="780" w:hanging="44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9" w:lineRule="exact"/>
        <w:rPr>
          <w:rFonts w:ascii="Arial" w:cs="Arial" w:eastAsia="Arial" w:hAnsi="Arial"/>
          <w:sz w:val="18"/>
          <w:szCs w:val="18"/>
          <w:color w:val="auto"/>
        </w:rPr>
      </w:pPr>
    </w:p>
    <w:p>
      <w:pPr>
        <w:ind w:left="780" w:hanging="44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9" w:lineRule="exact"/>
        <w:rPr>
          <w:rFonts w:ascii="Arial" w:cs="Arial" w:eastAsia="Arial" w:hAnsi="Arial"/>
          <w:sz w:val="18"/>
          <w:szCs w:val="18"/>
          <w:color w:val="auto"/>
        </w:rPr>
      </w:pPr>
    </w:p>
    <w:p>
      <w:pPr>
        <w:ind w:left="780" w:hanging="44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9" w:lineRule="exact"/>
        <w:rPr>
          <w:rFonts w:ascii="Arial" w:cs="Arial" w:eastAsia="Arial" w:hAnsi="Arial"/>
          <w:sz w:val="18"/>
          <w:szCs w:val="18"/>
          <w:color w:val="auto"/>
        </w:rPr>
      </w:pPr>
    </w:p>
    <w:p>
      <w:pPr>
        <w:ind w:left="780" w:hanging="44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sales and technical support services.</w:t>
      </w:r>
    </w:p>
    <w:p>
      <w:pPr>
        <w:spacing w:after="0" w:line="9" w:lineRule="exact"/>
        <w:rPr>
          <w:rFonts w:ascii="Arial" w:cs="Arial" w:eastAsia="Arial" w:hAnsi="Arial"/>
          <w:sz w:val="18"/>
          <w:szCs w:val="18"/>
          <w:color w:val="auto"/>
        </w:rPr>
      </w:pPr>
    </w:p>
    <w:p>
      <w:pPr>
        <w:ind w:left="780" w:hanging="44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professional audio conferencing system and sound reinforcement markets our main competitors include AcousticMagic, AMX Biamp, BOSE, Crestron, Extron, Harman International/BSS, Peavey, Phoenix Audio, Polycom, QSC, Shure, Symetrix, Vaddio and Yamaha and their original equipment manufacturing (OEM) partners, along with several other companies potentially poised to enter the market.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competitors in the USB-based speakerphones market are GN Netcom (Jabra), Logitech, Phoenix Audio, Plantronics, Polycom, and Yamaha and their OEM partners.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tabletop audio conferencing market, we face significant competition from Avaya/Konftel, Phoenix Audio, Polycom and Yamaha, and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microphones market, our primary competitors include AKG, Audio Technica, Audix, Avlex/Mipro, Beyerdynamic, Biamp, Clock Audio, Lectrosonics, Nureva, Mediavision/Taiden, Polycom, Phoenix Audio, Sennheiser, Shure, TeachLogic, TOA, Yamaha/Revolabs and Vaddio and their OEM partners.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video conferencing products face tremendous competition from well established players as well as emerging players, including Acano/CISCO, Adobe Connect, Amazon Chime, Avaya (Radvision), Aver, Barco, Blackboard Collaborate, Blue Jeans, Cisco, Citrix, Fuze, Huawei, InFocus, Kramer, LifeSize, Magor, Pexip, Polycom, Microsoft Skype for Business, Starleaf, Telylabs, UNIFY, Videxio, Vidyo, Yealink, Zoom and ZTE.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AV networking products face intense competition from a few well-established corporations of diversified capabilities and strengths, including AMX, Atlona, Aurora Multimedia, Barco, Biamp, Cisco, Crestron, Extron, Gefen, Goopie, Haivision, Hall Research, Infocus (Jupiter), Key Digital, Kramer, Liberty AV, Magenta Research, Matrox, Mediasite, Ncast, RGB Spectrum, SVSi/Harman, voLANte, Teracue, tvONE, VBrick, Visionary Solutions, WyreStorm and ZeeVee. We believe that our software based patented technology delivers superior audio and video streaming performance and flexibility and provides us with a competitive edge over other industry players.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 During 2017, we witnessed a significant tightening of the electronics market with demand for electronic products especially for memories and processors far exceeding the supply caused price increases and longer fulfillment cycles. During 2018 the fulfillment cycles improved. During 2019 tariff wars between USA and China created some uncertainty with respect to pricing and consequently affected the supply chain.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Currently, all of our products are manufactured by EMS providers. Our primary EMS provider is Flextronics.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recognize a consistent pattern between the quarters to identify seasonality.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$5.8 million and $7.8 million during the years ended December 31, 2019 and 2018,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(c) video technologies, and (d) cloud technologies. We also have expertise in wireless technologies, VoIP, software and network system development. We believe that continued investment in our core technological competencies is vital to developing new products and to enhancing existing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we had approximately 83 patents and 7 pending patent applications, including foreign counterpart patents and foreign applications. Our patents and pending patent applications cover a wide range of our products and services including, but not limited to 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U.S. trademarks. The laws of foreign countries may not protect our intellectual property to the same degree as the laws of the United States.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certain pending claims against a competitor are in various stages of litigation. See </w:t>
      </w:r>
      <w:r>
        <w:rPr>
          <w:rFonts w:ascii="Arial" w:cs="Arial" w:eastAsia="Arial" w:hAnsi="Arial"/>
          <w:sz w:val="16"/>
          <w:szCs w:val="16"/>
          <w:u w:val="single" w:color="auto"/>
          <w:color w:val="auto"/>
        </w:rPr>
        <w:t>Part I, Item 3. Legal Proceedings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Note 8 – Commitments and Contingencies</w:t>
      </w:r>
      <w:r>
        <w:rPr>
          <w:rFonts w:ascii="Arial" w:cs="Arial" w:eastAsia="Arial" w:hAnsi="Arial"/>
          <w:sz w:val="16"/>
          <w:szCs w:val="16"/>
          <w:color w:val="auto"/>
        </w:rPr>
        <w:t xml:space="preserve"> of the Notes to Consolidated Financial Statements (Part II, Item 8) for information regarding current legal proceedings involving our intellectual property rights.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patent infringement lawsuits against Shure Inc. ("Shure").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April 24, 2017, Shure initiated litigation against the Company in the matter styled </w:t>
      </w:r>
      <w:r>
        <w:rPr>
          <w:rFonts w:ascii="Arial" w:cs="Arial" w:eastAsia="Arial" w:hAnsi="Arial"/>
          <w:sz w:val="18"/>
          <w:szCs w:val="18"/>
          <w:i w:val="1"/>
          <w:iCs w:val="1"/>
          <w:color w:val="auto"/>
        </w:rPr>
        <w:t>Shure Inc. v. ClearOne, Inc.</w:t>
      </w:r>
      <w:r>
        <w:rPr>
          <w:rFonts w:ascii="Arial" w:cs="Arial" w:eastAsia="Arial" w:hAnsi="Arial"/>
          <w:sz w:val="18"/>
          <w:szCs w:val="18"/>
          <w:color w:val="auto"/>
        </w:rPr>
        <w:t>, 1:17-cv-03078, which is pending in the United States District Court for the Northern District of Illinois, Eastern Division, before the Honorable Edmond E. Chang. Shure’s initial complaint sought a declaratory judgment for non-infringement and invalidity of the Company’s U.S. Patent No. 9,635,186 ("’186 Patent") and Patent No. 9,264,553 ("’553 Patent"). In early 2018, Shure added a claim that the ‘186 Patent is unenforceable. The Court dismissed Shure’s request for declaratory judgment relating to the ’553 Patent, which at the time in 2017, had not been asserted by the Company against any defendant and had been submitted to the USPTO for reissue. The Company has filed counterclaims against Shure for willful infringement of the Company’s ’186 Patent and the Company’s U.S. Patent No. 9,813,806 ("’806 Patent").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April 10, 2019, the Company filed a new lawsuit against Shure in the United States District Court for the Northern District of Illinois, Eastern Division, styled </w:t>
      </w:r>
      <w:r>
        <w:rPr>
          <w:rFonts w:ascii="Arial" w:cs="Arial" w:eastAsia="Arial" w:hAnsi="Arial"/>
          <w:sz w:val="18"/>
          <w:szCs w:val="18"/>
          <w:i w:val="1"/>
          <w:iCs w:val="1"/>
          <w:color w:val="auto"/>
        </w:rPr>
        <w:t>ClearOne, Inc. v. Shure Inc.</w:t>
      </w:r>
      <w:r>
        <w:rPr>
          <w:rFonts w:ascii="Arial" w:cs="Arial" w:eastAsia="Arial" w:hAnsi="Arial"/>
          <w:sz w:val="18"/>
          <w:szCs w:val="18"/>
          <w:color w:val="auto"/>
        </w:rPr>
        <w:t>, 1:19-cv-02421. In this lawsuit, the Company asserts claims against Shure for infringement of the Company’s ’553 Patent and for trade secret misappropriation.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we had 127 full-time employees. Of these employees, 77 were located in the U.S. and 50 in locations outside the U.S. None of our employees are subject to a collective bargaining agreement and we believe our relationship with our employees is good. We also hire contractors with specific skill sets to meet our operational needs.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and our operating results will be adversely affected if we cannot compete effectively against other companies.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currently subject to patent litigation, including claims challenging the validity and enforceability of some of our patents, which could cause us to incur significant expenses or prevent us from protecting our products or services against competing products.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industry is characterized by vigorous protection of intellectual property rights. We have initiated litigation to enforce our intellectual property rights, which has resulted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 and the uncertainty of intellectual property litigation increase these risks. See </w:t>
      </w:r>
      <w:r>
        <w:rPr>
          <w:rFonts w:ascii="Arial" w:cs="Arial" w:eastAsia="Arial" w:hAnsi="Arial"/>
          <w:sz w:val="17"/>
          <w:szCs w:val="17"/>
          <w:u w:val="single" w:color="auto"/>
          <w:color w:val="auto"/>
        </w:rPr>
        <w:t>Part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Item 3. Legal Proceedings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Note 8 – Commitments and Contingencies</w:t>
      </w:r>
      <w:r>
        <w:rPr>
          <w:rFonts w:ascii="Arial" w:cs="Arial" w:eastAsia="Arial" w:hAnsi="Arial"/>
          <w:sz w:val="17"/>
          <w:szCs w:val="17"/>
          <w:color w:val="auto"/>
        </w:rPr>
        <w:t xml:space="preserve"> of the Notes to Consolidated Financial Statements (Part II, Item 8) for information regarding current legal proceedings involving our intellectual property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A material weakness was identified in our internal control over financial reporting. If we fail to maintain effective internal control over financial reporting in the future, we may be unable to report our financial results accurately on a timely basis, investors could lose confidence in our reported financial information, the trading price of our common shares could decline and our access to the capital markets or other financing sources could become limited.</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audit of our consolidated financial statements as of December 31, 2017, our independent registered public accounting firm identified deficiencies in our system of internal control over financial reporting that it considered to be a material weakness related to the accurate and timely reporting of our financial results and disclosures for the fiscal year ended December 31, 2017 and our testing and assessment of the design and operating effectiveness of internal controls over financial reporting in a timely manner.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See Part II, Item 9A, “Controls and Procedures.”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initiated remedial measures and conducted an evaluation of the effectiveness of our internal control over financial reporting for the year ended December 31, 2019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framework) issued by the Committee of Sponsoring Organizations of the Treadway Commission, and concluded that remediation of the material weakness identified during the 2017 audit has been completed.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conducted an evaluation of the effectiveness of our internal control over financial reporting for the year ended December 31, 2019 based on the framework set forth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framework) issued by the Committee of Sponsoring Organizations of the Treadway Commission, concluding that our internal control over financial reporting was effective as of December 31, 2019.</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However, there can be no assurance that these actions, as well as further actions we may take, will allow us to prevent any material weakness in the future and provide a solid foundation to meet our reporting obligations under the Exchange Act. If we fail to implement and maintain effective internal control over financial reporting, or if additional material weaknesses or any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future material weakness and if we are unable to produce accurate and timely financial statements, our stock price may be materially adversely affected and we may be unable to maintain compliance with applicable stock exchange listing requirements.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both parties,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an outsourced manufacturing strategy, and any disruption in outsourced services could negatively impact our product availability and revenues.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outsource the manufacturing of all of our products except digital signage and wireless microphone products to electronics manufacturing services (“EMS”) providers located outside the U.S. If any of these EMS providers experience (i) difficulties in obtaining sufficient supplies of components, (ii) component prices significantly exceeding anticipated costs, (iii) an interruption in their operations, or (iv)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Switching from one EMS provider to another is an expensive, difficult and a time-consuming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the sourcing and availability of raw materials necessary for our EMS providers to manufacture certain of our products, including "conflict minerals" has been and could continue to be significantly constrained, which is likely to result in continued elevated price levels. Furthermore, compliance with SEC disclosure and reporting requirements in the future regarding the use of "conflict minerals" mined from the Democratic Republic of Congo and adjoining countries could adversely affect the sourcing, supply and pricing of materials used in our products.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economic conditions have adversely affected our business in the past and could adversely affect our revenues and harm our business in the future.</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a smaller company than some of our competitors and may be more susceptible to market fluctuations, other adverse events, increased costs and less favorable purchasing terms.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integrating future acquisitions could adversely affect our business.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any future acquisitions we may make.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Profitability could be negatively impacted if we do not adequately forecast the demand for our products and are unable to monetize our long-term inventories.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approximately $6.3 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in China, India, Spain and United Arab Emirates may affect our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different teams working outside the U.S. in China, India, Spain and United Arab Emirates offering various services including research and development, sales and marketing, and manufacturing operations support. Our ability to operate the company smoothly may be affected significantly if either one or more of these countries are adversely impacted by political, economic, security and military conditions in these countries.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 w:lineRule="exact"/>
        <w:rPr>
          <w:sz w:val="20"/>
          <w:szCs w:val="20"/>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500" w:right="20" w:hanging="303"/>
        <w:spacing w:after="0" w:line="26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attract highly-skilled technical employees from abroad.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third-party technology and license agreements, the loss of any of which could negatively impact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Financial, Economic and Social Conditions Could Deteriorate.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could be materially affected by conditions in the global financial markets and economic conditions generally. The recent outbreak of a novel coronavirus, which causes the disease now known as COVID-19, was first identified in December 2019 in Wuhan, China, and has since spread globally. Government efforts to contain the spread of the coronavirus through lockdowns of cities, business closures, restrictions on travel and emergency quarantines, among others, and responses by businesses and individuals to reduce the risk of exposure to infection, including social distancing in the form of reduced travel, cancellation of meetings and public and private events, and implementation of work-at-home policies, among others, have caused significant disruptions to the global economy and normal business operations across a growing list of sectors and countries, including in the United States. The foregoing have, and are likely to continue to adversely affect business confidence and consumer sentiments, and have been, and may continue to be, accompanied by significant volatility and declines in financial markets and asset values. The spread of the coronavirus, particularly if its development into a worldwide health crisis worsens, also may have broader macro-economic implications, including reduced levels of economic growth and possibly a global recession, the effects of which could be felt well beyond the time the pandemic is contained, and which could adversely affect demand for our products and our results of operations and financial condition. The impact of COVID-19 on any of our suppliers, co-manufacturers, distributors or transportation or logistics providers may negatively affect the price and availability of our products and impact our supply chain. If the pandemic continues to evolve into a severe worldwide health crisis, the disease could have a material adverse effect on our business, results of operations, financial condition and cash flows and adversely impact the trading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70" w:lineRule="exact"/>
        <w:rPr>
          <w:sz w:val="20"/>
          <w:szCs w:val="20"/>
          <w:color w:val="auto"/>
        </w:rPr>
      </w:pPr>
    </w:p>
    <w:p>
      <w:pPr>
        <w:ind w:left="660" w:right="20" w:hanging="382"/>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stock price may in the future not meet the minimum bid price for continued listing on the Nasdaq Capital Market. Our ability to publicly or privately sell equity securities and the liquidity of our common stock could be adversely affected if we are delisted from The Nasdaq Capital Market.</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Nasdaq Listing Rule 5450(a)(1) provides that the closing bid price for our common stock may not be below $1.00 per share for any period of 30 consecutive trading days to maintain our continued listing on The Nasdaq Capital Market ("Minimum Bid Price Rule"). Although we are currently in compliance with the Minimum Bid Price Rule, there can be no assurance that our common stock will continue to satisfy this rule. If we were to fail to comply with the Minimum Bid Price Rule in the future and became subject to delisting, such delisting from Nasdaq would adversely affect our ability to raise additional financing through the public or private sale of equity securities, would significantly affect the ability of investors to trade our securities and would negatively affect the value and liquidity of our common stock. Delisting also could have other negative results, including the potential loss of confidence by employees, the loss of institutional investor interest and fewer business development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2019, there were outstanding options to acquire approximately 544,647 shares of our common stock at a weighted average exercise price of $9.01 per share.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sale of additional shares of our common stock could have a negative effect on the market price of our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 of substantial amounts of our common stock in the public market, such as the Rights Offering that we completed in December 2018 and the Notes and Warrants that we issued in December 2019,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 off of capitalized legal expenses related to our defense of patents could negatively impact our net income and stockholders' equity.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intangible assets include capitalized legal expenses net of amortization of $11.0 million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If either one of these conditions fail to be satisfied in the future, the carrying amount in the books may have to be written off either completely or partially. There can be no assurance that we will be successful in the defense of these litigation claims, in whole or in part.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occupied a 5,000 square-foot facility in Gainesville, Florida under the terms of an operating lease that was terminated in January 2020. The Gainesville facility was used primarily to support our research and development activities. During January 2020 we entered into an operating lease for a 1,350 square-foot facility in Gainesville, Florida expiring in February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 under the terms of an operating lease expiring in October 2022. This facility supports our sales, marketing, customer support, and research and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2020. This office supports our research and development and customer support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Note 8 – Commitments and Contingencies</w:t>
      </w:r>
      <w:r>
        <w:rPr>
          <w:rFonts w:ascii="Arial" w:cs="Arial" w:eastAsia="Arial" w:hAnsi="Arial"/>
          <w:sz w:val="18"/>
          <w:szCs w:val="18"/>
          <w:color w:val="auto"/>
        </w:rPr>
        <w:t xml:space="preserve"> of the Notes to Consolidated Financial Statements (Part II, Item 8) for information regarding legal proceedings in which we are involved, which is incorporated in this Item 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traded on the NASDAQ Capital Market under the symbol CLRO. On March 25, 2020, there were 16,650,725 shares of our common stock issued and outstanding held by approximately 300 shareholders of record. Each broker dealer or a clearing corporation that holds shares for customers is counted as a single shareholder of record.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paid a cash dividend of $0.07 per share of ClearOne common stock in the first quarter of 2018. As part of the focus on preserving cash in connection with our litigation to defend our strategic patents from infringement, on June 13, 2018, the Company announced the suspension of its dividend program until such time as the Company deems it appropriate to once again declare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ClearOne is a global Company that designs, develops and sells conferencing, collaboration, and network streaming solutions for voice and visual communications. The performance and simplicity of our advanced, comprehensive solutions offer a high level of functionality, reliability and scalability.</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first quarter of 2019, we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digital-signal-processing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 The Company was awarded a Sound &amp; Video Contractor magazine “Best of Show Award” for BMA CT, showcased at InfoComm conference in Orlando, Florida in June 2019.</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2019 we introduced COLLABORATE® Live video collaboration solutions, which include a full line of five solutions, tailored to fit any installation. COLLABORATE Live 1000, which includes the BMA CT, creates the ultimate video collaboration solution for larger spaces. COLLABORATE Live 900, 600, 300, and 200 systems provide different choices of microphones, cameras, and group speakerphones to fit every type of installation from auditoriums and lecture halls to boardrooms and huddle spaces. All COLLABORATE Live systems feature built-in cloud connectivity and capabilities that empower users to collaborate like never before, in large conferencing space environments, with unmatched audio and video, interactive whiteboard, presentation, recording, streaming and cloud connectivity with a user interface that is as intuitive and simple as using their familiar mobile or tablet devices. We introduced during the year five different models of COLLABORATE Live to suit different room environments from small huddle spaces to larger conference rooms.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also introduced COLLABORATE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Space to our growing family of collaboration solutions. It’s a suite that unifies messaging, calls and meetings and will energize workflows and increase productivity for everyone involved in the enterprise. Designed as a persistent, user-friendly collaboration suite, COLLABORATE Space contains many powerful UCC capabilities, as well as the seamless ability to make calls outside the network. We also added new features including classroom functionality, multiple screen support, and more. The new classroom functionality now found within COLLABORATE Space provides Q&amp;A participation, giving each user electronic “hand raise” capability. There’s also new moderator control over audio and video for all participants, which can number up to 100. If needed, additional participants can be added to any classroom in increments of 100. The moderator also has the ability to transfer the “presenter” role to any participant during the session. Additionally, COLLABORATE Space now includes multi-display support for the moderator host of any conference. Up to 3 displays can be used – one for local participants, one for remote participants, and one for content sharing.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expanded our bring your own device (BYOD) room solutions, by introducing COLLABORATE Versa 50, Vera Pro 50, Versa Pro 150 and Versa Pro CT. They bring together plug-and-play connectivity with high-quality audio and HD video to enhance the BYOD conference experience in huddle spaces, mid-size meeting rooms and executive offices. All COLLABORATE Versa solutions are compatible with high-quality cloud-based applications such as ClearOne COLLABORATE Space, Skype® for Business, Zoom, WebEx, GoToMeeting and ClearOne Spontania, among others.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2019, the United States Patent and Trademark Office issued patent number 10,397,697 to ClearOne. This patent, entitled “Band-Limited Beamforming Microphone Array,” describes a method, among other things, of making or using a band-limited beamforming microphone array by augmenting beamformed audio signals with additional audio signals that are not included in the beamforming process. The microphones that generate these additional signals are referred to as non-beamforming microphones. The invention significantly extends design flexibility because the augmented beamforming technology enables a broad range of design choices from larger, higher performance, higher cost beamforming arrays, to smaller beamforming arrays with good performance for less demanding environments at a lower cost.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5, 2019, the Honorable Edmond E. Chang of the Northern District of Illinois issued a preliminary injunction order in the Company’s ongoing litigation with Shure Incorporated in Case No. 17-cv-3087 (N.D. Ill.). In that litigation, ClearOne asserts that Shure’s MXA910 Ceiling Array Microphone, which competes with ClearOne’s beamforming microphone array products, infringes certain of ClearOne’s patents. The August 5 order held that ClearOne had "met its burden of demonstrating entitlement to the extraordinary relief of a preliminary injunction" on U.S. Patent No. 9,813,806 (the "'806 Patent"). The Court held that ClearOne established that "Shure is likely infringing the ’806 Patent and [that Shure] has not raised a substantial question of the patent’s validity." The injunction order prohibits Shure from “manufacturing, marketing, and selling the MXA910 to be used in its drop-ceiling mounting configuration, including marketing and selling the MXA910 in a way that encourages or allows integrators to install it in a drop-ceiling mounting configuration."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We also continued our programs to cut costs and to speed up product development that we believe will enable us to get back to a growth path.</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2019, we completed the issuance and sale of $3,000,000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The Notes are convertible to shares of the Company’s common stock at an initial conversion price of $2.11 per share, and the Warrants have an initial exercise price of $1.76 per share.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Overall revenue declined in 2019 across all product groups. We believe the on-going infringement of ClearOne’s patents — which is improperly forcing the Company to compete against its own patented technology — is the major cause of our revenue decline in the audio conferencing and microphones categories. We believe the revenue decline in video products was caused partially by increased competition in the space as well as due to reduced attention from our partners caused by the alternatives made available through infringement of our patents.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gross profit margin in 2019 declined to 45% compared to 47% in 2018. Gross profit margin decreased primarily due to increase in material costs and inventory obsolescence costs partially offset by reduction in overhead costs. Net loss decreased from $16.7 million in 2018 to $8.4 million in 2019. The decrease in net loss was primarily due to reduction in income tax provision and operating expenses partially offset by decrease in gross profit due to reduced revenue in 2019. Tax expenses were higher in 2018 due to recording a full valuation allowance on our net deferred tax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decline in revenue, our video products and beamforming microphone arrays, especially BMA-CT are critical to our long term growth. We face intense competition in this market from well-established market leaders as well as emerging players rich with marketing funds. We expect our strategy of combining Collaborate Space, our cloud-based video conferencing product, Collaborate Live, our appliance-based media collaboration product, our high quality professional cameras, and our high-end audio conferencing technology will generate high growth in the near future. We believe we are also well positioned to capitalize on the continuing migration away from the traditional hardware-based video conferencing systems to software-based video conferencing applications.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a major portion of our revenue (approximately 46% for the year ended December 31, 2019)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December 2019, a novel strain of coronavirus (“COVID-19”) was reported in Wuhan, China. The COVID-19 pandemic has continued to spread and has already caused severe global disruptions. The extent of COVID-19’s effect on our operational and financial performance will depend on future developments, including the duration, spread and intensity of the pandemic, all of which are uncertain and difficult to predict considering the rapidly evolving landscape. If the pandemic continues to evolve into a severe worldwide health crisis, the disease could have a material adverse effect on our business, results of operations, financial condition and cash flows and adversely impact the trading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decreased from $0.3 million in 2018 to $0.2 million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OF OPERATIONS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certain items from our consolidated statements of operations and comprehensive loss for the years ended December 31, 2019 and 2018, together with the percentage change each item represents. Throughout this discussion, we compare results of operations for the year ended December 31, 2019 (“2019”) to the year ended December 31, 2018 (“2018” or “the comparable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Percentage Change</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2019 vs 2018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w:t>
            </w: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(10,327)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revenue decreased to $25.0 million in 2019 compared to $28.2 million in 2018. The highest decline was seen in audio conferencing category with 17% decline followed by video products with 11% decline and microphones with 2% decline. The decline in audio conferencing category was due to decline in all product lines led by CONVERGE Pro and CHAT product lines. The decline in microphones category was primarily due to decline in beamforming microphones. The decline in revenue from video products was mainly due to fall in demand for our network media streaming products. We believe the on-going infringement of ClearOne’s patents is the major cause of our revenue decline in audio conferencing and microphones categories. We believe the revenue decline in video products was caused partially by increased competition in the space as well as due to reduced attention from our partners caused by the alternatives made available through infringement of our patents.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audio conferencing products in our product mix declined marginally from 50% to 46%. The share of microphones in the revenue mix increased from 32% in 2018 to 35% in 2019. Share of video products in the revenue mix remained the same at 18.5%.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revenue declined across all major markets except India, Middle East and certain parts of Asia. The decline was more pronounced in the USA, Canada, Northern Europe, China and Latin America. Asia Pacific including Middle East decreased by 2%, Europe and Africa declined by 13% and Americas declined by about 15%.</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although there can be no assurance, that we will return to growth path through our strategic initiatives namely product innovation, cost reduction and defense of our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gross profit during 2019 was approximately $11.2 million or 45% compared to approximately $13.4 million or 47% in 2018. Gross profit margin declined primarily due to increase in material costs and inventory obsolescence costs partially offset by reduction in overhead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profitability in the near-term continues to depend significantly on our revenues from audio conferencing products. We hold long-term inventory and if we are unable to sell our long-term inventory, our profitability might be affected by inventory write-offs and price mark-downs. Our long-term inventory includes approximately $1.3 million of wireless microphones related finished goods and assemblies, $1.7 million of CONVERGE Pro, CONVERGE Pro 2 and BMA products and about $2.2 million of raw materials that will be used primarily for manufacturing installed professional audio conferencing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income/(loss), or income/(loss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$19.8 million in 2019, compared to $23.7 million in 2018, which included $0.2 million in impairment of assets. The following contains a more detailed discussion of expenses related to sales and marketing, research and product development, general and administrative, and other items.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Sales and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sales, customer service, and marketing expenses such as employee-related costs, allocations of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trade shows, and other advertising and selling expenses.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S&amp;M expenses in 2019 decreased by 20% from $7.9 million in 2018 to $9.9 million in 2019. The decrease was mainly due to decreases in commissions to independent reps, payments to consultants, inventory costs for demonstration equipment, employee related costs and tradeshow exhibition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u w:val="single" w:color="auto"/>
          <w:color w:val="auto"/>
        </w:rPr>
        <w:t>Research and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decreased during 2019 to $5.8 million from $7.8 million in 2018. The decrease was primarily due to decreases in employee-related costs and allocations of overhead expenses.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General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administrative costs, including costs related to finance and human resources.</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G&amp;A expenses were approximately $6,045 thousand in 2019 compared with approximately $5,950 thousand in 2018 which included $161 thousand of impairment of assets. The increase was primarily due to increases in overhead allocations, amortization of intangible assets, miscellaneous taxes and insurance costs partially offset by decreases in legal expenses, employee related costs, stock based compensation and consulting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effective tax benefit rate was 1% (benefit) in 2019 as compared to effective tax rate of 62.9% during 2018. Income tax expense for 2019 was $0.1 million as compared to $6.4 million in 2018. The decrease in the effective tax rate as well as income tax expense was primarily due to</w:t>
      </w:r>
    </w:p>
    <w:p>
      <w:pPr>
        <w:jc w:val="both"/>
        <w:spacing w:after="0" w:line="255" w:lineRule="auto"/>
        <w:rPr>
          <w:sz w:val="20"/>
          <w:szCs w:val="20"/>
          <w:color w:val="auto"/>
        </w:rPr>
      </w:pPr>
      <w:r>
        <w:rPr>
          <w:rFonts w:ascii="Arial" w:cs="Arial" w:eastAsia="Arial" w:hAnsi="Arial"/>
          <w:sz w:val="18"/>
          <w:szCs w:val="18"/>
          <w:color w:val="auto"/>
        </w:rPr>
        <w:t>decrease in the change in valuation allowance on the Company’s net deferred tax assets from approximately $9.9 million in 2018 to $2.4 million in 2019. We have been recording valuation allowance since 2018 and have not been claiming tax benefit against our losses as we have concluded that it is more likely than not that our deferred tax assets were not realizable primarily due to our recent pre-tax losses.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our cash and cash equivalents were approximately $4.1 million compared to $11.2 million as of December 31, 2018. Our working capital was $18.9 million and $28.4 million as of December 31, 2019 and 2018,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used in operating activities were approximately $4.7 million during 2019, a decrease of approximately $2.0 million from $6.6 million used in operating activities in 2018. The decrease in cash used was primarily due to a decrease in net loss by $8.3 million partially offset a decrease in non-cash charges of $6.1 million and increase in cash outflows due to change in operating assets and liabilities of $0.2 million which includes $4.5 million towards payment of a bond for securing the preliminary injunction in our litigation to stop the infringement of our patents and decrease in inventories by $3.6 million.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$5.1 million during 2019 compared to net cash provided by investing activities of $3.2 million during 2018, a decrease in cash used of $8.3 million. The increase in cash used in investing activities was primarily due to a decrease in net cash inflows from marketable securities of approximately $8.0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 which is 15 to 17 years. During 2019 we spent $5.1 million of legal costs related to the defense of our patents and capitalized the entire amount.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$2.7 million during 2019 compared to net cash provided by financing activities of $9.2 million during 2018, a decrease in cash provided of $6.5 million. The decrease was primarily to decrease in capital raised by $7.2 million partially offset by the absence of payments for dividends and stock repurchases of $0.7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pursuing all available legal remedies to defend our strategic patents from infringement. We have already incurred approximately $13.6 million in costs from 2016 through December 31, 2019 towards this litigation and may be required to incur more to continue to enforce our patents. We have been actively engaged in preserving cash by suspending our dividend program, allowing the share repurchase program to expire and implementing company-wide cost reduction measures.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2018, we raised additional proceeds of $9.9 million (net of issuance costs) from the Rights Offering. During December 2019 we raised approximately $2.7 million (net of issuance costs) from the issue of senior convertible notes. We also believe additional cash will be generated as we consume our inventory and bring it down to historical levels. We also believe that the measures taken by us to defend our patents and enforce our intellectual property rights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we had inventory totaling $17.7 million, of which non-current inventory accounted for $6.3 million. This compares to total inventories of $22.2 million and non-current inventory of $9.0 million as of December 31,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summarizes our contractual obligations as of December 31, 2019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6"/>
                <w:szCs w:val="16"/>
                <w:b w:val="1"/>
                <w:bCs w:val="1"/>
                <w:color w:val="auto"/>
                <w:w w:val="91"/>
              </w:rPr>
              <w:t>Payment Due by Period</w:t>
            </w: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3"/>
        </w:trPr>
        <w:tc>
          <w:tcPr>
            <w:tcW w:w="2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Less Than</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More than 5</w:t>
            </w:r>
          </w:p>
        </w:tc>
      </w:tr>
      <w:tr>
        <w:trPr>
          <w:trHeight w:val="213"/>
        </w:trPr>
        <w:tc>
          <w:tcPr>
            <w:tcW w:w="29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1 Year</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1-3 Years</w:t>
            </w: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3-5 Years</w:t>
            </w:r>
          </w:p>
        </w:tc>
        <w:tc>
          <w:tcPr>
            <w:tcW w:w="10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6"/>
                <w:szCs w:val="16"/>
                <w:b w:val="1"/>
                <w:bCs w:val="1"/>
                <w:color w:val="auto"/>
              </w:rPr>
              <w:t>years</w:t>
            </w:r>
          </w:p>
        </w:tc>
      </w:tr>
      <w:tr>
        <w:trPr>
          <w:trHeight w:val="226"/>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840" w:type="dxa"/>
            <w:vAlign w:val="bottom"/>
            <w:tcBorders>
              <w:top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discussion and analysis of our results of operations and financial position are based upon our consolidated financial statements, which have been prepared in conformity with U.S. generally accepted accounting principles ("GAAP").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Arial" w:cs="Arial" w:eastAsia="Arial" w:hAnsi="Arial"/>
          <w:sz w:val="16"/>
          <w:szCs w:val="16"/>
          <w:u w:val="single" w:color="auto"/>
          <w:color w:val="auto"/>
        </w:rPr>
        <w:t>Note 1 - Business Description, Basis of Presentation and Significant Accounting Policies</w:t>
      </w:r>
      <w:r>
        <w:rPr>
          <w:rFonts w:ascii="Arial" w:cs="Arial" w:eastAsia="Arial" w:hAnsi="Arial"/>
          <w:sz w:val="16"/>
          <w:szCs w:val="16"/>
          <w:color w:val="auto"/>
        </w:rPr>
        <w:t xml:space="preserve"> 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2019 for equipment sales was $24,513, and for software, licenses, etc. was $529.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As of December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cost of goods sold</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2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gross profit</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perform impairment tests of goodwill and intangible assets with indefinite useful lives on an annual basis in the fourth fiscal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are subject to income taxes in both the United States and in certain non-U.S. jurisdictions. We account for income taxes following ASC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recognizing deferred tax assets and liabilities using enacted tax rates for the effect of temporary differences between book and tax basis of recorded assets and liabilities.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2018 and determined that based upon available evidence it is more likely than not that certain of our net deferred tax assets will not be realized and, accordingly, we have recorded a full valuation allowance against these deferred tax assets in the amount of $13.8 million. Please refer to </w:t>
      </w:r>
      <w:r>
        <w:rPr>
          <w:rFonts w:ascii="Arial" w:cs="Arial" w:eastAsia="Arial" w:hAnsi="Arial"/>
          <w:sz w:val="18"/>
          <w:szCs w:val="18"/>
          <w:u w:val="single" w:color="auto"/>
          <w:color w:val="auto"/>
        </w:rPr>
        <w:t>Note 13 - Income Taxes</w:t>
      </w:r>
      <w:r>
        <w:rPr>
          <w:rFonts w:ascii="Arial" w:cs="Arial" w:eastAsia="Arial" w:hAnsi="Arial"/>
          <w:sz w:val="18"/>
          <w:szCs w:val="18"/>
          <w:color w:val="auto"/>
        </w:rPr>
        <w:t xml:space="preserve"> in the Notes to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descriptions of recently issued accounting standards, see </w:t>
      </w:r>
      <w:r>
        <w:rPr>
          <w:rFonts w:ascii="Arial" w:cs="Arial" w:eastAsia="Arial" w:hAnsi="Arial"/>
          <w:sz w:val="18"/>
          <w:szCs w:val="18"/>
          <w:u w:val="single" w:color="auto"/>
          <w:color w:val="auto"/>
        </w:rPr>
        <w:t>Note 1. Business Description, Basis of Presentation and Significant Accounting Policies</w:t>
      </w:r>
      <w:r>
        <w:rPr>
          <w:rFonts w:ascii="Arial" w:cs="Arial" w:eastAsia="Arial" w:hAnsi="Arial"/>
          <w:sz w:val="18"/>
          <w:szCs w:val="18"/>
          <w:color w:val="auto"/>
        </w:rPr>
        <w:t xml:space="preserve"> of our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Financial statements and supplementary data required by this are included herein as a </w:t>
      </w:r>
      <w:r>
        <w:rPr>
          <w:rFonts w:ascii="Arial" w:cs="Arial" w:eastAsia="Arial" w:hAnsi="Arial"/>
          <w:sz w:val="18"/>
          <w:szCs w:val="18"/>
          <w:u w:val="single" w:color="auto"/>
          <w:color w:val="auto"/>
        </w:rPr>
        <w:t>separate section</w:t>
      </w:r>
      <w:r>
        <w:rPr>
          <w:rFonts w:ascii="Arial" w:cs="Arial" w:eastAsia="Arial" w:hAnsi="Arial"/>
          <w:sz w:val="18"/>
          <w:szCs w:val="18"/>
          <w:color w:val="auto"/>
        </w:rPr>
        <w:t xml:space="preserve"> of this Form 10-K, beginning on page F-1, and are incorporated in this Item 8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Senior Vice President of Finance, as appropriate, to allow for timely decisions regarding required disclosure. As required by Rule 13a-15 under the Exchange Act, we have completed an evaluation, under the supervision and with the participation of our management, including the Chief Executive Officer and the Senior Vice President of Finance, of the effectiveness and the design and operation of our disclosure controls and procedures as of December 31, 2019. Our disclosure controls and procedures are designed to provide reasonable assurance of achieving their objectives. Based upon this evaluation, our Chief Executive Officer and Senior Vice President of Finance concluded that, as of the end of the period covered by this Annual Report, our disclosure controls and procedures were effective at a reasonable assurance level as of December 31, 2019.</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2019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framework) issued by the Committee of Sponsoring Organizations of the Treadway Commission. Based on our assessment using that criteria, management concluded that the design and operation of our internal control over financial reporting were effective as of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our remediation efforts to address the material weaknesses in internal control over financial reporting that existed as of December 31, 2018, throughout 2019 we implemented a remediation plan to hire, train, and retain individuals with appropriate skills and experience, assign responsibilities and hold individuals accountable for their roles related to internal control over financial reporting to improve the accounting and financial reporting process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executive officers as of April 29,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ind w:left="1080"/>
              <w:spacing w:after="0"/>
              <w:rPr>
                <w:sz w:val="20"/>
                <w:szCs w:val="20"/>
                <w:color w:val="auto"/>
              </w:rPr>
            </w:pPr>
            <w:r>
              <w:rPr>
                <w:rFonts w:ascii="Arial" w:cs="Arial" w:eastAsia="Arial" w:hAnsi="Arial"/>
                <w:sz w:val="16"/>
                <w:szCs w:val="16"/>
                <w:b w:val="1"/>
                <w:bCs w:val="1"/>
                <w:color w:val="auto"/>
              </w:rPr>
              <w:t>Name</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Age</w:t>
            </w:r>
          </w:p>
        </w:tc>
        <w:tc>
          <w:tcPr>
            <w:tcW w:w="5520" w:type="dxa"/>
            <w:vAlign w:val="bottom"/>
            <w:gridSpan w:val="2"/>
          </w:tcPr>
          <w:p>
            <w:pPr>
              <w:ind w:left="2360"/>
              <w:spacing w:after="0"/>
              <w:rPr>
                <w:sz w:val="20"/>
                <w:szCs w:val="20"/>
                <w:color w:val="auto"/>
              </w:rPr>
            </w:pPr>
            <w:r>
              <w:rPr>
                <w:rFonts w:ascii="Arial" w:cs="Arial" w:eastAsia="Arial" w:hAnsi="Arial"/>
                <w:sz w:val="16"/>
                <w:szCs w:val="16"/>
                <w:b w:val="1"/>
                <w:bCs w:val="1"/>
                <w:color w:val="auto"/>
              </w:rPr>
              <w:t>Position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2"/>
              </w:rPr>
              <w:t>Director or Officer Since</w:t>
            </w:r>
          </w:p>
        </w:tc>
      </w:tr>
      <w:tr>
        <w:trPr>
          <w:trHeight w:val="296"/>
        </w:trPr>
        <w:tc>
          <w:tcPr>
            <w:tcW w:w="2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Zeynep “Zee” Hakimoglu</w:t>
            </w:r>
          </w:p>
        </w:tc>
        <w:tc>
          <w:tcPr>
            <w:tcW w:w="1220" w:type="dxa"/>
            <w:vAlign w:val="bottom"/>
            <w:tcBorders>
              <w:top w:val="single" w:sz="8" w:color="auto"/>
            </w:tcBorders>
          </w:tcPr>
          <w:p>
            <w:pPr>
              <w:jc w:val="center"/>
              <w:ind w:left="232"/>
              <w:spacing w:after="0"/>
              <w:rPr>
                <w:sz w:val="20"/>
                <w:szCs w:val="20"/>
                <w:color w:val="auto"/>
              </w:rPr>
            </w:pPr>
            <w:r>
              <w:rPr>
                <w:rFonts w:ascii="Arial" w:cs="Arial" w:eastAsia="Arial" w:hAnsi="Arial"/>
                <w:sz w:val="18"/>
                <w:szCs w:val="18"/>
                <w:color w:val="auto"/>
                <w:w w:val="89"/>
              </w:rPr>
              <w:t>65</w:t>
            </w:r>
          </w:p>
        </w:tc>
        <w:tc>
          <w:tcPr>
            <w:tcW w:w="240" w:type="dxa"/>
            <w:vAlign w:val="bottom"/>
          </w:tcPr>
          <w:p>
            <w:pPr>
              <w:spacing w:after="0"/>
              <w:rPr>
                <w:sz w:val="24"/>
                <w:szCs w:val="24"/>
                <w:color w:val="auto"/>
              </w:rPr>
            </w:pPr>
          </w:p>
        </w:tc>
        <w:tc>
          <w:tcPr>
            <w:tcW w:w="5280" w:type="dxa"/>
            <w:vAlign w:val="bottom"/>
            <w:tcBorders>
              <w:top w:val="single" w:sz="8" w:color="auto"/>
            </w:tcBorders>
          </w:tcPr>
          <w:p>
            <w:pPr>
              <w:spacing w:after="0" w:line="296" w:lineRule="exact"/>
              <w:rPr>
                <w:sz w:val="20"/>
                <w:szCs w:val="20"/>
                <w:color w:val="auto"/>
              </w:rPr>
            </w:pPr>
            <w:r>
              <w:rPr>
                <w:rFonts w:ascii="Arial" w:cs="Arial" w:eastAsia="Arial" w:hAnsi="Arial"/>
                <w:sz w:val="18"/>
                <w:szCs w:val="18"/>
                <w:color w:val="auto"/>
              </w:rPr>
              <w:t>Chairman, Chief Executive Officer, and President</w:t>
            </w:r>
            <w:r>
              <w:rPr>
                <w:rFonts w:ascii="Arial" w:cs="Arial" w:eastAsia="Arial" w:hAnsi="Arial"/>
                <w:sz w:val="29"/>
                <w:szCs w:val="29"/>
                <w:color w:val="auto"/>
                <w:vertAlign w:val="superscript"/>
              </w:rPr>
              <w:t>(4)</w:t>
            </w:r>
          </w:p>
        </w:tc>
        <w:tc>
          <w:tcPr>
            <w:tcW w:w="240" w:type="dxa"/>
            <w:vAlign w:val="bottom"/>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See Note 4</w:t>
            </w:r>
          </w:p>
        </w:tc>
      </w:tr>
      <w:tr>
        <w:trPr>
          <w:trHeight w:val="311"/>
        </w:trPr>
        <w:tc>
          <w:tcPr>
            <w:tcW w:w="2520" w:type="dxa"/>
            <w:vAlign w:val="bottom"/>
          </w:tcPr>
          <w:p>
            <w:pPr>
              <w:ind w:left="20"/>
              <w:spacing w:after="0"/>
              <w:rPr>
                <w:sz w:val="20"/>
                <w:szCs w:val="20"/>
                <w:color w:val="auto"/>
              </w:rPr>
            </w:pPr>
            <w:r>
              <w:rPr>
                <w:rFonts w:ascii="Arial" w:cs="Arial" w:eastAsia="Arial" w:hAnsi="Arial"/>
                <w:sz w:val="18"/>
                <w:szCs w:val="18"/>
                <w:color w:val="auto"/>
              </w:rPr>
              <w:t>Larry R. Hendricks</w:t>
            </w:r>
          </w:p>
        </w:tc>
        <w:tc>
          <w:tcPr>
            <w:tcW w:w="1220" w:type="dxa"/>
            <w:vAlign w:val="bottom"/>
          </w:tcPr>
          <w:p>
            <w:pPr>
              <w:jc w:val="center"/>
              <w:ind w:left="232"/>
              <w:spacing w:after="0"/>
              <w:rPr>
                <w:sz w:val="20"/>
                <w:szCs w:val="20"/>
                <w:color w:val="auto"/>
              </w:rPr>
            </w:pPr>
            <w:r>
              <w:rPr>
                <w:rFonts w:ascii="Arial" w:cs="Arial" w:eastAsia="Arial" w:hAnsi="Arial"/>
                <w:sz w:val="18"/>
                <w:szCs w:val="18"/>
                <w:color w:val="auto"/>
                <w:w w:val="89"/>
              </w:rPr>
              <w:t>76</w:t>
            </w:r>
          </w:p>
        </w:tc>
        <w:tc>
          <w:tcPr>
            <w:tcW w:w="240" w:type="dxa"/>
            <w:vAlign w:val="bottom"/>
          </w:tcPr>
          <w:p>
            <w:pPr>
              <w:spacing w:after="0"/>
              <w:rPr>
                <w:sz w:val="24"/>
                <w:szCs w:val="24"/>
                <w:color w:val="auto"/>
              </w:rPr>
            </w:pPr>
          </w:p>
        </w:tc>
        <w:tc>
          <w:tcPr>
            <w:tcW w:w="5520" w:type="dxa"/>
            <w:vAlign w:val="bottom"/>
            <w:gridSpan w:val="2"/>
          </w:tcPr>
          <w:p>
            <w:pPr>
              <w:spacing w:after="0" w:line="311" w:lineRule="exact"/>
              <w:rPr>
                <w:sz w:val="20"/>
                <w:szCs w:val="20"/>
                <w:color w:val="auto"/>
              </w:rPr>
            </w:pPr>
            <w:r>
              <w:rPr>
                <w:rFonts w:ascii="Arial" w:cs="Arial" w:eastAsia="Arial" w:hAnsi="Arial"/>
                <w:sz w:val="35"/>
                <w:szCs w:val="35"/>
                <w:color w:val="auto"/>
                <w:vertAlign w:val="subscript"/>
              </w:rPr>
              <w:t>Director</w:t>
            </w:r>
            <w:r>
              <w:rPr>
                <w:rFonts w:ascii="Arial" w:cs="Arial" w:eastAsia="Arial" w:hAnsi="Arial"/>
                <w:sz w:val="15"/>
                <w:szCs w:val="15"/>
                <w:color w:val="auto"/>
              </w:rPr>
              <w:t>(1)(2)(3)</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310"/>
        </w:trPr>
        <w:tc>
          <w:tcPr>
            <w:tcW w:w="2520" w:type="dxa"/>
            <w:vAlign w:val="bottom"/>
          </w:tcPr>
          <w:p>
            <w:pPr>
              <w:ind w:left="20"/>
              <w:spacing w:after="0"/>
              <w:rPr>
                <w:sz w:val="20"/>
                <w:szCs w:val="20"/>
                <w:color w:val="auto"/>
              </w:rPr>
            </w:pPr>
            <w:r>
              <w:rPr>
                <w:rFonts w:ascii="Arial" w:cs="Arial" w:eastAsia="Arial" w:hAnsi="Arial"/>
                <w:sz w:val="18"/>
                <w:szCs w:val="18"/>
                <w:color w:val="auto"/>
              </w:rPr>
              <w:t>Eric L. Robinson</w:t>
            </w:r>
          </w:p>
        </w:tc>
        <w:tc>
          <w:tcPr>
            <w:tcW w:w="1220" w:type="dxa"/>
            <w:vAlign w:val="bottom"/>
          </w:tcPr>
          <w:p>
            <w:pPr>
              <w:jc w:val="center"/>
              <w:ind w:left="232"/>
              <w:spacing w:after="0"/>
              <w:rPr>
                <w:sz w:val="20"/>
                <w:szCs w:val="20"/>
                <w:color w:val="auto"/>
              </w:rPr>
            </w:pPr>
            <w:r>
              <w:rPr>
                <w:rFonts w:ascii="Arial" w:cs="Arial" w:eastAsia="Arial" w:hAnsi="Arial"/>
                <w:sz w:val="18"/>
                <w:szCs w:val="18"/>
                <w:color w:val="auto"/>
                <w:w w:val="89"/>
              </w:rPr>
              <w:t>53</w:t>
            </w:r>
          </w:p>
        </w:tc>
        <w:tc>
          <w:tcPr>
            <w:tcW w:w="240" w:type="dxa"/>
            <w:vAlign w:val="bottom"/>
          </w:tcPr>
          <w:p>
            <w:pPr>
              <w:spacing w:after="0"/>
              <w:rPr>
                <w:sz w:val="24"/>
                <w:szCs w:val="24"/>
                <w:color w:val="auto"/>
              </w:rPr>
            </w:pPr>
          </w:p>
        </w:tc>
        <w:tc>
          <w:tcPr>
            <w:tcW w:w="5520" w:type="dxa"/>
            <w:vAlign w:val="bottom"/>
            <w:gridSpan w:val="2"/>
          </w:tcPr>
          <w:p>
            <w:pPr>
              <w:spacing w:after="0" w:line="311" w:lineRule="exact"/>
              <w:rPr>
                <w:sz w:val="20"/>
                <w:szCs w:val="20"/>
                <w:color w:val="auto"/>
              </w:rPr>
            </w:pPr>
            <w:r>
              <w:rPr>
                <w:rFonts w:ascii="Arial" w:cs="Arial" w:eastAsia="Arial" w:hAnsi="Arial"/>
                <w:sz w:val="35"/>
                <w:szCs w:val="35"/>
                <w:color w:val="auto"/>
                <w:vertAlign w:val="subscript"/>
              </w:rPr>
              <w:t>Director</w:t>
            </w:r>
            <w:r>
              <w:rPr>
                <w:rFonts w:ascii="Arial" w:cs="Arial" w:eastAsia="Arial" w:hAnsi="Arial"/>
                <w:sz w:val="15"/>
                <w:szCs w:val="15"/>
                <w:color w:val="auto"/>
              </w:rPr>
              <w:t>(1)(2)(3)</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307"/>
        </w:trPr>
        <w:tc>
          <w:tcPr>
            <w:tcW w:w="2520" w:type="dxa"/>
            <w:vAlign w:val="bottom"/>
          </w:tcPr>
          <w:p>
            <w:pPr>
              <w:ind w:left="20"/>
              <w:spacing w:after="0"/>
              <w:rPr>
                <w:sz w:val="20"/>
                <w:szCs w:val="20"/>
                <w:color w:val="auto"/>
              </w:rPr>
            </w:pPr>
            <w:r>
              <w:rPr>
                <w:rFonts w:ascii="Arial" w:cs="Arial" w:eastAsia="Arial" w:hAnsi="Arial"/>
                <w:sz w:val="18"/>
                <w:szCs w:val="18"/>
                <w:color w:val="auto"/>
              </w:rPr>
              <w:t>Bruce Whaley</w:t>
            </w:r>
          </w:p>
        </w:tc>
        <w:tc>
          <w:tcPr>
            <w:tcW w:w="1220" w:type="dxa"/>
            <w:vAlign w:val="bottom"/>
          </w:tcPr>
          <w:p>
            <w:pPr>
              <w:jc w:val="center"/>
              <w:ind w:left="232"/>
              <w:spacing w:after="0"/>
              <w:rPr>
                <w:sz w:val="20"/>
                <w:szCs w:val="20"/>
                <w:color w:val="auto"/>
              </w:rPr>
            </w:pPr>
            <w:r>
              <w:rPr>
                <w:rFonts w:ascii="Arial" w:cs="Arial" w:eastAsia="Arial" w:hAnsi="Arial"/>
                <w:sz w:val="18"/>
                <w:szCs w:val="18"/>
                <w:color w:val="auto"/>
                <w:w w:val="89"/>
              </w:rPr>
              <w:t>68</w:t>
            </w:r>
          </w:p>
        </w:tc>
        <w:tc>
          <w:tcPr>
            <w:tcW w:w="240" w:type="dxa"/>
            <w:vAlign w:val="bottom"/>
          </w:tcPr>
          <w:p>
            <w:pPr>
              <w:spacing w:after="0"/>
              <w:rPr>
                <w:sz w:val="24"/>
                <w:szCs w:val="24"/>
                <w:color w:val="auto"/>
              </w:rPr>
            </w:pPr>
          </w:p>
        </w:tc>
        <w:tc>
          <w:tcPr>
            <w:tcW w:w="5520" w:type="dxa"/>
            <w:vAlign w:val="bottom"/>
            <w:gridSpan w:val="2"/>
          </w:tcPr>
          <w:p>
            <w:pPr>
              <w:spacing w:after="0" w:line="306" w:lineRule="exact"/>
              <w:rPr>
                <w:sz w:val="20"/>
                <w:szCs w:val="20"/>
                <w:color w:val="auto"/>
              </w:rPr>
            </w:pPr>
            <w:r>
              <w:rPr>
                <w:rFonts w:ascii="Arial" w:cs="Arial" w:eastAsia="Arial" w:hAnsi="Arial"/>
                <w:sz w:val="35"/>
                <w:szCs w:val="35"/>
                <w:color w:val="auto"/>
                <w:vertAlign w:val="subscript"/>
              </w:rPr>
              <w:t>Director</w:t>
            </w:r>
            <w:r>
              <w:rPr>
                <w:rFonts w:ascii="Arial" w:cs="Arial" w:eastAsia="Arial" w:hAnsi="Arial"/>
                <w:sz w:val="15"/>
                <w:szCs w:val="15"/>
                <w:color w:val="auto"/>
              </w:rPr>
              <w:t>(1)(2)(3)</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Narsi Narayanan</w:t>
            </w:r>
          </w:p>
        </w:tc>
        <w:tc>
          <w:tcPr>
            <w:tcW w:w="1220" w:type="dxa"/>
            <w:vAlign w:val="bottom"/>
          </w:tcPr>
          <w:p>
            <w:pPr>
              <w:jc w:val="center"/>
              <w:ind w:left="232"/>
              <w:spacing w:after="0"/>
              <w:rPr>
                <w:sz w:val="20"/>
                <w:szCs w:val="20"/>
                <w:color w:val="auto"/>
              </w:rPr>
            </w:pPr>
            <w:r>
              <w:rPr>
                <w:rFonts w:ascii="Arial" w:cs="Arial" w:eastAsia="Arial" w:hAnsi="Arial"/>
                <w:sz w:val="18"/>
                <w:szCs w:val="18"/>
                <w:color w:val="auto"/>
                <w:w w:val="89"/>
              </w:rPr>
              <w:t>49</w:t>
            </w:r>
          </w:p>
        </w:tc>
        <w:tc>
          <w:tcPr>
            <w:tcW w:w="24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Senior Vice President of Finance and Corporate Secretary</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2009</w:t>
            </w:r>
          </w:p>
        </w:tc>
      </w:tr>
    </w:tbl>
    <w:p>
      <w:pPr>
        <w:spacing w:after="0" w:line="134" w:lineRule="exact"/>
        <w:rPr>
          <w:sz w:val="20"/>
          <w:szCs w:val="20"/>
          <w:color w:val="auto"/>
        </w:rPr>
      </w:pPr>
    </w:p>
    <w:p>
      <w:pPr>
        <w:ind w:left="660" w:hanging="32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36" w:lineRule="exact"/>
        <w:rPr>
          <w:rFonts w:ascii="Arial" w:cs="Arial" w:eastAsia="Arial" w:hAnsi="Arial"/>
          <w:sz w:val="18"/>
          <w:szCs w:val="18"/>
          <w:color w:val="auto"/>
        </w:rPr>
      </w:pPr>
    </w:p>
    <w:p>
      <w:pPr>
        <w:ind w:left="660" w:hanging="32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36" w:lineRule="exact"/>
        <w:rPr>
          <w:rFonts w:ascii="Arial" w:cs="Arial" w:eastAsia="Arial" w:hAnsi="Arial"/>
          <w:sz w:val="18"/>
          <w:szCs w:val="18"/>
          <w:color w:val="auto"/>
        </w:rPr>
      </w:pPr>
    </w:p>
    <w:p>
      <w:pPr>
        <w:ind w:left="660" w:hanging="32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36" w:lineRule="exact"/>
        <w:rPr>
          <w:rFonts w:ascii="Arial" w:cs="Arial" w:eastAsia="Arial" w:hAnsi="Arial"/>
          <w:sz w:val="18"/>
          <w:szCs w:val="18"/>
          <w:color w:val="auto"/>
        </w:rPr>
      </w:pPr>
    </w:p>
    <w:p>
      <w:pPr>
        <w:ind w:left="660" w:hanging="32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Zee Hakimoglu </w:t>
      </w:r>
      <w:r>
        <w:rPr>
          <w:rFonts w:ascii="Arial" w:cs="Arial" w:eastAsia="Arial" w:hAnsi="Arial"/>
          <w:sz w:val="17"/>
          <w:szCs w:val="17"/>
          <w:color w:val="auto"/>
        </w:rPr>
        <w:t>is our President, Chief Executive Officer and Chairman. She joined our company in December 2003 as Vice President of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Line Management 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w:t>
      </w:r>
    </w:p>
    <w:p>
      <w:pPr>
        <w:spacing w:after="0" w:line="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Larry R. Hendricks </w:t>
      </w:r>
      <w:r>
        <w:rPr>
          <w:rFonts w:ascii="Arial" w:cs="Arial" w:eastAsia="Arial" w:hAnsi="Arial"/>
          <w:sz w:val="17"/>
          <w:szCs w:val="17"/>
          <w:color w:val="auto"/>
        </w:rPr>
        <w:t>has served as a director of our company since June 2003. Mr. Hendricks is a Certified Public Accountant who retired in</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w:t>
      </w:r>
    </w:p>
    <w:p>
      <w:pPr>
        <w:spacing w:after="0" w:line="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Eric. L Robinson </w:t>
      </w:r>
      <w:r>
        <w:rPr>
          <w:rFonts w:ascii="Arial" w:cs="Arial" w:eastAsia="Arial" w:hAnsi="Arial"/>
          <w:sz w:val="16"/>
          <w:szCs w:val="16"/>
          <w:color w:val="auto"/>
        </w:rPr>
        <w:t>has served as a director of our company since July 2015. Mr. Robinson spent fourteen years in private practice as a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 including eleven years as a partner in the Salt Lake City, Utah law firm of Blackburn &amp; Stoll, LC. Mr. Robinson's law practice focused on securities, corporate and other business transactions. Since 2009, Mr. Robinson has been principally employed by MicroPower Global Limited, a company in the semiconductor business. At MicroPower, Mr. Robinson has acted as General Counsel, Chief Financial Officer and a director.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Bruce Whaley </w:t>
      </w:r>
      <w:r>
        <w:rPr>
          <w:rFonts w:ascii="Arial" w:cs="Arial" w:eastAsia="Arial" w:hAnsi="Arial"/>
          <w:sz w:val="18"/>
          <w:szCs w:val="18"/>
          <w:color w:val="auto"/>
        </w:rPr>
        <w:t>was appointed a director of our company effective April 16, 2019. Mr. Whaley has extensive experience as a stockbroker for</w:t>
      </w:r>
      <w:r>
        <w:rPr>
          <w:rFonts w:ascii="Arial" w:cs="Arial" w:eastAsia="Arial" w:hAnsi="Arial"/>
          <w:sz w:val="18"/>
          <w:szCs w:val="18"/>
          <w:b w:val="1"/>
          <w:bCs w:val="1"/>
          <w:color w:val="auto"/>
        </w:rPr>
        <w:t xml:space="preserve"> </w:t>
      </w:r>
      <w:r>
        <w:rPr>
          <w:rFonts w:ascii="Arial" w:cs="Arial" w:eastAsia="Arial" w:hAnsi="Arial"/>
          <w:sz w:val="18"/>
          <w:szCs w:val="18"/>
          <w:color w:val="auto"/>
        </w:rPr>
        <w:t>nearly five decades. Mr. Whaley is currently a broker trading at Wilson &amp; Davis, a regional brokerage firm based in Salt Lake City, Utah. He has been with Wilson &amp; Davis since 1988. Mr. Whaley also holds a real estate license and works as a real estate agent for Coldwell Banker. Mr. Whaley attended University of Utah between 1968 and 1971 and studied many subjects including business administration, accounting and finance. He did not graduate with a degree.</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(now serving as Senior Vice President of Finance) has served as our Vice President of Finance since July 2009 and has more</w:t>
      </w:r>
      <w:r>
        <w:rPr>
          <w:rFonts w:ascii="Arial" w:cs="Arial" w:eastAsia="Arial" w:hAnsi="Arial"/>
          <w:sz w:val="17"/>
          <w:szCs w:val="17"/>
          <w:b w:val="1"/>
          <w:bCs w:val="1"/>
          <w:color w:val="auto"/>
        </w:rPr>
        <w:t xml:space="preserve"> </w:t>
      </w:r>
      <w:r>
        <w:rPr>
          <w:rFonts w:ascii="Arial" w:cs="Arial" w:eastAsia="Arial" w:hAnsi="Arial"/>
          <w:sz w:val="17"/>
          <w:szCs w:val="17"/>
          <w:color w:val="auto"/>
        </w:rPr>
        <w:t>than two 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2019, we believe that each person who, at any time during such fiscal year was a director, officer, or beneficial owner of more than 10% of our common stock complied with all Section 16(a) filing requirements during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firstLine="702"/>
        <w:spacing w:after="0" w:line="277" w:lineRule="auto"/>
        <w:rPr>
          <w:sz w:val="20"/>
          <w:szCs w:val="20"/>
          <w:color w:val="auto"/>
        </w:rPr>
      </w:pPr>
      <w:r>
        <w:rPr>
          <w:rFonts w:ascii="Arial" w:cs="Arial" w:eastAsia="Arial" w:hAnsi="Arial"/>
          <w:sz w:val="18"/>
          <w:szCs w:val="18"/>
          <w:color w:val="auto"/>
        </w:rPr>
        <w:t>The Board of Directors adopted a code of ethics that applies to our Board of Directors, executive officers, and employees. The Company's Code of Ethics is posted on our website at www.clearone.com.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Procedures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Compliance Committee</w:t>
      </w:r>
    </w:p>
    <w:p>
      <w:pPr>
        <w:spacing w:after="0" w:line="229" w:lineRule="exact"/>
        <w:rPr>
          <w:sz w:val="20"/>
          <w:szCs w:val="20"/>
          <w:color w:val="auto"/>
        </w:rPr>
      </w:pPr>
    </w:p>
    <w:p>
      <w:pPr>
        <w:jc w:val="both"/>
        <w:ind w:firstLine="702"/>
        <w:spacing w:after="0" w:line="263" w:lineRule="auto"/>
        <w:rPr>
          <w:sz w:val="20"/>
          <w:szCs w:val="20"/>
          <w:color w:val="auto"/>
        </w:rPr>
      </w:pPr>
      <w:r>
        <w:rPr>
          <w:rFonts w:ascii="Arial" w:cs="Arial" w:eastAsia="Arial" w:hAnsi="Arial"/>
          <w:sz w:val="18"/>
          <w:szCs w:val="18"/>
          <w:color w:val="auto"/>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paid or earned by each named executive officer for the years ended December 31, 2019 and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Non-Equity</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Incentive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Option</w:t>
            </w:r>
          </w:p>
        </w:tc>
        <w:tc>
          <w:tcPr>
            <w:tcW w:w="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Plan</w:t>
            </w: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Salary</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Awards</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Compensation</w:t>
            </w:r>
          </w:p>
        </w:tc>
        <w:tc>
          <w:tcPr>
            <w:tcW w:w="18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80" w:type="dxa"/>
            <w:vAlign w:val="bottom"/>
            <w:tcBorders>
              <w:top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Zeynep Hakimoglu - Chief Executive Officer and President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8"/>
                <w:szCs w:val="18"/>
                <w:color w:val="auto"/>
              </w:rPr>
              <w:t>Year ended December 31, 2018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Narsi Narayanan - Senior Vice President of Finance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196,500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Year ended December 31, 2018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196,500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4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Number of</w:t>
            </w: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4"/>
              </w:rPr>
              <w:t>Number of</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8"/>
              </w:rPr>
              <w:t>Securities</w:t>
            </w:r>
          </w:p>
        </w:tc>
        <w:tc>
          <w:tcPr>
            <w:tcW w:w="132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8"/>
              </w:rPr>
              <w:t>Securities</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3"/>
              </w:rPr>
              <w:t>Underlying</w:t>
            </w:r>
          </w:p>
        </w:tc>
        <w:tc>
          <w:tcPr>
            <w:tcW w:w="1320" w:type="dxa"/>
            <w:vAlign w:val="bottom"/>
            <w:gridSpan w:val="2"/>
            <w:vMerge w:val="continue"/>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3"/>
              </w:rPr>
              <w:t>Underlying</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Option Exercise</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5"/>
              </w:rPr>
              <w:t>Option Grant</w:t>
            </w:r>
          </w:p>
        </w:tc>
        <w:tc>
          <w:tcPr>
            <w:tcW w:w="120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54"/>
        </w:trPr>
        <w:tc>
          <w:tcPr>
            <w:tcW w:w="2860" w:type="dxa"/>
            <w:vAlign w:val="bottom"/>
            <w:gridSpan w:val="2"/>
            <w:vMerge w:val="restart"/>
          </w:tcPr>
          <w:p>
            <w:pPr>
              <w:ind w:left="1200"/>
              <w:spacing w:after="0"/>
              <w:rPr>
                <w:sz w:val="20"/>
                <w:szCs w:val="20"/>
                <w:color w:val="auto"/>
              </w:rPr>
            </w:pPr>
            <w:r>
              <w:rPr>
                <w:rFonts w:ascii="Arial" w:cs="Arial" w:eastAsia="Arial" w:hAnsi="Arial"/>
                <w:sz w:val="16"/>
                <w:szCs w:val="16"/>
                <w:b w:val="1"/>
                <w:bCs w:val="1"/>
                <w:color w:val="auto"/>
              </w:rPr>
              <w:t>Name</w:t>
            </w: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8"/>
              </w:rPr>
              <w:t>Unexercised</w:t>
            </w:r>
          </w:p>
        </w:tc>
        <w:tc>
          <w:tcPr>
            <w:tcW w:w="13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8"/>
              </w:rPr>
              <w:t>Unexercised</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Price ($)</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7"/>
              </w:rPr>
              <w:t>Date</w:t>
            </w:r>
          </w:p>
        </w:tc>
        <w:tc>
          <w:tcPr>
            <w:tcW w:w="12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7"/>
              </w:rPr>
              <w:t>Expiration Date</w:t>
            </w: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13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Options</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9"/>
              </w:rPr>
              <w:t>Exercisable</w:t>
            </w:r>
          </w:p>
        </w:tc>
        <w:tc>
          <w:tcPr>
            <w:tcW w:w="132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Unexercisable</w:t>
            </w:r>
            <w:r>
              <w:rPr>
                <w:rFonts w:ascii="Arial" w:cs="Arial" w:eastAsia="Arial" w:hAnsi="Arial"/>
                <w:sz w:val="26"/>
                <w:szCs w:val="26"/>
                <w:b w:val="1"/>
                <w:bCs w:val="1"/>
                <w:color w:val="auto"/>
                <w:w w:val="86"/>
                <w:vertAlign w:val="superscript"/>
              </w:rPr>
              <w:t>(1)</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8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Zeynep Hakimoglu</w:t>
            </w:r>
          </w:p>
        </w:tc>
        <w:tc>
          <w:tcPr>
            <w:tcW w:w="8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10,000</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3.004</w:t>
            </w:r>
          </w:p>
        </w:tc>
        <w:tc>
          <w:tcPr>
            <w:tcW w:w="80" w:type="dxa"/>
            <w:vAlign w:val="bottom"/>
          </w:tcPr>
          <w:p>
            <w:pPr>
              <w:spacing w:after="0"/>
              <w:rPr>
                <w:sz w:val="17"/>
                <w:szCs w:val="17"/>
                <w:color w:val="auto"/>
              </w:rPr>
            </w:pP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05-26-2010</w:t>
            </w:r>
          </w:p>
        </w:tc>
        <w:tc>
          <w:tcPr>
            <w:tcW w:w="80" w:type="dxa"/>
            <w:vAlign w:val="bottom"/>
          </w:tcPr>
          <w:p>
            <w:pPr>
              <w:spacing w:after="0"/>
              <w:rPr>
                <w:sz w:val="17"/>
                <w:szCs w:val="17"/>
                <w:color w:val="auto"/>
              </w:rPr>
            </w:pPr>
          </w:p>
        </w:tc>
        <w:tc>
          <w:tcPr>
            <w:tcW w:w="120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w w:val="89"/>
              </w:rPr>
              <w:t>05-26-2020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5.480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08-05-2011</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08-05-2021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05-11-2012</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05-11-2022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8.220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08-22-2013</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08-22-2023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8.340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09-12-2014</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09-12-2024</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11.960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03-11-2016</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03-11-2026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12-14-2016</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12-14-2026</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33,333</w:t>
            </w: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06-01-2017</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9"/>
              </w:rPr>
              <w:t>06-01-2027</w:t>
            </w:r>
          </w:p>
        </w:tc>
        <w:tc>
          <w:tcPr>
            <w:tcW w:w="0" w:type="dxa"/>
            <w:vAlign w:val="bottom"/>
          </w:tcPr>
          <w:p>
            <w:pPr>
              <w:spacing w:after="0"/>
              <w:rPr>
                <w:sz w:val="1"/>
                <w:szCs w:val="1"/>
                <w:color w:val="auto"/>
              </w:rPr>
            </w:pPr>
          </w:p>
        </w:tc>
      </w:tr>
      <w:tr>
        <w:trPr>
          <w:trHeight w:val="195"/>
        </w:trPr>
        <w:tc>
          <w:tcPr>
            <w:tcW w:w="28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Narsi Narayanan</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10,000</w:t>
            </w:r>
          </w:p>
        </w:tc>
        <w:tc>
          <w:tcPr>
            <w:tcW w:w="80" w:type="dxa"/>
            <w:vAlign w:val="bottom"/>
          </w:tcPr>
          <w:p>
            <w:pPr>
              <w:spacing w:after="0"/>
              <w:rPr>
                <w:sz w:val="16"/>
                <w:szCs w:val="16"/>
                <w:color w:val="auto"/>
              </w:rPr>
            </w:pPr>
          </w:p>
        </w:tc>
        <w:tc>
          <w:tcPr>
            <w:tcW w:w="132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3.004</w:t>
            </w:r>
          </w:p>
        </w:tc>
        <w:tc>
          <w:tcPr>
            <w:tcW w:w="8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05-26-2010</w:t>
            </w:r>
          </w:p>
        </w:tc>
        <w:tc>
          <w:tcPr>
            <w:tcW w:w="80" w:type="dxa"/>
            <w:vAlign w:val="bottom"/>
          </w:tcPr>
          <w:p>
            <w:pPr>
              <w:spacing w:after="0"/>
              <w:rPr>
                <w:sz w:val="16"/>
                <w:szCs w:val="16"/>
                <w:color w:val="auto"/>
              </w:rPr>
            </w:pPr>
          </w:p>
        </w:tc>
        <w:tc>
          <w:tcPr>
            <w:tcW w:w="1200" w:type="dxa"/>
            <w:vAlign w:val="bottom"/>
          </w:tcPr>
          <w:p>
            <w:pPr>
              <w:ind w:left="360"/>
              <w:spacing w:after="0" w:line="195" w:lineRule="exact"/>
              <w:rPr>
                <w:sz w:val="20"/>
                <w:szCs w:val="20"/>
                <w:color w:val="auto"/>
              </w:rPr>
            </w:pPr>
            <w:r>
              <w:rPr>
                <w:rFonts w:ascii="Arial" w:cs="Arial" w:eastAsia="Arial" w:hAnsi="Arial"/>
                <w:sz w:val="18"/>
                <w:szCs w:val="18"/>
                <w:color w:val="auto"/>
                <w:w w:val="89"/>
              </w:rPr>
              <w:t>05-26-2020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5.480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08-05-2011</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08-05-2021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05-11-2012</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05-11-2022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8.220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08-22-2013</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08-22-2023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8.340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09-12-2014</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09-12-2024</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11.960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03-11-2016</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03-11-2026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12-14-2016</w:t>
            </w:r>
          </w:p>
        </w:tc>
        <w:tc>
          <w:tcPr>
            <w:tcW w:w="8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89"/>
              </w:rPr>
              <w:t>12-14-2026</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w:t>
            </w: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06-01-2017</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9"/>
              </w:rPr>
              <w:t>06-01-2027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66"/>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grants of plan-based awards to named executive officers in 2019.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were no exercises of stock options by named executive officers during 2019. There were no equity awards that vested for the named executive officers during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2019. Ms. Hakimoglu did not receive additional compensation for her service as a director.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Fees Earned</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5"/>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or Paid in</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320" w:type="dxa"/>
            <w:vAlign w:val="bottom"/>
          </w:tcPr>
          <w:p>
            <w:pPr>
              <w:spacing w:after="0"/>
              <w:rPr>
                <w:sz w:val="17"/>
                <w:szCs w:val="17"/>
                <w:color w:val="auto"/>
              </w:rPr>
            </w:pPr>
          </w:p>
        </w:tc>
      </w:tr>
      <w:tr>
        <w:trPr>
          <w:trHeight w:val="254"/>
        </w:trPr>
        <w:tc>
          <w:tcPr>
            <w:tcW w:w="53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Cash</w:t>
            </w:r>
            <w:r>
              <w:rPr>
                <w:rFonts w:ascii="Arial" w:cs="Arial" w:eastAsia="Arial" w:hAnsi="Arial"/>
                <w:sz w:val="20"/>
                <w:szCs w:val="20"/>
                <w:b w:val="1"/>
                <w:bCs w:val="1"/>
                <w:color w:val="auto"/>
                <w:w w:val="82"/>
                <w:vertAlign w:val="superscript"/>
              </w:rPr>
              <w:t>(1)</w:t>
            </w: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Option Awards</w:t>
            </w: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Compensation</w:t>
            </w:r>
          </w:p>
        </w:tc>
        <w:tc>
          <w:tcPr>
            <w:tcW w:w="13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195"/>
        </w:trPr>
        <w:tc>
          <w:tcPr>
            <w:tcW w:w="52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Larry R. Hendricks</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37,800</w:t>
            </w:r>
          </w:p>
        </w:tc>
        <w:tc>
          <w:tcPr>
            <w:tcW w:w="220" w:type="dxa"/>
            <w:vAlign w:val="bottom"/>
          </w:tcPr>
          <w:p>
            <w:pPr>
              <w:spacing w:after="0"/>
              <w:rPr>
                <w:sz w:val="16"/>
                <w:szCs w:val="16"/>
                <w:color w:val="auto"/>
              </w:rPr>
            </w:pPr>
          </w:p>
        </w:tc>
        <w:tc>
          <w:tcPr>
            <w:tcW w:w="12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6"/>
                <w:szCs w:val="16"/>
                <w:color w:val="auto"/>
              </w:rPr>
            </w:pPr>
          </w:p>
        </w:tc>
        <w:tc>
          <w:tcPr>
            <w:tcW w:w="1300" w:type="dxa"/>
            <w:vAlign w:val="bottom"/>
            <w:tcBorders>
              <w:top w:val="single" w:sz="8" w:color="auto"/>
            </w:tcBorders>
          </w:tcPr>
          <w:p>
            <w:pPr>
              <w:ind w:left="1120"/>
              <w:spacing w:after="0" w:line="195"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6"/>
                <w:szCs w:val="16"/>
                <w:color w:val="auto"/>
              </w:rPr>
            </w:pP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37,800</w:t>
            </w: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Eric L. Robinson</w:t>
            </w:r>
          </w:p>
        </w:tc>
        <w:tc>
          <w:tcPr>
            <w:tcW w:w="1260" w:type="dxa"/>
            <w:vAlign w:val="bottom"/>
          </w:tcPr>
          <w:p>
            <w:pPr>
              <w:jc w:val="right"/>
              <w:spacing w:after="0"/>
              <w:rPr>
                <w:sz w:val="20"/>
                <w:szCs w:val="20"/>
                <w:color w:val="auto"/>
              </w:rPr>
            </w:pPr>
            <w:r>
              <w:rPr>
                <w:rFonts w:ascii="Arial" w:cs="Arial" w:eastAsia="Arial" w:hAnsi="Arial"/>
                <w:sz w:val="18"/>
                <w:szCs w:val="18"/>
                <w:color w:val="auto"/>
              </w:rPr>
              <w:t>37,200</w:t>
            </w:r>
          </w:p>
        </w:tc>
        <w:tc>
          <w:tcPr>
            <w:tcW w:w="220" w:type="dxa"/>
            <w:vAlign w:val="bottom"/>
          </w:tcPr>
          <w:p>
            <w:pPr>
              <w:spacing w:after="0"/>
              <w:rPr>
                <w:sz w:val="18"/>
                <w:szCs w:val="18"/>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37,200</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Bruce Whaley</w:t>
            </w:r>
          </w:p>
        </w:tc>
        <w:tc>
          <w:tcPr>
            <w:tcW w:w="1260" w:type="dxa"/>
            <w:vAlign w:val="bottom"/>
          </w:tcPr>
          <w:p>
            <w:pPr>
              <w:jc w:val="right"/>
              <w:spacing w:after="0"/>
              <w:rPr>
                <w:sz w:val="20"/>
                <w:szCs w:val="20"/>
                <w:color w:val="auto"/>
              </w:rPr>
            </w:pPr>
            <w:r>
              <w:rPr>
                <w:rFonts w:ascii="Arial" w:cs="Arial" w:eastAsia="Arial" w:hAnsi="Arial"/>
                <w:sz w:val="18"/>
                <w:szCs w:val="18"/>
                <w:color w:val="auto"/>
              </w:rPr>
              <w:t>25,100</w:t>
            </w:r>
          </w:p>
        </w:tc>
        <w:tc>
          <w:tcPr>
            <w:tcW w:w="2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25,100</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However, the Board decided to terminate the annual stock option award to non-employee directors in 2018, and consequently, no such grants were made in 2019. All directors are reimbursed by the Company for their out-of-pocket travel and related expenses, if any, incurred in attending all Board of Directors and committee meetings.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certain information regarding ownership of our common stock as of March 25, 2020, except as otherwise stated, by</w:t>
      </w:r>
    </w:p>
    <w:p>
      <w:pPr>
        <w:spacing w:after="0" w:line="46" w:lineRule="exact"/>
        <w:rPr>
          <w:sz w:val="20"/>
          <w:szCs w:val="20"/>
          <w:color w:val="auto"/>
        </w:rPr>
      </w:pPr>
    </w:p>
    <w:p>
      <w:pPr>
        <w:ind w:right="140" w:firstLine="8"/>
        <w:spacing w:after="0" w:line="260"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Shares Beneficially Owned</w:t>
            </w: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Shares that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Currently Owned</w:t>
            </w:r>
          </w:p>
        </w:tc>
        <w:tc>
          <w:tcPr>
            <w:tcW w:w="1620" w:type="dxa"/>
            <w:vAlign w:val="bottom"/>
            <w:gridSpan w:val="2"/>
          </w:tcPr>
          <w:p>
            <w:pPr>
              <w:jc w:val="center"/>
              <w:ind w:right="170"/>
              <w:spacing w:after="0"/>
              <w:rPr>
                <w:sz w:val="20"/>
                <w:szCs w:val="20"/>
                <w:color w:val="auto"/>
              </w:rPr>
            </w:pPr>
            <w:r>
              <w:rPr>
                <w:rFonts w:ascii="Arial" w:cs="Arial" w:eastAsia="Arial" w:hAnsi="Arial"/>
                <w:sz w:val="16"/>
                <w:szCs w:val="16"/>
                <w:b w:val="1"/>
                <w:bCs w:val="1"/>
                <w:color w:val="auto"/>
                <w:w w:val="96"/>
              </w:rPr>
              <w:t>Currently Owned</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could be acquired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20" w:type="dxa"/>
            <w:vAlign w:val="bottom"/>
            <w:gridSpan w:val="2"/>
            <w:vMerge w:val="restart"/>
          </w:tcPr>
          <w:p>
            <w:pPr>
              <w:jc w:val="center"/>
              <w:ind w:right="170"/>
              <w:spacing w:after="0"/>
              <w:rPr>
                <w:sz w:val="20"/>
                <w:szCs w:val="20"/>
                <w:color w:val="auto"/>
              </w:rPr>
            </w:pPr>
            <w:r>
              <w:rPr>
                <w:rFonts w:ascii="Arial" w:cs="Arial" w:eastAsia="Arial" w:hAnsi="Arial"/>
                <w:sz w:val="16"/>
                <w:szCs w:val="16"/>
                <w:b w:val="1"/>
                <w:bCs w:val="1"/>
                <w:color w:val="auto"/>
                <w:w w:val="85"/>
              </w:rPr>
              <w:t xml:space="preserve">Percent </w:t>
            </w:r>
            <w:r>
              <w:rPr>
                <w:rFonts w:ascii="Arial" w:cs="Arial" w:eastAsia="Arial" w:hAnsi="Arial"/>
                <w:sz w:val="20"/>
                <w:szCs w:val="20"/>
                <w:b w:val="1"/>
                <w:bCs w:val="1"/>
                <w:color w:val="auto"/>
                <w:w w:val="85"/>
                <w:vertAlign w:val="superscript"/>
              </w:rPr>
              <w:t>(2)</w:t>
            </w: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 xml:space="preserve">within 60 days </w:t>
            </w:r>
            <w:r>
              <w:rPr>
                <w:rFonts w:ascii="Arial" w:cs="Arial" w:eastAsia="Arial" w:hAnsi="Arial"/>
                <w:sz w:val="20"/>
                <w:szCs w:val="20"/>
                <w:b w:val="1"/>
                <w:bCs w:val="1"/>
                <w:color w:val="auto"/>
                <w:w w:val="89"/>
                <w:vertAlign w:val="superscript"/>
              </w:rPr>
              <w:t>(2)</w:t>
            </w:r>
          </w:p>
        </w:tc>
        <w:tc>
          <w:tcPr>
            <w:tcW w:w="156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0"/>
                <w:szCs w:val="20"/>
                <w:b w:val="1"/>
                <w:bCs w:val="1"/>
                <w:color w:val="auto"/>
                <w:vertAlign w:val="superscript"/>
              </w:rPr>
              <w:t>(2)</w:t>
            </w:r>
          </w:p>
        </w:tc>
        <w:tc>
          <w:tcPr>
            <w:tcW w:w="1500" w:type="dxa"/>
            <w:vAlign w:val="bottom"/>
            <w:gridSpan w:val="2"/>
            <w:vMerge w:val="restart"/>
          </w:tcPr>
          <w:p>
            <w:pPr>
              <w:jc w:val="right"/>
              <w:ind w:right="390"/>
              <w:spacing w:after="0"/>
              <w:rPr>
                <w:sz w:val="20"/>
                <w:szCs w:val="20"/>
                <w:color w:val="auto"/>
              </w:rPr>
            </w:pPr>
            <w:r>
              <w:rPr>
                <w:rFonts w:ascii="Arial" w:cs="Arial" w:eastAsia="Arial" w:hAnsi="Arial"/>
                <w:sz w:val="16"/>
                <w:szCs w:val="16"/>
                <w:b w:val="1"/>
                <w:bCs w:val="1"/>
                <w:color w:val="auto"/>
              </w:rPr>
              <w:t xml:space="preserve">Percent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rPr>
              <w:t>Name of Beneficial Owner</w:t>
            </w:r>
            <w:r>
              <w:rPr>
                <w:rFonts w:ascii="Arial" w:cs="Arial" w:eastAsia="Arial" w:hAnsi="Arial"/>
                <w:sz w:val="20"/>
                <w:szCs w:val="20"/>
                <w:b w:val="1"/>
                <w:bCs w:val="1"/>
                <w:color w:val="auto"/>
                <w:vertAlign w:val="superscript"/>
              </w:rPr>
              <w:t>(1)</w:t>
            </w:r>
          </w:p>
        </w:tc>
        <w:tc>
          <w:tcPr>
            <w:tcW w:w="120" w:type="dxa"/>
            <w:vAlign w:val="bottom"/>
            <w:vMerge w:val="restart"/>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0"/>
                <w:szCs w:val="10"/>
                <w:b w:val="1"/>
                <w:bCs w:val="1"/>
                <w:color w:val="auto"/>
                <w:w w:val="97"/>
              </w:rPr>
              <w:t>(2)</w:t>
            </w:r>
          </w:p>
        </w:tc>
        <w:tc>
          <w:tcPr>
            <w:tcW w:w="20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(B)</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(C)</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color w:val="auto"/>
              </w:rPr>
              <w:t>(D)</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60" w:type="dxa"/>
            <w:vAlign w:val="bottom"/>
            <w:gridSpan w:val="4"/>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Zeynep Hakimoglu</w:t>
            </w:r>
          </w:p>
        </w:tc>
        <w:tc>
          <w:tcPr>
            <w:tcW w:w="900" w:type="dxa"/>
            <w:vAlign w:val="bottom"/>
            <w:gridSpan w:val="2"/>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823,227</w:t>
            </w:r>
          </w:p>
        </w:tc>
        <w:tc>
          <w:tcPr>
            <w:tcW w:w="200" w:type="dxa"/>
            <w:vAlign w:val="bottom"/>
          </w:tcPr>
          <w:p>
            <w:pPr>
              <w:spacing w:after="0"/>
              <w:rPr>
                <w:sz w:val="19"/>
                <w:szCs w:val="19"/>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4.94%</w:t>
            </w:r>
          </w:p>
        </w:tc>
        <w:tc>
          <w:tcPr>
            <w:tcW w:w="1340" w:type="dxa"/>
            <w:vAlign w:val="bottom"/>
          </w:tcPr>
          <w:p>
            <w:pPr>
              <w:jc w:val="right"/>
              <w:spacing w:after="0"/>
              <w:rPr>
                <w:sz w:val="20"/>
                <w:szCs w:val="20"/>
                <w:color w:val="auto"/>
              </w:rPr>
            </w:pPr>
            <w:r>
              <w:rPr>
                <w:rFonts w:ascii="Arial" w:cs="Arial" w:eastAsia="Arial" w:hAnsi="Arial"/>
                <w:sz w:val="18"/>
                <w:szCs w:val="18"/>
                <w:color w:val="auto"/>
              </w:rPr>
              <w:t>208,888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1,032,115</w:t>
            </w:r>
          </w:p>
        </w:tc>
        <w:tc>
          <w:tcPr>
            <w:tcW w:w="2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Larry R. Hendricks</w:t>
            </w:r>
          </w:p>
        </w:tc>
        <w:tc>
          <w:tcPr>
            <w:tcW w:w="1340" w:type="dxa"/>
            <w:vAlign w:val="bottom"/>
          </w:tcPr>
          <w:p>
            <w:pPr>
              <w:jc w:val="right"/>
              <w:spacing w:after="0"/>
              <w:rPr>
                <w:sz w:val="20"/>
                <w:szCs w:val="20"/>
                <w:color w:val="auto"/>
              </w:rPr>
            </w:pPr>
            <w:r>
              <w:rPr>
                <w:rFonts w:ascii="Arial" w:cs="Arial" w:eastAsia="Arial" w:hAnsi="Arial"/>
                <w:sz w:val="18"/>
                <w:szCs w:val="18"/>
                <w:color w:val="auto"/>
              </w:rPr>
              <w:t>5,548</w:t>
            </w:r>
          </w:p>
        </w:tc>
        <w:tc>
          <w:tcPr>
            <w:tcW w:w="20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0.03%</w:t>
            </w:r>
          </w:p>
        </w:tc>
        <w:tc>
          <w:tcPr>
            <w:tcW w:w="1340" w:type="dxa"/>
            <w:vAlign w:val="bottom"/>
          </w:tcPr>
          <w:p>
            <w:pPr>
              <w:jc w:val="right"/>
              <w:spacing w:after="0"/>
              <w:rPr>
                <w:sz w:val="20"/>
                <w:szCs w:val="20"/>
                <w:color w:val="auto"/>
              </w:rPr>
            </w:pPr>
            <w:r>
              <w:rPr>
                <w:rFonts w:ascii="Arial" w:cs="Arial" w:eastAsia="Arial" w:hAnsi="Arial"/>
                <w:sz w:val="18"/>
                <w:szCs w:val="18"/>
                <w:color w:val="auto"/>
              </w:rPr>
              <w:t>64,722</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70,270</w:t>
            </w:r>
          </w:p>
        </w:tc>
        <w:tc>
          <w:tcPr>
            <w:tcW w:w="2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Eric L. Robinson</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27,221</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27,286</w:t>
            </w:r>
          </w:p>
        </w:tc>
        <w:tc>
          <w:tcPr>
            <w:tcW w:w="2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Bruce Whaley</w:t>
            </w: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0.02%</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Narsi Narayanan</w:t>
            </w:r>
          </w:p>
        </w:tc>
        <w:tc>
          <w:tcPr>
            <w:tcW w:w="1340" w:type="dxa"/>
            <w:vAlign w:val="bottom"/>
          </w:tcPr>
          <w:p>
            <w:pPr>
              <w:jc w:val="right"/>
              <w:spacing w:after="0"/>
              <w:rPr>
                <w:sz w:val="20"/>
                <w:szCs w:val="20"/>
                <w:color w:val="auto"/>
              </w:rPr>
            </w:pPr>
            <w:r>
              <w:rPr>
                <w:rFonts w:ascii="Arial" w:cs="Arial" w:eastAsia="Arial" w:hAnsi="Arial"/>
                <w:sz w:val="18"/>
                <w:szCs w:val="18"/>
                <w:color w:val="auto"/>
              </w:rPr>
              <w:t>9,928</w:t>
            </w:r>
          </w:p>
        </w:tc>
        <w:tc>
          <w:tcPr>
            <w:tcW w:w="200" w:type="dxa"/>
            <w:vAlign w:val="bottom"/>
          </w:tcPr>
          <w:p>
            <w:pPr>
              <w:spacing w:after="0"/>
              <w:rPr>
                <w:sz w:val="21"/>
                <w:szCs w:val="21"/>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0.06%</w:t>
            </w:r>
          </w:p>
        </w:tc>
        <w:tc>
          <w:tcPr>
            <w:tcW w:w="1340" w:type="dxa"/>
            <w:vAlign w:val="bottom"/>
          </w:tcPr>
          <w:p>
            <w:pPr>
              <w:jc w:val="right"/>
              <w:spacing w:after="0"/>
              <w:rPr>
                <w:sz w:val="20"/>
                <w:szCs w:val="20"/>
                <w:color w:val="auto"/>
              </w:rPr>
            </w:pPr>
            <w:r>
              <w:rPr>
                <w:rFonts w:ascii="Arial" w:cs="Arial" w:eastAsia="Arial" w:hAnsi="Arial"/>
                <w:sz w:val="18"/>
                <w:szCs w:val="18"/>
                <w:color w:val="auto"/>
              </w:rPr>
              <w:t>121,944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131,872</w:t>
            </w:r>
          </w:p>
        </w:tc>
        <w:tc>
          <w:tcPr>
            <w:tcW w:w="2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Total (Directors and Officers)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841,768</w:t>
            </w:r>
          </w:p>
        </w:tc>
        <w:tc>
          <w:tcPr>
            <w:tcW w:w="2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422,775</w:t>
            </w:r>
          </w:p>
        </w:tc>
        <w:tc>
          <w:tcPr>
            <w:tcW w:w="2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1,264,543</w:t>
            </w:r>
          </w:p>
        </w:tc>
        <w:tc>
          <w:tcPr>
            <w:tcW w:w="2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60" w:type="dxa"/>
            <w:vAlign w:val="bottom"/>
            <w:gridSpan w:val="4"/>
          </w:tcPr>
          <w:p>
            <w:pPr>
              <w:spacing w:after="0" w:line="169" w:lineRule="exact"/>
              <w:rPr>
                <w:sz w:val="20"/>
                <w:szCs w:val="20"/>
                <w:color w:val="auto"/>
              </w:rPr>
            </w:pPr>
            <w:r>
              <w:rPr>
                <w:rFonts w:ascii="Arial" w:cs="Arial" w:eastAsia="Arial" w:hAnsi="Arial"/>
                <w:sz w:val="18"/>
                <w:szCs w:val="18"/>
                <w:b w:val="1"/>
                <w:bCs w:val="1"/>
                <w:color w:val="auto"/>
              </w:rPr>
              <w:t>5% Shareholders: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 xml:space="preserve">Edward D. Bagley </w:t>
            </w:r>
            <w:r>
              <w:rPr>
                <w:rFonts w:ascii="Arial" w:cs="Arial" w:eastAsia="Arial" w:hAnsi="Arial"/>
                <w:sz w:val="23"/>
                <w:szCs w:val="23"/>
                <w:color w:val="auto"/>
                <w:vertAlign w:val="superscript"/>
              </w:rPr>
              <w:t>(3)</w:t>
            </w:r>
          </w:p>
        </w:tc>
        <w:tc>
          <w:tcPr>
            <w:tcW w:w="1340" w:type="dxa"/>
            <w:vAlign w:val="bottom"/>
          </w:tcPr>
          <w:p>
            <w:pPr>
              <w:jc w:val="right"/>
              <w:spacing w:after="0"/>
              <w:rPr>
                <w:sz w:val="20"/>
                <w:szCs w:val="20"/>
                <w:color w:val="auto"/>
              </w:rPr>
            </w:pPr>
            <w:r>
              <w:rPr>
                <w:rFonts w:ascii="Arial" w:cs="Arial" w:eastAsia="Arial" w:hAnsi="Arial"/>
                <w:sz w:val="18"/>
                <w:szCs w:val="18"/>
                <w:color w:val="auto"/>
              </w:rPr>
              <w:t>7,425,320</w:t>
            </w:r>
          </w:p>
        </w:tc>
        <w:tc>
          <w:tcPr>
            <w:tcW w:w="200" w:type="dxa"/>
            <w:vAlign w:val="bottom"/>
          </w:tcPr>
          <w:p>
            <w:pPr>
              <w:spacing w:after="0"/>
              <w:rPr>
                <w:sz w:val="24"/>
                <w:szCs w:val="24"/>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44.59%</w:t>
            </w:r>
          </w:p>
        </w:tc>
        <w:tc>
          <w:tcPr>
            <w:tcW w:w="1340" w:type="dxa"/>
            <w:vAlign w:val="bottom"/>
          </w:tcPr>
          <w:p>
            <w:pPr>
              <w:jc w:val="right"/>
              <w:spacing w:after="0"/>
              <w:rPr>
                <w:sz w:val="20"/>
                <w:szCs w:val="20"/>
                <w:color w:val="auto"/>
              </w:rPr>
            </w:pPr>
            <w:r>
              <w:rPr>
                <w:rFonts w:ascii="Arial" w:cs="Arial" w:eastAsia="Arial" w:hAnsi="Arial"/>
                <w:sz w:val="18"/>
                <w:szCs w:val="18"/>
                <w:color w:val="auto"/>
              </w:rPr>
              <w:t>1,790,764</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9,216,084</w:t>
            </w:r>
          </w:p>
        </w:tc>
        <w:tc>
          <w:tcPr>
            <w:tcW w:w="2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 xml:space="preserve">E. Bryan Bagley </w:t>
            </w:r>
            <w:r>
              <w:rPr>
                <w:rFonts w:ascii="Arial" w:cs="Arial" w:eastAsia="Arial" w:hAnsi="Arial"/>
                <w:sz w:val="23"/>
                <w:szCs w:val="23"/>
                <w:color w:val="auto"/>
                <w:vertAlign w:val="superscript"/>
              </w:rPr>
              <w:t>(4)</w:t>
            </w:r>
          </w:p>
        </w:tc>
        <w:tc>
          <w:tcPr>
            <w:tcW w:w="1340" w:type="dxa"/>
            <w:vAlign w:val="bottom"/>
          </w:tcPr>
          <w:p>
            <w:pPr>
              <w:jc w:val="right"/>
              <w:spacing w:after="0"/>
              <w:rPr>
                <w:sz w:val="20"/>
                <w:szCs w:val="20"/>
                <w:color w:val="auto"/>
              </w:rPr>
            </w:pPr>
            <w:r>
              <w:rPr>
                <w:rFonts w:ascii="Arial" w:cs="Arial" w:eastAsia="Arial" w:hAnsi="Arial"/>
                <w:sz w:val="18"/>
                <w:szCs w:val="18"/>
                <w:color w:val="auto"/>
              </w:rPr>
              <w:t>1,581,412</w:t>
            </w:r>
          </w:p>
        </w:tc>
        <w:tc>
          <w:tcPr>
            <w:tcW w:w="200" w:type="dxa"/>
            <w:vAlign w:val="bottom"/>
          </w:tcPr>
          <w:p>
            <w:pPr>
              <w:spacing w:after="0"/>
              <w:rPr>
                <w:sz w:val="24"/>
                <w:szCs w:val="24"/>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9.50%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1,581,412</w:t>
            </w:r>
          </w:p>
        </w:tc>
        <w:tc>
          <w:tcPr>
            <w:tcW w:w="2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240" w:right="20" w:hanging="226"/>
        <w:spacing w:after="0" w:line="263"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183" w:lineRule="exact"/>
        <w:rPr>
          <w:rFonts w:ascii="Arial" w:cs="Arial" w:eastAsia="Arial" w:hAnsi="Arial"/>
          <w:sz w:val="18"/>
          <w:szCs w:val="18"/>
          <w:color w:val="auto"/>
        </w:rPr>
      </w:pPr>
    </w:p>
    <w:p>
      <w:pPr>
        <w:jc w:val="both"/>
        <w:ind w:left="240" w:hanging="226"/>
        <w:spacing w:after="0" w:line="255"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16,650,725 shares of common stock outstanding on March 25, 2020. The numbers shown in Column (D) and percentages shown in Column (E) include the shares of common stock actually owned as of March 25, 2020 and the shares of common stock that the identified person or group had the right to acquire within 60 days of such date. In calculating the percentage of ownership, all shares of common stock that each identified person or group had the right to acquire within 60 days of March 25, 2020 upon the exercise of the stock options shown in Column (C) are deemed to be outstanding for the purpose of computing the percentage of the shares of common stock owned by the persons or groups listed above.</w:t>
      </w:r>
    </w:p>
    <w:p>
      <w:pPr>
        <w:spacing w:after="0" w:line="192" w:lineRule="exact"/>
        <w:rPr>
          <w:rFonts w:ascii="Arial" w:cs="Arial" w:eastAsia="Arial" w:hAnsi="Arial"/>
          <w:sz w:val="18"/>
          <w:szCs w:val="18"/>
          <w:color w:val="auto"/>
        </w:rPr>
      </w:pPr>
    </w:p>
    <w:p>
      <w:pPr>
        <w:jc w:val="both"/>
        <w:ind w:left="240" w:hanging="226"/>
        <w:spacing w:after="0" w:line="289"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Edward D. Bagley may be deemed to own an additional 2,252,634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7,425,320 shares (including the shares that may be acquired pursuant to the exercise of stock options) and shared voting and dispositive power over the 355,257 shares held by Mr. Edward D. Bagley’s spouse. This information is based upon the Schedule 13D/A and Form 4, as filed by Mr. Bagley with the SEC in December 2018 and the issuance of the Notes and Warrants to Mr. Bagley on December 17, 2019. E. Bryan Bagley, who resigned as Director effective November 6, 2012, is the son of Edward D. Bagley, and each of them has previously disclaimed beneficial ownership of common stock beneficially owned by the other. The share amounts indicated for Mr. Edward D. Bagley do not include any shares held by E. Bryan Bagley.</w:t>
      </w:r>
    </w:p>
    <w:p>
      <w:pPr>
        <w:spacing w:after="0" w:line="166" w:lineRule="exact"/>
        <w:rPr>
          <w:rFonts w:ascii="Arial" w:cs="Arial" w:eastAsia="Arial" w:hAnsi="Arial"/>
          <w:sz w:val="16"/>
          <w:szCs w:val="16"/>
          <w:color w:val="auto"/>
        </w:rPr>
      </w:pPr>
    </w:p>
    <w:p>
      <w:pPr>
        <w:jc w:val="both"/>
        <w:ind w:left="240" w:hanging="226"/>
        <w:spacing w:after="0" w:line="286"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information is based upon the Form 4 filed with the SEC as of December 6, 2018.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The following table summarizes information, as of December 31, 2019, relating to equity compensation plans of the Company (including individual compensation arrangements) pursuant to which equity securities of the Company are authorized for issuance.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w:t>
            </w:r>
          </w:p>
        </w:tc>
        <w:tc>
          <w:tcPr>
            <w:tcW w:w="2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(b)</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Number of securities to be</w:t>
            </w:r>
          </w:p>
        </w:tc>
        <w:tc>
          <w:tcPr>
            <w:tcW w:w="2460" w:type="dxa"/>
            <w:vAlign w:val="bottom"/>
            <w:gridSpan w:val="2"/>
          </w:tcPr>
          <w:p>
            <w:pPr>
              <w:jc w:val="center"/>
              <w:ind w:right="200"/>
              <w:spacing w:after="0" w:line="184" w:lineRule="exact"/>
              <w:rPr>
                <w:sz w:val="20"/>
                <w:szCs w:val="20"/>
                <w:color w:val="auto"/>
              </w:rPr>
            </w:pPr>
            <w:r>
              <w:rPr>
                <w:rFonts w:ascii="Arial" w:cs="Arial" w:eastAsia="Arial" w:hAnsi="Arial"/>
                <w:sz w:val="16"/>
                <w:szCs w:val="16"/>
                <w:b w:val="1"/>
                <w:bCs w:val="1"/>
                <w:color w:val="auto"/>
                <w:w w:val="90"/>
              </w:rPr>
              <w:t>Weighted</w:t>
            </w:r>
            <w:r>
              <w:rPr>
                <w:rFonts w:ascii="MS PGothic" w:cs="MS PGothic" w:eastAsia="MS PGothic" w:hAnsi="MS PGothic"/>
                <w:sz w:val="16"/>
                <w:szCs w:val="16"/>
                <w:b w:val="1"/>
                <w:bCs w:val="1"/>
                <w:color w:val="auto"/>
                <w:w w:val="90"/>
              </w:rPr>
              <w:t>‑</w:t>
            </w:r>
            <w:r>
              <w:rPr>
                <w:rFonts w:ascii="Arial" w:cs="Arial" w:eastAsia="Arial" w:hAnsi="Arial"/>
                <w:sz w:val="16"/>
                <w:szCs w:val="16"/>
                <w:b w:val="1"/>
                <w:bCs w:val="1"/>
                <w:color w:val="auto"/>
                <w:w w:val="90"/>
              </w:rPr>
              <w:t>Average Exercise</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Number of securities remaining</w:t>
            </w: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issued upon exercise of</w:t>
            </w:r>
          </w:p>
        </w:tc>
        <w:tc>
          <w:tcPr>
            <w:tcW w:w="2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 of Outstanding</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available for future issuance</w:t>
            </w:r>
          </w:p>
        </w:tc>
      </w:tr>
      <w:tr>
        <w:trPr>
          <w:trHeight w:val="203"/>
        </w:trPr>
        <w:tc>
          <w:tcPr>
            <w:tcW w:w="4060" w:type="dxa"/>
            <w:vAlign w:val="bottom"/>
            <w:gridSpan w:val="2"/>
          </w:tcPr>
          <w:p>
            <w:pPr>
              <w:ind w:left="100"/>
              <w:spacing w:after="0"/>
              <w:rPr>
                <w:sz w:val="20"/>
                <w:szCs w:val="20"/>
                <w:color w:val="auto"/>
              </w:rPr>
            </w:pPr>
            <w:r>
              <w:rPr>
                <w:rFonts w:ascii="Arial" w:cs="Arial" w:eastAsia="Arial" w:hAnsi="Arial"/>
                <w:sz w:val="16"/>
                <w:szCs w:val="16"/>
                <w:b w:val="1"/>
                <w:bCs w:val="1"/>
                <w:color w:val="auto"/>
              </w:rPr>
              <w:t>Plan Category</w:t>
            </w:r>
          </w:p>
        </w:tc>
        <w:tc>
          <w:tcPr>
            <w:tcW w:w="2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outstanding options and rights</w:t>
            </w:r>
          </w:p>
        </w:tc>
        <w:tc>
          <w:tcPr>
            <w:tcW w:w="2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Options and Rights</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89"/>
              </w:rPr>
              <w:t>under equity compensation</w:t>
            </w: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w:t>
            </w: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89"/>
              </w:rPr>
              <w:t>securities reflected in</w:t>
            </w:r>
          </w:p>
        </w:tc>
      </w:tr>
      <w:tr>
        <w:trPr>
          <w:trHeight w:val="210"/>
        </w:trPr>
        <w:tc>
          <w:tcPr>
            <w:tcW w:w="3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column(a))</w:t>
            </w:r>
          </w:p>
        </w:tc>
      </w:tr>
      <w:tr>
        <w:trPr>
          <w:trHeight w:val="201"/>
        </w:trPr>
        <w:tc>
          <w:tcPr>
            <w:tcW w:w="3820" w:type="dxa"/>
            <w:vAlign w:val="bottom"/>
          </w:tcPr>
          <w:p>
            <w:pPr>
              <w:ind w:left="80"/>
              <w:spacing w:after="0" w:line="201" w:lineRule="exact"/>
              <w:rPr>
                <w:sz w:val="20"/>
                <w:szCs w:val="20"/>
                <w:color w:val="auto"/>
              </w:rPr>
            </w:pPr>
            <w:r>
              <w:rPr>
                <w:rFonts w:ascii="Arial" w:cs="Arial" w:eastAsia="Arial" w:hAnsi="Arial"/>
                <w:sz w:val="18"/>
                <w:szCs w:val="18"/>
                <w:color w:val="auto"/>
              </w:rPr>
              <w:t>Equity Compensation Plans Approved by</w:t>
            </w: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4060" w:type="dxa"/>
            <w:vAlign w:val="bottom"/>
            <w:gridSpan w:val="2"/>
          </w:tcPr>
          <w:p>
            <w:pPr>
              <w:ind w:left="80"/>
              <w:spacing w:after="0"/>
              <w:rPr>
                <w:sz w:val="20"/>
                <w:szCs w:val="20"/>
                <w:color w:val="auto"/>
              </w:rPr>
            </w:pPr>
            <w:r>
              <w:rPr>
                <w:rFonts w:ascii="Arial" w:cs="Arial" w:eastAsia="Arial" w:hAnsi="Arial"/>
                <w:sz w:val="18"/>
                <w:szCs w:val="18"/>
                <w:color w:val="auto"/>
              </w:rPr>
              <w:t>Stockholders</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544,647</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$9.01</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1,373,713</w:t>
            </w:r>
          </w:p>
        </w:tc>
      </w:tr>
      <w:tr>
        <w:trPr>
          <w:trHeight w:val="216"/>
        </w:trPr>
        <w:tc>
          <w:tcPr>
            <w:tcW w:w="4060" w:type="dxa"/>
            <w:vAlign w:val="bottom"/>
            <w:gridSpan w:val="2"/>
          </w:tcPr>
          <w:p>
            <w:pPr>
              <w:ind w:left="80"/>
              <w:spacing w:after="0"/>
              <w:rPr>
                <w:sz w:val="20"/>
                <w:szCs w:val="20"/>
                <w:color w:val="auto"/>
              </w:rPr>
            </w:pPr>
            <w:r>
              <w:rPr>
                <w:rFonts w:ascii="Arial" w:cs="Arial" w:eastAsia="Arial" w:hAnsi="Arial"/>
                <w:sz w:val="18"/>
                <w:szCs w:val="18"/>
                <w:color w:val="auto"/>
              </w:rPr>
              <w:t>Equity Compensation Plans Not Approved by</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4060" w:type="dxa"/>
            <w:vAlign w:val="bottom"/>
            <w:gridSpan w:val="2"/>
          </w:tcPr>
          <w:p>
            <w:pPr>
              <w:ind w:left="80"/>
              <w:spacing w:after="0"/>
              <w:rPr>
                <w:sz w:val="20"/>
                <w:szCs w:val="20"/>
                <w:color w:val="auto"/>
              </w:rPr>
            </w:pPr>
            <w:r>
              <w:rPr>
                <w:rFonts w:ascii="Arial" w:cs="Arial" w:eastAsia="Arial" w:hAnsi="Arial"/>
                <w:sz w:val="18"/>
                <w:szCs w:val="18"/>
                <w:color w:val="auto"/>
              </w:rPr>
              <w:t>Stockholders</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060" w:type="dxa"/>
            <w:vAlign w:val="bottom"/>
            <w:gridSpan w:val="2"/>
          </w:tcPr>
          <w:p>
            <w:pPr>
              <w:ind w:left="82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544,647</w:t>
            </w:r>
          </w:p>
        </w:tc>
        <w:tc>
          <w:tcPr>
            <w:tcW w:w="220" w:type="dxa"/>
            <w:vAlign w:val="bottom"/>
          </w:tcPr>
          <w:p>
            <w:pPr>
              <w:spacing w:after="0"/>
              <w:rPr>
                <w:sz w:val="18"/>
                <w:szCs w:val="18"/>
                <w:color w:val="auto"/>
              </w:rPr>
            </w:pPr>
          </w:p>
        </w:tc>
        <w:tc>
          <w:tcPr>
            <w:tcW w:w="2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$9.01</w:t>
            </w:r>
          </w:p>
        </w:tc>
        <w:tc>
          <w:tcPr>
            <w:tcW w:w="220" w:type="dxa"/>
            <w:vAlign w:val="bottom"/>
          </w:tcPr>
          <w:p>
            <w:pPr>
              <w:spacing w:after="0"/>
              <w:rPr>
                <w:sz w:val="18"/>
                <w:szCs w:val="18"/>
                <w:color w:val="auto"/>
              </w:rPr>
            </w:pPr>
          </w:p>
        </w:tc>
        <w:tc>
          <w:tcPr>
            <w:tcW w:w="2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1,373,713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Consulting Agreement with Edward D. Bagley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through 2021. Pursuant to the terms of the Consulting Agreement Mr. Bagley is paid a fee of $5,000 per month and is eligible to participate in our equity incentive programs and will be granted stock options commensurate with grants of stock options made to our directors. During 2019, he was paid $60,000 as consulting fees but was not awarded any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amounts: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82"/>
        </w:trPr>
        <w:tc>
          <w:tcPr>
            <w:tcW w:w="6580" w:type="dxa"/>
            <w:vAlign w:val="bottom"/>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242,520</w:t>
            </w:r>
          </w:p>
        </w:tc>
        <w:tc>
          <w:tcPr>
            <w:tcW w:w="1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320,719</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9,894</w:t>
            </w:r>
          </w:p>
        </w:tc>
      </w:tr>
      <w:tr>
        <w:trPr>
          <w:trHeight w:val="310"/>
        </w:trPr>
        <w:tc>
          <w:tcPr>
            <w:tcW w:w="658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45,700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40,795</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All other fees</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291,620</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371,408</w:t>
            </w:r>
          </w:p>
        </w:tc>
      </w:tr>
    </w:tbl>
    <w:p>
      <w:pPr>
        <w:spacing w:after="0" w:line="202" w:lineRule="exact"/>
        <w:rPr>
          <w:sz w:val="20"/>
          <w:szCs w:val="20"/>
          <w:color w:val="auto"/>
        </w:rPr>
      </w:pPr>
    </w:p>
    <w:p>
      <w:pPr>
        <w:ind w:left="360" w:right="220" w:hanging="346"/>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170" w:lineRule="exact"/>
        <w:rPr>
          <w:rFonts w:ascii="Arial" w:cs="Arial" w:eastAsia="Arial" w:hAnsi="Arial"/>
          <w:sz w:val="18"/>
          <w:szCs w:val="18"/>
          <w:color w:val="auto"/>
        </w:rPr>
      </w:pPr>
    </w:p>
    <w:p>
      <w:pPr>
        <w:ind w:left="360" w:hanging="346"/>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2018,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500" w:hanging="48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170" w:lineRule="exact"/>
        <w:rPr>
          <w:rFonts w:ascii="Arial" w:cs="Arial" w:eastAsia="Arial" w:hAnsi="Arial"/>
          <w:sz w:val="18"/>
          <w:szCs w:val="18"/>
          <w:color w:val="auto"/>
        </w:rPr>
      </w:pPr>
    </w:p>
    <w:p>
      <w:pPr>
        <w:ind w:left="500" w:right="20" w:hanging="48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70" w:lineRule="exact"/>
        <w:rPr>
          <w:rFonts w:ascii="Arial" w:cs="Arial" w:eastAsia="Arial" w:hAnsi="Arial"/>
          <w:sz w:val="18"/>
          <w:szCs w:val="18"/>
          <w:color w:val="auto"/>
        </w:rPr>
      </w:pPr>
    </w:p>
    <w:p>
      <w:pPr>
        <w:ind w:left="500" w:hanging="488"/>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Exhibits: The exhibits listed under the Index of exhibits in the next page are filed or incorporated by reference as part of this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Exhibit Incorporated</w:t>
            </w:r>
          </w:p>
        </w:tc>
        <w:tc>
          <w:tcPr>
            <w:tcW w:w="1140" w:type="dxa"/>
            <w:vAlign w:val="bottom"/>
          </w:tcPr>
          <w:p>
            <w:pPr>
              <w:spacing w:after="0"/>
              <w:rPr>
                <w:sz w:val="17"/>
                <w:szCs w:val="17"/>
                <w:color w:val="auto"/>
              </w:rPr>
            </w:pPr>
          </w:p>
        </w:tc>
      </w:tr>
      <w:tr>
        <w:trPr>
          <w:trHeight w:val="210"/>
        </w:trPr>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24"/>
          </w:tcPr>
          <w:p>
            <w:pPr>
              <w:ind w:left="40"/>
              <w:spacing w:after="0"/>
              <w:rPr>
                <w:sz w:val="20"/>
                <w:szCs w:val="20"/>
                <w:color w:val="auto"/>
              </w:rPr>
            </w:pPr>
            <w:r>
              <w:rPr>
                <w:rFonts w:ascii="Arial" w:cs="Arial" w:eastAsia="Arial" w:hAnsi="Arial"/>
                <w:sz w:val="16"/>
                <w:szCs w:val="16"/>
                <w:b w:val="1"/>
                <w:bCs w:val="1"/>
                <w:color w:val="auto"/>
              </w:rPr>
              <w:t>Exhibit Description</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Form</w:t>
            </w:r>
          </w:p>
        </w:tc>
        <w:tc>
          <w:tcPr>
            <w:tcW w:w="2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Herein by Reference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175"/>
        </w:trPr>
        <w:tc>
          <w:tcPr>
            <w:tcW w:w="90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400" w:type="dxa"/>
            <w:vAlign w:val="bottom"/>
            <w:tcBorders>
              <w:top w:val="single" w:sz="8" w:color="auto"/>
            </w:tcBorders>
            <w:gridSpan w:val="27"/>
          </w:tcPr>
          <w:p>
            <w:pPr>
              <w:spacing w:after="0" w:line="175" w:lineRule="exact"/>
              <w:rPr>
                <w:rFonts w:ascii="Arial" w:cs="Arial" w:eastAsia="Arial" w:hAnsi="Arial"/>
                <w:sz w:val="18"/>
                <w:szCs w:val="18"/>
                <w:color w:val="0000EE"/>
              </w:rPr>
            </w:pPr>
            <w:hyperlink r:id="rId57">
              <w:r>
                <w:rPr>
                  <w:rFonts w:ascii="Arial" w:cs="Arial" w:eastAsia="Arial" w:hAnsi="Arial"/>
                  <w:sz w:val="18"/>
                  <w:szCs w:val="18"/>
                  <w:color w:val="0000EE"/>
                </w:rPr>
                <w:t>Certificate of Incorporation of ClearOne, Inc.</w:t>
              </w:r>
            </w:hyperlink>
          </w:p>
        </w:tc>
        <w:tc>
          <w:tcPr>
            <w:tcW w:w="180" w:type="dxa"/>
            <w:vAlign w:val="bottom"/>
          </w:tcPr>
          <w:p>
            <w:pPr>
              <w:spacing w:after="0"/>
              <w:rPr>
                <w:sz w:val="15"/>
                <w:szCs w:val="15"/>
                <w:color w:val="auto"/>
              </w:rPr>
            </w:pPr>
          </w:p>
        </w:tc>
        <w:tc>
          <w:tcPr>
            <w:tcW w:w="7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5"/>
                <w:szCs w:val="15"/>
                <w:color w:val="auto"/>
              </w:rPr>
            </w:pPr>
          </w:p>
        </w:tc>
        <w:tc>
          <w:tcPr>
            <w:tcW w:w="21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color w:val="auto"/>
                <w:w w:val="91"/>
              </w:rPr>
              <w:t>10/29/18</w:t>
            </w: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Bylaws</w:t>
              </w:r>
            </w:hyperlink>
          </w:p>
        </w:tc>
        <w:tc>
          <w:tcPr>
            <w:tcW w:w="2720" w:type="dxa"/>
            <w:vAlign w:val="bottom"/>
            <w:tcBorders>
              <w:top w:val="single" w:sz="8" w:color="0000EE"/>
            </w:tcBorders>
            <w:gridSpan w:val="10"/>
          </w:tcPr>
          <w:p>
            <w:pPr>
              <w:spacing w:after="0"/>
              <w:rPr>
                <w:sz w:val="17"/>
                <w:szCs w:val="17"/>
                <w:color w:val="auto"/>
              </w:rPr>
            </w:pPr>
          </w:p>
        </w:tc>
        <w:tc>
          <w:tcPr>
            <w:tcW w:w="2320" w:type="dxa"/>
            <w:vAlign w:val="bottom"/>
            <w:gridSpan w:val="17"/>
          </w:tcPr>
          <w:p>
            <w:pPr>
              <w:spacing w:after="0"/>
              <w:rPr>
                <w:sz w:val="17"/>
                <w:szCs w:val="17"/>
                <w:color w:val="auto"/>
              </w:rPr>
            </w:pPr>
          </w:p>
        </w:tc>
        <w:tc>
          <w:tcPr>
            <w:tcW w:w="100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10/29/18</w:t>
            </w: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4.1†</w:t>
            </w:r>
          </w:p>
        </w:tc>
        <w:tc>
          <w:tcPr>
            <w:tcW w:w="5600" w:type="dxa"/>
            <w:vAlign w:val="bottom"/>
            <w:gridSpan w:val="2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Description of Securities Registered Pursuant to Section 12 of the</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Securities Exchange Act of 1934</w:t>
              </w:r>
            </w:hyperlink>
          </w:p>
        </w:tc>
        <w:tc>
          <w:tcPr>
            <w:tcW w:w="2360" w:type="dxa"/>
            <w:vAlign w:val="bottom"/>
            <w:tcBorders>
              <w:top w:val="single" w:sz="8" w:color="0000EE"/>
            </w:tcBorders>
            <w:gridSpan w:val="14"/>
          </w:tcPr>
          <w:p>
            <w:pPr>
              <w:spacing w:after="0"/>
              <w:rPr>
                <w:sz w:val="17"/>
                <w:szCs w:val="17"/>
                <w:color w:val="auto"/>
              </w:rPr>
            </w:pPr>
          </w:p>
        </w:tc>
        <w:tc>
          <w:tcPr>
            <w:tcW w:w="8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28"/>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1997 Employee Stock Purchase Plan</w:t>
              </w:r>
            </w:hyperlink>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2"/>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10/06/06</w:t>
            </w: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1998 Stock Option Plan</w:t>
              </w:r>
            </w:hyperlink>
          </w:p>
        </w:tc>
        <w:tc>
          <w:tcPr>
            <w:tcW w:w="920" w:type="dxa"/>
            <w:vAlign w:val="bottom"/>
            <w:tcBorders>
              <w:top w:val="single" w:sz="8" w:color="0000EE"/>
            </w:tcBorders>
            <w:gridSpan w:val="5"/>
          </w:tcPr>
          <w:p>
            <w:pPr>
              <w:spacing w:after="0"/>
              <w:rPr>
                <w:sz w:val="17"/>
                <w:szCs w:val="17"/>
                <w:color w:val="auto"/>
              </w:rPr>
            </w:pPr>
          </w:p>
        </w:tc>
        <w:tc>
          <w:tcPr>
            <w:tcW w:w="2940" w:type="dxa"/>
            <w:vAlign w:val="bottom"/>
            <w:gridSpan w:val="20"/>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2"/>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10/06/06</w:t>
            </w: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2007 Equity Incentive Plan</w:t>
              </w:r>
            </w:hyperlink>
          </w:p>
        </w:tc>
        <w:tc>
          <w:tcPr>
            <w:tcW w:w="3620" w:type="dxa"/>
            <w:vAlign w:val="bottom"/>
            <w:gridSpan w:val="24"/>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2"/>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01/22/08</w:t>
            </w: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ClearOne, Inc. Equity Incentive Plan</w:t>
              </w:r>
            </w:hyperlink>
          </w:p>
        </w:tc>
        <w:tc>
          <w:tcPr>
            <w:tcW w:w="2920" w:type="dxa"/>
            <w:vAlign w:val="bottom"/>
            <w:gridSpan w:val="19"/>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2"/>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01/26/16</w:t>
            </w: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28"/>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Amendment No. 1 to the ClearOne, Inc. Equity Incentive Plan</w:t>
              </w:r>
            </w:hyperlink>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2"/>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5"/>
              </w:rPr>
              <w:t>4.11</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06/30/15</w:t>
            </w: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ClearOne, Inc. Employee Stock Purchase Plan</w:t>
              </w:r>
            </w:hyperlink>
          </w:p>
        </w:tc>
        <w:tc>
          <w:tcPr>
            <w:tcW w:w="1140" w:type="dxa"/>
            <w:vAlign w:val="bottom"/>
            <w:tcBorders>
              <w:top w:val="single" w:sz="8" w:color="0000EE"/>
            </w:tcBorders>
            <w:gridSpan w:val="8"/>
          </w:tcPr>
          <w:p>
            <w:pPr>
              <w:spacing w:after="0"/>
              <w:rPr>
                <w:sz w:val="17"/>
                <w:szCs w:val="17"/>
                <w:color w:val="auto"/>
              </w:rPr>
            </w:pPr>
          </w:p>
        </w:tc>
        <w:tc>
          <w:tcPr>
            <w:tcW w:w="1100" w:type="dxa"/>
            <w:vAlign w:val="bottom"/>
            <w:gridSpan w:val="8"/>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2"/>
              </w:rPr>
              <w:t>S-8</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06/30/15</w:t>
            </w: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r:id="rId65">
              <w:r>
                <w:rPr>
                  <w:rFonts w:ascii="Arial" w:cs="Arial" w:eastAsia="Arial" w:hAnsi="Arial"/>
                  <w:sz w:val="18"/>
                  <w:szCs w:val="18"/>
                  <w:color w:val="0000EE"/>
                  <w:w w:val="96"/>
                </w:rPr>
                <w:t>Office Lease between Edgewater Corporate Park, LLC and ClearOne</w:t>
              </w:r>
            </w:hyperlink>
          </w:p>
        </w:tc>
        <w:tc>
          <w:tcPr>
            <w:tcW w:w="240" w:type="dxa"/>
            <w:vAlign w:val="bottom"/>
            <w:gridSpan w:val="4"/>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10-K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88"/>
              </w:rPr>
              <w:t>10.19</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09/14/06</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28"/>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Communications, Inc. dated June 5, 2006</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Borders>
              <w:bottom w:val="single" w:sz="8" w:color="0000EE"/>
            </w:tcBorders>
            <w:gridSpan w:val="25"/>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Stock Purchase Agreement Between ClearOne, Inc. and Doran M. Oster</w:t>
              </w:r>
            </w:hyperlink>
          </w:p>
        </w:tc>
        <w:tc>
          <w:tcPr>
            <w:tcW w:w="220" w:type="dxa"/>
            <w:vAlign w:val="bottom"/>
            <w:gridSpan w:val="3"/>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10-K</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03/20/14</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28"/>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Dated March 4, 2014 for the Sabine Acquisition.</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tcBorders>
              <w:bottom w:val="single" w:sz="8" w:color="0000EE"/>
            </w:tcBorders>
            <w:gridSpan w:val="26"/>
          </w:tcPr>
          <w:p>
            <w:pPr>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Manufacturing Services Agreement between Flextronics Industrial, Ltd.</w:t>
              </w:r>
            </w:hyperlink>
          </w:p>
        </w:tc>
        <w:tc>
          <w:tcPr>
            <w:tcW w:w="200" w:type="dxa"/>
            <w:vAlign w:val="bottom"/>
            <w:gridSpan w:val="2"/>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10-K</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10/13/09</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and ClearOne Communications, Inc. dated November 3, 2008</w:t>
              </w:r>
            </w:hyperlink>
          </w:p>
        </w:tc>
        <w:tc>
          <w:tcPr>
            <w:tcW w:w="112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Borders>
              <w:bottom w:val="single" w:sz="8" w:color="0000EE"/>
            </w:tcBorders>
            <w:gridSpan w:val="25"/>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Framework Agreement between ClearOne, Inc. and Dialcom Networks</w:t>
              </w:r>
            </w:hyperlink>
          </w:p>
        </w:tc>
        <w:tc>
          <w:tcPr>
            <w:tcW w:w="220" w:type="dxa"/>
            <w:vAlign w:val="bottom"/>
            <w:gridSpan w:val="3"/>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04/07/14</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S.L., dated December 20, 2013</w:t>
              </w:r>
            </w:hyperlink>
          </w:p>
        </w:tc>
        <w:tc>
          <w:tcPr>
            <w:tcW w:w="334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Amendment  to  Framework  Agreement  between  ClearOne,  Inc.  and</w:t>
              </w:r>
            </w:hyperlink>
          </w:p>
        </w:tc>
        <w:tc>
          <w:tcPr>
            <w:tcW w:w="240" w:type="dxa"/>
            <w:vAlign w:val="bottom"/>
            <w:gridSpan w:val="4"/>
          </w:tcPr>
          <w:p>
            <w:pPr>
              <w:spacing w:after="0"/>
              <w:rPr>
                <w:sz w:val="17"/>
                <w:szCs w:val="17"/>
                <w:color w:val="auto"/>
              </w:rPr>
            </w:pPr>
          </w:p>
        </w:tc>
        <w:tc>
          <w:tcPr>
            <w:tcW w:w="100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9"/>
              </w:rPr>
              <w:t>8-K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04/07/14</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Dialcom Networks S.L., dated March 31, 2014</w:t>
              </w:r>
            </w:hyperlink>
          </w:p>
        </w:tc>
        <w:tc>
          <w:tcPr>
            <w:tcW w:w="220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bottom w:val="single" w:sz="8" w:color="0000EE"/>
            </w:tcBorders>
            <w:gridSpan w:val="24"/>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Purchase Agreement between ClearOne, Inc. and Dialcom Networks S.L.,</w:t>
              </w:r>
            </w:hyperlink>
          </w:p>
        </w:tc>
        <w:tc>
          <w:tcPr>
            <w:tcW w:w="240" w:type="dxa"/>
            <w:vAlign w:val="bottom"/>
            <w:gridSpan w:val="4"/>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05/14/14</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dated March 31, 2014</w:t>
              </w:r>
            </w:hyperlink>
          </w:p>
        </w:tc>
        <w:tc>
          <w:tcPr>
            <w:tcW w:w="4000" w:type="dxa"/>
            <w:vAlign w:val="bottom"/>
            <w:gridSpan w:val="26"/>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28"/>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Form of Offer to Repurchase Eligible Options for Cash</w:t>
              </w:r>
            </w:hyperlink>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4"/>
              </w:rPr>
              <w:t>10-Q</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05/10/16</w:t>
            </w: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6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Arial" w:cs="Arial" w:eastAsia="Arial" w:hAnsi="Arial"/>
                <w:sz w:val="18"/>
                <w:szCs w:val="18"/>
                <w:color w:val="auto"/>
              </w:rPr>
              <w:t>14.1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Code of Ethics, approved by the Board of Directors on August 23, 2006</w:t>
              </w:r>
            </w:hyperlink>
          </w:p>
        </w:tc>
        <w:tc>
          <w:tcPr>
            <w:tcW w:w="400" w:type="dxa"/>
            <w:vAlign w:val="bottom"/>
            <w:gridSpan w:val="6"/>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10-K</w:t>
            </w:r>
          </w:p>
        </w:tc>
        <w:tc>
          <w:tcPr>
            <w:tcW w:w="2160" w:type="dxa"/>
            <w:vAlign w:val="bottom"/>
          </w:tcPr>
          <w:p>
            <w:pPr>
              <w:jc w:val="center"/>
              <w:spacing w:after="0" w:line="196" w:lineRule="exact"/>
              <w:rPr>
                <w:sz w:val="20"/>
                <w:szCs w:val="20"/>
                <w:color w:val="auto"/>
              </w:rPr>
            </w:pPr>
            <w:r>
              <w:rPr>
                <w:rFonts w:ascii="Arial" w:cs="Arial" w:eastAsia="Arial" w:hAnsi="Arial"/>
                <w:sz w:val="18"/>
                <w:szCs w:val="18"/>
                <w:color w:val="auto"/>
                <w:w w:val="91"/>
              </w:rPr>
              <w:t>14.1</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09/14/06</w:t>
            </w: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Subsidiaries of the registrant</w:t>
              </w:r>
            </w:hyperlink>
          </w:p>
        </w:tc>
        <w:tc>
          <w:tcPr>
            <w:tcW w:w="3520" w:type="dxa"/>
            <w:vAlign w:val="bottom"/>
            <w:gridSpan w:val="23"/>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5580" w:type="dxa"/>
            <w:vAlign w:val="bottom"/>
            <w:gridSpan w:val="28"/>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Consent of Tanner LLC, Independent Registered Public Accounting Firm</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5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Section 302 Certification of Chief Executive Officer</w:t>
              </w:r>
            </w:hyperlink>
          </w:p>
        </w:tc>
        <w:tc>
          <w:tcPr>
            <w:tcW w:w="30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Section 302 Certification of Chief Financial Officer</w:t>
              </w:r>
            </w:hyperlink>
          </w:p>
        </w:tc>
        <w:tc>
          <w:tcPr>
            <w:tcW w:w="20" w:type="dxa"/>
            <w:vAlign w:val="bottom"/>
            <w:tcBorders>
              <w:top w:val="single" w:sz="8" w:color="0000EE"/>
            </w:tcBorders>
          </w:tcPr>
          <w:p>
            <w:pPr>
              <w:spacing w:after="0"/>
              <w:rPr>
                <w:sz w:val="17"/>
                <w:szCs w:val="17"/>
                <w:color w:val="auto"/>
              </w:rPr>
            </w:pPr>
          </w:p>
        </w:tc>
        <w:tc>
          <w:tcPr>
            <w:tcW w:w="182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5580" w:type="dxa"/>
            <w:vAlign w:val="bottom"/>
            <w:gridSpan w:val="2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Section 906 Certification of Chief Executive Officer</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Section 906 Certification of Chief Financial Officer</w:t>
              </w:r>
            </w:hyperlink>
          </w:p>
        </w:tc>
        <w:tc>
          <w:tcPr>
            <w:tcW w:w="40" w:type="dxa"/>
            <w:vAlign w:val="bottom"/>
            <w:tcBorders>
              <w:top w:val="single" w:sz="8" w:color="0000EE"/>
            </w:tcBorders>
            <w:gridSpan w:val="2"/>
          </w:tcPr>
          <w:p>
            <w:pPr>
              <w:spacing w:after="0"/>
              <w:rPr>
                <w:sz w:val="17"/>
                <w:szCs w:val="17"/>
                <w:color w:val="auto"/>
              </w:rPr>
            </w:pPr>
          </w:p>
        </w:tc>
        <w:tc>
          <w:tcPr>
            <w:tcW w:w="182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5580" w:type="dxa"/>
            <w:vAlign w:val="bottom"/>
            <w:gridSpan w:val="28"/>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8"/>
                <w:szCs w:val="18"/>
                <w:color w:val="auto"/>
              </w:rPr>
            </w:pPr>
          </w:p>
        </w:tc>
        <w:tc>
          <w:tcPr>
            <w:tcW w:w="5580" w:type="dxa"/>
            <w:vAlign w:val="bottom"/>
            <w:gridSpan w:val="28"/>
          </w:tcPr>
          <w:p>
            <w:pPr>
              <w:spacing w:after="0"/>
              <w:rPr>
                <w:sz w:val="20"/>
                <w:szCs w:val="20"/>
                <w:color w:val="auto"/>
              </w:rPr>
            </w:pPr>
            <w:r>
              <w:rPr>
                <w:rFonts w:ascii="Arial" w:cs="Arial" w:eastAsia="Arial" w:hAnsi="Arial"/>
                <w:sz w:val="18"/>
                <w:szCs w:val="18"/>
                <w:color w:val="auto"/>
              </w:rPr>
              <w:t>XBRL Taxonomy Extension Schema</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8"/>
                <w:szCs w:val="18"/>
                <w:color w:val="auto"/>
              </w:rPr>
            </w:pPr>
          </w:p>
        </w:tc>
        <w:tc>
          <w:tcPr>
            <w:tcW w:w="558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8"/>
                <w:szCs w:val="18"/>
                <w:color w:val="auto"/>
              </w:rPr>
            </w:pPr>
          </w:p>
        </w:tc>
        <w:tc>
          <w:tcPr>
            <w:tcW w:w="5580" w:type="dxa"/>
            <w:vAlign w:val="bottom"/>
            <w:gridSpan w:val="28"/>
          </w:tcPr>
          <w:p>
            <w:pPr>
              <w:spacing w:after="0"/>
              <w:rPr>
                <w:sz w:val="20"/>
                <w:szCs w:val="20"/>
                <w:color w:val="auto"/>
              </w:rPr>
            </w:pPr>
            <w:r>
              <w:rPr>
                <w:rFonts w:ascii="Arial" w:cs="Arial" w:eastAsia="Arial" w:hAnsi="Arial"/>
                <w:sz w:val="18"/>
                <w:szCs w:val="18"/>
                <w:color w:val="auto"/>
              </w:rPr>
              <w:t>XBRL Taxonomy Extension Definitions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8"/>
                <w:szCs w:val="18"/>
                <w:color w:val="auto"/>
              </w:rPr>
            </w:pPr>
          </w:p>
        </w:tc>
        <w:tc>
          <w:tcPr>
            <w:tcW w:w="5580" w:type="dxa"/>
            <w:vAlign w:val="bottom"/>
            <w:gridSpan w:val="28"/>
          </w:tcPr>
          <w:p>
            <w:pPr>
              <w:spacing w:after="0"/>
              <w:rPr>
                <w:sz w:val="20"/>
                <w:szCs w:val="20"/>
                <w:color w:val="auto"/>
              </w:rPr>
            </w:pPr>
            <w:r>
              <w:rPr>
                <w:rFonts w:ascii="Arial" w:cs="Arial" w:eastAsia="Arial" w:hAnsi="Arial"/>
                <w:sz w:val="18"/>
                <w:szCs w:val="18"/>
                <w:color w:val="auto"/>
              </w:rPr>
              <w:t>XBRL Taxonomy Extension Label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0"/>
                <w:szCs w:val="20"/>
                <w:color w:val="auto"/>
              </w:rPr>
            </w:pPr>
          </w:p>
        </w:tc>
        <w:tc>
          <w:tcPr>
            <w:tcW w:w="558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2"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Information furnished herewith shall not be deemed to be “filed” for the purposes of Section 18 of the 1934 Act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Chief Executive Officer and Chairman of the Board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Eric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L. Robinson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Bruce Whaley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Bruce Whaley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14605</wp:posOffset>
            </wp:positionV>
            <wp:extent cx="3480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(principal accounting and principal financial officer)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 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14605</wp:posOffset>
            </wp:positionV>
            <wp:extent cx="3480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Larry R. Hendricks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92075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120" w:type="dxa"/>
            <w:vAlign w:val="bottom"/>
            <w:gridSpan w:val="5"/>
          </w:tcPr>
          <w:p>
            <w:pPr>
              <w:jc w:val="center"/>
              <w:ind w:right="3320"/>
              <w:spacing w:after="0"/>
              <w:rPr>
                <w:sz w:val="20"/>
                <w:szCs w:val="20"/>
                <w:color w:val="auto"/>
              </w:rPr>
            </w:pPr>
            <w:r>
              <w:rPr>
                <w:rFonts w:ascii="Arial" w:cs="Arial" w:eastAsia="Arial" w:hAnsi="Arial"/>
                <w:sz w:val="18"/>
                <w:szCs w:val="18"/>
                <w:b w:val="1"/>
                <w:bCs w:val="1"/>
                <w:color w:val="auto"/>
              </w:rPr>
              <w:t>CLEARONE,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60" w:type="dxa"/>
            <w:vAlign w:val="bottom"/>
          </w:tcPr>
          <w:p>
            <w:pPr>
              <w:spacing w:after="0"/>
              <w:rPr>
                <w:sz w:val="24"/>
                <w:szCs w:val="24"/>
                <w:color w:val="auto"/>
              </w:rPr>
            </w:pPr>
          </w:p>
        </w:tc>
        <w:tc>
          <w:tcPr>
            <w:tcW w:w="718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340" w:type="dxa"/>
            <w:vAlign w:val="bottom"/>
            <w:gridSpan w:val="7"/>
            <w:vMerge w:val="restart"/>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9"/>
        </w:trPr>
        <w:tc>
          <w:tcPr>
            <w:tcW w:w="10340" w:type="dxa"/>
            <w:vAlign w:val="bottom"/>
            <w:gridSpan w:val="7"/>
            <w:vMerge w:val="continue"/>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34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2019 and December 31, 2018</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Operations and Comprehensive Loss for the years ended December 31, 2019 and 2018</w:t>
              </w:r>
            </w:hyperlink>
          </w:p>
        </w:tc>
        <w:tc>
          <w:tcPr>
            <w:tcW w:w="20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439"/>
        </w:trPr>
        <w:tc>
          <w:tcPr>
            <w:tcW w:w="1034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Shareholders’ Equity for the years ended December 31, 2019 and 2018</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439"/>
        </w:trPr>
        <w:tc>
          <w:tcPr>
            <w:tcW w:w="7140" w:type="dxa"/>
            <w:vAlign w:val="bottom"/>
            <w:tcBorders>
              <w:top w:val="single" w:sz="8" w:color="0000EE"/>
            </w:tcBorders>
            <w:gridSpan w:val="5"/>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Consolidated Statements of Cash Flows for the years ended December 31, 2019 and 2018</w:t>
              </w:r>
            </w:hyperlink>
          </w:p>
        </w:tc>
        <w:tc>
          <w:tcPr>
            <w:tcW w:w="320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439"/>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gridSpan w:val="3"/>
          </w:tcPr>
          <w:p>
            <w:pPr>
              <w:spacing w:after="0"/>
              <w:rPr>
                <w:sz w:val="24"/>
                <w:szCs w:val="24"/>
                <w:color w:val="auto"/>
              </w:rPr>
            </w:pPr>
          </w:p>
        </w:tc>
        <w:tc>
          <w:tcPr>
            <w:tcW w:w="38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493"/>
        </w:trPr>
        <w:tc>
          <w:tcPr>
            <w:tcW w:w="6460" w:type="dxa"/>
            <w:vAlign w:val="bottom"/>
            <w:gridSpan w:val="4"/>
          </w:tcPr>
          <w:p>
            <w:pPr>
              <w:jc w:val="center"/>
              <w:ind w:left="4710"/>
              <w:spacing w:after="0"/>
              <w:rPr>
                <w:sz w:val="20"/>
                <w:szCs w:val="20"/>
                <w:color w:val="auto"/>
              </w:rPr>
            </w:pPr>
            <w:r>
              <w:rPr>
                <w:rFonts w:ascii="Arial" w:cs="Arial" w:eastAsia="Arial" w:hAnsi="Arial"/>
                <w:sz w:val="18"/>
                <w:szCs w:val="18"/>
                <w:color w:val="auto"/>
                <w:w w:val="89"/>
              </w:rPr>
              <w:t>44</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audited the accompanying consolidated balance sheets of ClearOne, Inc. and subsidiaries (collectively, ClearOne) as of December 31, 2019 and 2018, and the related consolidated statements of operations and comprehensive loss, shareholders’ equity, and cash flows for each of the years in the two-year period ended December 31, 2019, and the related notes to the consolidated financial statements (collectively referred to as the “consolidated financial statements”). In our opinion, the consolidated financial statements referred to above present fairly, in all material aspects, the financial position of ClearOne as of December 31, 2019 and 2018, and the results of its operations and its cash flows for each of the years in the two-year period ended December 31, 2019,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were not engaged to examine management's assertion about the effectiveness of ClearOne’s internal control over financial reporting as of December 31, 2019 included in the accompanying management’s annual report on internal control over financial reporting and, accordingly, we do not express an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October 14, 2015.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TANNER LLC</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30, 2020</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 of allowance for doubtful accounts of $424 and $631, respectively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6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marketable securities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Long-term inventories,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Operating lease – right of use assets,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product revenue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Senior convertible notes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60" w:type="dxa"/>
            <w:vAlign w:val="bottom"/>
          </w:tcPr>
          <w:p>
            <w:pPr>
              <w:ind w:left="20"/>
              <w:spacing w:after="0" w:line="201" w:lineRule="exact"/>
              <w:rPr>
                <w:sz w:val="20"/>
                <w:szCs w:val="20"/>
                <w:color w:val="auto"/>
              </w:rPr>
            </w:pPr>
            <w:r>
              <w:rPr>
                <w:rFonts w:ascii="Arial" w:cs="Arial" w:eastAsia="Arial" w:hAnsi="Arial"/>
                <w:sz w:val="18"/>
                <w:szCs w:val="18"/>
                <w:color w:val="auto"/>
                <w:w w:val="88"/>
              </w:rPr>
              <w:t>Common stock, par value $0.001, 50,000,000 shares authorized, 16,650,725 and 16,630,597 shares issued and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44,478</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28,156</w:t>
            </w:r>
          </w:p>
        </w:tc>
        <w:tc>
          <w:tcPr>
            <w:tcW w:w="100" w:type="dxa"/>
            <w:vAlign w:val="bottom"/>
            <w:shd w:val="clear" w:color="auto" w:fill="CCEEFF"/>
          </w:tcPr>
          <w:p>
            <w:pPr>
              <w:spacing w:after="0"/>
              <w:rPr>
                <w:sz w:val="18"/>
                <w:szCs w:val="18"/>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100" w:type="dxa"/>
            <w:vAlign w:val="bottom"/>
            <w:shd w:val="clear" w:color="auto" w:fill="CCEEFF"/>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tcPr>
          <w:p>
            <w:pPr>
              <w:spacing w:after="0"/>
              <w:rPr>
                <w:sz w:val="18"/>
                <w:szCs w:val="18"/>
                <w:color w:val="auto"/>
              </w:rPr>
            </w:pPr>
          </w:p>
        </w:tc>
      </w:tr>
      <w:tr>
        <w:trPr>
          <w:trHeight w:val="21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w:t>
            </w:r>
          </w:p>
        </w:tc>
        <w:tc>
          <w:tcPr>
            <w:tcW w:w="100" w:type="dxa"/>
            <w:vAlign w:val="bottom"/>
            <w:shd w:val="clear" w:color="auto" w:fill="CCEEFF"/>
          </w:tcPr>
          <w:p>
            <w:pPr>
              <w:spacing w:after="0"/>
              <w:rPr>
                <w:sz w:val="18"/>
                <w:szCs w:val="18"/>
                <w:color w:val="auto"/>
              </w:rPr>
            </w:pPr>
          </w:p>
        </w:tc>
      </w:tr>
      <w:tr>
        <w:trPr>
          <w:trHeight w:val="209"/>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100" w:type="dxa"/>
            <w:vAlign w:val="bottom"/>
            <w:shd w:val="clear" w:color="auto" w:fill="CCEEFF"/>
          </w:tcPr>
          <w:p>
            <w:pPr>
              <w:spacing w:after="0"/>
              <w:rPr>
                <w:sz w:val="18"/>
                <w:szCs w:val="18"/>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tcPr>
          <w:p>
            <w:pPr>
              <w:spacing w:after="0"/>
              <w:rPr>
                <w:sz w:val="19"/>
                <w:szCs w:val="19"/>
                <w:color w:val="auto"/>
              </w:rPr>
            </w:pPr>
          </w:p>
        </w:tc>
      </w:tr>
      <w:tr>
        <w:trPr>
          <w:trHeight w:val="21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per common share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Diluted loss per common share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8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16,638,580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8,942,629</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16,638,580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8,942,629</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(8,408)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(16,687)</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 securities, net of tax</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(16,803)</w:t>
            </w:r>
          </w:p>
        </w:tc>
        <w:tc>
          <w:tcPr>
            <w:tcW w:w="10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Year ended</w:t>
            </w:r>
          </w:p>
        </w:tc>
        <w:tc>
          <w:tcPr>
            <w:tcW w:w="320" w:type="dxa"/>
            <w:vAlign w:val="bottom"/>
          </w:tcPr>
          <w:p>
            <w:pPr>
              <w:spacing w:after="0"/>
              <w:rPr>
                <w:sz w:val="17"/>
                <w:szCs w:val="17"/>
                <w:color w:val="auto"/>
              </w:rPr>
            </w:pPr>
          </w:p>
        </w:tc>
        <w:tc>
          <w:tcPr>
            <w:tcW w:w="204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Year ended</w:t>
            </w:r>
          </w:p>
        </w:tc>
      </w:tr>
      <w:tr>
        <w:trPr>
          <w:trHeight w:val="213"/>
        </w:trPr>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20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December 31, 2018</w:t>
            </w:r>
          </w:p>
        </w:tc>
      </w:tr>
      <w:tr>
        <w:trPr>
          <w:trHeight w:val="233"/>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Common stock and paid-in capital</w:t>
            </w: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9"/>
        </w:trPr>
        <w:tc>
          <w:tcPr>
            <w:tcW w:w="6340" w:type="dxa"/>
            <w:vAlign w:val="bottom"/>
          </w:tcPr>
          <w:p>
            <w:pPr>
              <w:ind w:left="100"/>
              <w:spacing w:after="0"/>
              <w:rPr>
                <w:sz w:val="20"/>
                <w:szCs w:val="20"/>
                <w:color w:val="auto"/>
              </w:rPr>
            </w:pPr>
            <w:r>
              <w:rPr>
                <w:rFonts w:ascii="Arial" w:cs="Arial" w:eastAsia="Arial" w:hAnsi="Arial"/>
                <w:sz w:val="18"/>
                <w:szCs w:val="18"/>
                <w:color w:val="auto"/>
              </w:rPr>
              <w:t>Balance, beginning of period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57,857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47,472</w:t>
            </w:r>
          </w:p>
        </w:tc>
      </w:tr>
      <w:tr>
        <w:trPr>
          <w:trHeight w:val="230"/>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3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9,883</w:t>
            </w:r>
          </w:p>
        </w:tc>
      </w:tr>
      <w:tr>
        <w:trPr>
          <w:trHeight w:val="229"/>
        </w:trPr>
        <w:tc>
          <w:tcPr>
            <w:tcW w:w="6340" w:type="dxa"/>
            <w:vAlign w:val="bottom"/>
          </w:tcPr>
          <w:p>
            <w:pPr>
              <w:ind w:left="100"/>
              <w:spacing w:after="0"/>
              <w:rPr>
                <w:sz w:val="20"/>
                <w:szCs w:val="20"/>
                <w:color w:val="auto"/>
              </w:rPr>
            </w:pPr>
            <w:r>
              <w:rPr>
                <w:rFonts w:ascii="Arial" w:cs="Arial" w:eastAsia="Arial" w:hAnsi="Arial"/>
                <w:sz w:val="18"/>
                <w:szCs w:val="18"/>
                <w:color w:val="auto"/>
              </w:rPr>
              <w:t>Issuance of warrants and senior convertible notes</w:t>
            </w:r>
          </w:p>
        </w:tc>
        <w:tc>
          <w:tcPr>
            <w:tcW w:w="320" w:type="dxa"/>
            <w:vAlign w:val="bottom"/>
          </w:tcPr>
          <w:p>
            <w:pPr>
              <w:spacing w:after="0"/>
              <w:rPr>
                <w:sz w:val="19"/>
                <w:szCs w:val="19"/>
                <w:color w:val="auto"/>
              </w:rPr>
            </w:pP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440</w:t>
            </w:r>
          </w:p>
        </w:tc>
        <w:tc>
          <w:tcPr>
            <w:tcW w:w="32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r>
      <w:tr>
        <w:trPr>
          <w:trHeight w:val="230"/>
        </w:trPr>
        <w:tc>
          <w:tcPr>
            <w:tcW w:w="6340" w:type="dxa"/>
            <w:vAlign w:val="bottom"/>
          </w:tcPr>
          <w:p>
            <w:pPr>
              <w:ind w:left="10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Pr>
          <w:p>
            <w:pPr>
              <w:spacing w:after="0"/>
              <w:rPr>
                <w:sz w:val="19"/>
                <w:szCs w:val="19"/>
                <w:color w:val="auto"/>
              </w:rPr>
            </w:pP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r>
        <w:trPr>
          <w:trHeight w:val="209"/>
        </w:trPr>
        <w:tc>
          <w:tcPr>
            <w:tcW w:w="6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58,537</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57,857</w:t>
            </w:r>
          </w:p>
        </w:tc>
        <w:tc>
          <w:tcPr>
            <w:tcW w:w="200" w:type="dxa"/>
            <w:vAlign w:val="bottom"/>
            <w:tcBorders>
              <w:top w:val="single" w:sz="8" w:color="CCEEFF"/>
            </w:tcBorders>
            <w:shd w:val="clear" w:color="auto" w:fill="CCEEFF"/>
          </w:tcPr>
          <w:p>
            <w:pPr>
              <w:spacing w:after="0"/>
              <w:rPr>
                <w:sz w:val="18"/>
                <w:szCs w:val="18"/>
                <w:color w:val="auto"/>
              </w:rPr>
            </w:pPr>
          </w:p>
        </w:tc>
      </w:tr>
      <w:tr>
        <w:trPr>
          <w:trHeight w:val="209"/>
        </w:trPr>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Accumulated other comprehensive loss</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6340" w:type="dxa"/>
            <w:vAlign w:val="bottom"/>
          </w:tcPr>
          <w:p>
            <w:pPr>
              <w:ind w:left="100"/>
              <w:spacing w:after="0"/>
              <w:rPr>
                <w:sz w:val="20"/>
                <w:szCs w:val="20"/>
                <w:color w:val="auto"/>
              </w:rPr>
            </w:pPr>
            <w:r>
              <w:rPr>
                <w:rFonts w:ascii="Arial" w:cs="Arial" w:eastAsia="Arial" w:hAnsi="Arial"/>
                <w:sz w:val="18"/>
                <w:szCs w:val="18"/>
                <w:color w:val="auto"/>
              </w:rPr>
              <w:t>Balance, beginning of period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340"/>
              <w:spacing w:after="0"/>
              <w:rPr>
                <w:sz w:val="20"/>
                <w:szCs w:val="20"/>
                <w:color w:val="auto"/>
              </w:rPr>
            </w:pPr>
            <w:r>
              <w:rPr>
                <w:rFonts w:ascii="Arial" w:cs="Arial" w:eastAsia="Arial" w:hAnsi="Arial"/>
                <w:sz w:val="18"/>
                <w:szCs w:val="18"/>
                <w:color w:val="auto"/>
              </w:rPr>
              <w:t>(181)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r>
      <w:tr>
        <w:trPr>
          <w:trHeight w:val="216"/>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(loss) on available-for-sale securities, net of tax</w:t>
            </w:r>
          </w:p>
        </w:tc>
        <w:tc>
          <w:tcPr>
            <w:tcW w:w="3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r>
      <w:tr>
        <w:trPr>
          <w:trHeight w:val="230"/>
        </w:trPr>
        <w:tc>
          <w:tcPr>
            <w:tcW w:w="634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19"/>
                <w:szCs w:val="19"/>
                <w:color w:val="auto"/>
              </w:rPr>
            </w:pPr>
          </w:p>
        </w:tc>
        <w:tc>
          <w:tcPr>
            <w:tcW w:w="222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r>
      <w:tr>
        <w:trPr>
          <w:trHeight w:val="209"/>
        </w:trPr>
        <w:tc>
          <w:tcPr>
            <w:tcW w:w="6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Retained earnings (accumulated deficit)</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6340" w:type="dxa"/>
            <w:vAlign w:val="bottom"/>
          </w:tcPr>
          <w:p>
            <w:pPr>
              <w:ind w:left="100"/>
              <w:spacing w:after="0"/>
              <w:rPr>
                <w:sz w:val="20"/>
                <w:szCs w:val="20"/>
                <w:color w:val="auto"/>
              </w:rPr>
            </w:pPr>
            <w:r>
              <w:rPr>
                <w:rFonts w:ascii="Arial" w:cs="Arial" w:eastAsia="Arial" w:hAnsi="Arial"/>
                <w:sz w:val="18"/>
                <w:szCs w:val="18"/>
                <w:color w:val="auto"/>
              </w:rPr>
              <w:t>Balance, beginning of period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340"/>
              <w:spacing w:after="0"/>
              <w:rPr>
                <w:sz w:val="20"/>
                <w:szCs w:val="20"/>
                <w:color w:val="auto"/>
              </w:rPr>
            </w:pPr>
            <w:r>
              <w:rPr>
                <w:rFonts w:ascii="Arial" w:cs="Arial" w:eastAsia="Arial" w:hAnsi="Arial"/>
                <w:sz w:val="18"/>
                <w:szCs w:val="18"/>
                <w:color w:val="auto"/>
              </w:rPr>
              <w:t>(5,475)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9,160</w:t>
            </w:r>
          </w:p>
        </w:tc>
      </w:tr>
      <w:tr>
        <w:trPr>
          <w:trHeight w:val="230"/>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repurchased</w:t>
            </w:r>
          </w:p>
        </w:tc>
        <w:tc>
          <w:tcPr>
            <w:tcW w:w="3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r>
      <w:tr>
        <w:trPr>
          <w:trHeight w:val="229"/>
        </w:trPr>
        <w:tc>
          <w:tcPr>
            <w:tcW w:w="6340" w:type="dxa"/>
            <w:vAlign w:val="bottom"/>
          </w:tcPr>
          <w:p>
            <w:pPr>
              <w:ind w:left="100"/>
              <w:spacing w:after="0"/>
              <w:rPr>
                <w:sz w:val="20"/>
                <w:szCs w:val="20"/>
                <w:color w:val="auto"/>
              </w:rPr>
            </w:pPr>
            <w:r>
              <w:rPr>
                <w:rFonts w:ascii="Arial" w:cs="Arial" w:eastAsia="Arial" w:hAnsi="Arial"/>
                <w:sz w:val="18"/>
                <w:szCs w:val="18"/>
                <w:color w:val="auto"/>
              </w:rPr>
              <w:t>Cash dividends, $0.07 per share</w:t>
            </w:r>
          </w:p>
        </w:tc>
        <w:tc>
          <w:tcPr>
            <w:tcW w:w="320" w:type="dxa"/>
            <w:vAlign w:val="bottom"/>
          </w:tcPr>
          <w:p>
            <w:pPr>
              <w:spacing w:after="0"/>
              <w:rPr>
                <w:sz w:val="19"/>
                <w:szCs w:val="19"/>
                <w:color w:val="auto"/>
              </w:rPr>
            </w:pP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r>
      <w:tr>
        <w:trPr>
          <w:trHeight w:val="216"/>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Impact on retained earnings for change in revenue recognition policy</w:t>
            </w:r>
          </w:p>
        </w:tc>
        <w:tc>
          <w:tcPr>
            <w:tcW w:w="3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2,782</w:t>
            </w:r>
          </w:p>
        </w:tc>
      </w:tr>
      <w:tr>
        <w:trPr>
          <w:trHeight w:val="230"/>
        </w:trPr>
        <w:tc>
          <w:tcPr>
            <w:tcW w:w="63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2220" w:type="dxa"/>
            <w:vAlign w:val="bottom"/>
            <w:gridSpan w:val="2"/>
          </w:tcPr>
          <w:p>
            <w:pPr>
              <w:jc w:val="right"/>
              <w:ind w:right="340"/>
              <w:spacing w:after="0"/>
              <w:rPr>
                <w:sz w:val="20"/>
                <w:szCs w:val="20"/>
                <w:color w:val="auto"/>
              </w:rPr>
            </w:pPr>
            <w:r>
              <w:rPr>
                <w:rFonts w:ascii="Arial" w:cs="Arial" w:eastAsia="Arial" w:hAnsi="Arial"/>
                <w:sz w:val="18"/>
                <w:szCs w:val="18"/>
                <w:color w:val="auto"/>
              </w:rPr>
              <w:t>(8,408)</w:t>
            </w:r>
          </w:p>
        </w:tc>
        <w:tc>
          <w:tcPr>
            <w:tcW w:w="320" w:type="dxa"/>
            <w:vAlign w:val="bottom"/>
          </w:tcPr>
          <w:p>
            <w:pPr>
              <w:spacing w:after="0"/>
              <w:rPr>
                <w:sz w:val="19"/>
                <w:szCs w:val="19"/>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(16,687)</w:t>
            </w:r>
          </w:p>
        </w:tc>
      </w:tr>
      <w:tr>
        <w:trPr>
          <w:trHeight w:val="209"/>
        </w:trPr>
        <w:tc>
          <w:tcPr>
            <w:tcW w:w="6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6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44,478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52,201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8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(8,408)</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(16,687)</w:t>
            </w: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1,914</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1,590</w:t>
            </w: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 of use of assets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Amortization of deferred rent</w:t>
            </w:r>
          </w:p>
        </w:tc>
        <w:tc>
          <w:tcPr>
            <w:tcW w:w="9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doubtful accounts, net</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Write-down of inventory to net realizable value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3,565</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(4,148)</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(858)</w:t>
            </w:r>
          </w:p>
        </w:tc>
        <w:tc>
          <w:tcPr>
            <w:tcW w:w="9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product revenue</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(557)</w:t>
            </w:r>
          </w:p>
        </w:tc>
        <w:tc>
          <w:tcPr>
            <w:tcW w:w="9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(4,656)</w:t>
            </w:r>
          </w:p>
        </w:tc>
        <w:tc>
          <w:tcPr>
            <w:tcW w:w="3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(6,621)</w:t>
            </w:r>
          </w:p>
        </w:tc>
        <w:tc>
          <w:tcPr>
            <w:tcW w:w="80" w:type="dxa"/>
            <w:vAlign w:val="bottom"/>
            <w:tcBorders>
              <w:bottom w:val="single" w:sz="8" w:color="CCEEFF"/>
            </w:tcBorders>
          </w:tcPr>
          <w:p>
            <w:pPr>
              <w:spacing w:after="0"/>
              <w:rPr>
                <w:sz w:val="18"/>
                <w:szCs w:val="18"/>
                <w:color w:val="auto"/>
              </w:rPr>
            </w:pPr>
          </w:p>
        </w:tc>
      </w:tr>
      <w:tr>
        <w:trPr>
          <w:trHeight w:val="209"/>
        </w:trPr>
        <w:tc>
          <w:tcPr>
            <w:tcW w:w="7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patent defense costs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(5,086)</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(4,698)</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(205)</w:t>
            </w:r>
          </w:p>
        </w:tc>
        <w:tc>
          <w:tcPr>
            <w:tcW w:w="9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9,243</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10,516</w:t>
            </w:r>
          </w:p>
        </w:tc>
        <w:tc>
          <w:tcPr>
            <w:tcW w:w="80" w:type="dxa"/>
            <w:vAlign w:val="bottom"/>
          </w:tcPr>
          <w:p>
            <w:pPr>
              <w:spacing w:after="0"/>
              <w:rPr>
                <w:sz w:val="18"/>
                <w:szCs w:val="18"/>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marketable securities</w:t>
            </w: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(9,003)</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w:t>
            </w:r>
          </w:p>
        </w:tc>
      </w:tr>
      <w:tr>
        <w:trPr>
          <w:trHeight w:val="20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(5,127)</w:t>
            </w:r>
          </w:p>
        </w:tc>
        <w:tc>
          <w:tcPr>
            <w:tcW w:w="3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80" w:type="dxa"/>
            <w:vAlign w:val="bottom"/>
            <w:tcBorders>
              <w:bottom w:val="single" w:sz="8" w:color="CCEEFF"/>
            </w:tcBorders>
          </w:tcPr>
          <w:p>
            <w:pPr>
              <w:spacing w:after="0"/>
              <w:rPr>
                <w:sz w:val="18"/>
                <w:szCs w:val="18"/>
                <w:color w:val="auto"/>
              </w:rPr>
            </w:pPr>
          </w:p>
        </w:tc>
      </w:tr>
      <w:tr>
        <w:trPr>
          <w:trHeight w:val="210"/>
        </w:trPr>
        <w:tc>
          <w:tcPr>
            <w:tcW w:w="7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Net proceeds from issuance of senior convertible notes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2,654</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Dividend payments</w:t>
            </w:r>
          </w:p>
        </w:tc>
        <w:tc>
          <w:tcPr>
            <w:tcW w:w="9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stock repurchases</w:t>
            </w: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r>
      <w:tr>
        <w:trPr>
          <w:trHeight w:val="20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3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9,192</w:t>
            </w:r>
          </w:p>
        </w:tc>
        <w:tc>
          <w:tcPr>
            <w:tcW w:w="80" w:type="dxa"/>
            <w:vAlign w:val="bottom"/>
            <w:tcBorders>
              <w:bottom w:val="single" w:sz="8" w:color="CCEEFF"/>
            </w:tcBorders>
          </w:tcPr>
          <w:p>
            <w:pPr>
              <w:spacing w:after="0"/>
              <w:rPr>
                <w:sz w:val="18"/>
                <w:szCs w:val="18"/>
                <w:color w:val="auto"/>
              </w:rPr>
            </w:pPr>
          </w:p>
        </w:tc>
      </w:tr>
      <w:tr>
        <w:trPr>
          <w:trHeight w:val="210"/>
        </w:trPr>
        <w:tc>
          <w:tcPr>
            <w:tcW w:w="7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0"/>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(7,147)</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the beginning of the year</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11,211</w:t>
            </w: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80" w:type="dxa"/>
            <w:vAlign w:val="bottom"/>
            <w:tcBorders>
              <w:bottom w:val="single" w:sz="8" w:color="CCEEFF"/>
            </w:tcBorders>
          </w:tcPr>
          <w:p>
            <w:pPr>
              <w:spacing w:after="0"/>
              <w:rPr>
                <w:sz w:val="19"/>
                <w:szCs w:val="19"/>
                <w:color w:val="auto"/>
              </w:rPr>
            </w:pPr>
          </w:p>
        </w:tc>
      </w:tr>
      <w:tr>
        <w:trPr>
          <w:trHeight w:val="22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end of the year</w:t>
            </w:r>
          </w:p>
        </w:tc>
        <w:tc>
          <w:tcPr>
            <w:tcW w:w="94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11,211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Fiscal Year </w:t>
      </w:r>
      <w:r>
        <w:rPr>
          <w:rFonts w:ascii="Arial" w:cs="Arial" w:eastAsia="Arial" w:hAnsi="Arial"/>
          <w:sz w:val="17"/>
          <w:szCs w:val="17"/>
          <w:color w:val="auto"/>
        </w:rPr>
        <w:t>– This report on Form 10-K includes consolidated balance sheets for the years ended December 31, 2019 and 2018 and the related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operations and comprehensive loss, shareholders' equity, and cash flows for each of the years 2019 and 2018.</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receivable and product returns, provisions for obsolete inventory, potential impairment of goodwill and of long-lived assets, and deferred income tax asset valuation allowances. Actual results could differ materially from these estimates.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We are exposed to foreign currency exchange risk through our foreign subsidiaries. Other than our subsidiaries in India and</w:t>
      </w:r>
      <w:r>
        <w:rPr>
          <w:rFonts w:ascii="Arial" w:cs="Arial" w:eastAsia="Arial" w:hAnsi="Arial"/>
          <w:sz w:val="18"/>
          <w:szCs w:val="18"/>
          <w:i w:val="1"/>
          <w:iCs w:val="1"/>
          <w:color w:val="auto"/>
        </w:rPr>
        <w:t xml:space="preserve"> </w:t>
      </w:r>
      <w:r>
        <w:rPr>
          <w:rFonts w:ascii="Arial" w:cs="Arial" w:eastAsia="Arial" w:hAnsi="Arial"/>
          <w:sz w:val="18"/>
          <w:szCs w:val="18"/>
          <w:color w:val="auto"/>
        </w:rPr>
        <w:t>Spain, all other foreign subsidiaries are U.S. dollar functional, for which gains and losses arising from remeasurement are included in earnings. Our Spanish subsidiary is Euro functional, for which gains and losses arising from translation are included in accumulated other comprehensive income or loss. Our Indian subsidiary is Indian Rupee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manufacturers located in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Marketable Securities - </w:t>
      </w:r>
      <w:r>
        <w:rPr>
          <w:rFonts w:ascii="Arial" w:cs="Arial" w:eastAsia="Arial" w:hAnsi="Arial"/>
          <w:sz w:val="16"/>
          <w:szCs w:val="16"/>
          <w:color w:val="auto"/>
        </w:rPr>
        <w:t>The Company has classified its marketable securities as available-for-sale securities. These debt securities are carried at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2019 and 2018.</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 Accounts receivable are recorded at the invoiced amount, net of expected returns and allowance for doubtful accounts.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credit is 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December 31, 2019 and 2018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Allowance increase</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offs, net of recoveries</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1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Balance at end of the year</w:t>
            </w:r>
          </w:p>
        </w:tc>
        <w:tc>
          <w:tcPr>
            <w:tcW w:w="110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$102 and $184, as of December 31, 2019 and 2018,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inventory consists of current inventory of $11,441 and long-term inventory of $6,284. Long term inventory represents inventory held in excess of our current (next 12 months) requirements based on our recent sales and forecasted level of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Intangible assets acquired in a purchase business combination are amortized over their useful lives unless these lives are determined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indefinite. Intangible assets are carried at cost, less accumulated amortization. Amortization is computed over the estimated useful lives of the respective assets, which are generally three to ten years. Intangible assets acquired in a purchase business combination and determined to have an indefinite useful life are not amortized.</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Impairment of Long-Lived Assets - </w:t>
      </w:r>
      <w:r>
        <w:rPr>
          <w:rFonts w:ascii="Arial" w:cs="Arial" w:eastAsia="Arial" w:hAnsi="Arial"/>
          <w:sz w:val="17"/>
          <w:szCs w:val="17"/>
          <w:color w:val="auto"/>
        </w:rPr>
        <w:t>Long-lived assets, such as property, equipment, and definite-lived intangible assets subject to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Recent accounting standard related to leases: </w:t>
      </w:r>
      <w:r>
        <w:rPr>
          <w:rFonts w:ascii="Arial" w:cs="Arial" w:eastAsia="Arial" w:hAnsi="Arial"/>
          <w:sz w:val="16"/>
          <w:szCs w:val="16"/>
          <w:color w:val="auto"/>
        </w:rPr>
        <w:t>In February 2016, the FASB issued ASU 2016-02, Leases (“ASU 2016-02”). This new standard establishes a</w:t>
      </w:r>
      <w:r>
        <w:rPr>
          <w:rFonts w:ascii="Arial" w:cs="Arial" w:eastAsia="Arial" w:hAnsi="Arial"/>
          <w:sz w:val="16"/>
          <w:szCs w:val="16"/>
          <w:i w:val="1"/>
          <w:iCs w:val="1"/>
          <w:color w:val="auto"/>
        </w:rPr>
        <w:t xml:space="preserve"> </w:t>
      </w:r>
      <w:r>
        <w:rPr>
          <w:rFonts w:ascii="Arial" w:cs="Arial" w:eastAsia="Arial" w:hAnsi="Arial"/>
          <w:sz w:val="16"/>
          <w:szCs w:val="16"/>
          <w:color w:val="auto"/>
        </w:rPr>
        <w:t>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January 1, 2019, the first day of fiscal year 2019, using the optional transition method. The Company elected to use certain practical expedient options, which allows an entity not to reassess whether any existing or expired contracts contain leases. There was an increase in assets of $2,966 and liabilities of $3,101 due to the recognition of the required right-of-use asset and corresponding liability for all lease obligations that are currently classified as operating leases with the difference of $135 related to existing deferred rent that reduced the ROU asset recorded. The standard did not have a material impact on our condensed consolidated statements of operations and comprehensive loss.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Change in accounting policy related to leases: </w:t>
      </w:r>
      <w:r>
        <w:rPr>
          <w:rFonts w:ascii="Arial" w:cs="Arial" w:eastAsia="Arial" w:hAnsi="Arial"/>
          <w:sz w:val="17"/>
          <w:szCs w:val="17"/>
          <w:color w:val="auto"/>
        </w:rPr>
        <w:t>We determine if an arrangement is a lease at inception. Operating leases are included in operating lease -</w:t>
      </w:r>
      <w:r>
        <w:rPr>
          <w:rFonts w:ascii="Arial" w:cs="Arial" w:eastAsia="Arial" w:hAnsi="Arial"/>
          <w:sz w:val="17"/>
          <w:szCs w:val="17"/>
          <w:i w:val="1"/>
          <w:iCs w:val="1"/>
          <w:color w:val="auto"/>
        </w:rPr>
        <w:t xml:space="preserve"> </w:t>
      </w:r>
      <w:r>
        <w:rPr>
          <w:rFonts w:ascii="Arial" w:cs="Arial" w:eastAsia="Arial" w:hAnsi="Arial"/>
          <w:sz w:val="17"/>
          <w:szCs w:val="17"/>
          <w:color w:val="auto"/>
        </w:rPr>
        <w:t>right of use (“ROU”) assets, accrued liabilities, and operating lease liability in our consolidated balance sheets. As of adoption of ASC 842 and as of December 31, 2019 and December 31, 2018, the Company was not party to finance lease arrangements. 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 Under the available practical expedient, we account for the lease and non-lease components as a single lease component.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Adoption of New Revenue Standard: </w:t>
      </w:r>
      <w:r>
        <w:rPr>
          <w:rFonts w:ascii="Arial" w:cs="Arial" w:eastAsia="Arial" w:hAnsi="Arial"/>
          <w:sz w:val="16"/>
          <w:szCs w:val="16"/>
          <w:color w:val="auto"/>
        </w:rPr>
        <w:t>On January 1, 2018, as required, the Company adopted ASU No. 2014-09 - Revenue from Contracts with Customers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(Topic 606) (“ASU 2014-09”), ASU No. 2015-14 - Revenue from Contracts with Customers (Topic 606): Deferral of the Effective Date (“ASU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ASU No. 2016-08 - Revenue from Contracts with Customers (Topic 606): Principal versus Agent Considerations (“ASU 2016-08”), ASU No. 2016-</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10 - Revenue from Contracts with Customers (Topic 606): Identifying Performance Obligations and Licensing (“ASU 2016-10”), ASU No. 2016-12 - Revenue from Contracts with Customers (Topic 606): Narrow-Scope Improvements and Practical Expedients (“ASU 2016-12”) and ASU No. 2016-20 - Technical Corrections and Improvements to Topic 606, Revenue from Contracts with Customers” (“ASU 2016-20”) (collectively “the New Revenue Standard”). To conform to the New Revenue Standard, the Company modified its revenue recognition policy as described further below.</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Change in Accounting Policy: </w:t>
      </w:r>
      <w:r>
        <w:rPr>
          <w:rFonts w:ascii="Arial" w:cs="Arial" w:eastAsia="Arial" w:hAnsi="Arial"/>
          <w:sz w:val="18"/>
          <w:szCs w:val="18"/>
          <w:color w:val="auto"/>
        </w:rPr>
        <w:t>On January 1, 2018, the Company adopted the New Revenue Standard using the modified retrospective method, applying</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to all open contracts and recognized an adjustment to increase retained earnings by $2,782 reduce deferred product revenue by $4,337 and reduce distributor channel inventories by $1,555 as of that date. The comparative financial information has not been restated and continues to be presented under the accounting standards in effect for the respective periods. The Company applied the practical expedient and has not disclosed the revenue allocated to future shipments of partially completed contracts.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our change in accounting policy, revenue from product sales to distributors was not recognized until the return privilege had expired or until it can be determined with reasonable certainty that the return privilege had expired, which approximated when the product was sold-through to customers of our distributors (dealers, system integrators, value-added resellers, and end-users), rather than when the product was initially shipped to a distributor. At each quarter-end, we evaluated the inventory in the distribution channel through information provided by our distributors. The level of inventory in the channel fluctuated up or down each quarter based upon our distributors’ individual operations. Accordingly, each quarter-end deferral of revenue and associated cost of goods sold were calculated and recorded based upon the actual channel inventory reported at quarter-end. Further, with respect to distributors and other channel partners not reporting the channel inventory, the revenue and associated cost of goods sold were deferred until we received payment for the product sales made to such distributors or channel partners.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change in the accounting policy, substantially all of the Company’s revenue is recognized following the transfer of control of the products to the customer, which typically occurs upon shipment or delivery depending on the terms of the underlying contracts. During the 12 months ended December 31, 2018, revenue decreased by $1,252 due to the impact of the adoption of the New Revenue Standard.</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Revenue Recognition Policy: </w:t>
      </w:r>
      <w:r>
        <w:rPr>
          <w:rFonts w:ascii="Arial" w:cs="Arial" w:eastAsia="Arial" w:hAnsi="Arial"/>
          <w:sz w:val="16"/>
          <w:szCs w:val="16"/>
          <w:color w:val="auto"/>
        </w:rPr>
        <w:t>The Company generates revenue from sales of its audio and video conferencing equipment to distributors, system integrators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w:t>
      </w:r>
    </w:p>
    <w:p>
      <w:pPr>
        <w:spacing w:after="0" w:line="2" w:lineRule="exact"/>
        <w:rPr>
          <w:sz w:val="20"/>
          <w:szCs w:val="20"/>
          <w:color w:val="auto"/>
        </w:rPr>
      </w:pPr>
    </w:p>
    <w:p>
      <w:pPr>
        <w:jc w:val="both"/>
        <w:ind w:firstLine="8"/>
        <w:spacing w:after="0" w:line="255"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2019 for equipment sales was $24,513, and for software, licenses, etc. was $529.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As of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cost of goods sold</w:t>
            </w:r>
          </w:p>
        </w:tc>
        <w:tc>
          <w:tcPr>
            <w:tcW w:w="8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gross profit</w:t>
            </w:r>
          </w:p>
        </w:tc>
        <w:tc>
          <w:tcPr>
            <w:tcW w:w="88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7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Audio Conferencing</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Microphones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8,818</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Pr>
          <w:p>
            <w:pPr>
              <w:spacing w:after="0"/>
              <w:rPr>
                <w:sz w:val="18"/>
                <w:szCs w:val="18"/>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Video products</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2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00" w:type="dxa"/>
            <w:vAlign w:val="bottom"/>
            <w:shd w:val="clear" w:color="auto" w:fill="CCEEFF"/>
          </w:tcPr>
          <w:p>
            <w:pPr>
              <w:spacing w:after="0"/>
              <w:rPr>
                <w:sz w:val="19"/>
                <w:szCs w:val="19"/>
                <w:color w:val="auto"/>
              </w:rPr>
            </w:pPr>
          </w:p>
        </w:tc>
      </w:tr>
      <w:tr>
        <w:trPr>
          <w:trHeight w:val="210"/>
        </w:trPr>
        <w:tc>
          <w:tcPr>
            <w:tcW w:w="5720" w:type="dxa"/>
            <w:vAlign w:val="bottom"/>
          </w:tcPr>
          <w:p>
            <w:pPr>
              <w:spacing w:after="0"/>
              <w:rPr>
                <w:sz w:val="18"/>
                <w:szCs w:val="18"/>
                <w:color w:val="auto"/>
              </w:rPr>
            </w:pPr>
          </w:p>
        </w:tc>
        <w:tc>
          <w:tcPr>
            <w:tcW w:w="112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7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and South America</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Asia (including Middle East) and Australia</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7,773</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7,924</w:t>
            </w:r>
          </w:p>
        </w:tc>
        <w:tc>
          <w:tcPr>
            <w:tcW w:w="100" w:type="dxa"/>
            <w:vAlign w:val="bottom"/>
          </w:tcPr>
          <w:p>
            <w:pPr>
              <w:spacing w:after="0"/>
              <w:rPr>
                <w:sz w:val="18"/>
                <w:szCs w:val="18"/>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and Africa</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9"/>
                <w:szCs w:val="19"/>
                <w:color w:val="auto"/>
              </w:rPr>
            </w:pPr>
          </w:p>
        </w:tc>
      </w:tr>
      <w:tr>
        <w:trPr>
          <w:trHeight w:val="223"/>
        </w:trPr>
        <w:tc>
          <w:tcPr>
            <w:tcW w:w="5720" w:type="dxa"/>
            <w:vAlign w:val="bottom"/>
          </w:tcPr>
          <w:p>
            <w:pPr>
              <w:spacing w:after="0"/>
              <w:rPr>
                <w:sz w:val="19"/>
                <w:szCs w:val="19"/>
                <w:color w:val="auto"/>
              </w:rPr>
            </w:pPr>
          </w:p>
        </w:tc>
        <w:tc>
          <w:tcPr>
            <w:tcW w:w="112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These reserve costs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7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year</w:t>
            </w:r>
          </w:p>
        </w:tc>
        <w:tc>
          <w:tcPr>
            <w:tcW w:w="120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r>
      <w:tr>
        <w:trPr>
          <w:trHeight w:val="229"/>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Usage/claims</w:t>
            </w:r>
          </w:p>
        </w:tc>
        <w:tc>
          <w:tcPr>
            <w:tcW w:w="1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200" w:type="dxa"/>
            <w:vAlign w:val="bottom"/>
            <w:tcBorders>
              <w:top w:val="single" w:sz="8" w:color="auto"/>
              <w:bottom w:val="single" w:sz="8" w:color="auto"/>
            </w:tcBorders>
          </w:tcPr>
          <w:p>
            <w:pPr>
              <w:jc w:val="right"/>
              <w:ind w:right="101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costs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years ended December 31, 2019 and 2018 totaled $902 and $1,037, respectively, and are included in sales and marketing on the consolidated statements of operations and comprehensive loss.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uses the asset and liability method of accounting for income taxes. Under the asset and liability method, deferred tax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2018, as a result of negative evidence, principally three years of cumulative pre-tax operating losses, we concluded that it was more likely than not that net operating losses, tax credits and other deferred tax assets were not realizable and therefore, we recorded a full valuation allowance against those net deferred tax assets. Adjustments to the valuation allowance increase or decrease the Company’s income tax provision or benefit.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 had no net deferred tax assets due to valuation allowances recorded to account for the consecutive quarters with losses before taxes.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Recent changes: </w:t>
      </w:r>
      <w:r>
        <w:rPr>
          <w:rFonts w:ascii="Arial" w:cs="Arial" w:eastAsia="Arial" w:hAnsi="Arial"/>
          <w:sz w:val="18"/>
          <w:szCs w:val="18"/>
          <w:color w:val="auto"/>
        </w:rPr>
        <w:t>The Company follows the provisions contained in ASC Topic 740,</w:t>
      </w:r>
      <w:r>
        <w:rPr>
          <w:rFonts w:ascii="Arial" w:cs="Arial" w:eastAsia="Arial" w:hAnsi="Arial"/>
          <w:sz w:val="18"/>
          <w:szCs w:val="18"/>
          <w:i w:val="1"/>
          <w:iCs w:val="1"/>
          <w:color w:val="auto"/>
        </w:rPr>
        <w:t xml:space="preserve"> Income Taxes. </w:t>
      </w:r>
      <w:r>
        <w:rPr>
          <w:rFonts w:ascii="Arial" w:cs="Arial" w:eastAsia="Arial" w:hAnsi="Arial"/>
          <w:sz w:val="18"/>
          <w:szCs w:val="18"/>
          <w:color w:val="auto"/>
        </w:rPr>
        <w:t>The Company recognizes the tax benefit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 tax position only if it is at least more likely than not that the tax position will be sustained on examination by the taxing authorities, based on the technical merits of the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loss per common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66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8"/>
                <w:szCs w:val="18"/>
                <w:color w:val="auto"/>
              </w:rPr>
            </w:pP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(8,408)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(16,687)</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Basic weighted average shares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16,638,580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8,942,629</w:t>
            </w:r>
          </w:p>
        </w:tc>
        <w:tc>
          <w:tcPr>
            <w:tcW w:w="160" w:type="dxa"/>
            <w:vAlign w:val="bottom"/>
          </w:tcPr>
          <w:p>
            <w:pPr>
              <w:spacing w:after="0"/>
              <w:rPr>
                <w:sz w:val="18"/>
                <w:szCs w:val="18"/>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Diluted weighted average shares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16,638,580</w:t>
            </w:r>
          </w:p>
        </w:tc>
        <w:tc>
          <w:tcPr>
            <w:tcW w:w="2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8,942,629</w:t>
            </w:r>
          </w:p>
        </w:tc>
        <w:tc>
          <w:tcPr>
            <w:tcW w:w="160" w:type="dxa"/>
            <w:vAlign w:val="bottom"/>
            <w:tcBorders>
              <w:bottom w:val="single" w:sz="8" w:color="CCEEFF"/>
            </w:tcBorders>
          </w:tcPr>
          <w:p>
            <w:pPr>
              <w:spacing w:after="0"/>
              <w:rPr>
                <w:sz w:val="22"/>
                <w:szCs w:val="22"/>
                <w:color w:val="auto"/>
              </w:rPr>
            </w:pPr>
          </w:p>
        </w:tc>
      </w:tr>
      <w:tr>
        <w:trPr>
          <w:trHeight w:val="197"/>
        </w:trPr>
        <w:tc>
          <w:tcPr>
            <w:tcW w:w="6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Basic loss per common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common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options outstanding</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566,200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713,331</w:t>
            </w:r>
          </w:p>
        </w:tc>
        <w:tc>
          <w:tcPr>
            <w:tcW w:w="160" w:type="dxa"/>
            <w:vAlign w:val="bottom"/>
            <w:shd w:val="clear" w:color="auto" w:fill="CCEEFF"/>
          </w:tcPr>
          <w:p>
            <w:pPr>
              <w:spacing w:after="0"/>
              <w:rPr>
                <w:sz w:val="18"/>
                <w:szCs w:val="18"/>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Anti-dilutive options not included in the computation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566,200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713,331</w:t>
            </w:r>
          </w:p>
        </w:tc>
        <w:tc>
          <w:tcPr>
            <w:tcW w:w="160" w:type="dxa"/>
            <w:vAlign w:val="bottom"/>
          </w:tcPr>
          <w:p>
            <w:pPr>
              <w:spacing w:after="0"/>
              <w:rPr>
                <w:sz w:val="20"/>
                <w:szCs w:val="20"/>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We estimate the fair value of stock options using the Black-Scholes option-pricing model, which requires certain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recent accounting pronouncements: </w:t>
      </w:r>
      <w:r>
        <w:rPr>
          <w:rFonts w:ascii="Arial" w:cs="Arial" w:eastAsia="Arial" w:hAnsi="Arial"/>
          <w:sz w:val="18"/>
          <w:szCs w:val="18"/>
          <w:color w:val="auto"/>
        </w:rPr>
        <w:t>The Company has determined that other recently issued accounting standards will not have a material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its consolidated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our cash and cash equivalents were approximately $4,064 compared to $11,211 as of December 31, 2018. Our working capital was $18,934 as of December 31, 2019 compared to $28,357 as of December 31, 2018. Net cash used in operating activities was $4,656 for the twelve months ended December 31, 2019, a decrease of cash used of $1,965 from $6,621 of cash used in operating activities in the twelve months ended December 31, 2018.</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$13,591 from 2016 through 2019 towards this litigation and may be required to spend more to continue our legal defense. We believe the recent decision by the U.S. District Court in August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We believe this ruling will help pave way for ClearOne’s recovery from the immense harm inflicted by our competitor's infringement of our valuable patents.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been actively engaged in preserving cash by suspending our dividend program, allowing our share repurchase program to expire and implementing company-wide cost reduction measures. We have also raised additional capital in 2018 by issuing common stock and in 2019 by issuing senior convertible notes. In addition, we expect to generate additional cash as our inventory levels are brought down to historical levels. We also believe that the measures taken by us will yield higher revenues in the future. We believe all of these and effective management of working capital will provide the liquidity needed to meet our operating needs through at least March 31, 2021.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December 31, 2019 and 2018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Gross unrealized</w:t>
            </w:r>
          </w:p>
        </w:tc>
        <w:tc>
          <w:tcPr>
            <w:tcW w:w="156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w w:val="95"/>
              </w:rPr>
              <w:t>Gross unrealized</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Estimated fair</w:t>
            </w:r>
          </w:p>
        </w:tc>
      </w:tr>
      <w:tr>
        <w:trPr>
          <w:trHeight w:val="213"/>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5"/>
              <w:spacing w:after="0"/>
              <w:rPr>
                <w:sz w:val="20"/>
                <w:szCs w:val="20"/>
                <w:color w:val="auto"/>
              </w:rPr>
            </w:pPr>
            <w:r>
              <w:rPr>
                <w:rFonts w:ascii="Arial" w:cs="Arial" w:eastAsia="Arial" w:hAnsi="Arial"/>
                <w:sz w:val="16"/>
                <w:szCs w:val="16"/>
                <w:b w:val="1"/>
                <w:bCs w:val="1"/>
                <w:color w:val="auto"/>
                <w:w w:val="91"/>
              </w:rPr>
              <w:t>Amortized cost</w:t>
            </w:r>
          </w:p>
        </w:tc>
        <w:tc>
          <w:tcPr>
            <w:tcW w:w="260" w:type="dxa"/>
            <w:vAlign w:val="bottom"/>
          </w:tcPr>
          <w:p>
            <w:pPr>
              <w:spacing w:after="0"/>
              <w:rPr>
                <w:sz w:val="18"/>
                <w:szCs w:val="18"/>
                <w:color w:val="auto"/>
              </w:rPr>
            </w:pPr>
          </w:p>
        </w:tc>
        <w:tc>
          <w:tcPr>
            <w:tcW w:w="1140" w:type="dxa"/>
            <w:vAlign w:val="bottom"/>
            <w:gridSpan w:val="3"/>
          </w:tcPr>
          <w:p>
            <w:pPr>
              <w:jc w:val="center"/>
              <w:ind w:left="102"/>
              <w:spacing w:after="0"/>
              <w:rPr>
                <w:sz w:val="20"/>
                <w:szCs w:val="20"/>
                <w:color w:val="auto"/>
              </w:rPr>
            </w:pPr>
            <w:r>
              <w:rPr>
                <w:rFonts w:ascii="Arial" w:cs="Arial" w:eastAsia="Arial" w:hAnsi="Arial"/>
                <w:sz w:val="16"/>
                <w:szCs w:val="16"/>
                <w:b w:val="1"/>
                <w:bCs w:val="1"/>
                <w:color w:val="auto"/>
                <w:w w:val="88"/>
              </w:rPr>
              <w:t>holding gains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9"/>
              </w:rPr>
              <w:t>holding losses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value</w:t>
            </w:r>
          </w:p>
        </w:tc>
      </w:tr>
      <w:tr>
        <w:trPr>
          <w:trHeight w:val="21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 and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2,707</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shd w:val="clear" w:color="auto" w:fill="CCEEFF"/>
          </w:tcPr>
          <w:p>
            <w:pPr>
              <w:spacing w:after="0"/>
              <w:rPr>
                <w:sz w:val="19"/>
                <w:szCs w:val="19"/>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 and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96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47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r>
      <w:tr>
        <w:trPr>
          <w:trHeight w:val="223"/>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4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ind w:right="473"/>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980" w:type="dxa"/>
            <w:vAlign w:val="bottom"/>
            <w:gridSpan w:val="12"/>
          </w:tcPr>
          <w:p>
            <w:pPr>
              <w:spacing w:after="0"/>
              <w:rPr>
                <w:sz w:val="20"/>
                <w:szCs w:val="20"/>
                <w:color w:val="auto"/>
              </w:rPr>
            </w:pPr>
            <w:r>
              <w:rPr>
                <w:rFonts w:ascii="Arial" w:cs="Arial" w:eastAsia="Arial" w:hAnsi="Arial"/>
                <w:sz w:val="18"/>
                <w:szCs w:val="18"/>
                <w:color w:val="auto"/>
                <w:w w:val="97"/>
              </w:rPr>
              <w:t>Maturities of marketable securities classified as available-for-sale securities were as follows at December 31, 2019:</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4"/>
              </w:rPr>
              <w:t>Amortized</w:t>
            </w: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Estimated</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4"/>
          </w:tcPr>
          <w:p>
            <w:pPr>
              <w:jc w:val="center"/>
              <w:ind w:right="740"/>
              <w:spacing w:after="0"/>
              <w:rPr>
                <w:sz w:val="20"/>
                <w:szCs w:val="20"/>
                <w:color w:val="auto"/>
              </w:rPr>
            </w:pPr>
            <w:r>
              <w:rPr>
                <w:rFonts w:ascii="Arial" w:cs="Arial" w:eastAsia="Arial" w:hAnsi="Arial"/>
                <w:sz w:val="16"/>
                <w:szCs w:val="16"/>
                <w:b w:val="1"/>
                <w:bCs w:val="1"/>
                <w:color w:val="auto"/>
                <w:w w:val="78"/>
              </w:rPr>
              <w:t>cost</w:t>
            </w: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3"/>
              </w:rPr>
              <w:t>fair value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Borders>
              <w:bottom w:val="single" w:sz="8" w:color="CCEEFF"/>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Debt securities in an unrealized loss position as of December 31, 2019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2019 are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6"/>
                <w:szCs w:val="16"/>
                <w:b w:val="1"/>
                <w:bCs w:val="1"/>
                <w:color w:val="auto"/>
              </w:rPr>
              <w:t>More than 12 months</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left="55"/>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left="95"/>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r>
      <w:tr>
        <w:trPr>
          <w:trHeight w:val="203"/>
        </w:trPr>
        <w:tc>
          <w:tcPr>
            <w:tcW w:w="33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Estimated fair</w:t>
            </w:r>
          </w:p>
        </w:tc>
        <w:tc>
          <w:tcPr>
            <w:tcW w:w="98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Estimated fair</w:t>
            </w:r>
          </w:p>
        </w:tc>
        <w:tc>
          <w:tcPr>
            <w:tcW w:w="940" w:type="dxa"/>
            <w:vAlign w:val="bottom"/>
          </w:tcPr>
          <w:p>
            <w:pPr>
              <w:jc w:val="center"/>
              <w:ind w:left="95"/>
              <w:spacing w:after="0"/>
              <w:rPr>
                <w:sz w:val="20"/>
                <w:szCs w:val="20"/>
                <w:color w:val="auto"/>
              </w:rPr>
            </w:pPr>
            <w:r>
              <w:rPr>
                <w:rFonts w:ascii="Arial" w:cs="Arial" w:eastAsia="Arial" w:hAnsi="Arial"/>
                <w:sz w:val="16"/>
                <w:szCs w:val="16"/>
                <w:b w:val="1"/>
                <w:bCs w:val="1"/>
                <w:color w:val="auto"/>
                <w:w w:val="90"/>
              </w:rPr>
              <w:t>unrealized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Estimated fair</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unrealized</w:t>
            </w:r>
          </w:p>
        </w:tc>
      </w:tr>
      <w:tr>
        <w:trPr>
          <w:trHeight w:val="213"/>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value</w:t>
            </w: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3"/>
              </w:rPr>
              <w:t>holding losses</w:t>
            </w:r>
          </w:p>
        </w:tc>
        <w:tc>
          <w:tcPr>
            <w:tcW w:w="24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7"/>
              </w:rPr>
              <w:t>value</w:t>
            </w:r>
          </w:p>
        </w:tc>
        <w:tc>
          <w:tcPr>
            <w:tcW w:w="13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3"/>
              </w:rPr>
              <w:t>holding losses</w:t>
            </w:r>
          </w:p>
        </w:tc>
        <w:tc>
          <w:tcPr>
            <w:tcW w:w="2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value</w:t>
            </w: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3"/>
              </w:rPr>
              <w:t>holding losses</w:t>
            </w:r>
          </w:p>
        </w:tc>
      </w:tr>
      <w:tr>
        <w:trPr>
          <w:trHeight w:val="21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color w:val="auto"/>
              </w:rPr>
              <w:t>Corporate bonds and notes</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r>
      <w:tr>
        <w:trPr>
          <w:trHeight w:val="223"/>
        </w:trPr>
        <w:tc>
          <w:tcPr>
            <w:tcW w:w="3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2019, and 2018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Estimated useful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9"/>
              </w:rPr>
              <w:t>lives</w:t>
            </w:r>
          </w:p>
        </w:tc>
        <w:tc>
          <w:tcPr>
            <w:tcW w:w="300" w:type="dxa"/>
            <w:vAlign w:val="bottom"/>
          </w:tcPr>
          <w:p>
            <w:pPr>
              <w:spacing w:after="0"/>
              <w:rPr>
                <w:sz w:val="18"/>
                <w:szCs w:val="18"/>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As of December 31,</w:t>
            </w:r>
          </w:p>
        </w:tc>
      </w:tr>
      <w:tr>
        <w:trPr>
          <w:trHeight w:val="213"/>
        </w:trPr>
        <w:tc>
          <w:tcPr>
            <w:tcW w:w="562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 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Patents and technological know-how</w:t>
            </w:r>
          </w:p>
        </w:tc>
        <w:tc>
          <w:tcPr>
            <w:tcW w:w="50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13,377</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 15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80" w:type="dxa"/>
            <w:vAlign w:val="bottom"/>
            <w:shd w:val="clear" w:color="auto" w:fill="CCEEFF"/>
          </w:tcPr>
          <w:p>
            <w:pPr>
              <w:spacing w:after="0"/>
              <w:rPr>
                <w:sz w:val="18"/>
                <w:szCs w:val="18"/>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to 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gross</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8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(8,344)</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(6,987)</w:t>
            </w: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include capitalized legal expenses, net of amortization of $11,040 million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Please refer to </w:t>
      </w:r>
      <w:r>
        <w:rPr>
          <w:rFonts w:ascii="Arial" w:cs="Arial" w:eastAsia="Arial" w:hAnsi="Arial"/>
          <w:sz w:val="18"/>
          <w:szCs w:val="18"/>
          <w:u w:val="single" w:color="auto"/>
          <w:color w:val="auto"/>
        </w:rPr>
        <w:t>Note 8 - Commitments and Contingencies</w:t>
      </w:r>
      <w:r>
        <w:rPr>
          <w:rFonts w:ascii="Arial" w:cs="Arial" w:eastAsia="Arial" w:hAnsi="Arial"/>
          <w:sz w:val="18"/>
          <w:szCs w:val="18"/>
          <w:color w:val="auto"/>
        </w:rPr>
        <w:t xml:space="preserve">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2019 and 2018, amortization of these intangible assets were $1,402 and $1,093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6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r>
      <w:tr>
        <w:trPr>
          <w:trHeight w:val="243"/>
        </w:trPr>
        <w:tc>
          <w:tcPr>
            <w:tcW w:w="8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Borders>
              <w:bottom w:val="single" w:sz="8" w:color="CCEEFF"/>
            </w:tcBorders>
          </w:tcPr>
          <w:p>
            <w:pPr>
              <w:spacing w:after="0"/>
              <w:rPr>
                <w:sz w:val="21"/>
                <w:szCs w:val="21"/>
                <w:color w:val="auto"/>
              </w:rPr>
            </w:pPr>
          </w:p>
        </w:tc>
      </w:tr>
      <w:tr>
        <w:trPr>
          <w:trHeight w:val="236"/>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2"/>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847</w:t>
            </w:r>
          </w:p>
        </w:tc>
        <w:tc>
          <w:tcPr>
            <w:tcW w:w="28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10,594</w:t>
            </w:r>
          </w:p>
        </w:tc>
        <w:tc>
          <w:tcPr>
            <w:tcW w:w="2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11,433</w:t>
            </w:r>
          </w:p>
        </w:tc>
        <w:tc>
          <w:tcPr>
            <w:tcW w:w="100" w:type="dxa"/>
            <w:vAlign w:val="bottom"/>
            <w:shd w:val="clear" w:color="auto" w:fill="CCEEFF"/>
          </w:tcPr>
          <w:p>
            <w:pPr>
              <w:spacing w:after="0"/>
              <w:rPr>
                <w:sz w:val="19"/>
                <w:szCs w:val="19"/>
                <w:color w:val="auto"/>
              </w:rPr>
            </w:pPr>
          </w:p>
        </w:tc>
      </w:tr>
      <w:tr>
        <w:trPr>
          <w:trHeight w:val="263"/>
        </w:trPr>
        <w:tc>
          <w:tcPr>
            <w:tcW w:w="6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11,441</w:t>
            </w: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13,228</w:t>
            </w:r>
          </w:p>
        </w:tc>
        <w:tc>
          <w:tcPr>
            <w:tcW w:w="100" w:type="dxa"/>
            <w:vAlign w:val="bottom"/>
            <w:tcBorders>
              <w:bottom w:val="single" w:sz="8" w:color="CCEEFF"/>
            </w:tcBorders>
          </w:tcPr>
          <w:p>
            <w:pPr>
              <w:spacing w:after="0"/>
              <w:rPr>
                <w:sz w:val="22"/>
                <w:szCs w:val="22"/>
                <w:color w:val="auto"/>
              </w:rPr>
            </w:pPr>
          </w:p>
        </w:tc>
      </w:tr>
      <w:tr>
        <w:trPr>
          <w:trHeight w:val="196"/>
        </w:trPr>
        <w:tc>
          <w:tcPr>
            <w:tcW w:w="6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1,915</w:t>
            </w:r>
          </w:p>
        </w:tc>
        <w:tc>
          <w:tcPr>
            <w:tcW w:w="28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00" w:type="dxa"/>
            <w:vAlign w:val="bottom"/>
            <w:shd w:val="clear" w:color="auto" w:fill="CCEEFF"/>
          </w:tcPr>
          <w:p>
            <w:pPr>
              <w:spacing w:after="0"/>
              <w:rPr>
                <w:sz w:val="19"/>
                <w:szCs w:val="19"/>
                <w:color w:val="auto"/>
              </w:rPr>
            </w:pPr>
          </w:p>
        </w:tc>
      </w:tr>
      <w:tr>
        <w:trPr>
          <w:trHeight w:val="223"/>
        </w:trPr>
        <w:tc>
          <w:tcPr>
            <w:tcW w:w="6500" w:type="dxa"/>
            <w:vAlign w:val="bottom"/>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$891 and $787 during the years ended December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Estimated useful</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620" w:type="dxa"/>
            <w:vAlign w:val="bottom"/>
          </w:tcPr>
          <w:p>
            <w:pPr>
              <w:spacing w:after="0"/>
              <w:rPr>
                <w:sz w:val="20"/>
                <w:szCs w:val="20"/>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4"/>
              </w:rPr>
              <w:t>lives</w:t>
            </w:r>
          </w:p>
        </w:tc>
        <w:tc>
          <w:tcPr>
            <w:tcW w:w="300" w:type="dxa"/>
            <w:vAlign w:val="bottom"/>
          </w:tcPr>
          <w:p>
            <w:pPr>
              <w:spacing w:after="0"/>
              <w:rPr>
                <w:sz w:val="20"/>
                <w:szCs w:val="20"/>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As of December 31,</w:t>
            </w:r>
          </w:p>
        </w:tc>
      </w:tr>
      <w:tr>
        <w:trPr>
          <w:trHeight w:val="223"/>
        </w:trPr>
        <w:tc>
          <w:tcPr>
            <w:tcW w:w="56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 to</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2 to 10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to</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Manufacturing and test equipment</w:t>
            </w:r>
          </w:p>
        </w:tc>
        <w:tc>
          <w:tcPr>
            <w:tcW w:w="7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2 to</w:t>
            </w:r>
          </w:p>
        </w:tc>
        <w:tc>
          <w:tcPr>
            <w:tcW w:w="64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0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(8,529)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(8,062)</w:t>
            </w:r>
          </w:p>
        </w:tc>
      </w:tr>
      <w:tr>
        <w:trPr>
          <w:trHeight w:val="223"/>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Depreciation expense on property and equipment for the years ended December 31, 2019 and 2018 was $512 and $497, respectively. During the twelve months ended December 31, 2019 we recorded a loss of $34 for the disposal of fixed assets consisting of software, manufacturing equipment and furniture.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2019 and 2018 was as follows:</w:t>
      </w:r>
    </w:p>
    <w:p>
      <w:pPr>
        <w:spacing w:after="0" w:line="235"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Year ended</w:t>
      </w:r>
    </w:p>
    <w:p>
      <w:pPr>
        <w:spacing w:after="0" w:line="36" w:lineRule="exact"/>
        <w:rPr>
          <w:sz w:val="20"/>
          <w:szCs w:val="20"/>
          <w:color w:val="auto"/>
        </w:rPr>
      </w:pPr>
    </w:p>
    <w:p>
      <w:pPr>
        <w:jc w:val="center"/>
        <w:ind w:left="37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1405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 w:lineRule="exact"/>
        <w:rPr>
          <w:sz w:val="20"/>
          <w:szCs w:val="20"/>
          <w:color w:val="auto"/>
        </w:rPr>
      </w:pPr>
    </w:p>
    <w:p>
      <w:pPr>
        <w:ind w:left="6700"/>
        <w:spacing w:after="0"/>
        <w:tabs>
          <w:tab w:leader="none" w:pos="78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0" w:lineRule="exact"/>
        <w:rPr>
          <w:sz w:val="20"/>
          <w:szCs w:val="20"/>
          <w:color w:val="auto"/>
        </w:rPr>
      </w:pPr>
    </w:p>
    <w:p>
      <w:pPr>
        <w:ind w:left="20"/>
        <w:spacing w:after="0"/>
        <w:tabs>
          <w:tab w:leader="none" w:pos="6380" w:val="left"/>
          <w:tab w:leader="none" w:pos="7080" w:val="left"/>
          <w:tab w:leader="none" w:pos="7540" w:val="left"/>
          <w:tab w:leader="none" w:pos="8160" w:val="left"/>
        </w:tabs>
        <w:rPr>
          <w:sz w:val="20"/>
          <w:szCs w:val="20"/>
          <w:color w:val="auto"/>
        </w:rPr>
      </w:pPr>
      <w:r>
        <w:rPr>
          <w:rFonts w:ascii="Arial" w:cs="Arial" w:eastAsia="Arial" w:hAnsi="Arial"/>
          <w:sz w:val="18"/>
          <w:szCs w:val="18"/>
          <w:color w:val="auto"/>
        </w:rPr>
        <w:t>Rent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804</w:t>
        <w:tab/>
        <w:t>$</w:t>
      </w:r>
      <w:r>
        <w:rPr>
          <w:sz w:val="20"/>
          <w:szCs w:val="20"/>
          <w:color w:val="auto"/>
        </w:rPr>
        <w:tab/>
      </w:r>
      <w:r>
        <w:rPr>
          <w:rFonts w:ascii="Arial" w:cs="Arial" w:eastAsia="Arial" w:hAnsi="Arial"/>
          <w:sz w:val="15"/>
          <w:szCs w:val="15"/>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45211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5452110" cy="163195"/>
                    </a:xfrm>
                    <a:prstGeom prst="rect">
                      <a:avLst/>
                    </a:prstGeom>
                    <a:noFill/>
                  </pic:spPr>
                </pic:pic>
              </a:graphicData>
            </a:graphic>
          </wp:anchor>
        </w:drawing>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occupied a 5,000 square-foot facility in Gainesville, Florida under the terms of an operating lease that was terminated in January 2020. The Gainesville facility was used primarily to support our research and development activities. During January 2020 we entered into an operating lease for a 1,350 square-foot facility in Gainesville, Florida expiring in February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 under the terms of an operating lease expiring in October 2022. This facility supports our sales, marketing, customer support, and research and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2020. This office supports our research and development and customer support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Year ended</w:t>
            </w:r>
          </w:p>
        </w:tc>
      </w:tr>
      <w:tr>
        <w:trPr>
          <w:trHeight w:val="234"/>
        </w:trPr>
        <w:tc>
          <w:tcPr>
            <w:tcW w:w="6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6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December 31, 2019</w:t>
            </w:r>
          </w:p>
        </w:tc>
      </w:tr>
      <w:tr>
        <w:trPr>
          <w:trHeight w:val="209"/>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21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r>
      <w:tr>
        <w:trPr>
          <w:trHeight w:val="223"/>
        </w:trPr>
        <w:tc>
          <w:tcPr>
            <w:tcW w:w="6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maturities of operating lease liabilities as of December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7"/>
        </w:trPr>
        <w:tc>
          <w:tcPr>
            <w:tcW w:w="8400" w:type="dxa"/>
            <w:vAlign w:val="bottom"/>
          </w:tcPr>
          <w:p>
            <w:pPr>
              <w:ind w:left="180"/>
              <w:spacing w:after="0"/>
              <w:rPr>
                <w:sz w:val="20"/>
                <w:szCs w:val="20"/>
                <w:color w:val="auto"/>
              </w:rPr>
            </w:pPr>
            <w:r>
              <w:rPr>
                <w:rFonts w:ascii="Arial" w:cs="Arial" w:eastAsia="Arial" w:hAnsi="Arial"/>
                <w:sz w:val="18"/>
                <w:szCs w:val="18"/>
                <w:color w:val="auto"/>
              </w:rPr>
              <w:t>2020</w:t>
            </w: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r>
      <w:tr>
        <w:trPr>
          <w:trHeight w:val="25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w:t>
            </w:r>
          </w:p>
        </w:tc>
      </w:tr>
      <w:tr>
        <w:trPr>
          <w:trHeight w:val="257"/>
        </w:trPr>
        <w:tc>
          <w:tcPr>
            <w:tcW w:w="8400" w:type="dxa"/>
            <w:vAlign w:val="bottom"/>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612</w:t>
            </w:r>
          </w:p>
        </w:tc>
      </w:tr>
      <w:tr>
        <w:trPr>
          <w:trHeight w:val="25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w:t>
            </w:r>
          </w:p>
        </w:tc>
      </w:tr>
      <w:tr>
        <w:trPr>
          <w:trHeight w:val="257"/>
        </w:trPr>
        <w:tc>
          <w:tcPr>
            <w:tcW w:w="8400" w:type="dxa"/>
            <w:vAlign w:val="bottom"/>
          </w:tcPr>
          <w:p>
            <w:pPr>
              <w:ind w:left="18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r>
      <w:tr>
        <w:trPr>
          <w:trHeight w:val="270"/>
        </w:trPr>
        <w:tc>
          <w:tcPr>
            <w:tcW w:w="840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r>
      <w:tr>
        <w:trPr>
          <w:trHeight w:val="209"/>
        </w:trPr>
        <w:tc>
          <w:tcPr>
            <w:tcW w:w="84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lease payments</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bottom w:val="single" w:sz="8" w:color="CCEEFF"/>
            </w:tcBorders>
          </w:tcPr>
          <w:p>
            <w:pPr>
              <w:spacing w:after="0"/>
              <w:rPr>
                <w:sz w:val="21"/>
                <w:szCs w:val="21"/>
                <w:color w:val="auto"/>
              </w:rPr>
            </w:pPr>
          </w:p>
        </w:tc>
      </w:tr>
      <w:tr>
        <w:trPr>
          <w:trHeight w:val="237"/>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rPr>
              <w:t>As of December 31,</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other compensation</w:t>
            </w:r>
          </w:p>
        </w:tc>
        <w:tc>
          <w:tcPr>
            <w:tcW w:w="96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Sales and marketing programs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legal fees and costs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CCEEFF"/>
            </w:tcBorders>
          </w:tcPr>
          <w:p>
            <w:pPr>
              <w:spacing w:after="0"/>
              <w:rPr>
                <w:sz w:val="19"/>
                <w:szCs w:val="19"/>
                <w:color w:val="auto"/>
              </w:rPr>
            </w:pP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$844 as of December 31, 2019.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As further discussed in Note 12, we had $233 of uncertain tax positions as of December 31, 2019. Due to the inherent uncertainty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underlying tax positions, it is not possible to forecast the payment of this liability to any particular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litigation against Shure Incorporated (“Shure”).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Shure initiated this litigation on April 24, 2017, by filing a complaint in the U.S. District Court for the Northern District of Illinois seeking a declaratory judgment of non-infringement and invalidity of the Company’s U.S. Patent No. 9,635,186 (“’186 Patent”) and Patent No. 9,264,553 (“’553 Patent”). The matter is </w:t>
      </w:r>
      <w:r>
        <w:rPr>
          <w:rFonts w:ascii="Arial" w:cs="Arial" w:eastAsia="Arial" w:hAnsi="Arial"/>
          <w:sz w:val="17"/>
          <w:szCs w:val="17"/>
          <w:i w:val="1"/>
          <w:iCs w:val="1"/>
          <w:color w:val="auto"/>
        </w:rPr>
        <w:t>Shure Inc. v. ClearOne, Inc.</w:t>
      </w:r>
      <w:r>
        <w:rPr>
          <w:rFonts w:ascii="Arial" w:cs="Arial" w:eastAsia="Arial" w:hAnsi="Arial"/>
          <w:sz w:val="17"/>
          <w:szCs w:val="17"/>
          <w:color w:val="auto"/>
        </w:rPr>
        <w:t>, Case No. 17-cv-03078 (the “2017 N.D. Illinois Matter”). In early 2018, Shure added a claim that the ’186 Patent is unenforceable. The Court dismissed Shure’s request for declaratory judgment relating to the ’553 Patent, which at the time in 2017, had not been threatened or asserted by the Company against Shure and had been submitted to the USPTO for reissue. The Company has filed counterclaims against Shure for willful infringement of the Company’s ’186 Patent and the Company’s U.S. Patent No. 9,813,806 (“’806 Patent”).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14, 2017, Shure filed a petition with Patent Trial and Appeals Board (“PTAB”)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against the ’553 Patent. The matter is </w:t>
      </w:r>
      <w:r>
        <w:rPr>
          <w:rFonts w:ascii="Arial" w:cs="Arial" w:eastAsia="Arial" w:hAnsi="Arial"/>
          <w:sz w:val="18"/>
          <w:szCs w:val="18"/>
          <w:i w:val="1"/>
          <w:iCs w:val="1"/>
          <w:color w:val="auto"/>
        </w:rPr>
        <w:t>Shure</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Incorporated v. ClearOne, Inc.</w:t>
      </w:r>
      <w:r>
        <w:rPr>
          <w:rFonts w:ascii="Arial" w:cs="Arial" w:eastAsia="Arial" w:hAnsi="Arial"/>
          <w:sz w:val="18"/>
          <w:szCs w:val="18"/>
          <w:color w:val="auto"/>
        </w:rPr>
        <w:t>, No. IPR2017-01785. On January 29, 2018, the PTAB instituted</w:t>
      </w:r>
      <w:r>
        <w:rPr>
          <w:rFonts w:ascii="Arial" w:cs="Arial" w:eastAsia="Arial" w:hAnsi="Arial"/>
          <w:sz w:val="18"/>
          <w:szCs w:val="18"/>
          <w:i w:val="1"/>
          <w:iCs w:val="1"/>
          <w:color w:val="auto"/>
        </w:rPr>
        <w:t xml:space="preserve"> inter partes </w:t>
      </w:r>
      <w:r>
        <w:rPr>
          <w:rFonts w:ascii="Arial" w:cs="Arial" w:eastAsia="Arial" w:hAnsi="Arial"/>
          <w:sz w:val="18"/>
          <w:szCs w:val="18"/>
          <w:color w:val="auto"/>
        </w:rPr>
        <w:t>review of the ’553 Patent. On January 24,</w:t>
      </w:r>
      <w:r>
        <w:rPr>
          <w:rFonts w:ascii="Arial" w:cs="Arial" w:eastAsia="Arial" w:hAnsi="Arial"/>
          <w:sz w:val="18"/>
          <w:szCs w:val="18"/>
          <w:i w:val="1"/>
          <w:iCs w:val="1"/>
          <w:color w:val="auto"/>
        </w:rPr>
        <w:t xml:space="preserve"> </w:t>
      </w:r>
      <w:r>
        <w:rPr>
          <w:rFonts w:ascii="Arial" w:cs="Arial" w:eastAsia="Arial" w:hAnsi="Arial"/>
          <w:sz w:val="18"/>
          <w:szCs w:val="18"/>
          <w:color w:val="auto"/>
        </w:rPr>
        <w:t>2019, PTAB issued a final written decision confirming the patentability of all claims of the ‘553 Patent. Shure filed a request for a rehearing, which the PTAB denied on March 25, 2019. Shure appealed the PTAB’s decision to the U.S. Court of Appeals for the Federal Circuit, which issued a judgment affirming the PTAB’s decision on March 6, 2020.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6, 2017, the Company filed a motion seeking a preliminary injunction to enjoin Shure from continuing to infringe on the Company’s ’186 Patent. On March 16, 2018, the Court denied the Company’s motion for preliminary injunction regarding the ’186 Patent. On February 6, 2019, the Company filed a motion for reconsideration in light of the PTAB’s January 24, 2019, decision confirming the patentability of the related ’553 Patent. On August 25, 2019, the Court denied the Company’s motion for reconsideration.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17, 2018, the Company filed a motion seeking a preliminary injunction to enjoin Shure from continuing to infringe on the Company’s ’806 Patent. On August 6, 2019, the Court granted the Company’s motion for preliminary injunction regarding the ’806 Patent preventing Shure from manufacturing, marketing, and selling the Shure MXA910 Ceiling Array Microphone for use in its “drop-ceiling mounting configuration.” The Court determined that such sales are likely to infringe the ’806 Patent and that Shure had not raised a substantial question of the ’806 Patent validity. The Court’s order also prevents Shure from encouraging others to use the Shure MXA910 beamforming microphone array in the “drop-ceiling mounting configuration” and “applies to Shure’s officers, agents, servants, employees, and attorneys, as well as anyone who is in active concert or participation with those listed persons.” On August 20, 2019, the Company deposited $4,452 with the Court to satisfy a bond securing the preliminary injunction.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February 15, 2019, the Company filed a petition for inter partes review of Shure’s U.S. Patent No. 9,565,493 (“’493 Patent”), arguing that all claims of the ’493 Patent should be cancelled in light of several prior art references, including the ’806 Patent. The matter is </w:t>
      </w:r>
      <w:r>
        <w:rPr>
          <w:rFonts w:ascii="Arial" w:cs="Arial" w:eastAsia="Arial" w:hAnsi="Arial"/>
          <w:sz w:val="18"/>
          <w:szCs w:val="18"/>
          <w:i w:val="1"/>
          <w:iCs w:val="1"/>
          <w:color w:val="auto"/>
        </w:rPr>
        <w:t>ClearOne, Inc. v. Shure Acquisition</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Inc.</w:t>
      </w:r>
      <w:r>
        <w:rPr>
          <w:rFonts w:ascii="Arial" w:cs="Arial" w:eastAsia="Arial" w:hAnsi="Arial"/>
          <w:sz w:val="18"/>
          <w:szCs w:val="18"/>
          <w:color w:val="auto"/>
        </w:rPr>
        <w:t>, IPR2019-00683. Shure opposed the petition, but the PTAB instituted</w:t>
      </w:r>
      <w:r>
        <w:rPr>
          <w:rFonts w:ascii="Arial" w:cs="Arial" w:eastAsia="Arial" w:hAnsi="Arial"/>
          <w:sz w:val="18"/>
          <w:szCs w:val="18"/>
          <w:i w:val="1"/>
          <w:iCs w:val="1"/>
          <w:color w:val="auto"/>
        </w:rPr>
        <w:t xml:space="preserve"> inter partes </w:t>
      </w:r>
      <w:r>
        <w:rPr>
          <w:rFonts w:ascii="Arial" w:cs="Arial" w:eastAsia="Arial" w:hAnsi="Arial"/>
          <w:sz w:val="18"/>
          <w:szCs w:val="18"/>
          <w:color w:val="auto"/>
        </w:rPr>
        <w:t>review on August 16, 2019. A final decision is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by August 2020.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10, 2019, the Company filed a lawsuit against Shure in the United States District Court for the Northern District of Illinois alleging that Shure’s MXA910 and MXA310 infringes the ’553 Patent and that Shure has misappropriated ClearOne’s trade secrets. The matter is </w:t>
      </w:r>
      <w:r>
        <w:rPr>
          <w:rFonts w:ascii="Arial" w:cs="Arial" w:eastAsia="Arial" w:hAnsi="Arial"/>
          <w:sz w:val="18"/>
          <w:szCs w:val="18"/>
          <w:i w:val="1"/>
          <w:iCs w:val="1"/>
          <w:color w:val="auto"/>
        </w:rPr>
        <w:t>ClearOne, Inc. v. Shure Inc.</w:t>
      </w:r>
      <w:r>
        <w:rPr>
          <w:rFonts w:ascii="Arial" w:cs="Arial" w:eastAsia="Arial" w:hAnsi="Arial"/>
          <w:sz w:val="18"/>
          <w:szCs w:val="18"/>
          <w:color w:val="auto"/>
        </w:rPr>
        <w:t>, 19-cv-02421 (the “2019 N.D. Illinois Matter”), and has been coordinated with the initial matter filed in 2017 for trial purposes. On December 16, 2019, the Court granted the Company’s motion for leave to amend its complaint to add claims against Shure for intentional interference with prospective economic advantage and trade libel. On January 13, 2020, Shure moved to dismiss the Company’s new claims. The Company opposed the motion, which is pending before the Court.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July 18, 2019, Shure, Inc. filed a lawsuit against the Company in the U.S. Court for the District of Delaware alleging that ClearOne’s BMA CT product, launched in February of 2019, infringes Shure’s ’493 Patent and that ClearOne engaged in unfair competition, tortious interference, deceptive trade practices, and false advertising. Shure is seeking monetary damages and injunctive relief. ClearOne successfully moved to stay Shure’s infringement claim relating to the ’493 Patent until August 2020 when the PTAB is set to issue a Final Written Decision on its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the ’493 Patent. On November 19, 2019, the Court granted Shure’s request for leave to amend its complaint to add a claim of infringement of Shure’s recently issued U.S. Patent No. D865723 (the “Design Patent”) and additional claims of trade libel. ClearOne has moved to dismiss Shure’s claims or to transfer them to the Northern District of Illinois. Those motions are pending. The Company believes that the lawsuit is without merit and intends to vigorously defend itself.</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November 4, 2019, the Company filed a lawsuit against Shure in the U.S. District Court for the Northern District of Illinois seeking a declaratory judgment of non-infringement of Shure’s Design Patent. The matter is </w:t>
      </w:r>
      <w:r>
        <w:rPr>
          <w:rFonts w:ascii="Arial" w:cs="Arial" w:eastAsia="Arial" w:hAnsi="Arial"/>
          <w:sz w:val="18"/>
          <w:szCs w:val="18"/>
          <w:i w:val="1"/>
          <w:iCs w:val="1"/>
          <w:color w:val="auto"/>
        </w:rPr>
        <w:t>ClearOne, Inc. v. Shure Inc.</w:t>
      </w:r>
      <w:r>
        <w:rPr>
          <w:rFonts w:ascii="Arial" w:cs="Arial" w:eastAsia="Arial" w:hAnsi="Arial"/>
          <w:sz w:val="18"/>
          <w:szCs w:val="18"/>
          <w:color w:val="auto"/>
        </w:rPr>
        <w:t>, Case No. 19-cv-07825 (N.D. Ill.), and is stayed pending a decision on the Company’s motion to dismiss Shure’s claims in the Delaware Action.</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21, 2020, the Company asked for a Court order that Shure has been manufacturing, marketing, and selling its redesigned MXA910, the MXA910W-A released in December 2019, in violation of a preliminary injunction issued on August 20, 2019. Under the law, that court-ordered injunction applied to Shure’s MXA910 as well as “colorable imitations” thereof. ClearOne’s filings assert that Shure has been willfully manufacturing, marketing, and selling its MXA910W-A in a way that “encourages or allows integrators to install it in a drop-ceiling mounting configuration.” The Company argues that the measurements of the MXA910W-A allow it to be installed securely in the prohibited configuration in the majority of U.S. drop-ceiling grids, and Shure’s marketing materials encourage such installation. In addition, ClearOne has found evidence that third parties are in fact installing the MXA910W-A in the prohibited configuration. ClearOne has asked the Court to order Shure to cease marketing and selling the MXA910W-A in the United States, notify all customers that the MXA910W-A violates the preliminary injunction and is thus subject to recall, award ClearOne its attorneys’ fees associated with the contempt motion, and for additional discovery relating to how Shure’s customers are installing the MXA910W-A. On March 9, 2020, Shure filed its opposition, arguing that it has fully complied with the preliminary injunction, its MXA910W-A is not subject to the preliminary injunction, and it instructs customers not to install the MXA910W-A in a drop ceiling mounting configuration. On March 10, the Court granted ClearOne leave to conduct limited additional discovery, and granted ClearOne leave to submit a reply in support of the motion by April 1, which was later extended to April 22 due to the COVID-19 crisis.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continue to vigorously enforce and defend its intellectual property rights in these proceedings.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capitalized $5,085 and $4,698 of litigation expenses related to this matter during the twelve months ended December 31, 2019 and 2018,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there are no other items that will have a material adverse impact on the Company’s financial position or results of operations. Legal proceedings are subject to all of the risks and uncertainties of legal proceedings and there can be no assurance as to the probable result of any legal proceedings.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believes it has adequately accrued for the aforementioned contingent liabilities. If adverse outcomes were to occur, our financial position, results of operations and cash flows could be negatively affected materially for the period in which the adverse outcomes are known.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Senior Convertible Notes and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8"/>
              </w:rPr>
              <w:t>December 31, 2019</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December 31, 2018</w:t>
            </w:r>
          </w:p>
        </w:tc>
      </w:tr>
      <w:tr>
        <w:trPr>
          <w:trHeight w:val="226"/>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component:</w:t>
            </w:r>
          </w:p>
        </w:tc>
        <w:tc>
          <w:tcPr>
            <w:tcW w:w="1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Principal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95"/>
              </w:rPr>
              <w:t>Less: debt discount and issuance costs, net of amortization</w:t>
            </w:r>
          </w:p>
        </w:tc>
        <w:tc>
          <w:tcPr>
            <w:tcW w:w="1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r>
      <w:tr>
        <w:trPr>
          <w:trHeight w:val="26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tcPr>
          <w:p>
            <w:pPr>
              <w:spacing w:after="0"/>
              <w:rPr>
                <w:sz w:val="22"/>
                <w:szCs w:val="22"/>
                <w:color w:val="auto"/>
              </w:rPr>
            </w:pPr>
          </w:p>
        </w:tc>
      </w:tr>
      <w:tr>
        <w:trPr>
          <w:trHeight w:val="223"/>
        </w:trPr>
        <w:tc>
          <w:tcPr>
            <w:tcW w:w="4540" w:type="dxa"/>
            <w:vAlign w:val="bottom"/>
            <w:shd w:val="clear" w:color="auto" w:fill="CFF0FC"/>
          </w:tcPr>
          <w:p>
            <w:pPr>
              <w:spacing w:after="0" w:line="223" w:lineRule="exact"/>
              <w:rPr>
                <w:sz w:val="20"/>
                <w:szCs w:val="20"/>
                <w:color w:val="auto"/>
              </w:rPr>
            </w:pPr>
            <w:r>
              <w:rPr>
                <w:rFonts w:ascii="Arial" w:cs="Arial" w:eastAsia="Arial" w:hAnsi="Arial"/>
                <w:sz w:val="16"/>
                <w:szCs w:val="16"/>
                <w:color w:val="auto"/>
              </w:rPr>
              <w:t>Equity component</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Conversion feature</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carrying amount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212529"/>
        </w:rPr>
        <w:t>(1) Recorded on the consolidated balance sheets as additional paid-in capital.</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year ended December 31, 2019, amortization of debt discount and issuance costs was $8. The following table represents schedule of maturities of principal amount contained in the Notes as of December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Principal Amount</w:t>
            </w:r>
          </w:p>
        </w:tc>
      </w:tr>
      <w:tr>
        <w:trPr>
          <w:trHeight w:val="213"/>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Maturing</w:t>
            </w:r>
          </w:p>
        </w:tc>
      </w:tr>
      <w:tr>
        <w:trPr>
          <w:trHeight w:val="226"/>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1"/>
                <w:szCs w:val="21"/>
                <w:color w:val="auto"/>
              </w:rPr>
            </w:pPr>
          </w:p>
        </w:tc>
      </w:tr>
      <w:tr>
        <w:trPr>
          <w:trHeight w:val="24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FF0FC"/>
          </w:tcPr>
          <w:p>
            <w:pPr>
              <w:spacing w:after="0"/>
              <w:rPr>
                <w:sz w:val="21"/>
                <w:szCs w:val="21"/>
                <w:color w:val="auto"/>
              </w:rPr>
            </w:pPr>
          </w:p>
        </w:tc>
      </w:tr>
      <w:tr>
        <w:trPr>
          <w:trHeight w:val="24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60" w:type="dxa"/>
            <w:vAlign w:val="bottom"/>
            <w:tcBorders>
              <w:bottom w:val="single" w:sz="8" w:color="CFF0FC"/>
            </w:tcBorders>
          </w:tcPr>
          <w:p>
            <w:pPr>
              <w:spacing w:after="0"/>
              <w:rPr>
                <w:sz w:val="21"/>
                <w:szCs w:val="21"/>
                <w:color w:val="auto"/>
              </w:rPr>
            </w:pPr>
          </w:p>
        </w:tc>
      </w:tr>
      <w:tr>
        <w:trPr>
          <w:trHeight w:val="223"/>
        </w:trPr>
        <w:tc>
          <w:tcPr>
            <w:tcW w:w="5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Option Plans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share-based incentive plan offering stock options is primarily through 2007 Equity Incentive Plan (the “2007 Plan”). Under this plan, one new share is issued for each stock option exercised. The plan is described below.</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2019 had contractual lives of ten years.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were 544,647 options outstanding under the 2007 Plan. As of December 31, 2019, the 2007 Plan had 950,447 authorized unissued options.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guidelines of ASC Topic 718, the Company recognizes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options during the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1"/>
              </w:rPr>
              <w:t>Weighted Average</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Contractual Term</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Exercise Price</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1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764,430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 and canceled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(106,108)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Forfeited prior to vesting</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(34,066)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As of December 31, 2018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624,256</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Expired and canceled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(78,786)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prior to vesting</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Vested and Expected to Vest at December 31, 2018</w:t>
            </w: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624,256</w:t>
            </w:r>
          </w:p>
        </w:tc>
        <w:tc>
          <w:tcPr>
            <w:tcW w:w="2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8.87</w:t>
            </w:r>
          </w:p>
        </w:tc>
        <w:tc>
          <w:tcPr>
            <w:tcW w:w="22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5.28</w:t>
            </w:r>
          </w:p>
        </w:tc>
        <w:tc>
          <w:tcPr>
            <w:tcW w:w="2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at December 31,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Vested and Expected to Vest at December 31, 2019</w:t>
            </w:r>
          </w:p>
        </w:tc>
        <w:tc>
          <w:tcPr>
            <w:tcW w:w="1360" w:type="dxa"/>
            <w:vAlign w:val="bottom"/>
          </w:tcPr>
          <w:p>
            <w:pPr>
              <w:jc w:val="right"/>
              <w:spacing w:after="0"/>
              <w:rPr>
                <w:sz w:val="20"/>
                <w:szCs w:val="20"/>
                <w:color w:val="auto"/>
              </w:rPr>
            </w:pPr>
            <w:r>
              <w:rPr>
                <w:rFonts w:ascii="Arial" w:cs="Arial" w:eastAsia="Arial" w:hAnsi="Arial"/>
                <w:sz w:val="18"/>
                <w:szCs w:val="18"/>
                <w:color w:val="auto"/>
              </w:rPr>
              <w:t>544,647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at 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pre-tax compensation cost related to stock options recognized during the years ended December 31, 2019 and 2018 was $208 and $463, respectively. Tax benefit from compensation cost related to stock options during the years ended December 31, 2019 and 2018 was $0. As of December 31, 2019, the total compensation cost related to stock options not yet recognized and before the effect of any forfeitures was $51, which is expected to be recognized over approximately the next 0.38 year on a straight-line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years ended December 31, 2019 and 2018, the Company issued shares to employees under the Company’s 2016 Employee Stock Purchase Plan (the “ESPP”). The ESPP was approved by the Company’s shareholders on December 12, 2016. As of December 31, 2019, and December 31, 2018, 422,866 and 442,994, respectively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Shares purchased and compensation expense associated with Employee Stock Purchase Plans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18"/>
                <w:szCs w:val="18"/>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under ESPP plan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23,789</w:t>
            </w:r>
          </w:p>
        </w:tc>
        <w:tc>
          <w:tcPr>
            <w:tcW w:w="80" w:type="dxa"/>
            <w:vAlign w:val="bottom"/>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Plan compensation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21, 2018, the Company declared a cash dividend of $0.07 per share of ClearOne common stock. The dividend was paid on March 21, 2018 to shareholders of record as of March 7, 2018. On June 13, 2018, the Company announced the suspension of its dividend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raised additional capital through an oversubscribed subscription rights offering (the "Rights Offering") which closed on December 4, 2018 and which raised $9,883 (net of stock issuance costs). In the Rights Offering, we issued one subscription right to each of our shareholders for each share of our common stock that they held. Each subscription right entitled the shareholder to purchase one share of our common stock at a purchase price of $1.20 per share. At the closing, we sold 8,306,535 shares of our common stock and returned subscriptions for 754,868 shares that were oversubscribed after allocating oversubscribed shares on a pro-rata basis.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53"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2"/>
        </w:trPr>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10.7%</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74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8520" w:type="dxa"/>
            <w:vAlign w:val="bottom"/>
            <w:gridSpan w:val="2"/>
          </w:tcPr>
          <w:p>
            <w:pPr>
              <w:spacing w:after="0"/>
              <w:rPr>
                <w:sz w:val="20"/>
                <w:szCs w:val="20"/>
                <w:color w:val="auto"/>
              </w:rPr>
            </w:pPr>
            <w:r>
              <w:rPr>
                <w:rFonts w:ascii="Arial" w:cs="Arial" w:eastAsia="Arial" w:hAnsi="Arial"/>
                <w:sz w:val="18"/>
                <w:szCs w:val="18"/>
                <w:color w:val="auto"/>
                <w:w w:val="97"/>
              </w:rPr>
              <w:t>The following table summarizes the percentage of total gross accounts receivable from significant customers: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2"/>
        </w:trPr>
        <w:tc>
          <w:tcPr>
            <w:tcW w:w="74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2"/>
              </w:rPr>
              <w:t>As of December 31,</w:t>
            </w: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74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2"/>
        </w:trPr>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56"/>
        </w:trPr>
        <w:tc>
          <w:tcPr>
            <w:tcW w:w="7480" w:type="dxa"/>
            <w:vAlign w:val="bottom"/>
          </w:tcPr>
          <w:p>
            <w:pPr>
              <w:spacing w:after="0"/>
              <w:rPr>
                <w:sz w:val="20"/>
                <w:szCs w:val="20"/>
                <w:color w:val="auto"/>
              </w:rPr>
            </w:pPr>
            <w:r>
              <w:rPr>
                <w:rFonts w:ascii="Arial" w:cs="Arial" w:eastAsia="Arial" w:hAnsi="Arial"/>
                <w:sz w:val="18"/>
                <w:szCs w:val="18"/>
                <w:color w:val="auto"/>
              </w:rPr>
              <w:t>Customer B</w:t>
            </w:r>
          </w:p>
        </w:tc>
        <w:tc>
          <w:tcPr>
            <w:tcW w:w="10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11.8%</w:t>
            </w:r>
          </w:p>
        </w:tc>
      </w:tr>
      <w:tr>
        <w:trPr>
          <w:trHeight w:val="197"/>
        </w:trPr>
        <w:tc>
          <w:tcPr>
            <w:tcW w:w="7480" w:type="dxa"/>
            <w:vAlign w:val="bottom"/>
            <w:tcBorders>
              <w:top w:val="single" w:sz="8" w:color="CCEEFF"/>
              <w:bottom w:val="single" w:sz="8" w:color="CCEEFF"/>
              <w:right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400" w:type="dxa"/>
            <w:vAlign w:val="bottom"/>
            <w:tcBorders>
              <w:top w:val="single" w:sz="8" w:color="CCEEFF"/>
              <w:bottom w:val="single" w:sz="8" w:color="CCEEFF"/>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Sales to Customer A in 2018 did not exceed 10% of the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Accounts receivable from Customer B in 2019 did not exceed 10% of total gross accounts receivable.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2019 and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 and notes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9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2018</w:t>
            </w: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 and notes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9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1,834</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loss before taxes for domestic and foreign operations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8"/>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0"/>
              </w:rPr>
              <w:t>(6,207)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w w:val="80"/>
              </w:rPr>
              <w:t>(8,352)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The Company’s provision for income taxes consisted of the following:</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8"/>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differs from that computed at the federal statutory corporate income tax rate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at federal statutory rate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State income tax benefit (provision), net of federal benefit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Foreign earnings or losses taxed at different rates</w:t>
            </w:r>
          </w:p>
        </w:tc>
        <w:tc>
          <w:tcPr>
            <w:tcW w:w="8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rate change</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8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(2,427)</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(9,918)</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(6,440)</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F-27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significant temporary differences representing net deferred tax assets and liabilities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Basis difference in intangible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reserve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Allowance for sales returns and doubtful accounts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Difference in property and equipment basis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tcPr>
          <w:p>
            <w:pPr>
              <w:spacing w:after="0"/>
              <w:rPr>
                <w:sz w:val="19"/>
                <w:szCs w:val="19"/>
                <w:color w:val="auto"/>
              </w:rPr>
            </w:pPr>
          </w:p>
        </w:tc>
      </w:tr>
      <w:tr>
        <w:trPr>
          <w:trHeight w:val="21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deferred income tax asset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00" w:type="dxa"/>
            <w:vAlign w:val="bottom"/>
            <w:shd w:val="clear" w:color="auto" w:fill="CCEEFF"/>
          </w:tcPr>
          <w:p>
            <w:pPr>
              <w:spacing w:after="0"/>
              <w:rPr>
                <w:sz w:val="18"/>
                <w:szCs w:val="18"/>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(13,760)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(11,460)</w:t>
            </w:r>
          </w:p>
        </w:tc>
      </w:tr>
      <w:tr>
        <w:trPr>
          <w:trHeight w:val="223"/>
        </w:trPr>
        <w:tc>
          <w:tcPr>
            <w:tcW w:w="6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It is not practical to estimate the amount of additional taxes that might be payable on such undistributed earnings.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2019, the Company had an aggregate of approximately $13.8 million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64" w:lineRule="exact"/>
        <w:rPr>
          <w:sz w:val="20"/>
          <w:szCs w:val="20"/>
          <w:color w:val="auto"/>
        </w:rPr>
      </w:pPr>
    </w:p>
    <w:p>
      <w:pPr>
        <w:ind w:left="300" w:hanging="288"/>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taxable income within the allowed carryback or carryforward periods;</w:t>
      </w:r>
    </w:p>
    <w:p>
      <w:pPr>
        <w:spacing w:after="0" w:line="23" w:lineRule="exact"/>
        <w:rPr>
          <w:rFonts w:ascii="Arial" w:cs="Arial" w:eastAsia="Arial" w:hAnsi="Arial"/>
          <w:sz w:val="18"/>
          <w:szCs w:val="18"/>
          <w:color w:val="auto"/>
        </w:rPr>
      </w:pPr>
    </w:p>
    <w:p>
      <w:pPr>
        <w:ind w:left="300" w:hanging="288"/>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 including any tax planning strategies that could be utilized;</w:t>
      </w:r>
    </w:p>
    <w:p>
      <w:pPr>
        <w:spacing w:after="0" w:line="9" w:lineRule="exact"/>
        <w:rPr>
          <w:rFonts w:ascii="Arial" w:cs="Arial" w:eastAsia="Arial" w:hAnsi="Arial"/>
          <w:sz w:val="18"/>
          <w:szCs w:val="18"/>
          <w:color w:val="auto"/>
        </w:rPr>
      </w:pPr>
    </w:p>
    <w:p>
      <w:pPr>
        <w:ind w:left="300" w:hanging="288"/>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nature or character (e.g., ordinary vs. capital) of the deferred tax assets and liabilities; and</w:t>
      </w:r>
    </w:p>
    <w:p>
      <w:pPr>
        <w:spacing w:after="0" w:line="9" w:lineRule="exact"/>
        <w:rPr>
          <w:rFonts w:ascii="Arial" w:cs="Arial" w:eastAsia="Arial" w:hAnsi="Arial"/>
          <w:sz w:val="18"/>
          <w:szCs w:val="18"/>
          <w:color w:val="auto"/>
        </w:rPr>
      </w:pPr>
    </w:p>
    <w:p>
      <w:pPr>
        <w:ind w:left="300" w:hanging="288"/>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Based on the foregoing criteria, the Company determined that it no longer meets the “more likely than not” threshold that net operating losses, tax credits and other deferred tax assets will be realized. Accordingly, the Company recorded a full valuation allowance at September 30, 2018, and continues to be in a full valuation allowance position at December 31,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federal and state net operating loss (“NOL”) carryforwards of approximately $16.3 million (pre-tax), and Spain NOL carryforwards of approximately $8.6 million. The majority of the federal NOL carryforward and the Spain NOL carryforward do not expire. The state NOL carryforwards expire over various periods.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amount of unrecognized tax benefits at December 31, 2019 and 2018, that would favorably impact our effective tax rate if recognized was $298 and $679, respectively. As of December 31, 2019 and 2018, we accrued $9 and $14, respectively, in interest and penalties related to unrecognized tax benefits. We account for interest expense and penalties for unrecognized tax benefits as part of our income tax provision.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256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beginning of year</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9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9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9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23"/>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Uncertain tax positions, ending balance</w:t>
            </w:r>
          </w:p>
        </w:tc>
        <w:tc>
          <w:tcPr>
            <w:tcW w:w="92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U.S. federal income tax returns for 2016 through 2019 are subject to examination. The Company also files in various state and foreign jurisdictions. With few exceptions, the Company is no longer subject to federal, state, or non-U.S. income tax examinations by tax authorities for years prior to 2016. The Company completed its audit by the Internal Revenue Service (“IRS”) for its 2012 and 2013 tax returns in 2017. As a result of the audit by the IRS, there were no material adjustments made to the Company’s tax return.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Inland Revenue Department of Hong Kong, a Special Administrative Region (the “IRD”), commenced an examination of the Company’s Hong Kong profits tax returns for 2009 through 2011 in the fourth quarter of 2012, which was completed subsequent to December 31, 2017. As a result of the audit, there were no material changes to the Company’s financial position. During the next twelve months, it is reasonably possible that the amount of the Company’s unrecognized income tax benefits could change significantly. These changes could be the result of our ongoing tax audits or the settlement of outstanding audit issues. However, due to the issues being examined, at the current time, an estimate of the range of reasonably possible outcomes cannot be made, beyond amounts currently accrued.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Sales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40" w:type="dxa"/>
            <w:vAlign w:val="bottom"/>
          </w:tcPr>
          <w:p>
            <w:pPr>
              <w:spacing w:after="0"/>
              <w:rPr>
                <w:sz w:val="22"/>
                <w:szCs w:val="22"/>
                <w:color w:val="auto"/>
              </w:rPr>
            </w:pPr>
          </w:p>
        </w:tc>
        <w:tc>
          <w:tcPr>
            <w:tcW w:w="26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6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13,463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14,783</w:t>
            </w:r>
          </w:p>
        </w:tc>
        <w:tc>
          <w:tcPr>
            <w:tcW w:w="80" w:type="dxa"/>
            <w:vAlign w:val="bottom"/>
            <w:shd w:val="clear" w:color="auto" w:fill="CCEEFF"/>
          </w:tcPr>
          <w:p>
            <w:pPr>
              <w:spacing w:after="0"/>
              <w:rPr>
                <w:sz w:val="18"/>
                <w:szCs w:val="18"/>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11,579</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13,373</w:t>
            </w:r>
          </w:p>
        </w:tc>
        <w:tc>
          <w:tcPr>
            <w:tcW w:w="80" w:type="dxa"/>
            <w:vAlign w:val="bottom"/>
            <w:tcBorders>
              <w:bottom w:val="single" w:sz="8" w:color="CCEEFF"/>
            </w:tcBorders>
          </w:tcPr>
          <w:p>
            <w:pPr>
              <w:spacing w:after="0"/>
              <w:rPr>
                <w:sz w:val="19"/>
                <w:szCs w:val="19"/>
                <w:color w:val="auto"/>
              </w:rPr>
            </w:pP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25,042</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28,156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The Impact of Covid-19</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the time of this filing the Company’s operating activities have been curtailed by the impact of Covid-19. Government directives have suspended manufacturing and limited workplace activities beginning March 23, 2020. The Company has empowered its employees to work remotely wherever possible to minimize the disruption to Company operations. The Company has received no communications from customers that indicate cancellations or substantial change in delivery schedules. Public health directives from governments around the world are advising or prohibiting large gatherings to inhibit the spread of Covid-19. This has suspended the use of our products for much of our installed customer base. Continued restrictions and the positional behavioral changes resulting from the impact of Covid-19 may continue to influence the demand for our products which typically attract a large audience. Also, the ongoing impact of Covid-19 on the world’s economy could ultimately have material adverse consequences to the Company; however, as of now, the Company is unable to determine the likelihood or degree of such adverse consequences.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DMCC Branch (Dubai)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Innovation India Private Ltd.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Shenzhen Technology Ltd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Spain SL (Spain)</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consent to the incorporation by reference in Registration Statements (Nos. 333-205356, 333-209130, 333-148789 and 333-137859) on Form S-8 of ClearOne, Inc. of our report dated March 30, 2020, relating to our audit of the consolidated financial statements, which appears in this Annual Report on Form 10-K of ClearOne, Inc.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ectPr>
          <w:pgSz w:w="11900" w:h="16838" w:orient="portrait"/>
          <w:cols w:equalWidth="0" w:num="1">
            <w:col w:w="11240"/>
          </w:cols>
          <w:pgMar w:left="320" w:top="121" w:right="339" w:bottom="1440" w:gutter="0" w:footer="0" w:header="0"/>
        </w:sectPr>
      </w:pPr>
    </w:p>
    <w:bookmarkStart w:id="80" w:name="page81"/>
    <w:bookmarkEnd w:id="80"/>
    <w:p>
      <w:pPr>
        <w:ind w:left="99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640" w:hanging="62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225" w:lineRule="exact"/>
        <w:rPr>
          <w:rFonts w:ascii="Arial" w:cs="Arial" w:eastAsia="Arial" w:hAnsi="Arial"/>
          <w:sz w:val="18"/>
          <w:szCs w:val="18"/>
          <w:color w:val="auto"/>
        </w:rPr>
      </w:pPr>
    </w:p>
    <w:p>
      <w:pPr>
        <w:jc w:val="both"/>
        <w:ind w:left="640" w:right="100" w:hanging="628"/>
        <w:spacing w:after="0" w:line="26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40" w:right="80" w:hanging="628"/>
        <w:spacing w:after="0" w:line="30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40" w:right="100" w:hanging="628"/>
        <w:spacing w:after="0" w:line="26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60" w:right="140" w:hanging="600"/>
        <w:spacing w:after="0" w:line="263" w:lineRule="auto"/>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60" w:right="60" w:hanging="600"/>
        <w:spacing w:after="0" w:line="263" w:lineRule="auto"/>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60" w:right="220" w:hanging="600"/>
        <w:spacing w:after="0" w:line="342" w:lineRule="auto"/>
        <w:tabs>
          <w:tab w:leader="none" w:pos="12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right="220" w:hanging="600"/>
        <w:spacing w:after="0" w:line="263" w:lineRule="auto"/>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640" w:hanging="628"/>
        <w:spacing w:after="0" w:line="30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right="460" w:hanging="600"/>
        <w:spacing w:after="0" w:line="342" w:lineRule="auto"/>
        <w:tabs>
          <w:tab w:leader="none" w:pos="12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160" w:hanging="600"/>
        <w:spacing w:after="0" w:line="277" w:lineRule="auto"/>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March 30, 2020</w:t>
            </w:r>
          </w:p>
        </w:tc>
        <w:tc>
          <w:tcPr>
            <w:tcW w:w="664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20"/>
          </w:cols>
          <w:pgMar w:left="320" w:top="121"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640" w:hanging="62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225" w:lineRule="exact"/>
        <w:rPr>
          <w:rFonts w:ascii="Arial" w:cs="Arial" w:eastAsia="Arial" w:hAnsi="Arial"/>
          <w:sz w:val="18"/>
          <w:szCs w:val="18"/>
          <w:color w:val="auto"/>
        </w:rPr>
      </w:pPr>
    </w:p>
    <w:p>
      <w:pPr>
        <w:jc w:val="both"/>
        <w:ind w:left="640" w:right="120" w:hanging="628"/>
        <w:spacing w:after="0" w:line="263"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40" w:right="100" w:hanging="628"/>
        <w:spacing w:after="0" w:line="30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40" w:right="120" w:hanging="628"/>
        <w:spacing w:after="0" w:line="263"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60" w:right="160" w:hanging="600"/>
        <w:spacing w:after="0" w:line="263"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60" w:right="80" w:hanging="600"/>
        <w:spacing w:after="0" w:line="263"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60" w:right="240" w:hanging="600"/>
        <w:spacing w:after="0" w:line="342" w:lineRule="auto"/>
        <w:tabs>
          <w:tab w:leader="none" w:pos="12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right="240" w:hanging="600"/>
        <w:spacing w:after="0" w:line="263"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640" w:right="20" w:hanging="628"/>
        <w:spacing w:after="0" w:line="30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right="480" w:hanging="600"/>
        <w:spacing w:after="0" w:line="342" w:lineRule="auto"/>
        <w:tabs>
          <w:tab w:leader="none" w:pos="12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180" w:hanging="600"/>
        <w:spacing w:after="0" w:line="277"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March 30, 2020</w:t>
            </w:r>
          </w:p>
        </w:tc>
        <w:tc>
          <w:tcPr>
            <w:tcW w:w="664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4"/>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annual report of ClearOne, Inc. (the “Company”) on Form 10-K for the year ended December 31, 2019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March 30, 2020</w:t>
            </w:r>
          </w:p>
        </w:tc>
        <w:tc>
          <w:tcPr>
            <w:tcW w:w="626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annual report of ClearOne, Inc. (the “Company”) on Form 10-K for the year ended December 31, 2019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March 30, 2020</w:t>
            </w:r>
          </w:p>
        </w:tc>
        <w:tc>
          <w:tcPr>
            <w:tcW w:w="626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16"/>
        </w:trPr>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Accounting and Principal Financial</w:t>
            </w:r>
          </w:p>
        </w:tc>
      </w:tr>
      <w:tr>
        <w:trPr>
          <w:trHeight w:val="230"/>
        </w:trPr>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4.1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 (THE “COMPANY”)</w:t>
      </w:r>
    </w:p>
    <w:p>
      <w:pPr>
        <w:spacing w:after="0" w:line="2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following summary of the material terms of our capital stock and does not purport to be complete and is subject to and qualified in its entirety by reference to our Certificate of Incorporation (the “Charter”) and Bylaws (the “Bylaws”), each of which is an exhibit to the Annual Report on Form 10-K to which this description is an exhibit. At December 31, 2019, we had one outstanding classes of securities registered under Section 12 of the Securities Exchange Act of 1934, as amended (the “Exchange Act”): common stock, $0.001 par value per share (the “Common Stock”). We encourage you to read our Charter and Bylaws and the applicable provisions of the Delaware General Corporation Law (the "DGCL") for additional information.</w:t>
      </w:r>
    </w:p>
    <w:p>
      <w:pPr>
        <w:spacing w:after="0" w:line="14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following summary of the material terms of our capital stock and does not purport to be complete and is subject to and qualified in its entirety by reference to our Certificate of Incorporation (the “Charter”) and Bylaws (the “Bylaws”), each of which is an exhibit to the Annual Report on Form 10-K to which this description is an exhibit. At December 31, 2019, we had one outstanding classes of securities registered under Section 12 of the Securities Exchange Act of 1934, as amended (the “Exchange Act”): common stock, $0.001 par value per share (the “Common Stock”). We encourage you to read our Charter and Bylaws and the applicable provisions of the Delaware General Corporation Law (the "DGCL") for additional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firstLine="450"/>
        <w:spacing w:after="0" w:line="224" w:lineRule="auto"/>
        <w:rPr>
          <w:sz w:val="20"/>
          <w:szCs w:val="20"/>
          <w:color w:val="auto"/>
        </w:rPr>
      </w:pPr>
      <w:r>
        <w:rPr>
          <w:rFonts w:ascii="Arial" w:cs="Arial" w:eastAsia="Arial" w:hAnsi="Arial"/>
          <w:sz w:val="18"/>
          <w:szCs w:val="18"/>
          <w:color w:val="auto"/>
        </w:rPr>
        <w:t>Our authorized capital stock consists of 50,000,000 shares of Common Stock. Our issued and outstanding shares of Common Stock are fully paid and nonassessable. There are no redemption or sinking fund provisions applicable to the shares of our Common Stock, and such shares are not entitled to any preemptive rights.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Capital Market under the symbol “CLRO.”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Broadridge is the registrar and transfer agent for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jc w:val="both"/>
        <w:ind w:firstLine="450"/>
        <w:spacing w:after="0" w:line="224" w:lineRule="auto"/>
        <w:rPr>
          <w:sz w:val="20"/>
          <w:szCs w:val="20"/>
          <w:color w:val="auto"/>
        </w:rPr>
      </w:pPr>
      <w:r>
        <w:rPr>
          <w:rFonts w:ascii="Arial" w:cs="Arial" w:eastAsia="Arial" w:hAnsi="Arial"/>
          <w:sz w:val="18"/>
          <w:szCs w:val="18"/>
          <w:color w:val="auto"/>
        </w:rPr>
        <w:t>The holders of Common Stock are entitled to one vote per share on all matters voted on by the stockholders, including the election of directors. Our stockholders do not have cumulative voting rights. Except as otherwise provided by law, our Charter or our Bylaws, matters will generally be decided by a majority of the votes cast.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48" w:lineRule="exact"/>
        <w:rPr>
          <w:sz w:val="20"/>
          <w:szCs w:val="20"/>
          <w:color w:val="auto"/>
        </w:rPr>
      </w:pPr>
    </w:p>
    <w:p>
      <w:pPr>
        <w:jc w:val="both"/>
        <w:ind w:firstLine="450"/>
        <w:spacing w:after="0" w:line="224" w:lineRule="auto"/>
        <w:rPr>
          <w:sz w:val="20"/>
          <w:szCs w:val="20"/>
          <w:color w:val="auto"/>
        </w:rPr>
      </w:pPr>
      <w:r>
        <w:rPr>
          <w:rFonts w:ascii="Arial" w:cs="Arial" w:eastAsia="Arial" w:hAnsi="Arial"/>
          <w:sz w:val="18"/>
          <w:szCs w:val="18"/>
          <w:color w:val="auto"/>
        </w:rPr>
        <w:t>Our Bylaws provide that the Board of Directors shall consist of not less than three (3) and not more than nine (9) persons. The exact number of directors subject to the limitations specified in the preceding sentence shall be fixed from time to time by the Board of Directors pursuant to a resolution adopted by a majority of the entire Board of Directors.</w:t>
      </w:r>
    </w:p>
    <w:p>
      <w:pPr>
        <w:spacing w:after="0" w:line="122" w:lineRule="exact"/>
        <w:rPr>
          <w:sz w:val="20"/>
          <w:szCs w:val="20"/>
          <w:color w:val="auto"/>
        </w:rPr>
      </w:pPr>
    </w:p>
    <w:p>
      <w:pPr>
        <w:jc w:val="both"/>
        <w:ind w:firstLine="450"/>
        <w:spacing w:after="0" w:line="235" w:lineRule="auto"/>
        <w:rPr>
          <w:sz w:val="20"/>
          <w:szCs w:val="20"/>
          <w:color w:val="auto"/>
        </w:rPr>
      </w:pPr>
      <w:r>
        <w:rPr>
          <w:rFonts w:ascii="Arial" w:cs="Arial" w:eastAsia="Arial" w:hAnsi="Arial"/>
          <w:sz w:val="18"/>
          <w:szCs w:val="18"/>
          <w:color w:val="auto"/>
        </w:rPr>
        <w:t>Our Charter provides that directors are elected for one year terms expiring at the next following Annual Meeting of Stockholders and may be removed with or without cause upon the approval of at least 66 2/3% of the voting power of all of the shares of the Company.</w:t>
      </w:r>
    </w:p>
    <w:p>
      <w:pPr>
        <w:spacing w:after="0" w:line="121" w:lineRule="exact"/>
        <w:rPr>
          <w:sz w:val="20"/>
          <w:szCs w:val="20"/>
          <w:color w:val="auto"/>
        </w:rPr>
      </w:pPr>
    </w:p>
    <w:p>
      <w:pPr>
        <w:jc w:val="both"/>
        <w:ind w:firstLine="450"/>
        <w:spacing w:after="0" w:line="224" w:lineRule="auto"/>
        <w:rPr>
          <w:sz w:val="20"/>
          <w:szCs w:val="20"/>
          <w:color w:val="auto"/>
        </w:rPr>
      </w:pPr>
      <w:r>
        <w:rPr>
          <w:rFonts w:ascii="Arial" w:cs="Arial" w:eastAsia="Arial" w:hAnsi="Arial"/>
          <w:sz w:val="18"/>
          <w:szCs w:val="18"/>
          <w:color w:val="auto"/>
        </w:rPr>
        <w:t>Our Charter and Bylaws provide that a vacancy on the Board of Directors resulting from death, resignation, disqualification, removal or other causes shall be filled by a majority of the directors then in office. A vacancy created by an increase in the number of authorized directors may be filled by election at an Annual or Special Meeting of Stockholders called for that purpose or by the 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48" w:lineRule="exact"/>
        <w:rPr>
          <w:sz w:val="20"/>
          <w:szCs w:val="20"/>
          <w:color w:val="auto"/>
        </w:rPr>
      </w:pPr>
    </w:p>
    <w:p>
      <w:pPr>
        <w:jc w:val="both"/>
        <w:ind w:firstLine="450"/>
        <w:spacing w:after="0" w:line="235" w:lineRule="auto"/>
        <w:rPr>
          <w:sz w:val="20"/>
          <w:szCs w:val="20"/>
          <w:color w:val="auto"/>
        </w:rPr>
      </w:pPr>
      <w:r>
        <w:rPr>
          <w:rFonts w:ascii="Arial" w:cs="Arial" w:eastAsia="Arial" w:hAnsi="Arial"/>
          <w:sz w:val="18"/>
          <w:szCs w:val="18"/>
          <w:color w:val="auto"/>
        </w:rPr>
        <w:t>Holders of our Common Stock are entitled to receive dividends as may be declared from time to time by our Board of Directors and paid in cash, in property, or in shares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148" w:lineRule="exact"/>
        <w:rPr>
          <w:sz w:val="20"/>
          <w:szCs w:val="20"/>
          <w:color w:val="auto"/>
        </w:rPr>
      </w:pPr>
    </w:p>
    <w:p>
      <w:pPr>
        <w:jc w:val="both"/>
        <w:ind w:firstLine="450"/>
        <w:spacing w:after="0" w:line="235" w:lineRule="auto"/>
        <w:rPr>
          <w:sz w:val="20"/>
          <w:szCs w:val="20"/>
          <w:color w:val="auto"/>
        </w:rPr>
      </w:pPr>
      <w:r>
        <w:rPr>
          <w:rFonts w:ascii="Arial" w:cs="Arial" w:eastAsia="Arial" w:hAnsi="Arial"/>
          <w:sz w:val="18"/>
          <w:szCs w:val="18"/>
          <w:color w:val="auto"/>
        </w:rPr>
        <w:t>Upon any liquidation or dissolution of the Company, holders of our common stock are entitled to share pro rata in all remaining assets legally available for distribution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Certain Anti-Takeover Effects</w:t>
      </w:r>
    </w:p>
    <w:p>
      <w:pPr>
        <w:spacing w:after="0" w:line="148" w:lineRule="exact"/>
        <w:rPr>
          <w:sz w:val="20"/>
          <w:szCs w:val="20"/>
          <w:color w:val="auto"/>
        </w:rPr>
      </w:pPr>
    </w:p>
    <w:p>
      <w:pPr>
        <w:jc w:val="both"/>
        <w:ind w:firstLine="450"/>
        <w:spacing w:after="0" w:line="219" w:lineRule="auto"/>
        <w:rPr>
          <w:sz w:val="20"/>
          <w:szCs w:val="20"/>
          <w:color w:val="auto"/>
        </w:rPr>
      </w:pPr>
      <w:r>
        <w:rPr>
          <w:rFonts w:ascii="Arial" w:cs="Arial" w:eastAsia="Arial" w:hAnsi="Arial"/>
          <w:sz w:val="18"/>
          <w:szCs w:val="18"/>
          <w:color w:val="auto"/>
        </w:rPr>
        <w:t>As a Delaware corporation, the Company is subject to Section 203, or the business combination statute, of the DGCL. Under the business combination statute of the DGCL, a corporation is generally restricted from engaging in a business combination (as defined in Section 203 of the DGCL) with an interested stockholder (defined generally as a person owning 15% or more of the corporation’s outstanding voting stock) for a three-year period following the time the stockholder became an interested stockholder. This restriction applies unless:</w:t>
      </w:r>
    </w:p>
    <w:p>
      <w:pPr>
        <w:spacing w:after="0" w:line="190" w:lineRule="exact"/>
        <w:rPr>
          <w:sz w:val="20"/>
          <w:szCs w:val="20"/>
          <w:color w:val="auto"/>
        </w:rPr>
      </w:pPr>
    </w:p>
    <w:p>
      <w:pPr>
        <w:ind w:left="580" w:right="860" w:hanging="460"/>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time the stockholder became an interested stockholder, the board of directors of the corporation approved either the business combination or the transaction which resulted in the stockholder becoming an interested stockholder;</w:t>
      </w:r>
    </w:p>
    <w:p>
      <w:pPr>
        <w:spacing w:after="0" w:line="183" w:lineRule="exact"/>
        <w:rPr>
          <w:rFonts w:ascii="Arial" w:cs="Arial" w:eastAsia="Arial" w:hAnsi="Arial"/>
          <w:sz w:val="18"/>
          <w:szCs w:val="18"/>
          <w:color w:val="auto"/>
        </w:rPr>
      </w:pPr>
    </w:p>
    <w:p>
      <w:pPr>
        <w:ind w:left="580" w:right="140" w:hanging="460"/>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upon completion of the transaction which resulted in the stockholder becoming an interested stockholder (excluding stock held by the corporation’s directors who are also officers and by the corporation’s employee stock plans, if any, that do not provide employees with the right to determine confidentially whether shares held subject to the plan will be tendered in a tender or exchange offer); or</w:t>
      </w:r>
    </w:p>
    <w:p>
      <w:pPr>
        <w:spacing w:after="0" w:line="200" w:lineRule="exact"/>
        <w:rPr>
          <w:rFonts w:ascii="Arial" w:cs="Arial" w:eastAsia="Arial" w:hAnsi="Arial"/>
          <w:sz w:val="18"/>
          <w:szCs w:val="18"/>
          <w:color w:val="auto"/>
        </w:rPr>
      </w:pPr>
    </w:p>
    <w:p>
      <w:pPr>
        <w:ind w:left="580" w:right="140" w:hanging="460"/>
        <w:spacing w:after="0" w:line="286" w:lineRule="auto"/>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or subsequent to the time the stockholder became an interested stockholder, the business combination was approved by the board of directors of the corporation and authorized by the affirmative vote, at an annual or special meeting, and not by written consent, of at least 66 2/3% of the outstanding voting shares of the corporation, excluding shares held by that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-1557020</wp:posOffset>
            </wp:positionV>
            <wp:extent cx="7132320" cy="1680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spacing w:after="0" w:line="145" w:lineRule="exact"/>
        <w:rPr>
          <w:sz w:val="20"/>
          <w:szCs w:val="20"/>
          <w:color w:val="auto"/>
        </w:rPr>
      </w:pPr>
    </w:p>
    <w:p>
      <w:pPr>
        <w:jc w:val="both"/>
        <w:ind w:firstLine="450"/>
        <w:spacing w:after="0" w:line="228" w:lineRule="auto"/>
        <w:rPr>
          <w:sz w:val="20"/>
          <w:szCs w:val="20"/>
          <w:color w:val="auto"/>
        </w:rPr>
      </w:pPr>
      <w:r>
        <w:rPr>
          <w:rFonts w:ascii="Arial" w:cs="Arial" w:eastAsia="Arial" w:hAnsi="Arial"/>
          <w:sz w:val="17"/>
          <w:szCs w:val="17"/>
          <w:color w:val="auto"/>
        </w:rPr>
        <w:t>The provisions of the business combination statute of the DGCL do not apply to a corporation if, subject to certain requirements specified in Section 203(b) of the DGCL, the certificate of incorporation or bylaws of the corporation contain a provision expressly electing not to be governed by the provisions of the statute or the corporation does not have voting stock listed on a national securities exchange or held of record by more than 2,000 stockholders. The Company has not adopted any provision in the Charter or Bylaws electing not to be governed by the business combination statute of the DGCL. As a result, the statute is applicable to business combinations involving the Company.</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57" Type="http://schemas.openxmlformats.org/officeDocument/2006/relationships/hyperlink" Target="http://www.sec.gov/Archives/edgar/data/840715/000143774918018953/ex_126578.htm" TargetMode="External"/><Relationship Id="rId58" Type="http://schemas.openxmlformats.org/officeDocument/2006/relationships/hyperlink" Target="http://www.sec.gov/Archives/edgar/data/840715/000143774918018953/ex_126579.htm" TargetMode="External"/><Relationship Id="rId59" Type="http://schemas.openxmlformats.org/officeDocument/2006/relationships/hyperlink" Target="http://www.sec.gov/Archives/edgar/data/840715/000084071506000050/ex4_9.htm" TargetMode="External"/><Relationship Id="rId60" Type="http://schemas.openxmlformats.org/officeDocument/2006/relationships/hyperlink" Target="http://www.sec.gov/Archives/edgar/data/840715/000084071506000050/ex4_8.htm" TargetMode="External"/><Relationship Id="rId61" Type="http://schemas.openxmlformats.org/officeDocument/2006/relationships/hyperlink" Target="http://www.sec.gov/Archives/edgar/data/840715/000084071508000005/equityincentiveplan.htm" TargetMode="External"/><Relationship Id="rId62" Type="http://schemas.openxmlformats.org/officeDocument/2006/relationships/hyperlink" Target="http://www.sec.gov/Archives/edgar/data/840715/000084071516000065/exhibit48eip.htm" TargetMode="External"/><Relationship Id="rId63" Type="http://schemas.openxmlformats.org/officeDocument/2006/relationships/hyperlink" Target="http://www.sec.gov/Archives/edgar/data/840715/000084071515000019/exhibit411amendmentno1equi.htm" TargetMode="External"/><Relationship Id="rId64" Type="http://schemas.openxmlformats.org/officeDocument/2006/relationships/hyperlink" Target="http://www.sec.gov/Archives/edgar/data/840715/000084071515000022/exhibit43clearoneemployees.htm" TargetMode="External"/><Relationship Id="rId65" Type="http://schemas.openxmlformats.org/officeDocument/2006/relationships/hyperlink" Target="http://www.sec.gov/Archives/edgar/data/840715/000084071506000045/ex10_19.htm" TargetMode="External"/><Relationship Id="rId66" Type="http://schemas.openxmlformats.org/officeDocument/2006/relationships/hyperlink" Target="http://www.sec.gov/Archives/edgar/data/840715/000084071514000014/clro-2013ex10z7.htm" TargetMode="External"/><Relationship Id="rId67" Type="http://schemas.openxmlformats.org/officeDocument/2006/relationships/hyperlink" Target="http://www.sec.gov/Archives/edgar/data/840715/000084071509000061/manufagmt.htm" TargetMode="External"/><Relationship Id="rId68" Type="http://schemas.openxmlformats.org/officeDocument/2006/relationships/hyperlink" Target="http://www.sec.gov/Archives/edgar/data/840715/000084071514000017/exhibit101frameworkagreeme.htm" TargetMode="External"/><Relationship Id="rId69" Type="http://schemas.openxmlformats.org/officeDocument/2006/relationships/hyperlink" Target="http://www.sec.gov/Archives/edgar/data/840715/000084071514000017/exhibit102amendmenttoframe.htm" TargetMode="External"/><Relationship Id="rId70" Type="http://schemas.openxmlformats.org/officeDocument/2006/relationships/hyperlink" Target="http://www.sec.gov/Archives/edgar/data/840715/000084071514000026/exhibit103033114.htm" TargetMode="External"/><Relationship Id="rId71" Type="http://schemas.openxmlformats.org/officeDocument/2006/relationships/hyperlink" Target="http://www.sec.gov/Archives/edgar/data/840715/000084071516000080/exhibit101formofoffertorep.htm" TargetMode="External"/><Relationship Id="rId72" Type="http://schemas.openxmlformats.org/officeDocument/2006/relationships/hyperlink" Target="http://www.sec.gov/Archives/edgar/data/840715/000084071506000045/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2020-03-30T16:37:11Z</dcterms:created>
  <dcterms:modified xsi:type="dcterms:W3CDTF">2020-03-30T16:37:11Z</dcterms:modified>
</cp:coreProperties>
</file>