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September 30, 2015</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560" w:type="dxa"/>
            <w:vAlign w:val="bottom"/>
          </w:tcPr>
          <w:p>
            <w:pPr>
              <w:jc w:val="center"/>
              <w:ind w:left="779"/>
              <w:spacing w:after="0"/>
              <w:rPr>
                <w:sz w:val="20"/>
                <w:szCs w:val="20"/>
                <w:color w:val="auto"/>
              </w:rPr>
            </w:pPr>
            <w:r>
              <w:rPr>
                <w:rFonts w:ascii="Arial" w:cs="Arial" w:eastAsia="Arial" w:hAnsi="Arial"/>
                <w:sz w:val="16"/>
                <w:szCs w:val="16"/>
                <w:b w:val="1"/>
                <w:bCs w:val="1"/>
                <w:color w:val="auto"/>
                <w:w w:val="95"/>
              </w:rPr>
              <w:t>Utah</w:t>
            </w:r>
          </w:p>
        </w:tc>
        <w:tc>
          <w:tcPr>
            <w:tcW w:w="584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56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560" w:type="dxa"/>
            <w:vAlign w:val="bottom"/>
          </w:tcPr>
          <w:p>
            <w:pPr>
              <w:jc w:val="center"/>
              <w:ind w:left="77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84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560" w:type="dxa"/>
            <w:vAlign w:val="bottom"/>
          </w:tcPr>
          <w:p>
            <w:pPr>
              <w:jc w:val="center"/>
              <w:ind w:left="759"/>
              <w:spacing w:after="0"/>
              <w:rPr>
                <w:sz w:val="20"/>
                <w:szCs w:val="20"/>
                <w:color w:val="auto"/>
              </w:rPr>
            </w:pPr>
            <w:r>
              <w:rPr>
                <w:rFonts w:ascii="Arial" w:cs="Arial" w:eastAsia="Arial" w:hAnsi="Arial"/>
                <w:sz w:val="16"/>
                <w:szCs w:val="16"/>
                <w:color w:val="auto"/>
                <w:w w:val="93"/>
              </w:rPr>
              <w:t>(Address of principal executive offices)</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560" w:type="dxa"/>
            <w:vAlign w:val="bottom"/>
          </w:tcPr>
          <w:p>
            <w:pPr>
              <w:spacing w:after="0"/>
              <w:rPr>
                <w:sz w:val="22"/>
                <w:szCs w:val="22"/>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2"/>
              </w:rPr>
              <w:t>+1 (801)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65"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 ] No [x]</w:t>
      </w:r>
    </w:p>
    <w:p>
      <w:pPr>
        <w:spacing w:after="0" w:line="217"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January 8, 2016 was 9,148,596.</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 ENDED SEPTEMBER 30, 2015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20" w:type="dxa"/>
            <w:vAlign w:val="bottom"/>
            <w:gridSpan w:val="6"/>
          </w:tcPr>
          <w:p>
            <w:pPr>
              <w:ind w:left="1260"/>
              <w:spacing w:after="0"/>
              <w:rPr>
                <w:sz w:val="20"/>
                <w:szCs w:val="20"/>
                <w:color w:val="auto"/>
              </w:rPr>
            </w:pPr>
            <w:r>
              <w:rPr>
                <w:rFonts w:ascii="Arial" w:cs="Arial" w:eastAsia="Arial" w:hAnsi="Arial"/>
                <w:sz w:val="18"/>
                <w:szCs w:val="18"/>
                <w:b w:val="1"/>
                <w:bCs w:val="1"/>
                <w:color w:val="auto"/>
              </w:rPr>
              <w:t>PART I – FINANCIAL INFORMATION</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420" w:type="dxa"/>
            <w:vAlign w:val="bottom"/>
          </w:tcPr>
          <w:p>
            <w:pPr>
              <w:spacing w:after="0"/>
              <w:rPr>
                <w:sz w:val="24"/>
                <w:szCs w:val="24"/>
                <w:color w:val="auto"/>
              </w:rPr>
            </w:pPr>
          </w:p>
        </w:tc>
        <w:tc>
          <w:tcPr>
            <w:tcW w:w="150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680" w:type="dxa"/>
            <w:vAlign w:val="bottom"/>
            <w:gridSpan w:val="8"/>
          </w:tcPr>
          <w:p>
            <w:pPr>
              <w:spacing w:after="0"/>
              <w:rPr>
                <w:sz w:val="24"/>
                <w:szCs w:val="24"/>
                <w:color w:val="auto"/>
              </w:rPr>
            </w:pPr>
          </w:p>
        </w:tc>
        <w:tc>
          <w:tcPr>
            <w:tcW w:w="11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439"/>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8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2015 and December 31, 2014 Unaudited</w:t>
              </w:r>
            </w:hyperlink>
          </w:p>
        </w:tc>
        <w:tc>
          <w:tcPr>
            <w:tcW w:w="12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80" w:type="dxa"/>
            <w:vAlign w:val="bottom"/>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Income and Comprehensive Income for the three and nine months ended September 30,</w:t>
              </w:r>
            </w:hyperlink>
          </w:p>
        </w:tc>
        <w:tc>
          <w:tcPr>
            <w:tcW w:w="12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2015 and 2014 Unaudited</w:t>
              </w:r>
            </w:hyperlink>
          </w:p>
        </w:tc>
        <w:tc>
          <w:tcPr>
            <w:tcW w:w="7320" w:type="dxa"/>
            <w:vAlign w:val="bottom"/>
            <w:tcBorders>
              <w:top w:val="single" w:sz="8" w:color="0000EE"/>
            </w:tcBorders>
            <w:gridSpan w:val="6"/>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58"/>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80" w:type="dxa"/>
            <w:vAlign w:val="bottom"/>
            <w:gridSpan w:val="9"/>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Cash Flows for the nine months ended September 30, 2015 and 2014 Unaudited</w:t>
              </w:r>
            </w:hyperlink>
          </w:p>
        </w:tc>
        <w:tc>
          <w:tcPr>
            <w:tcW w:w="12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358"/>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20" w:type="dxa"/>
            <w:vAlign w:val="bottom"/>
            <w:tcBorders>
              <w:top w:val="single" w:sz="8" w:color="0000EE"/>
            </w:tcBorders>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6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2.</w:t>
              </w:r>
            </w:hyperlink>
          </w:p>
        </w:tc>
        <w:tc>
          <w:tcPr>
            <w:tcW w:w="420" w:type="dxa"/>
            <w:vAlign w:val="bottom"/>
          </w:tcPr>
          <w:p>
            <w:pPr>
              <w:spacing w:after="0"/>
              <w:rPr>
                <w:sz w:val="24"/>
                <w:szCs w:val="24"/>
                <w:color w:val="auto"/>
              </w:rPr>
            </w:pPr>
          </w:p>
        </w:tc>
        <w:tc>
          <w:tcPr>
            <w:tcW w:w="9180" w:type="dxa"/>
            <w:vAlign w:val="bottom"/>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26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500" w:type="dxa"/>
            <w:vAlign w:val="bottom"/>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Item 3.</w:t>
              </w:r>
            </w:hyperlink>
          </w:p>
        </w:tc>
        <w:tc>
          <w:tcPr>
            <w:tcW w:w="420" w:type="dxa"/>
            <w:vAlign w:val="bottom"/>
          </w:tcPr>
          <w:p>
            <w:pPr>
              <w:spacing w:after="0"/>
              <w:rPr>
                <w:sz w:val="24"/>
                <w:szCs w:val="24"/>
                <w:color w:val="auto"/>
              </w:rPr>
            </w:pPr>
          </w:p>
        </w:tc>
        <w:tc>
          <w:tcPr>
            <w:tcW w:w="4360" w:type="dxa"/>
            <w:vAlign w:val="bottom"/>
            <w:gridSpan w:val="4"/>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6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12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39"/>
        </w:trPr>
        <w:tc>
          <w:tcPr>
            <w:tcW w:w="500" w:type="dxa"/>
            <w:vAlign w:val="bottom"/>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Item 4.</w:t>
              </w:r>
            </w:hyperlink>
          </w:p>
        </w:tc>
        <w:tc>
          <w:tcPr>
            <w:tcW w:w="420" w:type="dxa"/>
            <w:vAlign w:val="bottom"/>
          </w:tcPr>
          <w:p>
            <w:pPr>
              <w:spacing w:after="0"/>
              <w:rPr>
                <w:sz w:val="24"/>
                <w:szCs w:val="24"/>
                <w:color w:val="auto"/>
              </w:rPr>
            </w:pPr>
          </w:p>
        </w:tc>
        <w:tc>
          <w:tcPr>
            <w:tcW w:w="436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820" w:type="dxa"/>
            <w:vAlign w:val="bottom"/>
            <w:gridSpan w:val="5"/>
          </w:tcPr>
          <w:p>
            <w:pPr>
              <w:spacing w:after="0"/>
              <w:rPr>
                <w:sz w:val="24"/>
                <w:szCs w:val="24"/>
                <w:color w:val="auto"/>
              </w:rPr>
            </w:pPr>
          </w:p>
        </w:tc>
        <w:tc>
          <w:tcPr>
            <w:tcW w:w="12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40" w:type="dxa"/>
            <w:vAlign w:val="bottom"/>
            <w:gridSpan w:val="2"/>
          </w:tcPr>
          <w:p>
            <w:pPr>
              <w:ind w:left="960"/>
              <w:spacing w:after="0"/>
              <w:rPr>
                <w:sz w:val="20"/>
                <w:szCs w:val="20"/>
                <w:color w:val="auto"/>
              </w:rPr>
            </w:pPr>
            <w:r>
              <w:rPr>
                <w:rFonts w:ascii="Arial" w:cs="Arial" w:eastAsia="Arial" w:hAnsi="Arial"/>
                <w:sz w:val="18"/>
                <w:szCs w:val="18"/>
                <w:b w:val="1"/>
                <w:bCs w:val="1"/>
                <w:color w:val="auto"/>
              </w:rPr>
              <w:t>PART II – OTHER INFORMATION</w:t>
            </w:r>
          </w:p>
        </w:tc>
        <w:tc>
          <w:tcPr>
            <w:tcW w:w="180" w:type="dxa"/>
            <w:vAlign w:val="bottom"/>
          </w:tcPr>
          <w:p>
            <w:pPr>
              <w:spacing w:after="0"/>
              <w:rPr>
                <w:sz w:val="20"/>
                <w:szCs w:val="20"/>
                <w:color w:val="auto"/>
              </w:rPr>
            </w:pPr>
          </w:p>
        </w:tc>
      </w:tr>
      <w:tr>
        <w:trPr>
          <w:trHeight w:val="338"/>
        </w:trPr>
        <w:tc>
          <w:tcPr>
            <w:tcW w:w="7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10400" w:type="dxa"/>
            <w:vAlign w:val="bottom"/>
            <w:gridSpan w:val="8"/>
          </w:tcPr>
          <w:p>
            <w:pPr>
              <w:ind w:left="140"/>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80" w:type="dxa"/>
            <w:vAlign w:val="bottom"/>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140" w:type="dxa"/>
            <w:vAlign w:val="bottom"/>
          </w:tcPr>
          <w:p>
            <w:pPr>
              <w:spacing w:after="0"/>
              <w:rPr>
                <w:sz w:val="24"/>
                <w:szCs w:val="24"/>
                <w:color w:val="auto"/>
              </w:rPr>
            </w:pPr>
          </w:p>
        </w:tc>
        <w:tc>
          <w:tcPr>
            <w:tcW w:w="10400" w:type="dxa"/>
            <w:vAlign w:val="bottom"/>
            <w:gridSpan w:val="8"/>
          </w:tcPr>
          <w:p>
            <w:pPr>
              <w:ind w:left="140"/>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80" w:type="dxa"/>
            <w:vAlign w:val="bottom"/>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140" w:type="dxa"/>
            <w:vAlign w:val="bottom"/>
          </w:tcPr>
          <w:p>
            <w:pPr>
              <w:spacing w:after="0"/>
              <w:rPr>
                <w:sz w:val="24"/>
                <w:szCs w:val="24"/>
                <w:color w:val="auto"/>
              </w:rPr>
            </w:pPr>
          </w:p>
        </w:tc>
        <w:tc>
          <w:tcPr>
            <w:tcW w:w="10400" w:type="dxa"/>
            <w:vAlign w:val="bottom"/>
            <w:gridSpan w:val="8"/>
          </w:tcPr>
          <w:p>
            <w:pPr>
              <w:ind w:left="140"/>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80" w:type="dxa"/>
            <w:vAlign w:val="bottom"/>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39"/>
        </w:trPr>
        <w:tc>
          <w:tcPr>
            <w:tcW w:w="7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10400" w:type="dxa"/>
            <w:vAlign w:val="bottom"/>
            <w:gridSpan w:val="8"/>
          </w:tcPr>
          <w:p>
            <w:pPr>
              <w:ind w:left="140"/>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80" w:type="dxa"/>
            <w:vAlign w:val="bottom"/>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39"/>
        </w:trPr>
        <w:tc>
          <w:tcPr>
            <w:tcW w:w="7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10400" w:type="dxa"/>
            <w:vAlign w:val="bottom"/>
            <w:gridSpan w:val="8"/>
          </w:tcPr>
          <w:p>
            <w:pPr>
              <w:ind w:left="140"/>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80" w:type="dxa"/>
            <w:vAlign w:val="bottom"/>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50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39"/>
        </w:trPr>
        <w:tc>
          <w:tcPr>
            <w:tcW w:w="7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10400" w:type="dxa"/>
            <w:vAlign w:val="bottom"/>
            <w:gridSpan w:val="8"/>
          </w:tcPr>
          <w:p>
            <w:pPr>
              <w:ind w:left="140"/>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80" w:type="dxa"/>
            <w:vAlign w:val="bottom"/>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96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39"/>
        </w:trPr>
        <w:tc>
          <w:tcPr>
            <w:tcW w:w="7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10400" w:type="dxa"/>
            <w:vAlign w:val="bottom"/>
            <w:gridSpan w:val="8"/>
          </w:tcPr>
          <w:p>
            <w:pPr>
              <w:ind w:left="140"/>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80" w:type="dxa"/>
            <w:vAlign w:val="bottom"/>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7180" w:type="dxa"/>
            <w:vAlign w:val="bottom"/>
          </w:tcPr>
          <w:p>
            <w:pPr>
              <w:ind w:left="328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2015</w:t>
            </w:r>
          </w:p>
        </w:tc>
        <w:tc>
          <w:tcPr>
            <w:tcW w:w="240" w:type="dxa"/>
            <w:vAlign w:val="bottom"/>
          </w:tcPr>
          <w:p>
            <w:pPr>
              <w:spacing w:after="0"/>
              <w:rPr>
                <w:sz w:val="22"/>
                <w:szCs w:val="22"/>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2014</w:t>
            </w:r>
          </w:p>
        </w:tc>
        <w:tc>
          <w:tcPr>
            <w:tcW w:w="0" w:type="dxa"/>
            <w:vAlign w:val="bottom"/>
          </w:tcPr>
          <w:p>
            <w:pPr>
              <w:spacing w:after="0"/>
              <w:rPr>
                <w:sz w:val="1"/>
                <w:szCs w:val="1"/>
                <w:color w:val="auto"/>
              </w:rPr>
            </w:pPr>
          </w:p>
        </w:tc>
      </w:tr>
      <w:tr>
        <w:trPr>
          <w:trHeight w:val="244"/>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12,487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Receivables, net of allowance for doubtful accounts of $51 and $58, respectively</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Distributor channel inventories</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Long-term marketable securities</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20,434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19,162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93,141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product revenue</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12,844</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w w:val="91"/>
              </w:rPr>
              <w:t>Common stock, par value $0.001, 50,000,000 shares authorized, 9,148,596 and 9,097,827 shares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4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81,406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76,016</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93,141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02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2014</w:t>
            </w:r>
          </w:p>
        </w:tc>
      </w:tr>
      <w:tr>
        <w:trPr>
          <w:trHeight w:val="33"/>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42,558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15,873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17,152</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25,406</w:t>
            </w:r>
          </w:p>
        </w:tc>
      </w:tr>
      <w:tr>
        <w:trPr>
          <w:trHeight w:val="291"/>
        </w:trPr>
        <w:tc>
          <w:tcPr>
            <w:tcW w:w="4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8,504</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5,251</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20,641</w:t>
            </w:r>
          </w:p>
        </w:tc>
      </w:tr>
      <w:tr>
        <w:trPr>
          <w:trHeight w:val="291"/>
        </w:trPr>
        <w:tc>
          <w:tcPr>
            <w:tcW w:w="4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2,962</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0.31</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9,139,329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9,198,730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9,119,925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9,182,875</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9,615,684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9,607,644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9,583,951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9,615,878</w:t>
            </w:r>
          </w:p>
        </w:tc>
      </w:tr>
      <w:tr>
        <w:trPr>
          <w:trHeight w:val="324"/>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2,962</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4620" w:type="dxa"/>
            <w:vAlign w:val="bottom"/>
          </w:tcPr>
          <w:p>
            <w:pPr>
              <w:ind w:left="300"/>
              <w:spacing w:after="0"/>
              <w:rPr>
                <w:sz w:val="20"/>
                <w:szCs w:val="20"/>
                <w:color w:val="auto"/>
              </w:rPr>
            </w:pPr>
            <w:r>
              <w:rPr>
                <w:rFonts w:ascii="Arial" w:cs="Arial" w:eastAsia="Arial" w:hAnsi="Arial"/>
                <w:sz w:val="18"/>
                <w:szCs w:val="18"/>
                <w:color w:val="auto"/>
              </w:rPr>
              <w:t>Change in unrealized gains (losses) on available-</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20" w:type="dxa"/>
            <w:vAlign w:val="bottom"/>
          </w:tcPr>
          <w:p>
            <w:pPr>
              <w:ind w:left="300"/>
              <w:spacing w:after="0"/>
              <w:rPr>
                <w:sz w:val="20"/>
                <w:szCs w:val="20"/>
                <w:color w:val="auto"/>
              </w:rPr>
            </w:pPr>
            <w:r>
              <w:rPr>
                <w:rFonts w:ascii="Arial" w:cs="Arial" w:eastAsia="Arial" w:hAnsi="Arial"/>
                <w:sz w:val="18"/>
                <w:szCs w:val="18"/>
                <w:color w:val="auto"/>
              </w:rPr>
              <w:t>for-sale securities, net of tax</w:t>
            </w:r>
          </w:p>
        </w:tc>
        <w:tc>
          <w:tcPr>
            <w:tcW w:w="30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adjustment</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3,022</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62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Nine months ended September 30,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20" w:type="dxa"/>
            <w:vAlign w:val="bottom"/>
          </w:tcPr>
          <w:p>
            <w:pPr>
              <w:spacing w:after="0"/>
              <w:rPr>
                <w:sz w:val="20"/>
                <w:szCs w:val="20"/>
                <w:color w:val="auto"/>
              </w:rPr>
            </w:pPr>
          </w:p>
        </w:tc>
        <w:tc>
          <w:tcPr>
            <w:tcW w:w="1380" w:type="dxa"/>
            <w:vAlign w:val="bottom"/>
          </w:tcPr>
          <w:p>
            <w:pPr>
              <w:jc w:val="right"/>
              <w:ind w:right="54"/>
              <w:spacing w:after="0"/>
              <w:rPr>
                <w:sz w:val="20"/>
                <w:szCs w:val="20"/>
                <w:color w:val="auto"/>
              </w:rPr>
            </w:pPr>
            <w:r>
              <w:rPr>
                <w:rFonts w:ascii="Arial" w:cs="Arial" w:eastAsia="Arial" w:hAnsi="Arial"/>
                <w:sz w:val="16"/>
                <w:szCs w:val="16"/>
                <w:b w:val="1"/>
                <w:bCs w:val="1"/>
                <w:color w:val="auto"/>
              </w:rPr>
              <w:t>2015</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53"/>
              <w:spacing w:after="0"/>
              <w:rPr>
                <w:sz w:val="20"/>
                <w:szCs w:val="20"/>
                <w:color w:val="auto"/>
              </w:rPr>
            </w:pPr>
            <w:r>
              <w:rPr>
                <w:rFonts w:ascii="Arial" w:cs="Arial" w:eastAsia="Arial" w:hAnsi="Arial"/>
                <w:sz w:val="16"/>
                <w:szCs w:val="16"/>
                <w:b w:val="1"/>
                <w:bCs w:val="1"/>
                <w:color w:val="auto"/>
              </w:rPr>
              <w:t>2014</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ind w:right="105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21"/>
                <w:szCs w:val="21"/>
                <w:color w:val="auto"/>
              </w:rPr>
            </w:pPr>
          </w:p>
        </w:tc>
        <w:tc>
          <w:tcPr>
            <w:tcW w:w="1360" w:type="dxa"/>
            <w:vAlign w:val="bottom"/>
          </w:tcPr>
          <w:p>
            <w:pPr>
              <w:jc w:val="right"/>
              <w:ind w:right="1033"/>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(recoveries of) doubtful accounts, net</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Write-down of inventory to net realizable value</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benefit from exercise of stock options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Deferred product revenue</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6,410</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0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 towards business acquisitions</w:t>
            </w: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intangibles</w:t>
            </w: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Proceeds from maturities and sales of marketable securities</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5,102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Purchases of marketable securities</w:t>
            </w:r>
          </w:p>
        </w:tc>
        <w:tc>
          <w:tcPr>
            <w:tcW w:w="1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proceeds from equity-based compensation programs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Tax benefits from equity-based compensation programs</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registration costs</w:t>
            </w:r>
          </w:p>
        </w:tc>
        <w:tc>
          <w:tcPr>
            <w:tcW w:w="1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1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for stock repurchases</w:t>
            </w:r>
          </w:p>
        </w:tc>
        <w:tc>
          <w:tcPr>
            <w:tcW w:w="1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7,440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17,192</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38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12,487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4820"/>
              <w:spacing w:after="0"/>
              <w:rPr>
                <w:sz w:val="20"/>
                <w:szCs w:val="20"/>
                <w:color w:val="auto"/>
              </w:rPr>
            </w:pPr>
            <w:r>
              <w:rPr>
                <w:rFonts w:ascii="Arial" w:cs="Arial" w:eastAsia="Arial" w:hAnsi="Arial"/>
                <w:sz w:val="18"/>
                <w:szCs w:val="18"/>
                <w:i w:val="1"/>
                <w:iCs w:val="1"/>
                <w:color w:val="auto"/>
              </w:rPr>
              <w:t>See accompanying notes</w:t>
            </w: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37"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540" w:type="dxa"/>
            <w:vAlign w:val="bottom"/>
            <w:gridSpan w:val="4"/>
          </w:tcPr>
          <w:p>
            <w:pPr>
              <w:jc w:val="right"/>
              <w:ind w:right="154"/>
              <w:spacing w:after="0"/>
              <w:rPr>
                <w:sz w:val="20"/>
                <w:szCs w:val="20"/>
                <w:color w:val="auto"/>
              </w:rPr>
            </w:pPr>
            <w:r>
              <w:rPr>
                <w:rFonts w:ascii="Arial" w:cs="Arial" w:eastAsia="Arial" w:hAnsi="Arial"/>
                <w:sz w:val="16"/>
                <w:szCs w:val="16"/>
                <w:b w:val="1"/>
                <w:bCs w:val="1"/>
                <w:color w:val="auto"/>
              </w:rPr>
              <w:t>Nine months ended September 30,</w:t>
            </w:r>
          </w:p>
        </w:tc>
        <w:tc>
          <w:tcPr>
            <w:tcW w:w="68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380" w:type="dxa"/>
            <w:vAlign w:val="bottom"/>
          </w:tcPr>
          <w:p>
            <w:pPr>
              <w:jc w:val="right"/>
              <w:ind w:right="96"/>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94"/>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380" w:type="dxa"/>
            <w:vAlign w:val="bottom"/>
          </w:tcPr>
          <w:p>
            <w:pPr>
              <w:jc w:val="right"/>
              <w:ind w:right="117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1"/>
                <w:szCs w:val="21"/>
                <w:color w:val="auto"/>
              </w:rPr>
            </w:pPr>
          </w:p>
        </w:tc>
        <w:tc>
          <w:tcPr>
            <w:tcW w:w="1380" w:type="dxa"/>
            <w:vAlign w:val="bottom"/>
          </w:tcPr>
          <w:p>
            <w:pPr>
              <w:jc w:val="right"/>
              <w:ind w:right="11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1,695</w:t>
            </w: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acquisition of business</w:t>
            </w:r>
          </w:p>
        </w:tc>
        <w:tc>
          <w:tcPr>
            <w:tcW w:w="13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r>
      <w:tr>
        <w:trPr>
          <w:trHeight w:val="27"/>
        </w:trPr>
        <w:tc>
          <w:tcPr>
            <w:tcW w:w="7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ClearOne, Inc. and its subsidiaries (collectively, “ClearOne” or the “Company”) are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6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These accompanying interim condensed consolidated financial statements for the three and nine months ended September 30, 2015 and 2014,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of September 30, 2015 and December 31, 2014, the results of operations for the three and nine months ended September 30, 2015 and 2014, and cash flows for the nine months ended September 30, 2015 and 2014. The results of operations for the three and nine months ended September 30, 2015 and 2014 are not necessarily indicative of the results for a full-year period. These interim condensed consolidated financial statements should be read in conjunction with the financial statements included in our Annual Report on Form 10-K for the year ended December 31, 2014 filed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2014. There have been no changes to these policies during the nine months ended September 30, 2015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Recent Accounting Pronouncements: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740" w:type="dxa"/>
            <w:vAlign w:val="bottom"/>
            <w:gridSpan w:val="6"/>
          </w:tcPr>
          <w:p>
            <w:pPr>
              <w:ind w:left="100"/>
              <w:spacing w:after="0"/>
              <w:rPr>
                <w:sz w:val="20"/>
                <w:szCs w:val="20"/>
                <w:color w:val="auto"/>
              </w:rPr>
            </w:pPr>
            <w:r>
              <w:rPr>
                <w:rFonts w:ascii="Arial" w:cs="Arial" w:eastAsia="Arial" w:hAnsi="Arial"/>
                <w:sz w:val="16"/>
                <w:szCs w:val="16"/>
                <w:b w:val="1"/>
                <w:bCs w:val="1"/>
                <w:color w:val="auto"/>
                <w:w w:val="96"/>
              </w:rPr>
              <w:t>Three months ended September 30,</w:t>
            </w:r>
          </w:p>
        </w:tc>
        <w:tc>
          <w:tcPr>
            <w:tcW w:w="120" w:type="dxa"/>
            <w:vAlign w:val="bottom"/>
          </w:tcPr>
          <w:p>
            <w:pPr>
              <w:spacing w:after="0"/>
              <w:rPr>
                <w:sz w:val="18"/>
                <w:szCs w:val="18"/>
                <w:color w:val="auto"/>
              </w:rPr>
            </w:pPr>
          </w:p>
        </w:tc>
        <w:tc>
          <w:tcPr>
            <w:tcW w:w="2500" w:type="dxa"/>
            <w:vAlign w:val="bottom"/>
            <w:gridSpan w:val="4"/>
          </w:tcPr>
          <w:p>
            <w:pPr>
              <w:jc w:val="right"/>
              <w:ind w:right="31"/>
              <w:spacing w:after="0"/>
              <w:rPr>
                <w:sz w:val="20"/>
                <w:szCs w:val="20"/>
                <w:color w:val="auto"/>
              </w:rPr>
            </w:pPr>
            <w:r>
              <w:rPr>
                <w:rFonts w:ascii="Arial" w:cs="Arial" w:eastAsia="Arial" w:hAnsi="Arial"/>
                <w:sz w:val="16"/>
                <w:szCs w:val="16"/>
                <w:b w:val="1"/>
                <w:bCs w:val="1"/>
                <w:color w:val="auto"/>
                <w:w w:val="89"/>
              </w:rPr>
              <w:t>Nine months ended September 30,</w:t>
            </w:r>
          </w:p>
        </w:tc>
      </w:tr>
      <w:tr>
        <w:trPr>
          <w:trHeight w:val="33"/>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2,962</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9,139,329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9,198,730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9,119,925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9,182,875</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common stock equivalents using treasury stock method</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476,355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408,914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464,026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433,003</w:t>
            </w:r>
          </w:p>
        </w:tc>
      </w:tr>
      <w:tr>
        <w:trPr>
          <w:trHeight w:val="297"/>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9,615,684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9,607,644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9,583,951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9,615,878</w:t>
            </w:r>
          </w:p>
        </w:tc>
      </w:tr>
      <w:tr>
        <w:trPr>
          <w:trHeight w:val="311"/>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0.32</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r>
      <w:tr>
        <w:trPr>
          <w:trHeight w:val="32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1,061,705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923,424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1,045,697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955,606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276,459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255,375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169,306</w:t>
            </w:r>
          </w:p>
        </w:tc>
      </w:tr>
    </w:tbl>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Sabine</w:t>
      </w:r>
    </w:p>
    <w:p>
      <w:pPr>
        <w:spacing w:after="0" w:line="30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March 7, 2014, the Company completed the acquisition of Sabine, Inc. ("Sabine") through a stock purchase agreement ("SPA"). Through the acquisition, the Company now manufactures, designs and sells professional wireless microphone systems for live and installed audio under the Sacom and ClearOne brand. It also makes an FBX Feedback Exterminator for reliable automatic feedback control. With the addition of Sabine, the Company now has reliable and exclusive access to the supply of wireless microphones that are a critical component of its complete microphone portfolio.</w:t>
      </w:r>
    </w:p>
    <w:p>
      <w:pPr>
        <w:spacing w:after="0" w:line="3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Pursuant to the SPA, the Company (i) paid initial consideration of $8,141 in cash, (ii) accrued for possible additional earn-out payments over the next two years, estimated to be $657,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consideration paid for the acquisition:</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9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w:t>
            </w:r>
          </w:p>
        </w:tc>
      </w:tr>
      <w:tr>
        <w:trPr>
          <w:trHeight w:val="261"/>
        </w:trPr>
        <w:tc>
          <w:tcPr>
            <w:tcW w:w="9360" w:type="dxa"/>
            <w:vAlign w:val="bottom"/>
          </w:tcPr>
          <w:p>
            <w:pPr>
              <w:ind w:left="40"/>
              <w:spacing w:after="0"/>
              <w:rPr>
                <w:sz w:val="20"/>
                <w:szCs w:val="20"/>
                <w:color w:val="auto"/>
              </w:rPr>
            </w:pPr>
            <w:r>
              <w:rPr>
                <w:rFonts w:ascii="Arial" w:cs="Arial" w:eastAsia="Arial" w:hAnsi="Arial"/>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1,679</w:t>
            </w:r>
          </w:p>
        </w:tc>
      </w:tr>
      <w:tr>
        <w:trPr>
          <w:trHeight w:val="23"/>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59"/>
        </w:trPr>
        <w:tc>
          <w:tcPr>
            <w:tcW w:w="9360" w:type="dxa"/>
            <w:vAlign w:val="bottom"/>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values of Sabine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5,510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goodwill of $5,510 related to the acquisition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$5,510 related to the acquisition of Sabine is expected to be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net loss from the Sabine business from March 8, 2014 to September 30, 2014 were $2,887 and $374 respectively.</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and earnings of the combined entity as of September 30, 2014 as though the business combination occurred as of January 1, 2014 were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Arial" w:cs="Arial" w:eastAsia="Arial" w:hAnsi="Arial"/>
                <w:sz w:val="14"/>
                <w:szCs w:val="14"/>
                <w:b w:val="1"/>
                <w:bCs w:val="1"/>
                <w:color w:val="auto"/>
              </w:rPr>
              <w:t>Three months ended September</w:t>
            </w:r>
          </w:p>
        </w:tc>
        <w:tc>
          <w:tcPr>
            <w:tcW w:w="21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92"/>
        </w:trPr>
        <w:tc>
          <w:tcPr>
            <w:tcW w:w="68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30, 2014</w:t>
            </w:r>
          </w:p>
        </w:tc>
        <w:tc>
          <w:tcPr>
            <w:tcW w:w="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2014</w:t>
            </w:r>
          </w:p>
        </w:tc>
      </w:tr>
      <w:tr>
        <w:trPr>
          <w:trHeight w:val="264"/>
        </w:trPr>
        <w:tc>
          <w:tcPr>
            <w:tcW w:w="68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b w:val="1"/>
                <w:bCs w:val="1"/>
                <w:color w:val="auto"/>
              </w:rPr>
              <w:t>2014</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15,739</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42,827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Earnings</w:t>
            </w:r>
          </w:p>
        </w:tc>
        <w:tc>
          <w:tcPr>
            <w:tcW w:w="48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1,646</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2,830</w:t>
            </w: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0.18</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0.29</w:t>
            </w:r>
          </w:p>
        </w:tc>
      </w:tr>
    </w:tbl>
    <w:p>
      <w:pPr>
        <w:spacing w:after="0" w:line="229" w:lineRule="exact"/>
        <w:rPr>
          <w:sz w:val="20"/>
          <w:szCs w:val="20"/>
          <w:color w:val="auto"/>
        </w:rPr>
      </w:pPr>
    </w:p>
    <w:p>
      <w:pPr>
        <w:ind w:right="460" w:firstLine="656"/>
        <w:spacing w:after="0" w:line="277" w:lineRule="auto"/>
        <w:tabs>
          <w:tab w:leader="none" w:pos="8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material, nonrecurring pro forma adjustments directly attributable to the acquisition included in this Supplemental Pro Forma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Spontania Business of Spain-based Dialcom Networks, S.L.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1, 2014 ClearOne, Inc. closed on the acquisition of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aggregate purchase price under the terms of the transaction was approximately €3.66 million in cash (approximately US$5.1 million ), after certain closing adjustments. ClearOne did not assume any debt or cash. The cash purchase price was paid out of cash on hand. The addition of this technology was an integral part of the company’s strategy to build an all-inclusive video collaboration portfolio.</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40" w:type="dxa"/>
            <w:vAlign w:val="bottom"/>
          </w:tcPr>
          <w:p>
            <w:pPr>
              <w:jc w:val="center"/>
              <w:ind w:left="1970"/>
              <w:spacing w:after="0"/>
              <w:rPr>
                <w:sz w:val="20"/>
                <w:szCs w:val="20"/>
                <w:color w:val="auto"/>
              </w:rPr>
            </w:pPr>
            <w:r>
              <w:rPr>
                <w:rFonts w:ascii="Arial" w:cs="Arial" w:eastAsia="Arial" w:hAnsi="Arial"/>
                <w:sz w:val="18"/>
                <w:szCs w:val="18"/>
                <w:b w:val="1"/>
                <w:bCs w:val="1"/>
                <w:color w:val="auto"/>
              </w:rPr>
              <w:t>CLEARONE, INC.</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jc w:val="center"/>
              <w:ind w:left="19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9340" w:type="dxa"/>
            <w:vAlign w:val="bottom"/>
          </w:tcPr>
          <w:p>
            <w:pPr>
              <w:jc w:val="center"/>
              <w:ind w:left="2010"/>
              <w:spacing w:after="0"/>
              <w:rPr>
                <w:sz w:val="20"/>
                <w:szCs w:val="20"/>
                <w:color w:val="auto"/>
              </w:rPr>
            </w:pPr>
            <w:r>
              <w:rPr>
                <w:rFonts w:ascii="Arial" w:cs="Arial" w:eastAsia="Arial" w:hAnsi="Arial"/>
                <w:sz w:val="18"/>
                <w:szCs w:val="18"/>
                <w:b w:val="1"/>
                <w:bCs w:val="1"/>
                <w:color w:val="auto"/>
                <w:w w:val="88"/>
              </w:rPr>
              <w:t>(Dollars in thousands, except per share amounts)</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891"/>
        </w:trPr>
        <w:tc>
          <w:tcPr>
            <w:tcW w:w="9360" w:type="dxa"/>
            <w:vAlign w:val="bottom"/>
            <w:gridSpan w:val="2"/>
          </w:tcPr>
          <w:p>
            <w:pPr>
              <w:spacing w:after="0"/>
              <w:rPr>
                <w:sz w:val="20"/>
                <w:szCs w:val="20"/>
                <w:color w:val="auto"/>
              </w:rPr>
            </w:pPr>
            <w:r>
              <w:rPr>
                <w:rFonts w:ascii="Arial" w:cs="Arial" w:eastAsia="Arial" w:hAnsi="Arial"/>
                <w:sz w:val="18"/>
                <w:szCs w:val="18"/>
                <w:color w:val="auto"/>
              </w:rPr>
              <w:t>The fair value of identified assets and liabilities acquired from the Spontania acquisition was as follows:</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r>
      <w:tr>
        <w:trPr>
          <w:trHeight w:val="243"/>
        </w:trPr>
        <w:tc>
          <w:tcPr>
            <w:tcW w:w="20" w:type="dxa"/>
            <w:vAlign w:val="bottom"/>
          </w:tcPr>
          <w:p>
            <w:pPr>
              <w:spacing w:after="0"/>
              <w:rPr>
                <w:sz w:val="21"/>
                <w:szCs w:val="21"/>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w:t>
            </w:r>
          </w:p>
        </w:tc>
      </w:tr>
      <w:tr>
        <w:trPr>
          <w:trHeight w:val="243"/>
        </w:trPr>
        <w:tc>
          <w:tcPr>
            <w:tcW w:w="20" w:type="dxa"/>
            <w:vAlign w:val="bottom"/>
          </w:tcPr>
          <w:p>
            <w:pPr>
              <w:spacing w:after="0"/>
              <w:rPr>
                <w:sz w:val="21"/>
                <w:szCs w:val="21"/>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goodwill of $3,741 relates to the acquisition of Spontania cloud-based technology and intangible assets including acquired workforce that does not qualify for separate recognition. The goodwill of $3,741 from the Spontania acquisition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Revenue and earnings of the combined entity as though the business combination occurred as of January 1, 2014 is not available. The Spontania business was part of a business unit of Dialcom Networks, S.L., and thus separate stand-alone financial information for Spontania is not available.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nine months ended September 30, 2015 and 2014, the Company incurred $302 and $459 in total acquisition related expenses for the Sabine and Spontania acquisitions, all of which are categorized under general and administrative expenses in the Condensed Consolidated Statement of Income and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Retroactive Restatement</w:t>
      </w:r>
      <w:r>
        <w:rPr>
          <w:rFonts w:ascii="Arial" w:cs="Arial" w:eastAsia="Arial" w:hAnsi="Arial"/>
          <w:sz w:val="18"/>
          <w:szCs w:val="18"/>
          <w:i w:val="1"/>
          <w:iCs w:val="1"/>
          <w:color w:val="auto"/>
        </w:rPr>
        <w:t>:</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Following the completion of the valuation process for the acquisition of Sabine we reported intangible amortization to reflect the final adjusted values in our Form 10-K, as amended, for the year ended December 31, 2014. For the quarter and nine months ended September 30, 2015 we reported amortization based on the final valuation of intangible items. For the comparative quarter and nine months ended September 30, 2014 we have retroactively adjusted net income to reflect the inclusion of the revised amortization applicable to those periods. Net income changed from $1,646 and $3,070 originally reported for the three and nine months ended September 30, 2014 to $1,594 and $2,962, respectively. The reported retained earnings balance of $30,135 at September 30, 2014 retroactively adjusted would be $30,082. The retroactive adjustment resulted in changes in basic and diluted earnings per share for the three months ended September 30, 2014 from $0.18 and $0.17 to $0.17 and $0.17, respectively. The retroactive adjustment resulted in changes in basic and diluted earnings per share for the nine months ended September 30, 2014 from $0.33 and $0.32 to $0.32 and $0.31,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4"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September 30, 2015 and December 31, 2014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2015</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21,336</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5,668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26,985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27,036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26,096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26,156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September 30,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jc w:val="right"/>
              <w:ind w:right="636"/>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7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cost</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2015</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Due within one year</w:t>
            </w:r>
          </w:p>
        </w:tc>
        <w:tc>
          <w:tcPr>
            <w:tcW w:w="1400" w:type="dxa"/>
            <w:vAlign w:val="bottom"/>
          </w:tcPr>
          <w:p>
            <w:pPr>
              <w:jc w:val="right"/>
              <w:ind w:right="119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6,602</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after one year through five years</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19,959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20,017</w:t>
            </w: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Due after five years through ten years</w:t>
            </w:r>
          </w:p>
        </w:tc>
        <w:tc>
          <w:tcPr>
            <w:tcW w:w="14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417</w:t>
            </w:r>
          </w:p>
        </w:tc>
      </w:tr>
      <w:tr>
        <w:trPr>
          <w:trHeight w:val="27"/>
        </w:trPr>
        <w:tc>
          <w:tcPr>
            <w:tcW w:w="7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available-for-sale securities</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26,985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27,036</w:t>
            </w:r>
          </w:p>
        </w:tc>
      </w:tr>
      <w:tr>
        <w:trPr>
          <w:trHeight w:val="20"/>
        </w:trPr>
        <w:tc>
          <w:tcPr>
            <w:tcW w:w="7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Debt securities in an unrealized loss position as of September 30, 2015 were not deemed impaired at acquisition and subsequent declines in fair value are not deemed attributed to declines in credit quality. Management believes that it is more likely than not that the securities will receive a full recovery of par value. The following table summarizes the fair value and gross unrealized losses of the Company’s investments with unrealized losses, aggregated by type of investment instrument and length of time that individual securities have been in a continuous unrealized loss position, as of September 30,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3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holding</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September 30, 2015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6"/>
                <w:szCs w:val="16"/>
                <w:color w:val="auto"/>
              </w:rPr>
              <w:t>Corporate bonds and notes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5,137</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0"/>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7,599</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5,338</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2,691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8,029</w:t>
            </w:r>
          </w:p>
        </w:tc>
        <w:tc>
          <w:tcPr>
            <w:tcW w:w="42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2015 and December 31, 2014 consisted of the following: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Estimated useful lives</w:t>
            </w:r>
          </w:p>
        </w:tc>
        <w:tc>
          <w:tcPr>
            <w:tcW w:w="26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2015</w:t>
            </w:r>
          </w:p>
        </w:tc>
        <w:tc>
          <w:tcPr>
            <w:tcW w:w="280" w:type="dxa"/>
            <w:vAlign w:val="bottom"/>
          </w:tcPr>
          <w:p>
            <w:pPr>
              <w:spacing w:after="0"/>
              <w:rPr>
                <w:sz w:val="18"/>
                <w:szCs w:val="18"/>
                <w:color w:val="auto"/>
              </w:rPr>
            </w:pPr>
          </w:p>
        </w:tc>
        <w:tc>
          <w:tcPr>
            <w:tcW w:w="1640" w:type="dxa"/>
            <w:vAlign w:val="bottom"/>
          </w:tcPr>
          <w:p>
            <w:pPr>
              <w:jc w:val="right"/>
              <w:ind w:right="211"/>
              <w:spacing w:after="0"/>
              <w:rPr>
                <w:sz w:val="20"/>
                <w:szCs w:val="20"/>
                <w:color w:val="auto"/>
              </w:rPr>
            </w:pPr>
            <w:r>
              <w:rPr>
                <w:rFonts w:ascii="Arial" w:cs="Arial" w:eastAsia="Arial" w:hAnsi="Arial"/>
                <w:sz w:val="16"/>
                <w:szCs w:val="16"/>
                <w:b w:val="1"/>
                <w:bCs w:val="1"/>
                <w:color w:val="auto"/>
                <w:w w:val="91"/>
              </w:rPr>
              <w:t>December 31, 2014</w:t>
            </w:r>
          </w:p>
        </w:tc>
      </w:tr>
      <w:tr>
        <w:trPr>
          <w:trHeight w:val="33"/>
        </w:trPr>
        <w:tc>
          <w:tcPr>
            <w:tcW w:w="55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5 to 7 years</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 years</w:t>
            </w:r>
          </w:p>
        </w:tc>
        <w:tc>
          <w:tcPr>
            <w:tcW w:w="26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5,850</w:t>
            </w:r>
          </w:p>
        </w:tc>
      </w:tr>
      <w:tr>
        <w:trPr>
          <w:trHeight w:val="27"/>
        </w:trPr>
        <w:tc>
          <w:tcPr>
            <w:tcW w:w="5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 to 15 years</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5 years</w:t>
            </w:r>
          </w:p>
        </w:tc>
        <w:tc>
          <w:tcPr>
            <w:tcW w:w="26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324</w:t>
            </w:r>
          </w:p>
        </w:tc>
      </w:tr>
      <w:tr>
        <w:trPr>
          <w:trHeight w:val="27"/>
        </w:trPr>
        <w:tc>
          <w:tcPr>
            <w:tcW w:w="55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(3,174)</w:t>
            </w:r>
          </w:p>
        </w:tc>
      </w:tr>
      <w:tr>
        <w:trPr>
          <w:trHeight w:val="27"/>
        </w:trPr>
        <w:tc>
          <w:tcPr>
            <w:tcW w:w="55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nine months ended September 30, 2015 and September 30, 2014 was as follows:</w:t>
      </w:r>
    </w:p>
    <w:p>
      <w:pPr>
        <w:sectPr>
          <w:pgSz w:w="11900" w:h="16838" w:orient="portrait"/>
          <w:cols w:equalWidth="0" w:num="1">
            <w:col w:w="11420"/>
          </w:cols>
          <w:pgMar w:left="240" w:top="121" w:right="239" w:bottom="0" w:gutter="0" w:footer="0" w:header="0"/>
        </w:sectPr>
      </w:pP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52070</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p>
      <w:pPr>
        <w:ind w:left="5120"/>
        <w:spacing w:after="0"/>
        <w:tabs>
          <w:tab w:leader="none" w:pos="686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52070</wp:posOffset>
            </wp:positionV>
            <wp:extent cx="2178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03"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39" w:lineRule="exact"/>
        <w:rPr>
          <w:sz w:val="20"/>
          <w:szCs w:val="20"/>
          <w:color w:val="auto"/>
        </w:rPr>
      </w:pPr>
    </w:p>
    <w:p>
      <w:pPr>
        <w:sectPr>
          <w:pgSz w:w="11900" w:h="16838" w:orient="portrait"/>
          <w:cols w:equalWidth="0" w:num="2">
            <w:col w:w="7820" w:space="720"/>
            <w:col w:w="288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4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tcBorders>
              <w:top w:val="single" w:sz="8" w:color="auto"/>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944</w:t>
            </w:r>
          </w:p>
        </w:tc>
        <w:tc>
          <w:tcPr>
            <w:tcW w:w="780" w:type="dxa"/>
            <w:vAlign w:val="bottom"/>
            <w:tcBorders>
              <w:top w:val="single" w:sz="8" w:color="auto"/>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432"/>
        </w:trPr>
        <w:tc>
          <w:tcPr>
            <w:tcW w:w="5620" w:type="dxa"/>
            <w:vAlign w:val="bottom"/>
            <w:gridSpan w:val="4"/>
          </w:tcPr>
          <w:p>
            <w:pPr>
              <w:spacing w:after="0"/>
              <w:rPr>
                <w:sz w:val="20"/>
                <w:szCs w:val="20"/>
                <w:color w:val="auto"/>
              </w:rPr>
            </w:pPr>
            <w:r>
              <w:rPr>
                <w:rFonts w:ascii="Arial" w:cs="Arial" w:eastAsia="Arial" w:hAnsi="Arial"/>
                <w:sz w:val="18"/>
                <w:szCs w:val="18"/>
                <w:color w:val="auto"/>
                <w:w w:val="92"/>
              </w:rPr>
              <w:t>The estimated future amortization expense of intangible assets is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6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2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2015 (remainder)</w:t>
            </w: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2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2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6.  Inventories</w:t>
            </w:r>
          </w:p>
        </w:tc>
        <w:tc>
          <w:tcPr>
            <w:tcW w:w="1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6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60" w:type="dxa"/>
            <w:vAlign w:val="bottom"/>
            <w:gridSpan w:val="12"/>
          </w:tcPr>
          <w:p>
            <w:pPr>
              <w:spacing w:after="0"/>
              <w:rPr>
                <w:sz w:val="20"/>
                <w:szCs w:val="20"/>
                <w:color w:val="auto"/>
              </w:rPr>
            </w:pPr>
            <w:r>
              <w:rPr>
                <w:rFonts w:ascii="Arial" w:cs="Arial" w:eastAsia="Arial" w:hAnsi="Arial"/>
                <w:sz w:val="18"/>
                <w:szCs w:val="18"/>
                <w:color w:val="auto"/>
                <w:w w:val="93"/>
              </w:rPr>
              <w:t>Inventories, marked to lower of cost or market, as of September 30, 2015 and December 31, 2014 consisted of the following:</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4"/>
          </w:tcPr>
          <w:p>
            <w:pPr>
              <w:ind w:left="80"/>
              <w:spacing w:after="0"/>
              <w:rPr>
                <w:sz w:val="20"/>
                <w:szCs w:val="20"/>
                <w:color w:val="auto"/>
              </w:rPr>
            </w:pPr>
            <w:r>
              <w:rPr>
                <w:rFonts w:ascii="Arial" w:cs="Arial" w:eastAsia="Arial" w:hAnsi="Arial"/>
                <w:sz w:val="16"/>
                <w:szCs w:val="16"/>
                <w:b w:val="1"/>
                <w:bCs w:val="1"/>
                <w:color w:val="auto"/>
              </w:rPr>
              <w:t>September 30, 2015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auto"/>
                <w:w w:val="94"/>
              </w:rPr>
              <w:t>December 31, 2014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14,464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080" w:type="dxa"/>
            <w:vAlign w:val="bottom"/>
            <w:tcBorders>
              <w:bottom w:val="single" w:sz="8" w:color="CCEEFF"/>
            </w:tcBorders>
          </w:tcPr>
          <w:p>
            <w:pPr>
              <w:spacing w:after="0"/>
              <w:rPr>
                <w:sz w:val="5"/>
                <w:szCs w:val="5"/>
                <w:color w:val="auto"/>
              </w:rPr>
            </w:pPr>
          </w:p>
        </w:tc>
        <w:tc>
          <w:tcPr>
            <w:tcW w:w="234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1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0" w:gutter="0" w:footer="0" w:header="0"/>
          <w:type w:val="continuous"/>
        </w:sectPr>
      </w:pPr>
    </w:p>
    <w:bookmarkStart w:id="12" w:name="page13"/>
    <w:bookmarkEnd w:id="1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$1,663 and $1,698 as of September 30, 2015 and December 31, 2014,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nine months ended September 30, 2015 and 2014, respectively.</w:t>
      </w:r>
    </w:p>
    <w:p>
      <w:pPr>
        <w:sectPr>
          <w:pgSz w:w="11900" w:h="16838" w:orient="portrait"/>
          <w:cols w:equalWidth="0" w:num="1">
            <w:col w:w="11420"/>
          </w:cols>
          <w:pgMar w:left="240" w:top="121" w:right="239" w:bottom="1440" w:gutter="0" w:footer="0" w:header="0"/>
        </w:sectPr>
      </w:pPr>
    </w:p>
    <w:p>
      <w:pPr>
        <w:spacing w:after="0" w:line="130"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52070</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ind w:left="5940"/>
        <w:spacing w:after="0"/>
        <w:tabs>
          <w:tab w:leader="none" w:pos="738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52070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3" w:lineRule="exact"/>
        <w:rPr>
          <w:sz w:val="20"/>
          <w:szCs w:val="20"/>
          <w:color w:val="auto"/>
        </w:rPr>
      </w:pPr>
    </w:p>
    <w:p>
      <w:pPr>
        <w:ind w:left="200"/>
        <w:spacing w:after="0"/>
        <w:tabs>
          <w:tab w:leader="none" w:pos="172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39" w:lineRule="exact"/>
        <w:rPr>
          <w:sz w:val="20"/>
          <w:szCs w:val="20"/>
          <w:color w:val="auto"/>
        </w:rPr>
      </w:pPr>
    </w:p>
    <w:p>
      <w:pPr>
        <w:sectPr>
          <w:pgSz w:w="11900" w:h="16838" w:orient="portrait"/>
          <w:cols w:equalWidth="0" w:num="2">
            <w:col w:w="8060" w:space="720"/>
            <w:col w:w="26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loss on valuation of inventory and write-off of obsolete inventory</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r>
      <w:tr>
        <w:trPr>
          <w:trHeight w:val="432"/>
        </w:trPr>
        <w:tc>
          <w:tcPr>
            <w:tcW w:w="5420" w:type="dxa"/>
            <w:vAlign w:val="bottom"/>
          </w:tcPr>
          <w:p>
            <w:pPr>
              <w:spacing w:after="0"/>
              <w:rPr>
                <w:sz w:val="20"/>
                <w:szCs w:val="20"/>
                <w:color w:val="auto"/>
              </w:rPr>
            </w:pPr>
            <w:r>
              <w:rPr>
                <w:rFonts w:ascii="Arial" w:cs="Arial" w:eastAsia="Arial" w:hAnsi="Arial"/>
                <w:sz w:val="18"/>
                <w:szCs w:val="18"/>
                <w:b w:val="1"/>
                <w:bCs w:val="1"/>
                <w:color w:val="auto"/>
              </w:rPr>
              <w:t>7.  Share-based Compensation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5420" w:type="dxa"/>
            <w:vAlign w:val="bottom"/>
          </w:tcPr>
          <w:p>
            <w:pPr>
              <w:spacing w:after="0"/>
              <w:rPr>
                <w:sz w:val="20"/>
                <w:szCs w:val="20"/>
                <w:color w:val="auto"/>
              </w:rPr>
            </w:pPr>
            <w:r>
              <w:rPr>
                <w:rFonts w:ascii="Arial" w:cs="Arial" w:eastAsia="Arial" w:hAnsi="Arial"/>
                <w:sz w:val="18"/>
                <w:szCs w:val="18"/>
                <w:color w:val="auto"/>
              </w:rPr>
              <w:t>Share-based compensation expense has been recorded as follows: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2"/>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8"/>
          </w:tcPr>
          <w:p>
            <w:pPr>
              <w:jc w:val="right"/>
              <w:ind w:right="180"/>
              <w:spacing w:after="0"/>
              <w:rPr>
                <w:sz w:val="20"/>
                <w:szCs w:val="20"/>
                <w:color w:val="auto"/>
              </w:rPr>
            </w:pPr>
            <w:r>
              <w:rPr>
                <w:rFonts w:ascii="Arial" w:cs="Arial" w:eastAsia="Arial" w:hAnsi="Arial"/>
                <w:sz w:val="16"/>
                <w:szCs w:val="16"/>
                <w:b w:val="1"/>
                <w:bCs w:val="1"/>
                <w:color w:val="auto"/>
                <w:w w:val="91"/>
              </w:rPr>
              <w:t>Three months ended 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4"/>
          </w:tcPr>
          <w:p>
            <w:pPr>
              <w:jc w:val="right"/>
              <w:ind w:right="131"/>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2015, the total remaining unrecognized compensation cost related to non-vested stock options, net of forfeitures, was approximately $1,161, which will be recognized over a weighted average period of 2.29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shareholders’ equity during the three and nine months ended September 30, 2015 and 2014,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660" w:type="dxa"/>
            <w:vAlign w:val="bottom"/>
            <w:gridSpan w:val="4"/>
          </w:tcPr>
          <w:p>
            <w:pPr>
              <w:jc w:val="right"/>
              <w:ind w:right="131"/>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70,335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2,962</w:t>
            </w: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Tax benefit - stock option exercise</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for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Unrealized gain or loss on investments, net of tax</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Balance at 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81,406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74,819</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81,406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74,819</w:t>
            </w: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12, 2015, the Company announced a quarterly cash dividend of $0.05 per share to be paid on December 21, 2015 to shareholders of record as of December 4, 2015.</w:t>
      </w:r>
    </w:p>
    <w:p>
      <w:pPr>
        <w:spacing w:after="0" w:line="39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3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substantial majority of the Company’s financial instruments are valued using quoted prices in markets that are not active or based on other observable inputs. The following table sets forth the fair value of the financial instruments re-measured by the Company as of September 30, 2015 and December 31, 2014:</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20" w:type="dxa"/>
            <w:vAlign w:val="bottom"/>
          </w:tcPr>
          <w:p>
            <w:pPr>
              <w:ind w:left="440"/>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2015</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02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21,336</w:t>
            </w:r>
          </w:p>
        </w:tc>
        <w:tc>
          <w:tcPr>
            <w:tcW w:w="10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21,336</w:t>
            </w:r>
          </w:p>
        </w:tc>
      </w:tr>
      <w:tr>
        <w:trPr>
          <w:trHeight w:val="27"/>
        </w:trPr>
        <w:tc>
          <w:tcPr>
            <w:tcW w:w="5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5,700</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27,036</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27,036</w:t>
            </w:r>
          </w:p>
        </w:tc>
      </w:tr>
      <w:tr>
        <w:trPr>
          <w:trHeight w:val="20"/>
        </w:trPr>
        <w:tc>
          <w:tcPr>
            <w:tcW w:w="5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19,838</w:t>
            </w:r>
          </w:p>
        </w:tc>
        <w:tc>
          <w:tcPr>
            <w:tcW w:w="10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19,838</w:t>
            </w:r>
          </w:p>
        </w:tc>
      </w:tr>
      <w:tr>
        <w:trPr>
          <w:trHeight w:val="27"/>
        </w:trPr>
        <w:tc>
          <w:tcPr>
            <w:tcW w:w="5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r>
      <w:tr>
        <w:trPr>
          <w:trHeight w:val="257"/>
        </w:trPr>
        <w:tc>
          <w:tcPr>
            <w:tcW w:w="5620" w:type="dxa"/>
            <w:vAlign w:val="bottom"/>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26,156</w:t>
            </w:r>
          </w:p>
        </w:tc>
      </w:tr>
      <w:tr>
        <w:trPr>
          <w:trHeight w:val="20"/>
        </w:trPr>
        <w:tc>
          <w:tcPr>
            <w:tcW w:w="5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forecasted effective tax rate at September 30, 2015 is 36.3%, a 4.3% increase from the 32.0% effective tax rate recorded at December 31, 2014. The forecasted effective tax rate of 36.3% excludes jurisdictions for which no benefit from forecasted current year losses is anticipated. Including losses from such jurisdictions results in a forecasted effective tax rate of 36.6%. Our forecasted effective tax rate could fluctuate significantly on a quarterly basis and could change, to the extent that earnings in countries with tax rates that differ from that of the U.S. differ, from amounts anticipated at September 30, 2015.</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After discrete tax benefit of $171, the effective tax rate for the quarter ended September 30, 2015 is 36.5%. The discrete tax benefit is primarily attributable to changes in unrecognized tax benefits related to the expiration of statute of limitation time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October 8, 2015, the Company received notice from its registered public accounting firm, McGladrey LLP (McGladrey), that McGladrey resigned effective October 8, 2015. A full description the disclosures surrounding the resignation can be found in the related Form 8-K filed on October 14, 2015.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October 13, 2015, the Company engaged Tanner LLC (Tanner) to serve as its new independent registered public accounting firm for (a) the audit for the fiscal year ending December 31, 2015; (b) interim reviews for the periods ending September 30, 2015, March 31, 2016, June 30, 2016 and September 30, 2016; and (c) for the (i) re-audit and report of Independent Registered Public Accounting Firm relating to the Company's consolidated financial statements for the year ended December 31, 2014; and (ii) the re-review of the Company's financial statements for the interim periods ended March 31, 2015 and June 30, 2015. A full description the disclosures surrounding the appointment can be found in the related Form 8-K filed on October 14, 2015.</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November 12, 2015, the Company announced a quarterly cash dividend of $0.05 per share to be paid on December 21, 2015 to shareholders of record as of December 4, 2015.</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November 24, 2015, the Company received a letter from NASDAQ Stock Market stating that the Company no longer complies with NASDAQ Listing Rule 5250(c)(1) as a result of its former auditor McGladrey LLP’s resignation and withdrawal of its audit report on the Company’s financial statements for the year ended December 31, 2014 solely as a result of its determination that it was not independent of the Company for such period and subsequent interim periods and the Company’s delay in filing its Form 10-Q for the period ended September 30, 2015. A full description of the disclosures surrounding the receipt of the letter can be found in the related Form 8-K filed on December 1, 2015.</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press releases and reports filed with the SEC, including our Annual Report on Form 10-K for the year ended December 31, 2014.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2014.</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market share position in the global professional audio conferencing market, with more than 50% of the total global market share. Our products are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Standardize our products among the Fortune 500 and other blue chip companies;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Leverage the video conferencing, streaming and digital signage technologies we have acquired over the years to enter new growth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Capitalize on the increasing adoption of unified communications and introduce new products through information technology channels;</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revenues were $15.9 million and $15.7 million during the three months ended September 30, 2015 and 2014, respectively. The increase in revenues was due to the increase in professional revenue consisting of microphones and especially due to the benefit of a licensing agreement. Our gross profit increased by $548 thousand during the three months ended September 30, 2015 compared to the three months ended September 30, 2014. Net income increased by $823 thousand during the three months ended September 30, 2015 compared to the three months ended September 30, 2014. Net income for the three months ended September 30, 2015 increased primarily due to increased gross profit without any increase in operating expenses. Gross profit increased due to favorable product mix and the benefit of the licensing agreement.</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revenues were $43.5 million and $42.6 million during the nine months ended September 30, 2015 and 2014, respectively. The increase in revenues was due to increased professional revenue consisting of microphones and especially due to the benefit of a licensing agreement and also due to increased revenue from video products. Our gross profit increased by $2.2 million during the nine months ended September 30, 2015 compared to the nine months ended September 30, 2014. Net income increased by $2.2 million during the nine months ended September 30, 2015 compared to the nine months ended September 30, 2014. Net income for the nine months ended September 30, 2015 increased primarily due to increased gross profit combined with a reduction in operating expenses. Gross profit increased due to favorable product mix and the benefit of the licensing agreement.</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prospects of growth and its magnitude in both revenues and profits in the near future would depend on the strength of the global economy, the penetration level of our new products, including products added through acquisitions and the continued impact of the strength of dollar on our revenues from international markets. We continue to closely monitor the economic situation in Australia, China and Europe as well as the spending pattern of our big customers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nine months ended September 30, 2015 and 2014</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and nine months ended September 30, 2015 and 2014, respectively, together with the percentage of total revenue which each such item represents: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4"/>
              </w:rPr>
              <w:t>Three months ended September 30,</w:t>
            </w: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0"/>
              </w:rPr>
              <w:t>Nine months ended 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7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15,913</w:t>
            </w:r>
          </w:p>
        </w:tc>
        <w:tc>
          <w:tcPr>
            <w:tcW w:w="1100" w:type="dxa"/>
            <w:vAlign w:val="bottom"/>
            <w:tcBorders>
              <w:bottom w:val="single" w:sz="8" w:color="CCEEFF"/>
            </w:tcBorders>
            <w:gridSpan w:val="3"/>
            <w:shd w:val="clear" w:color="auto" w:fill="CCEEFF"/>
          </w:tcPr>
          <w:p>
            <w:pPr>
              <w:jc w:val="center"/>
              <w:ind w:left="120"/>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20"/>
              <w:spacing w:after="0"/>
              <w:rPr>
                <w:sz w:val="20"/>
                <w:szCs w:val="20"/>
                <w:color w:val="auto"/>
              </w:rPr>
            </w:pPr>
            <w:r>
              <w:rPr>
                <w:rFonts w:ascii="Arial" w:cs="Arial" w:eastAsia="Arial" w:hAnsi="Arial"/>
                <w:sz w:val="16"/>
                <w:szCs w:val="16"/>
                <w:color w:val="auto"/>
                <w:w w:val="87"/>
              </w:rPr>
              <w:t>100%</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43,513</w:t>
            </w:r>
          </w:p>
        </w:tc>
        <w:tc>
          <w:tcPr>
            <w:tcW w:w="10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2"/>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42,558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5,725</w:t>
            </w:r>
          </w:p>
        </w:tc>
        <w:tc>
          <w:tcPr>
            <w:tcW w:w="1100" w:type="dxa"/>
            <w:vAlign w:val="bottom"/>
            <w:gridSpan w:val="3"/>
          </w:tcPr>
          <w:p>
            <w:pPr>
              <w:jc w:val="center"/>
              <w:ind w:left="100"/>
              <w:spacing w:after="0"/>
              <w:rPr>
                <w:sz w:val="20"/>
                <w:szCs w:val="20"/>
                <w:color w:val="auto"/>
              </w:rPr>
            </w:pPr>
            <w:r>
              <w:rPr>
                <w:rFonts w:ascii="Arial" w:cs="Arial" w:eastAsia="Arial" w:hAnsi="Arial"/>
                <w:sz w:val="16"/>
                <w:szCs w:val="16"/>
                <w:color w:val="auto"/>
                <w:w w:val="87"/>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6,099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20"/>
              <w:spacing w:after="0"/>
              <w:rPr>
                <w:sz w:val="20"/>
                <w:szCs w:val="20"/>
                <w:color w:val="auto"/>
              </w:rPr>
            </w:pPr>
            <w:r>
              <w:rPr>
                <w:rFonts w:ascii="Arial" w:cs="Arial" w:eastAsia="Arial" w:hAnsi="Arial"/>
                <w:sz w:val="16"/>
                <w:szCs w:val="16"/>
                <w:color w:val="auto"/>
                <w:w w:val="87"/>
              </w:rPr>
              <w:t>39%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15,873</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3"/>
              </w:rPr>
              <w:t>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17,152</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40%</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10,188</w:t>
            </w:r>
          </w:p>
        </w:tc>
        <w:tc>
          <w:tcPr>
            <w:tcW w:w="1100" w:type="dxa"/>
            <w:vAlign w:val="bottom"/>
            <w:tcBorders>
              <w:bottom w:val="single" w:sz="8" w:color="CCEEFF"/>
            </w:tcBorders>
            <w:gridSpan w:val="3"/>
            <w:shd w:val="clear" w:color="auto" w:fill="CCEEFF"/>
          </w:tcPr>
          <w:p>
            <w:pPr>
              <w:jc w:val="center"/>
              <w:ind w:left="100"/>
              <w:spacing w:after="0"/>
              <w:rPr>
                <w:sz w:val="20"/>
                <w:szCs w:val="20"/>
                <w:color w:val="auto"/>
              </w:rPr>
            </w:pPr>
            <w:r>
              <w:rPr>
                <w:rFonts w:ascii="Arial" w:cs="Arial" w:eastAsia="Arial" w:hAnsi="Arial"/>
                <w:sz w:val="16"/>
                <w:szCs w:val="16"/>
                <w:color w:val="auto"/>
                <w:w w:val="87"/>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9,640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20"/>
              <w:spacing w:after="0"/>
              <w:rPr>
                <w:sz w:val="20"/>
                <w:szCs w:val="20"/>
                <w:color w:val="auto"/>
              </w:rPr>
            </w:pPr>
            <w:r>
              <w:rPr>
                <w:rFonts w:ascii="Arial" w:cs="Arial" w:eastAsia="Arial" w:hAnsi="Arial"/>
                <w:sz w:val="16"/>
                <w:szCs w:val="16"/>
                <w:color w:val="auto"/>
                <w:w w:val="87"/>
              </w:rPr>
              <w:t>61%</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27,640</w:t>
            </w:r>
          </w:p>
        </w:tc>
        <w:tc>
          <w:tcPr>
            <w:tcW w:w="10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3"/>
              </w:rPr>
              <w:t>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25,406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2,752</w:t>
            </w:r>
          </w:p>
        </w:tc>
        <w:tc>
          <w:tcPr>
            <w:tcW w:w="1100" w:type="dxa"/>
            <w:vAlign w:val="bottom"/>
            <w:gridSpan w:val="3"/>
          </w:tcPr>
          <w:p>
            <w:pPr>
              <w:jc w:val="center"/>
              <w:ind w:left="100"/>
              <w:spacing w:after="0"/>
              <w:rPr>
                <w:sz w:val="20"/>
                <w:szCs w:val="20"/>
                <w:color w:val="auto"/>
              </w:rPr>
            </w:pPr>
            <w:r>
              <w:rPr>
                <w:rFonts w:ascii="Arial" w:cs="Arial" w:eastAsia="Arial" w:hAnsi="Arial"/>
                <w:sz w:val="16"/>
                <w:szCs w:val="16"/>
                <w:color w:val="auto"/>
                <w:w w:val="87"/>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2,791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20"/>
              <w:spacing w:after="0"/>
              <w:rPr>
                <w:sz w:val="20"/>
                <w:szCs w:val="20"/>
                <w:color w:val="auto"/>
              </w:rPr>
            </w:pPr>
            <w:r>
              <w:rPr>
                <w:rFonts w:ascii="Arial" w:cs="Arial" w:eastAsia="Arial" w:hAnsi="Arial"/>
                <w:sz w:val="16"/>
                <w:szCs w:val="16"/>
                <w:color w:val="auto"/>
                <w:w w:val="87"/>
              </w:rPr>
              <w:t>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8,126</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3"/>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8,504</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1100" w:type="dxa"/>
            <w:vAlign w:val="bottom"/>
            <w:tcBorders>
              <w:bottom w:val="single" w:sz="8" w:color="CCEEFF"/>
            </w:tcBorders>
            <w:gridSpan w:val="3"/>
            <w:shd w:val="clear" w:color="auto" w:fill="CCEEFF"/>
          </w:tcPr>
          <w:p>
            <w:pPr>
              <w:jc w:val="center"/>
              <w:ind w:left="100"/>
              <w:spacing w:after="0"/>
              <w:rPr>
                <w:sz w:val="20"/>
                <w:szCs w:val="20"/>
                <w:color w:val="auto"/>
              </w:rPr>
            </w:pPr>
            <w:r>
              <w:rPr>
                <w:rFonts w:ascii="Arial" w:cs="Arial" w:eastAsia="Arial" w:hAnsi="Arial"/>
                <w:sz w:val="16"/>
                <w:szCs w:val="16"/>
                <w:color w:val="auto"/>
                <w:w w:val="87"/>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20"/>
              <w:spacing w:after="0"/>
              <w:rPr>
                <w:sz w:val="20"/>
                <w:szCs w:val="20"/>
                <w:color w:val="auto"/>
              </w:rPr>
            </w:pPr>
            <w:r>
              <w:rPr>
                <w:rFonts w:ascii="Arial" w:cs="Arial" w:eastAsia="Arial" w:hAnsi="Arial"/>
                <w:sz w:val="16"/>
                <w:szCs w:val="16"/>
                <w:color w:val="auto"/>
                <w:w w:val="87"/>
              </w:rPr>
              <w:t>15%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6,128</w:t>
            </w:r>
          </w:p>
        </w:tc>
        <w:tc>
          <w:tcPr>
            <w:tcW w:w="10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3"/>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16%</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1,796</w:t>
            </w:r>
          </w:p>
        </w:tc>
        <w:tc>
          <w:tcPr>
            <w:tcW w:w="1100" w:type="dxa"/>
            <w:vAlign w:val="bottom"/>
            <w:gridSpan w:val="3"/>
          </w:tcPr>
          <w:p>
            <w:pPr>
              <w:jc w:val="center"/>
              <w:ind w:left="100"/>
              <w:spacing w:after="0"/>
              <w:rPr>
                <w:sz w:val="20"/>
                <w:szCs w:val="20"/>
                <w:color w:val="auto"/>
              </w:rPr>
            </w:pPr>
            <w:r>
              <w:rPr>
                <w:rFonts w:ascii="Arial" w:cs="Arial" w:eastAsia="Arial" w:hAnsi="Arial"/>
                <w:sz w:val="16"/>
                <w:szCs w:val="16"/>
                <w:color w:val="auto"/>
                <w:w w:val="87"/>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20"/>
              <w:spacing w:after="0"/>
              <w:rPr>
                <w:sz w:val="20"/>
                <w:szCs w:val="20"/>
                <w:color w:val="auto"/>
              </w:rPr>
            </w:pPr>
            <w:r>
              <w:rPr>
                <w:rFonts w:ascii="Arial" w:cs="Arial" w:eastAsia="Arial" w:hAnsi="Arial"/>
                <w:sz w:val="16"/>
                <w:szCs w:val="16"/>
                <w:color w:val="auto"/>
                <w:w w:val="87"/>
              </w:rPr>
              <w:t>10%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5,686</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3"/>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5,251</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1100" w:type="dxa"/>
            <w:vAlign w:val="bottom"/>
            <w:tcBorders>
              <w:bottom w:val="single" w:sz="8" w:color="CCEEFF"/>
            </w:tcBorders>
            <w:gridSpan w:val="3"/>
            <w:shd w:val="clear" w:color="auto" w:fill="CCEEFF"/>
          </w:tcPr>
          <w:p>
            <w:pPr>
              <w:jc w:val="center"/>
              <w:ind w:left="100"/>
              <w:spacing w:after="0"/>
              <w:rPr>
                <w:sz w:val="20"/>
                <w:szCs w:val="20"/>
                <w:color w:val="auto"/>
              </w:rPr>
            </w:pPr>
            <w:r>
              <w:rPr>
                <w:rFonts w:ascii="Arial" w:cs="Arial" w:eastAsia="Arial" w:hAnsi="Arial"/>
                <w:sz w:val="16"/>
                <w:szCs w:val="16"/>
                <w:color w:val="auto"/>
                <w:w w:val="87"/>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20"/>
              <w:spacing w:after="0"/>
              <w:rPr>
                <w:sz w:val="20"/>
                <w:szCs w:val="20"/>
                <w:color w:val="auto"/>
              </w:rPr>
            </w:pPr>
            <w:r>
              <w:rPr>
                <w:rFonts w:ascii="Arial" w:cs="Arial" w:eastAsia="Arial" w:hAnsi="Arial"/>
                <w:sz w:val="16"/>
                <w:szCs w:val="16"/>
                <w:color w:val="auto"/>
                <w:w w:val="87"/>
              </w:rPr>
              <w:t>19%</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7,700</w:t>
            </w:r>
          </w:p>
        </w:tc>
        <w:tc>
          <w:tcPr>
            <w:tcW w:w="10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3"/>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w:t>
            </w:r>
          </w:p>
        </w:tc>
        <w:tc>
          <w:tcPr>
            <w:tcW w:w="1100" w:type="dxa"/>
            <w:vAlign w:val="bottom"/>
            <w:gridSpan w:val="3"/>
          </w:tcPr>
          <w:p>
            <w:pPr>
              <w:jc w:val="center"/>
              <w:ind w:left="100"/>
              <w:spacing w:after="0"/>
              <w:rPr>
                <w:sz w:val="20"/>
                <w:szCs w:val="20"/>
                <w:color w:val="auto"/>
              </w:rPr>
            </w:pPr>
            <w:r>
              <w:rPr>
                <w:rFonts w:ascii="Arial" w:cs="Arial" w:eastAsia="Arial" w:hAnsi="Arial"/>
                <w:sz w:val="16"/>
                <w:szCs w:val="16"/>
                <w:color w:val="auto"/>
                <w:w w:val="86"/>
              </w:rPr>
              <w:t>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20"/>
              <w:spacing w:after="0"/>
              <w:rPr>
                <w:sz w:val="20"/>
                <w:szCs w:val="20"/>
                <w:color w:val="auto"/>
              </w:rPr>
            </w:pPr>
            <w:r>
              <w:rPr>
                <w:rFonts w:ascii="Arial" w:cs="Arial" w:eastAsia="Arial" w:hAnsi="Arial"/>
                <w:sz w:val="16"/>
                <w:szCs w:val="16"/>
                <w:color w:val="auto"/>
                <w:w w:val="86"/>
              </w:rPr>
              <w:t>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244</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4"/>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3,562</w:t>
            </w:r>
          </w:p>
        </w:tc>
        <w:tc>
          <w:tcPr>
            <w:tcW w:w="1100" w:type="dxa"/>
            <w:vAlign w:val="bottom"/>
            <w:tcBorders>
              <w:bottom w:val="single" w:sz="8" w:color="CCEEFF"/>
            </w:tcBorders>
            <w:gridSpan w:val="3"/>
            <w:shd w:val="clear" w:color="auto" w:fill="CCEEFF"/>
          </w:tcPr>
          <w:p>
            <w:pPr>
              <w:jc w:val="center"/>
              <w:ind w:left="100"/>
              <w:spacing w:after="0"/>
              <w:rPr>
                <w:sz w:val="20"/>
                <w:szCs w:val="20"/>
                <w:color w:val="auto"/>
              </w:rPr>
            </w:pPr>
            <w:r>
              <w:rPr>
                <w:rFonts w:ascii="Arial" w:cs="Arial" w:eastAsia="Arial" w:hAnsi="Arial"/>
                <w:sz w:val="16"/>
                <w:szCs w:val="16"/>
                <w:color w:val="auto"/>
                <w:w w:val="87"/>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20"/>
              <w:spacing w:after="0"/>
              <w:rPr>
                <w:sz w:val="20"/>
                <w:szCs w:val="20"/>
                <w:color w:val="auto"/>
              </w:rPr>
            </w:pPr>
            <w:r>
              <w:rPr>
                <w:rFonts w:ascii="Arial" w:cs="Arial" w:eastAsia="Arial" w:hAnsi="Arial"/>
                <w:sz w:val="16"/>
                <w:szCs w:val="16"/>
                <w:color w:val="auto"/>
                <w:w w:val="87"/>
              </w:rPr>
              <w:t>19%</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7,944</w:t>
            </w:r>
          </w:p>
        </w:tc>
        <w:tc>
          <w:tcPr>
            <w:tcW w:w="1000" w:type="dxa"/>
            <w:vAlign w:val="bottom"/>
            <w:tcBorders>
              <w:bottom w:val="single" w:sz="8" w:color="CCEEFF"/>
            </w:tcBorders>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3"/>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4,980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1,145</w:t>
            </w:r>
          </w:p>
        </w:tc>
        <w:tc>
          <w:tcPr>
            <w:tcW w:w="1100" w:type="dxa"/>
            <w:vAlign w:val="bottom"/>
            <w:gridSpan w:val="3"/>
          </w:tcPr>
          <w:p>
            <w:pPr>
              <w:jc w:val="center"/>
              <w:ind w:left="100"/>
              <w:spacing w:after="0"/>
              <w:rPr>
                <w:sz w:val="20"/>
                <w:szCs w:val="20"/>
                <w:color w:val="auto"/>
              </w:rPr>
            </w:pPr>
            <w:r>
              <w:rPr>
                <w:rFonts w:ascii="Arial" w:cs="Arial" w:eastAsia="Arial" w:hAnsi="Arial"/>
                <w:sz w:val="16"/>
                <w:szCs w:val="16"/>
                <w:color w:val="auto"/>
                <w:w w:val="86"/>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20"/>
              <w:spacing w:after="0"/>
              <w:rPr>
                <w:sz w:val="20"/>
                <w:szCs w:val="20"/>
                <w:color w:val="auto"/>
              </w:rPr>
            </w:pPr>
            <w:r>
              <w:rPr>
                <w:rFonts w:ascii="Arial" w:cs="Arial" w:eastAsia="Arial" w:hAnsi="Arial"/>
                <w:sz w:val="16"/>
                <w:szCs w:val="16"/>
                <w:color w:val="auto"/>
                <w:w w:val="86"/>
              </w:rPr>
              <w:t>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2,740</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4"/>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100" w:type="dxa"/>
            <w:vAlign w:val="bottom"/>
            <w:gridSpan w:val="3"/>
            <w:shd w:val="clear" w:color="auto" w:fill="CCEEFF"/>
          </w:tcPr>
          <w:p>
            <w:pPr>
              <w:jc w:val="center"/>
              <w:ind w:left="100"/>
              <w:spacing w:after="0"/>
              <w:rPr>
                <w:sz w:val="20"/>
                <w:szCs w:val="20"/>
                <w:color w:val="auto"/>
              </w:rPr>
            </w:pPr>
            <w:r>
              <w:rPr>
                <w:rFonts w:ascii="Arial" w:cs="Arial" w:eastAsia="Arial" w:hAnsi="Arial"/>
                <w:sz w:val="16"/>
                <w:szCs w:val="16"/>
                <w:color w:val="auto"/>
                <w:w w:val="87"/>
              </w:rPr>
              <w:t>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87"/>
              </w:rPr>
              <w:t>10%</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5,204</w:t>
            </w:r>
          </w:p>
        </w:tc>
        <w:tc>
          <w:tcPr>
            <w:tcW w:w="100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w w:val="93"/>
              </w:rPr>
              <w:t>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2,962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three months ended September 30, 2015 was approximately $15.9 million, an increase of approximately 1% over the three months ended September 30, 2014. The increase in revenue was primarily to increased professional revenue consisting of microphones and especially due to the benefit of a licensing agreement that dated back to the beginning of the year partially offset by decline in revenues from other products. The increase in revenues for Middle East and Northern Europe was partially offset by declines in revenue from other regions.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Revenue for the nine months ended September 30, 2015 was approximately $43.5 million, an increase of approximately 2% over the nine months ended September 30, 2014. The increase in revenue was due to increased professional revenue consisting of microphones and especially due to the benefit of a licensing agreement that dated back to the beginning of the year and also due to increased revenue from video products. This increased revenue for partially offset by decline in revenue from unified communications products. During the nine months ended September 30, 2015, revenue increased across all broad regional categories except Australia and Latin America.</w:t>
      </w:r>
    </w:p>
    <w:p>
      <w:pPr>
        <w:spacing w:after="0" w:line="1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net change in deferred revenue during the nine months ended September 30, 2015 from December 31, 2014 and the nine months ended September 30, 2014 from December 31, 2013 was a net decrease in deferred revenue of $208 thousand and a net increase in deferred revenue of $0.8 million, respectively. See “Critical Accounting Policies and Estimates” under “Revenue and Associated Allowance for Revenue Adjustments and Doubtful Accounts” below for a detailed discussion of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was 64% and 61% for the three months ended September 30, 2015 and 2014, respectively. The 3% increase in GPM was primarily due to increased sales of higher margin products and decline in volumes of lower margin unified communications products. We were also benefited to a large extent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a licensing agreement. Our GPM was 64% and 60% for the nine months ended September 30, 2015 and 2014, respectively. The 4% increase in GPM was primarily due to increased sales of higher margin products decline in volumes of lower margin unified communications products and also due the benefit of a licensing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Operating expenses for the three months ended September 30, 2015 remained almost the same at $6.7 million when compared compared to three months ended September 30, 2014. Operating expenses for the nine months ended September 30, 2015 decreased by approximately $0.7 million to $19.9 million compared to $20.6 million for the nine months ended September 30, 2014.</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S&amp;M expenses of approximately $2.8 million for the three months ended September 30, 2015 stayed almost the same or decreased marginally when compared to S&amp;M expenses for the three months ended September 30, 2014. S&amp;M expenses of approximately $8.1 million for the nine months ended September 30, 2015 decreased $0.4 million, or 4%, when compared to S&amp;M expenses of approximately $8.5 million for the nine months ended September 30, 2014. These expenses decreased primarily due to decreases in commission and bonus payments to employees and decrease in commission payments to independent agents.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R&amp;D expenses of approximately $2.1 million for the three months ended September 30, 2015 decreased by $0.2 million, or 8%, when compared to R&amp;D expenses of approximately $2.3 million for the three months ended September 30, 2014. R&amp;D expenses decreased due to decreased employee-related costs, consulting expenses and project related cost. R&amp;D expenses of approximately $6.1 million for the nine months ended September 30, 2015 decreased by $0.8 million, or 11%, when compared to R&amp;D expenses of approximately $6.9 million for the nine months ended September 30, 2014. R&amp;D expenses decreased due to decreased employee-related costs, consulting expenses and project related cost.</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pacing w:after="0" w:line="17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G&amp;A expenses of approximately $1.8 million for the three months ended September 30, 2015 increased by $0.2 million, or 14%, when compared to G&amp;A expenses of approximately $1.6 million for the three months ended September 30, 2014. G&amp;A expenses increased due to increases in legal fees, audit and accounting fees and stock based compensation. These increaseses were partially offset by decreases in amortization costs. G&amp;A expenses of approximately $5.7 million for the nine months ended September 30, 2015 increased by $0.4 million, or 8%, when compared to G&amp;A expenses of approximately $5.3 million for the nine months ended September 30, 2014. G&amp;A expenses increased due to increases in amortization of intangibles, legal fees, audit and accounting fees, bad debts reserve and stock based compensation. These increases were partially offset by decreases in acquisition related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three months ended September 30, 2015, we accrued income taxes at the forecasted effective tax rate of 36.3% as compared to the forecasted effective tax rate of 35.7% used during the three months ended September 30, 2014. The 0.6% increase in the forecasted effective tax rate was primarily due to changes in the amount of projected foreign income taxed at different rates. In addition, a discrete tax benefit of $171 thousand is primarily attributable to changes in unrecognized tax benefits related to the expiration of statute of limitation time periods.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2015, our cash and cash equivalents were approximately $12.5 million, an increase of approximately $5.1 million compared to cash and cash equivalents of approximately $7.4 million as of December 31, 2014.</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Net cash provided by operating activities was $6.4 million during the nine months ended September 30, 2015, an increase in cash flow of approximately $0.6 million compared to $5.8 million of cash provided by operating activities during the nine months ended September 30, 2014. The increase in operating cash flow was primarily due to increase in net income and increase in non-cash adjustments largely offset by the timing of receipts and payments of working capital, which include accounts receivable, accounts payable, accrued expenses, inventories, and prepaid expenses and other assets.</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Net cash used in investing activities was approximately $1.0 million during the nine months ended September 30, 2015 compared to $13.5 million of cash used in investing activities during the nine months ended September 30, 2014. Net cash used in investing activities during the nine months ended September 30, 2015 included proceeds from maturities and sales of marketable investment securities in excess of purchases of marketable securities. Net cash used in investing activities for the nine months ended September 30, 2014 included payments relating to the acquisition of the business of Sabine for $8.1 million and payments relating to the acquisition of the Spontania product line of $5.1 million.</w:t>
      </w:r>
    </w:p>
    <w:p>
      <w:pPr>
        <w:spacing w:after="0" w:line="1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financing activities was approximately $316 thousand during the nine months ended September 30, 2015 compared to $593 thousand of cash used in investing activities during the nine months ended September 30, 2014. Financing activities during the nine months ended September 30, 2015 primarily consisted of dividend payments of $639 thousand and cash inflows of about $274 thousand from the exercise of stock options, while financing activities in the same period in 2014 consisted mostly of cash inflows of about $1.3 million from the exercise of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our working capital was $39.2 million as compared to $34.0 million as of December 31, 2014.</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current cash balance,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recent acquisitions and capital expenditures, we may use cash in the near future for selective infusions of technology, sales &amp; marketing, infrastructure, and other investments to fuel our growth, as well as acquisitions that may strategically fit our business and are accretive to our performance. We also plan to fund the payment of cash dividends in connection with the current Board approved plan as announced on December 2, 2014, which may be adjusted from time-to-time based on factors that the Board of Directors deems relevant.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significant accounting policies are described in Note 1 of the Notes to the Consolidated Financial Statements included in our Annual Report on Form 10-K, as amended, for the year ended December 31, 2014.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Product revenue primarily consists of product sales to distributors, dealers, and end-users. Product revenue is recognized when (i) the products are shipped and any right of return expires, (ii) persuasive evidence of an arrangement exists, (iii) the price is fixed and determinable, and (iv) collection is reasonably assured.</w:t>
      </w:r>
    </w:p>
    <w:p>
      <w:pPr>
        <w:spacing w:after="0" w:line="18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 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as of September 30, 2015 and December 31,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September 30, 2015</w:t>
            </w:r>
          </w:p>
        </w:tc>
        <w:tc>
          <w:tcPr>
            <w:tcW w:w="260" w:type="dxa"/>
            <w:vAlign w:val="bottom"/>
          </w:tcPr>
          <w:p>
            <w:pPr>
              <w:spacing w:after="0"/>
              <w:rPr>
                <w:sz w:val="18"/>
                <w:szCs w:val="18"/>
                <w:color w:val="auto"/>
              </w:rPr>
            </w:pPr>
          </w:p>
        </w:tc>
        <w:tc>
          <w:tcPr>
            <w:tcW w:w="1800" w:type="dxa"/>
            <w:vAlign w:val="bottom"/>
          </w:tcPr>
          <w:p>
            <w:pPr>
              <w:jc w:val="right"/>
              <w:ind w:right="295"/>
              <w:spacing w:after="0"/>
              <w:rPr>
                <w:sz w:val="20"/>
                <w:szCs w:val="20"/>
                <w:color w:val="auto"/>
              </w:rPr>
            </w:pPr>
            <w:r>
              <w:rPr>
                <w:rFonts w:ascii="Arial" w:cs="Arial" w:eastAsia="Arial" w:hAnsi="Arial"/>
                <w:sz w:val="16"/>
                <w:szCs w:val="16"/>
                <w:b w:val="1"/>
                <w:bCs w:val="1"/>
                <w:color w:val="auto"/>
                <w:w w:val="97"/>
              </w:rPr>
              <w:t>December 31, 2014</w:t>
            </w:r>
          </w:p>
        </w:tc>
      </w:tr>
      <w:tr>
        <w:trPr>
          <w:trHeight w:val="297"/>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4"/>
                <w:szCs w:val="24"/>
                <w:color w:val="auto"/>
              </w:rPr>
            </w:pPr>
          </w:p>
        </w:tc>
        <w:tc>
          <w:tcPr>
            <w:tcW w:w="1800" w:type="dxa"/>
            <w:vAlign w:val="bottom"/>
          </w:tcPr>
          <w:p>
            <w:pPr>
              <w:jc w:val="right"/>
              <w:ind w:right="495"/>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20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5"/>
              <w:spacing w:after="0"/>
              <w:rPr>
                <w:sz w:val="20"/>
                <w:szCs w:val="20"/>
                <w:color w:val="auto"/>
              </w:rPr>
            </w:pPr>
            <w:r>
              <w:rPr>
                <w:rFonts w:ascii="Arial" w:cs="Arial" w:eastAsia="Arial" w:hAnsi="Arial"/>
                <w:sz w:val="18"/>
                <w:szCs w:val="18"/>
                <w:color w:val="auto"/>
              </w:rPr>
              <w:t>1,698</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3,306</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There were no impairments recorded in the nine months ended September 30, 2015 or in 2014 as no impairment indicators existed. However, due to uncertainty in the industrial, technological, and competitive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environments in which we operate, we might be required to exit or dispose of the assets acquired through our acquisitions, which could result in an impairment of goodwill and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2014 and determined that based upon available evidence it is more likely than not that certain of our deferred tax assets related to capital loss carryovers, state research and development credits, and foreign net operating loss carryforwards will not be realized and, accordingly, we have recorded a valuation allowance against these deferred tax assets in the amount of $786 thousand.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an employee does not ultimately render the requisite service, the costs associated with the unvested options will not be recognized cumulatively.</w:t>
      </w:r>
    </w:p>
    <w:p>
      <w:pPr>
        <w:spacing w:after="0" w:line="23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future periods, the stock-based compensation cost ultimately recorded may differ significantly from what was recorded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Recent Accounting Pronouncements: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September 30, 2015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September 30, 2015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2015 that materially affected, or that we believe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updates to the status of the legal proceedings and commitments and contingencies reported in our Form 10-K for the year ended December 31, 2014 under Part I, Item 3. Legal Proceedings and Note 8 - Commitments and Contingencies of the Notes to Consolidated Financial Statements (Part II, Item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91"/>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Instance Document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3"/>
          </w:tcPr>
          <w:p>
            <w:pPr>
              <w:spacing w:after="0"/>
              <w:rPr>
                <w:sz w:val="20"/>
                <w:szCs w:val="20"/>
                <w:color w:val="auto"/>
              </w:rPr>
            </w:pPr>
            <w:r>
              <w:rPr>
                <w:rFonts w:ascii="Arial" w:cs="Arial" w:eastAsia="Arial" w:hAnsi="Arial"/>
                <w:sz w:val="18"/>
                <w:szCs w:val="18"/>
                <w:color w:val="auto"/>
                <w:w w:val="99"/>
              </w:rPr>
              <w:t>XBRL Taxonomy Extension Calculation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3"/>
          </w:tcPr>
          <w:p>
            <w:pPr>
              <w:spacing w:after="0"/>
              <w:rPr>
                <w:sz w:val="20"/>
                <w:szCs w:val="20"/>
                <w:color w:val="auto"/>
              </w:rPr>
            </w:pPr>
            <w:r>
              <w:rPr>
                <w:rFonts w:ascii="Arial" w:cs="Arial" w:eastAsia="Arial" w:hAnsi="Arial"/>
                <w:sz w:val="18"/>
                <w:szCs w:val="18"/>
                <w:color w:val="auto"/>
                <w:w w:val="97"/>
              </w:rPr>
              <w:t>XBRL Taxonomy Extension Presentation Linkbase (filed herewith)</w:t>
            </w:r>
          </w:p>
        </w:tc>
      </w:tr>
    </w:tbl>
    <w:p>
      <w:pPr>
        <w:spacing w:after="0" w:line="200" w:lineRule="exact"/>
        <w:rPr>
          <w:sz w:val="20"/>
          <w:szCs w:val="20"/>
          <w:color w:val="auto"/>
        </w:rPr>
      </w:pPr>
    </w:p>
    <w:p>
      <w:pPr>
        <w:sectPr>
          <w:pgSz w:w="11900" w:h="16838" w:orient="portrait"/>
          <w:cols w:equalWidth="0" w:num="1">
            <w:col w:w="11260"/>
          </w:cols>
          <w:pgMar w:left="240" w:top="121" w:right="3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240" w:top="121" w:right="39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600"/>
          </w:cols>
          <w:pgMar w:left="240" w:top="121" w:right="10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380" w:val="left"/>
          <w:tab w:leader="none" w:pos="500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186690</wp:posOffset>
            </wp:positionV>
            <wp:extent cx="3413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0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September 30, 2015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2015,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20" w:val="left"/>
          <w:tab w:leader="none" w:pos="502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186690</wp:posOffset>
            </wp:positionV>
            <wp:extent cx="31642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Roman"/>
      <w:start w:val="10"/>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8"/>
    </w:lvl>
  </w:abstractNum>
  <w:abstractNum w:abstractNumId="10">
    <w:nsid w:val="3352255A"/>
    <w:multiLevelType w:val="hybridMultilevel"/>
    <w:lvl w:ilvl="0">
      <w:lvlJc w:val="left"/>
      <w:lvlText w:val="%1."/>
      <w:numFmt w:val="decimal"/>
      <w:start w:val="9"/>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2019-12-29T13:49:40Z</dcterms:created>
  <dcterms:modified xsi:type="dcterms:W3CDTF">2019-12-29T13:49:40Z</dcterms:modified>
</cp:coreProperties>
</file>