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September 18, 2025 </w:t>
      </w:r>
      <w:r>
        <w:rPr>
          <w:rFonts w:ascii="Times New Roman" w:cs="Times New Roman" w:eastAsia="Times New Roman" w:hAnsi="Times New Roman"/>
          <w:sz w:val="18"/>
          <w:szCs w:val="18"/>
          <w:b w:val="1"/>
          <w:bCs w:val="1"/>
          <w:color w:val="auto"/>
        </w:rPr>
        <w:t>(September 16, 2025)</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7440" w:type="dxa"/>
            <w:vAlign w:val="bottom"/>
            <w:tcBorders>
              <w:top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 under the Exchange Act (17 CFR 240.13e-4©)</w:t>
      </w:r>
    </w:p>
    <w:p>
      <w:pPr>
        <w:spacing w:after="0" w:line="219"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440" w:type="dxa"/>
            <w:vAlign w:val="bottom"/>
          </w:tcPr>
          <w:p>
            <w:pPr>
              <w:spacing w:after="0"/>
              <w:rPr>
                <w:sz w:val="18"/>
                <w:szCs w:val="18"/>
                <w:color w:val="auto"/>
              </w:rPr>
            </w:pPr>
          </w:p>
        </w:tc>
        <w:tc>
          <w:tcPr>
            <w:tcW w:w="41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42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280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CLRO</w:t>
            </w:r>
          </w:p>
        </w:tc>
        <w:tc>
          <w:tcPr>
            <w:tcW w:w="416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318"/>
        </w:trPr>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September 16, 2025, ClearOne, Inc. (the “Company”) entered into a Warrant Repurchase Agreement (the “Agreement”) with Edward Bryan Bagley (“Edwardl”), pursuant to which the Company repurchased certain outstanding common stock purchase warrants previously issued to Edward.</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repurchased warrants, issued on December 17, 2019, were exercisable for an aggregate of 3,788 shares of the Company’s common stock, par value $0.001 per share. Under the terms of the Agreement, the Company repurchased the warrants for a cash payment of $0.6504 per share underlying the warrants, representing an aggregate purchase price of $2,464. Upon settlement of the transaction, the warrants were cancelled and are of no further force or effect.</w:t>
      </w:r>
    </w:p>
    <w:p>
      <w:pPr>
        <w:spacing w:after="0" w:line="13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Agreement does not purport to be complete and is qualified in its entirety by reference to the full text of the Agreement, which is filed as Exhibit 10.1 to this Current Report on Form 8-K and incorporated herein by reference.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45"/>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140" w:type="dxa"/>
            <w:vAlign w:val="bottom"/>
            <w:tcBorders>
              <w:bottom w:val="single" w:sz="8" w:color="auto"/>
            </w:tcBorders>
            <w:gridSpan w:val="2"/>
          </w:tcPr>
          <w:p>
            <w:pPr>
              <w:ind w:left="408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69"/>
        </w:trPr>
        <w:tc>
          <w:tcPr>
            <w:tcW w:w="13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1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Warrant Repurchase Agreement, dated September 16, 2025, by and between ClearOne, Inc. and Edward Bryan Bagley.</w:t>
            </w:r>
          </w:p>
        </w:tc>
      </w:tr>
      <w:tr>
        <w:trPr>
          <w:trHeight w:val="338"/>
        </w:trPr>
        <w:tc>
          <w:tcPr>
            <w:tcW w:w="1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580" w:type="dxa"/>
            <w:vAlign w:val="bottom"/>
            <w:tcBorders>
              <w:top w:val="single" w:sz="8" w:color="0000EE"/>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50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18, 2025</w:t>
            </w:r>
          </w:p>
        </w:tc>
        <w:tc>
          <w:tcPr>
            <w:tcW w:w="750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Derek Graham</w:t>
            </w:r>
          </w:p>
        </w:tc>
      </w:tr>
      <w:tr>
        <w:trPr>
          <w:trHeight w:val="228"/>
        </w:trPr>
        <w:tc>
          <w:tcPr>
            <w:tcW w:w="37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5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Derek Graham</w:t>
            </w:r>
          </w:p>
        </w:tc>
      </w:tr>
      <w:tr>
        <w:trPr>
          <w:trHeight w:val="414"/>
        </w:trPr>
        <w:tc>
          <w:tcPr>
            <w:tcW w:w="37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54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REPURCHASE AGREEMENT</w:t>
      </w:r>
    </w:p>
    <w:p>
      <w:pPr>
        <w:spacing w:after="0" w:line="225" w:lineRule="exact"/>
        <w:rPr>
          <w:sz w:val="20"/>
          <w:szCs w:val="20"/>
          <w:color w:val="auto"/>
        </w:rPr>
      </w:pPr>
    </w:p>
    <w:p>
      <w:pPr>
        <w:ind w:right="20" w:firstLine="441"/>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WARRANT REPURCHASE AGREEMENT</w:t>
      </w:r>
      <w:r>
        <w:rPr>
          <w:rFonts w:ascii="Times New Roman" w:cs="Times New Roman" w:eastAsia="Times New Roman" w:hAnsi="Times New Roman"/>
          <w:sz w:val="18"/>
          <w:szCs w:val="18"/>
          <w:color w:val="auto"/>
        </w:rPr>
        <w:t xml:space="preserve"> (the “Agreement”) is made and entered into as of September 16, 2025 (the “Effective Date”), by and between ClearOne, Inc., a Delaware corporation (the “Company”), and the undersigned holder of the Existing Warrants (as defined below) (the “Holder”).</w:t>
      </w:r>
    </w:p>
    <w:p>
      <w:pPr>
        <w:spacing w:after="0" w:line="17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180" w:firstLine="449"/>
        <w:spacing w:after="0" w:line="312" w:lineRule="auto"/>
        <w:tabs>
          <w:tab w:leader="none" w:pos="795"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Holder previously acquired those certain Common Stock Warrants currently exercisable into such aggregate number of shares of common stock, par value $0.001 per share, of the Company (the “Common Stock”), as set forth on Schedule A attached hereto (the “Existing Warrants”).</w:t>
      </w:r>
    </w:p>
    <w:p>
      <w:pPr>
        <w:spacing w:after="0" w:line="139" w:lineRule="exact"/>
        <w:rPr>
          <w:rFonts w:ascii="Times New Roman" w:cs="Times New Roman" w:eastAsia="Times New Roman" w:hAnsi="Times New Roman"/>
          <w:sz w:val="17"/>
          <w:szCs w:val="17"/>
          <w:b w:val="1"/>
          <w:bCs w:val="1"/>
          <w:color w:val="auto"/>
        </w:rPr>
      </w:pPr>
    </w:p>
    <w:p>
      <w:pPr>
        <w:ind w:right="380" w:firstLine="449"/>
        <w:spacing w:after="0" w:line="282" w:lineRule="auto"/>
        <w:tabs>
          <w:tab w:leader="none" w:pos="786"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desires to repurchase the Existing Warrants from the Holder at a price of $0.6504 per share of Common Stock underlying the Existing Warrants (the “Purchase Price”).</w:t>
      </w:r>
    </w:p>
    <w:p>
      <w:pPr>
        <w:spacing w:after="0" w:line="161" w:lineRule="exact"/>
        <w:rPr>
          <w:rFonts w:ascii="Times New Roman" w:cs="Times New Roman" w:eastAsia="Times New Roman" w:hAnsi="Times New Roman"/>
          <w:sz w:val="18"/>
          <w:szCs w:val="18"/>
          <w:b w:val="1"/>
          <w:bCs w:val="1"/>
          <w:color w:val="auto"/>
        </w:rPr>
      </w:pPr>
    </w:p>
    <w:p>
      <w:pPr>
        <w:ind w:right="280" w:firstLine="449"/>
        <w:spacing w:after="0" w:line="282" w:lineRule="auto"/>
        <w:tabs>
          <w:tab w:leader="none" w:pos="79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the Company and the Holder desire to effectuate such repurchase on the basis and subject to the terms and conditions set forth in this Agreement.</w:t>
      </w:r>
    </w:p>
    <w:p>
      <w:pPr>
        <w:spacing w:after="0" w:line="15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parties to this Agreement, intending to be legally bound, agree as follows:</w:t>
      </w:r>
    </w:p>
    <w:p>
      <w:pPr>
        <w:spacing w:after="0" w:line="225" w:lineRule="exact"/>
        <w:rPr>
          <w:sz w:val="20"/>
          <w:szCs w:val="20"/>
          <w:color w:val="auto"/>
        </w:rPr>
      </w:pPr>
    </w:p>
    <w:p>
      <w:pPr>
        <w:ind w:right="80" w:firstLine="449"/>
        <w:spacing w:after="0" w:line="258" w:lineRule="auto"/>
        <w:tabs>
          <w:tab w:leader="none" w:pos="7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Repurchase of Existing Warrants</w:t>
      </w:r>
      <w:r>
        <w:rPr>
          <w:rFonts w:ascii="Times New Roman" w:cs="Times New Roman" w:eastAsia="Times New Roman" w:hAnsi="Times New Roman"/>
          <w:sz w:val="18"/>
          <w:szCs w:val="18"/>
          <w:color w:val="auto"/>
        </w:rPr>
        <w:t xml:space="preserve">. The Holder hereby conveys, assigns, transfers and surrenders the Existing Warrants to the Company and, in exchange, the Company shall cancel the Existing Warrants and pay the Holder the aggregate Purchase Price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In connection with such repurchase, the Holder hereby relinquishes all rights, title and interest in the Existing Warrants (including any claims the Holder may have against the Company related thereto) and assigns the same to the Company. Simultaneously with the payment to and receipt by the Holder of the aggregate Purchase Price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Existing Warrants shall be deemed cancelled and of no further force and effect.</w:t>
      </w:r>
    </w:p>
    <w:p>
      <w:pPr>
        <w:spacing w:after="0" w:line="183" w:lineRule="exact"/>
        <w:rPr>
          <w:rFonts w:ascii="Times New Roman" w:cs="Times New Roman" w:eastAsia="Times New Roman" w:hAnsi="Times New Roman"/>
          <w:sz w:val="18"/>
          <w:szCs w:val="18"/>
          <w:b w:val="1"/>
          <w:bCs w:val="1"/>
          <w:color w:val="auto"/>
        </w:rPr>
      </w:pPr>
    </w:p>
    <w:p>
      <w:pPr>
        <w:ind w:right="400" w:firstLine="449"/>
        <w:spacing w:after="0" w:line="266" w:lineRule="auto"/>
        <w:tabs>
          <w:tab w:leader="none" w:pos="7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Manner and Time of Payment of Repurchase Price</w:t>
      </w:r>
      <w:r>
        <w:rPr>
          <w:rFonts w:ascii="Times New Roman" w:cs="Times New Roman" w:eastAsia="Times New Roman" w:hAnsi="Times New Roman"/>
          <w:sz w:val="18"/>
          <w:szCs w:val="18"/>
          <w:color w:val="auto"/>
        </w:rPr>
        <w:t xml:space="preserve">. The aggregate Purchase Price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shall be paid in U.S. dollars and immediately available funds in accordance with the wire instructions set forth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attached hereto within two business days of the Effective Date.</w:t>
      </w:r>
    </w:p>
    <w:p>
      <w:pPr>
        <w:spacing w:after="0" w:line="283" w:lineRule="exact"/>
        <w:rPr>
          <w:rFonts w:ascii="Times New Roman" w:cs="Times New Roman" w:eastAsia="Times New Roman" w:hAnsi="Times New Roman"/>
          <w:sz w:val="18"/>
          <w:szCs w:val="18"/>
          <w:b w:val="1"/>
          <w:bCs w:val="1"/>
          <w:color w:val="auto"/>
        </w:rPr>
      </w:pPr>
    </w:p>
    <w:p>
      <w:pPr>
        <w:ind w:left="760" w:hanging="311"/>
        <w:spacing w:after="0"/>
        <w:tabs>
          <w:tab w:leader="none" w:pos="7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Representations and Warranties of the Holder.</w:t>
      </w:r>
    </w:p>
    <w:p>
      <w:pPr>
        <w:spacing w:after="0" w:line="117" w:lineRule="exact"/>
        <w:rPr>
          <w:rFonts w:ascii="Times New Roman" w:cs="Times New Roman" w:eastAsia="Times New Roman" w:hAnsi="Times New Roman"/>
          <w:sz w:val="18"/>
          <w:szCs w:val="18"/>
          <w:b w:val="1"/>
          <w:bCs w:val="1"/>
          <w:color w:val="auto"/>
        </w:rPr>
      </w:pPr>
    </w:p>
    <w:p>
      <w:pPr>
        <w:ind w:left="1380" w:hanging="380"/>
        <w:spacing w:after="0"/>
        <w:tabs>
          <w:tab w:leader="none" w:pos="1380"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is duly organized, validly existing and in good standing under the laws of the jurisdiction in which it is organized.</w:t>
      </w:r>
    </w:p>
    <w:p>
      <w:pPr>
        <w:spacing w:after="0" w:line="225" w:lineRule="exact"/>
        <w:rPr>
          <w:rFonts w:ascii="Times New Roman" w:cs="Times New Roman" w:eastAsia="Times New Roman" w:hAnsi="Times New Roman"/>
          <w:sz w:val="18"/>
          <w:szCs w:val="18"/>
          <w:b w:val="1"/>
          <w:bCs w:val="1"/>
          <w:color w:val="auto"/>
        </w:rPr>
      </w:pPr>
    </w:p>
    <w:p>
      <w:pPr>
        <w:ind w:right="160" w:firstLine="1000"/>
        <w:spacing w:after="0" w:line="261" w:lineRule="auto"/>
        <w:tabs>
          <w:tab w:leader="none" w:pos="1391"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has all requisite power, authority and capacity to enter into this Agreement and consummate the transactions contemplated hereby. The execution, delivery and performance of this Agreement, and the consummation of the transactions contemplated hereby by the Holder, have been duly authorized by all necessary action on the part of the Holder, and no other proceedings on the part of the Holder are necessary to authorize the execution, delivery or performance of this Agreement or the consummation of any of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164465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1000" w:right="280" w:firstLine="1000"/>
        <w:spacing w:after="0" w:line="266" w:lineRule="auto"/>
        <w:tabs>
          <w:tab w:leader="none" w:pos="371"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has been duly executed and delivered by the Holder, and, assuming due execution and delivery by the Company, constitutes or will constitute the legal, valid and binding obligation of the Holder, enforceable against the Holder in accordance with its terms, subject to limitations on enforcement by general principles of equity and by bankruptcy or other laws affecting the enforcement of creditors’ rights generally.</w:t>
      </w:r>
    </w:p>
    <w:p>
      <w:pPr>
        <w:spacing w:after="0" w:line="175" w:lineRule="exact"/>
        <w:rPr>
          <w:rFonts w:ascii="Times New Roman" w:cs="Times New Roman" w:eastAsia="Times New Roman" w:hAnsi="Times New Roman"/>
          <w:sz w:val="18"/>
          <w:szCs w:val="18"/>
          <w:b w:val="1"/>
          <w:bCs w:val="1"/>
          <w:color w:val="auto"/>
        </w:rPr>
      </w:pPr>
    </w:p>
    <w:p>
      <w:pPr>
        <w:ind w:left="-1000" w:firstLine="1000"/>
        <w:spacing w:after="0" w:line="254" w:lineRule="auto"/>
        <w:tabs>
          <w:tab w:leader="none" w:pos="39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owns and holds, beneficially and of record, the entire right, title, and interest in and to the Existing Warrants free and clear of all Liens (as defined below). The Holder has the full power and authority to transfer and dispose of the Existing Warrants free and clear of any Lien other than restrictions under the Securities Act of 1933, as amended (the “Securities Act”), and applicable state securities laws. Other than the transactions contemplated by this Agreement, there is no outstanding vote, plan, pending proposal, or other right of any person to acquire all or any portion of the Existing Warrants. As used herein, “Liens” shall mean any security or other property interest or right, claim, lien, pledge, option, charge, security interest, contingent or conditional sale, or other title claim or retention agreement, interest or other right or claim of third parties, whether perfected or not perfected, voluntarily incurred or arising by operation of law, and including any agreement (other than this Agreement) to grant or submit to any of the foregoing in the future.</w:t>
      </w:r>
    </w:p>
    <w:p>
      <w:pPr>
        <w:spacing w:after="0" w:line="191" w:lineRule="exact"/>
        <w:rPr>
          <w:rFonts w:ascii="Times New Roman" w:cs="Times New Roman" w:eastAsia="Times New Roman" w:hAnsi="Times New Roman"/>
          <w:sz w:val="18"/>
          <w:szCs w:val="18"/>
          <w:b w:val="1"/>
          <w:bCs w:val="1"/>
          <w:color w:val="auto"/>
        </w:rPr>
      </w:pPr>
    </w:p>
    <w:p>
      <w:pPr>
        <w:ind w:left="-1000" w:right="20" w:firstLine="1000"/>
        <w:spacing w:after="0" w:line="255" w:lineRule="auto"/>
        <w:tabs>
          <w:tab w:leader="none" w:pos="371"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execution, delivery and performance by the Holder of this Agreement, and the consummation by the Holder of the transactions contemplated hereby, will not (i) result in a violation of the organizational documents of the Holder, (ii) conflict with or result in a breach of or default (or an event which with notice or lapse of time or both would become a default) under, or give to others any rights of termination, amendment, acceleration or cancellation of, any agreement, indenture or instrument to which the Holder is a party, or (iii) result in a violation of any law, rule, regulation, order, judgment or decree (including federal and state securities laws) applicable to the Holder, except in the case of clauses (ii) and (iii) above, for such conflicts, defaults, rights or violations which would not, individually or in the aggregate, reasonably be expected to have a material adverse effect on the ability of the Holder to perform its obligations hereunder.</w:t>
      </w:r>
    </w:p>
    <w:p>
      <w:pPr>
        <w:spacing w:after="0" w:line="188" w:lineRule="exact"/>
        <w:rPr>
          <w:rFonts w:ascii="Times New Roman" w:cs="Times New Roman" w:eastAsia="Times New Roman" w:hAnsi="Times New Roman"/>
          <w:sz w:val="18"/>
          <w:szCs w:val="18"/>
          <w:b w:val="1"/>
          <w:bCs w:val="1"/>
          <w:color w:val="auto"/>
        </w:rPr>
      </w:pPr>
    </w:p>
    <w:p>
      <w:pPr>
        <w:jc w:val="both"/>
        <w:ind w:left="-1000" w:right="260" w:firstLine="1000"/>
        <w:spacing w:after="0" w:line="266" w:lineRule="auto"/>
        <w:tabs>
          <w:tab w:leader="none" w:pos="351"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is not (i) an “affiliate” of the Company (as defined in Rule 144 under the Securities Act) or (ii) the “beneficial owner” (as that term is defined under the Securities Exchange Act of 1934, as amended) of more than 10% of the Company’s outstanding Common Stock assuming that the Company’s outstanding shares of Common Stock are as set forth on the cover page of its most recent Quarterly Report on Form 10-Q.</w:t>
      </w:r>
    </w:p>
    <w:p>
      <w:pPr>
        <w:spacing w:after="0" w:line="175" w:lineRule="exact"/>
        <w:rPr>
          <w:rFonts w:ascii="Times New Roman" w:cs="Times New Roman" w:eastAsia="Times New Roman" w:hAnsi="Times New Roman"/>
          <w:sz w:val="18"/>
          <w:szCs w:val="18"/>
          <w:b w:val="1"/>
          <w:bCs w:val="1"/>
          <w:color w:val="auto"/>
        </w:rPr>
      </w:pPr>
    </w:p>
    <w:p>
      <w:pPr>
        <w:ind w:left="-1000" w:right="20" w:firstLine="1000"/>
        <w:spacing w:after="0" w:line="254" w:lineRule="auto"/>
        <w:tabs>
          <w:tab w:leader="none" w:pos="381"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has been given full and adequate access to information relating to the Company as the Holder has deemed necessary or advisable in connection with the Holder’s evaluation of the repurchase of the Existing Warrants. The Holder has not relied upon any representations or statements made by the Company or its agents, officers, directors, employees or stockholders in regard to this Agreement or the basis thereof. The Holder has had the opportunity to review the Company’s filings with the Securities and Exchange Commission (the “SEC”). The Holder and its advisors, if any, have been afforded the opportunity to ask questions of the Company. The Holder has sought such accounting, legal and tax advice as it has considered necessary to make an informed investment decision with respect to its sale of the Existing Warrants to the Company. The Holder is relying solely on its own accounting, legal and tax advisors, and not on any statements of the Company or any of its agents or representatives, for such accounting, legal and tax advice with respect to its sale of the Existing Warrants to the Company and the transactions contemplated by this Agreement.</w:t>
      </w:r>
    </w:p>
    <w:p>
      <w:pPr>
        <w:spacing w:after="0" w:line="191" w:lineRule="exact"/>
        <w:rPr>
          <w:rFonts w:ascii="Times New Roman" w:cs="Times New Roman" w:eastAsia="Times New Roman" w:hAnsi="Times New Roman"/>
          <w:sz w:val="18"/>
          <w:szCs w:val="18"/>
          <w:b w:val="1"/>
          <w:bCs w:val="1"/>
          <w:color w:val="auto"/>
        </w:rPr>
      </w:pPr>
    </w:p>
    <w:p>
      <w:pPr>
        <w:ind w:left="-1000" w:right="20" w:firstLine="1000"/>
        <w:spacing w:after="0" w:line="254" w:lineRule="auto"/>
        <w:tabs>
          <w:tab w:leader="none" w:pos="39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acknowledges that the terms of the repurchase of the Existing Warrants have been established by negotiation between the Company and the Holder. The Holder acknowledges that the Company has not made any representation to the Holder about the advisability of this decision or the potential future value of any of the Existing Warrants. THE HOLDER ACKNOWLEDGES THAT, BY SELLING THE EXISTING WARRANTS TO THE COMPANY PURSUANT TO THIS AGREEMENT, THE HOLDER WILL NOT BENEFIT FROM ANY FUTURE APPRECIATION IN THE MARKET VALUE OF THE EXISTING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177800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1320" w:top="553" w:right="339" w:bottom="1440" w:gutter="0" w:footer="0" w:header="0"/>
        </w:sectPr>
      </w:pPr>
    </w:p>
    <w:bookmarkStart w:id="5" w:name="page6"/>
    <w:bookmarkEnd w:id="5"/>
    <w:p>
      <w:pPr>
        <w:ind w:left="311" w:hanging="311"/>
        <w:spacing w:after="0"/>
        <w:tabs>
          <w:tab w:leader="none" w:pos="311"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Representations and Warranties of the Company.</w:t>
      </w:r>
    </w:p>
    <w:p>
      <w:pPr>
        <w:spacing w:after="0" w:line="117" w:lineRule="exact"/>
        <w:rPr>
          <w:rFonts w:ascii="Times New Roman" w:cs="Times New Roman" w:eastAsia="Times New Roman" w:hAnsi="Times New Roman"/>
          <w:sz w:val="18"/>
          <w:szCs w:val="18"/>
          <w:b w:val="1"/>
          <w:bCs w:val="1"/>
          <w:color w:val="auto"/>
        </w:rPr>
      </w:pPr>
    </w:p>
    <w:p>
      <w:pPr>
        <w:ind w:left="931" w:hanging="380"/>
        <w:spacing w:after="0"/>
        <w:tabs>
          <w:tab w:leader="none" w:pos="931"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duly incorporated, validly existing and in good standing under the laws of the State of Delaware.</w:t>
      </w:r>
    </w:p>
    <w:p>
      <w:pPr>
        <w:spacing w:after="0" w:line="225" w:lineRule="exact"/>
        <w:rPr>
          <w:rFonts w:ascii="Times New Roman" w:cs="Times New Roman" w:eastAsia="Times New Roman" w:hAnsi="Times New Roman"/>
          <w:sz w:val="18"/>
          <w:szCs w:val="18"/>
          <w:b w:val="1"/>
          <w:bCs w:val="1"/>
          <w:color w:val="auto"/>
        </w:rPr>
      </w:pPr>
    </w:p>
    <w:p>
      <w:pPr>
        <w:ind w:left="-449" w:firstLine="1000"/>
        <w:spacing w:after="0" w:line="258" w:lineRule="auto"/>
        <w:tabs>
          <w:tab w:leader="none" w:pos="942"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all requisite power, authority and capacity to enter into this Agreement and consummate the transactions contemplated hereby. The execution, delivery and performance of this Agreement, and the consummation of the transactions contemplated hereby by the Company, have been duly authorized by all necessary action on the part of the Company and its board of directors (or a duly authorized committee thereof), and no other proceedings on the part of the Company are necessary to authorize the execution, delivery or performance of this Agreement or the consummation of any of the transactions contemplated hereby.</w:t>
      </w:r>
    </w:p>
    <w:p>
      <w:pPr>
        <w:spacing w:after="0" w:line="183" w:lineRule="exact"/>
        <w:rPr>
          <w:rFonts w:ascii="Times New Roman" w:cs="Times New Roman" w:eastAsia="Times New Roman" w:hAnsi="Times New Roman"/>
          <w:sz w:val="18"/>
          <w:szCs w:val="18"/>
          <w:b w:val="1"/>
          <w:bCs w:val="1"/>
          <w:color w:val="auto"/>
        </w:rPr>
      </w:pPr>
    </w:p>
    <w:p>
      <w:pPr>
        <w:ind w:left="-449" w:right="60" w:firstLine="1000"/>
        <w:spacing w:after="0" w:line="289" w:lineRule="auto"/>
        <w:tabs>
          <w:tab w:leader="none" w:pos="922" w:val="left"/>
        </w:tabs>
        <w:numPr>
          <w:ilvl w:val="1"/>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This Agreement has been duly executed and delivered by the Company, and, assuming due execution and delivery by the Holder, constitutes or will constitute the legal, valid and binding obligation of the Company, enforceable against the Company in accordance with its terms, subject to limitations on enforcement by general principles of equity and by bankruptcy or other laws affecting the enforcement of creditors’ rights generally.</w:t>
      </w:r>
    </w:p>
    <w:p>
      <w:pPr>
        <w:spacing w:after="0" w:line="157" w:lineRule="exact"/>
        <w:rPr>
          <w:rFonts w:ascii="Times New Roman" w:cs="Times New Roman" w:eastAsia="Times New Roman" w:hAnsi="Times New Roman"/>
          <w:sz w:val="17"/>
          <w:szCs w:val="17"/>
          <w:b w:val="1"/>
          <w:bCs w:val="1"/>
          <w:color w:val="auto"/>
        </w:rPr>
      </w:pPr>
    </w:p>
    <w:p>
      <w:pPr>
        <w:ind w:left="-449" w:right="60" w:firstLine="1000"/>
        <w:spacing w:after="0" w:line="255" w:lineRule="auto"/>
        <w:tabs>
          <w:tab w:leader="none" w:pos="942"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execution, delivery and performance by the Company of this Agreement, and the consummation by the Company of the transactions contemplated hereby, will not (i) result in a violation of the organizational documents of the Company, (ii) conflict with or result in a breach of or default (or an event which with notice or lapse of time or both would become a default) under, or give to others any rights of termination, amendment, acceleration or cancellation of, any agreement, indenture or instrument to which the Company is a party, or (iii) result in a violation of any law, rule, regulation, order, judgment or decree (including federal and state securities laws) applicable to the Company, except in the case of clauses (ii) and (iii) above, for such conflicts, defaults, rights or violations which would not, individually or in the aggregate, reasonably be expected to have a material adverse effect on the ability of the Company to perform its obligations hereunder.</w:t>
      </w:r>
    </w:p>
    <w:p>
      <w:pPr>
        <w:spacing w:after="0" w:line="188" w:lineRule="exact"/>
        <w:rPr>
          <w:rFonts w:ascii="Times New Roman" w:cs="Times New Roman" w:eastAsia="Times New Roman" w:hAnsi="Times New Roman"/>
          <w:sz w:val="18"/>
          <w:szCs w:val="18"/>
          <w:b w:val="1"/>
          <w:bCs w:val="1"/>
          <w:color w:val="auto"/>
        </w:rPr>
      </w:pPr>
    </w:p>
    <w:p>
      <w:pPr>
        <w:ind w:left="-449" w:right="60" w:firstLine="1000"/>
        <w:spacing w:after="0" w:line="256" w:lineRule="auto"/>
        <w:tabs>
          <w:tab w:leader="none" w:pos="922"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Neither the Company nor any subsidiary is required to obtain any consent from, authorization or order of, or make any filing or registration with any court, governmental agency or any regulatory or self-regulatory agency or any other person, in order for the Company to execute, deliver or perform any of its respective obligations under or contemplated by this Agreement. All consents, authorizations, orders, filings and registrations which the Company or any subsidiary is required to obtain pursuant to the preceding sentence have been obtained or effected on or prior to the date hereof, and neither the Company nor any of its subsidiaries are aware of any facts or circumstances which might prevent the Company or any of its subsidiaries from obtaining or effecting any of the registration, application or filings contemplated by this Agreement.</w:t>
      </w:r>
    </w:p>
    <w:p>
      <w:pPr>
        <w:spacing w:after="0" w:line="187" w:lineRule="exact"/>
        <w:rPr>
          <w:rFonts w:ascii="Times New Roman" w:cs="Times New Roman" w:eastAsia="Times New Roman" w:hAnsi="Times New Roman"/>
          <w:sz w:val="18"/>
          <w:szCs w:val="18"/>
          <w:b w:val="1"/>
          <w:bCs w:val="1"/>
          <w:color w:val="auto"/>
        </w:rPr>
      </w:pPr>
    </w:p>
    <w:p>
      <w:pPr>
        <w:ind w:left="-449" w:right="80" w:firstLine="449"/>
        <w:spacing w:after="0" w:line="255" w:lineRule="auto"/>
        <w:tabs>
          <w:tab w:leader="none" w:pos="307"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Issuance of Form 8-K</w:t>
      </w:r>
      <w:r>
        <w:rPr>
          <w:rFonts w:ascii="Times New Roman" w:cs="Times New Roman" w:eastAsia="Times New Roman" w:hAnsi="Times New Roman"/>
          <w:sz w:val="18"/>
          <w:szCs w:val="18"/>
          <w:color w:val="auto"/>
        </w:rPr>
        <w:t>. On or before 9:00 a.m. (New York City time) on September 5, 2025, the Company shall file a Current Report on Form 8-K with the SEC disclosing all material terms of the transaction contemplated hereunder (“</w:t>
      </w:r>
      <w:r>
        <w:rPr>
          <w:rFonts w:ascii="Times New Roman" w:cs="Times New Roman" w:eastAsia="Times New Roman" w:hAnsi="Times New Roman"/>
          <w:sz w:val="18"/>
          <w:szCs w:val="18"/>
          <w:u w:val="single" w:color="auto"/>
          <w:color w:val="auto"/>
        </w:rPr>
        <w:t>8-K Filing</w:t>
      </w:r>
      <w:r>
        <w:rPr>
          <w:rFonts w:ascii="Times New Roman" w:cs="Times New Roman" w:eastAsia="Times New Roman" w:hAnsi="Times New Roman"/>
          <w:sz w:val="18"/>
          <w:szCs w:val="18"/>
          <w:color w:val="auto"/>
        </w:rPr>
        <w:t>”). From and after the issuance of the 8-K Filing, the Company represents to the Holder that it shall not be in possession of any material, nonpublic information received from the Company or any of its officers, directors, employees or agents, that is not disclosed in the 8-K Filing. In addition, effective upon the filing of the 8-K Filing, the Company acknowledges and agrees that any and all confidentiality or similar obligations under any agreement, whether written or oral, between the Company or any of its officers, directors, employees or agents, on the one hand, and the Holder or any of its affiliates, on the other hand, related to the transactions contemplated hereby or with respect to information shared in connection herewith shall terminate.</w:t>
      </w:r>
    </w:p>
    <w:p>
      <w:pPr>
        <w:spacing w:after="0" w:line="296" w:lineRule="exact"/>
        <w:rPr>
          <w:rFonts w:ascii="Times New Roman" w:cs="Times New Roman" w:eastAsia="Times New Roman" w:hAnsi="Times New Roman"/>
          <w:sz w:val="18"/>
          <w:szCs w:val="18"/>
          <w:b w:val="1"/>
          <w:bCs w:val="1"/>
          <w:color w:val="auto"/>
        </w:rPr>
      </w:pPr>
    </w:p>
    <w:p>
      <w:pPr>
        <w:ind w:left="311" w:hanging="311"/>
        <w:spacing w:after="0"/>
        <w:tabs>
          <w:tab w:leader="none" w:pos="311"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Miscellaneous.</w:t>
      </w:r>
    </w:p>
    <w:p>
      <w:pPr>
        <w:spacing w:after="0" w:line="117" w:lineRule="exact"/>
        <w:rPr>
          <w:rFonts w:ascii="Times New Roman" w:cs="Times New Roman" w:eastAsia="Times New Roman" w:hAnsi="Times New Roman"/>
          <w:sz w:val="18"/>
          <w:szCs w:val="18"/>
          <w:b w:val="1"/>
          <w:bCs w:val="1"/>
          <w:color w:val="auto"/>
        </w:rPr>
      </w:pPr>
    </w:p>
    <w:p>
      <w:pPr>
        <w:ind w:left="-449" w:right="420" w:firstLine="1000"/>
        <w:spacing w:after="0" w:line="282" w:lineRule="auto"/>
        <w:tabs>
          <w:tab w:leader="none" w:pos="932"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sets forth the entire understanding of the parties hereto relating to the subject matter hereof and supersedes all prior agreements and understandings among or between any of the parties relating to the subject matter hereof.</w:t>
      </w:r>
    </w:p>
    <w:p>
      <w:pPr>
        <w:spacing w:after="0" w:line="148" w:lineRule="exact"/>
        <w:rPr>
          <w:rFonts w:ascii="Times New Roman" w:cs="Times New Roman" w:eastAsia="Times New Roman" w:hAnsi="Times New Roman"/>
          <w:sz w:val="18"/>
          <w:szCs w:val="18"/>
          <w:b w:val="1"/>
          <w:bCs w:val="1"/>
          <w:color w:val="auto"/>
        </w:rPr>
      </w:pPr>
    </w:p>
    <w:p>
      <w:pPr>
        <w:ind w:left="-449" w:right="120" w:firstLine="1000"/>
        <w:spacing w:after="0" w:line="282" w:lineRule="auto"/>
        <w:tabs>
          <w:tab w:leader="none" w:pos="942"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Survival of Warranties</w:t>
      </w:r>
      <w:r>
        <w:rPr>
          <w:rFonts w:ascii="Times New Roman" w:cs="Times New Roman" w:eastAsia="Times New Roman" w:hAnsi="Times New Roman"/>
          <w:sz w:val="18"/>
          <w:szCs w:val="18"/>
          <w:color w:val="auto"/>
        </w:rPr>
        <w:t>. The representations and warranties of the parties contained in or made pursuant to this Agreement shall survive the execution and delivery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161290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91"/>
          </w:cols>
          <w:pgMar w:left="769" w:top="553" w:right="339" w:bottom="1440" w:gutter="0" w:footer="0" w:header="0"/>
        </w:sectPr>
      </w:pPr>
    </w:p>
    <w:bookmarkStart w:id="6" w:name="page7"/>
    <w:bookmarkEnd w:id="6"/>
    <w:p>
      <w:pPr>
        <w:ind w:left="-1000" w:right="160" w:firstLine="1000"/>
        <w:spacing w:after="0" w:line="255" w:lineRule="auto"/>
        <w:tabs>
          <w:tab w:leader="none" w:pos="371"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Governing Law; Consent to Jurisdiction</w:t>
      </w:r>
      <w:r>
        <w:rPr>
          <w:rFonts w:ascii="Times New Roman" w:cs="Times New Roman" w:eastAsia="Times New Roman" w:hAnsi="Times New Roman"/>
          <w:sz w:val="18"/>
          <w:szCs w:val="18"/>
          <w:color w:val="auto"/>
        </w:rPr>
        <w:t>. This Agreement, and any action, arbitration, suit or other legal proceeding arising out of or relating to this Agreement (including the enforcement of any provision of this Agreement), any of the transactions contemplated by this Agreement or the legal relationship of the parties to this Agreement (whether at law or in equity, whether in contract or in tort or otherwise), shall be governed by and construed and interpreted in accordance with the laws of the State of Delaware irrespective of the choice of laws principles of the State of Delaware, as to all matters, including matters of validity, construction, effect, enforceability, performance and remedies and in respect of the statute of limitations or any other limitations period applicable to any claim, controversy or dispute. Each of the parties hereto irrevocably consents to the exclusive jurisdiction and venue of the Delaware Court of Chancery in connection with any matter based upon or arising out of this Agreement.</w:t>
      </w:r>
    </w:p>
    <w:p>
      <w:pPr>
        <w:spacing w:after="0" w:line="188" w:lineRule="exact"/>
        <w:rPr>
          <w:rFonts w:ascii="Times New Roman" w:cs="Times New Roman" w:eastAsia="Times New Roman" w:hAnsi="Times New Roman"/>
          <w:sz w:val="18"/>
          <w:szCs w:val="18"/>
          <w:b w:val="1"/>
          <w:bCs w:val="1"/>
          <w:color w:val="auto"/>
        </w:rPr>
      </w:pPr>
    </w:p>
    <w:p>
      <w:pPr>
        <w:ind w:left="-1000" w:right="340" w:firstLine="1000"/>
        <w:spacing w:after="0" w:line="282" w:lineRule="auto"/>
        <w:tabs>
          <w:tab w:leader="none" w:pos="39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not be amended, modified, altered or supplemented other than by means of a written instrument duly executed and delivered on behalf of the Company and the Holder.</w:t>
      </w:r>
    </w:p>
    <w:p>
      <w:pPr>
        <w:spacing w:after="0" w:line="161" w:lineRule="exact"/>
        <w:rPr>
          <w:rFonts w:ascii="Times New Roman" w:cs="Times New Roman" w:eastAsia="Times New Roman" w:hAnsi="Times New Roman"/>
          <w:sz w:val="18"/>
          <w:szCs w:val="18"/>
          <w:b w:val="1"/>
          <w:bCs w:val="1"/>
          <w:color w:val="auto"/>
        </w:rPr>
      </w:pPr>
    </w:p>
    <w:p>
      <w:pPr>
        <w:ind w:left="-1000" w:firstLine="1000"/>
        <w:spacing w:after="0" w:line="256" w:lineRule="auto"/>
        <w:tabs>
          <w:tab w:leader="none" w:pos="371"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failure on the part of any person to exercise any power, right, privilege or remedy under this Agreement, and no delay on the part of any person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person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person; and any such waiver shall not be applicable or have any effect except in the specific instance in which it is given.</w:t>
      </w:r>
    </w:p>
    <w:p>
      <w:pPr>
        <w:spacing w:after="0" w:line="187" w:lineRule="exact"/>
        <w:rPr>
          <w:rFonts w:ascii="Times New Roman" w:cs="Times New Roman" w:eastAsia="Times New Roman" w:hAnsi="Times New Roman"/>
          <w:sz w:val="18"/>
          <w:szCs w:val="18"/>
          <w:b w:val="1"/>
          <w:bCs w:val="1"/>
          <w:color w:val="auto"/>
        </w:rPr>
      </w:pPr>
    </w:p>
    <w:p>
      <w:pPr>
        <w:ind w:left="-1000" w:right="60" w:firstLine="1000"/>
        <w:spacing w:after="0" w:line="266" w:lineRule="auto"/>
        <w:tabs>
          <w:tab w:leader="none" w:pos="351"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Counterparts and Exchanges by Electronic Transmission or Facsimile</w:t>
      </w:r>
      <w:r>
        <w:rPr>
          <w:rFonts w:ascii="Times New Roman" w:cs="Times New Roman" w:eastAsia="Times New Roman" w:hAnsi="Times New Roman"/>
          <w:sz w:val="18"/>
          <w:szCs w:val="18"/>
          <w:color w:val="auto"/>
        </w:rPr>
        <w:t>. This Agreement may be executed in several counterparts, each of which shall constitute an original and all of which, when taken together, shall constitute one agreement. The exchange of a fully executed Agreement (in counterparts or otherwise) by electronic transmission in .PDF format shall be sufficient to bind the parties to the terms of this Agreement.</w:t>
      </w:r>
    </w:p>
    <w:p>
      <w:pPr>
        <w:spacing w:after="0" w:line="175" w:lineRule="exact"/>
        <w:rPr>
          <w:rFonts w:ascii="Times New Roman" w:cs="Times New Roman" w:eastAsia="Times New Roman" w:hAnsi="Times New Roman"/>
          <w:sz w:val="18"/>
          <w:szCs w:val="18"/>
          <w:b w:val="1"/>
          <w:bCs w:val="1"/>
          <w:color w:val="auto"/>
        </w:rPr>
      </w:pPr>
    </w:p>
    <w:p>
      <w:pPr>
        <w:ind w:left="-1000" w:right="320" w:firstLine="1000"/>
        <w:spacing w:after="0" w:line="261" w:lineRule="auto"/>
        <w:tabs>
          <w:tab w:leader="none" w:pos="381"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provision of this Agreement, or the application of any such provision to any person or set of circumstances, shall be determined to be invalid, unlawful, void or unenforceable to any extent, the remainder of this Agreement, and the application of such provision to persons or circumstances other than those as to which it is determined to be invalid, unlawful, void or unenforceable, shall not be impaired or otherwise affected and shall continue to be valid and enforceable to the fullest extent permitted by applicable law.</w:t>
      </w:r>
    </w:p>
    <w:p>
      <w:pPr>
        <w:spacing w:after="0" w:line="179" w:lineRule="exact"/>
        <w:rPr>
          <w:rFonts w:ascii="Times New Roman" w:cs="Times New Roman" w:eastAsia="Times New Roman" w:hAnsi="Times New Roman"/>
          <w:sz w:val="18"/>
          <w:szCs w:val="18"/>
          <w:b w:val="1"/>
          <w:bCs w:val="1"/>
          <w:color w:val="auto"/>
        </w:rPr>
      </w:pPr>
    </w:p>
    <w:p>
      <w:pPr>
        <w:ind w:left="-1000" w:right="40" w:firstLine="1000"/>
        <w:spacing w:after="0" w:line="258" w:lineRule="auto"/>
        <w:tabs>
          <w:tab w:leader="none" w:pos="39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each of the parties hereto and each of their respective heirs, executors, personal representatives, successors and permitted assigns, if any. This Agreement shall inure to the benefit of the Company and the Holder and the respective successors and permitted assigns of the foregoing (if any). Neither party shall be permitted to assign any of such party’s rights or delegate any of such party’s obligations under this Agreement without the other party’s prior written consent. Any attempted assignment or delegation by a party in violation of this Section 6(h) shall be null and void.</w:t>
      </w:r>
    </w:p>
    <w:p>
      <w:pPr>
        <w:spacing w:after="0" w:line="183" w:lineRule="exact"/>
        <w:rPr>
          <w:rFonts w:ascii="Times New Roman" w:cs="Times New Roman" w:eastAsia="Times New Roman" w:hAnsi="Times New Roman"/>
          <w:sz w:val="18"/>
          <w:szCs w:val="18"/>
          <w:b w:val="1"/>
          <w:bCs w:val="1"/>
          <w:color w:val="auto"/>
        </w:rPr>
      </w:pPr>
    </w:p>
    <w:p>
      <w:pPr>
        <w:ind w:left="-1000" w:right="180" w:firstLine="1000"/>
        <w:spacing w:after="0" w:line="282" w:lineRule="auto"/>
        <w:tabs>
          <w:tab w:leader="none" w:pos="34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Agreement is intended for the benefit of the parties hereto and their respective permitted successors and assigns, and is not for the benefit of, nor may any provision hereof be enforced by, any other person.</w:t>
      </w:r>
    </w:p>
    <w:p>
      <w:pPr>
        <w:spacing w:after="0" w:line="161" w:lineRule="exact"/>
        <w:rPr>
          <w:rFonts w:ascii="Times New Roman" w:cs="Times New Roman" w:eastAsia="Times New Roman" w:hAnsi="Times New Roman"/>
          <w:sz w:val="18"/>
          <w:szCs w:val="18"/>
          <w:b w:val="1"/>
          <w:bCs w:val="1"/>
          <w:color w:val="auto"/>
        </w:rPr>
      </w:pPr>
    </w:p>
    <w:p>
      <w:pPr>
        <w:ind w:left="-1000" w:right="160" w:firstLine="1000"/>
        <w:spacing w:after="0" w:line="266" w:lineRule="auto"/>
        <w:tabs>
          <w:tab w:leader="none" w:pos="351"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62" w:lineRule="exact"/>
        <w:rPr>
          <w:rFonts w:ascii="Times New Roman" w:cs="Times New Roman" w:eastAsia="Times New Roman" w:hAnsi="Times New Roman"/>
          <w:sz w:val="18"/>
          <w:szCs w:val="18"/>
          <w:b w:val="1"/>
          <w:bCs w:val="1"/>
          <w:color w:val="auto"/>
        </w:rPr>
      </w:pPr>
    </w:p>
    <w:p>
      <w:pPr>
        <w:ind w:left="-1000" w:right="360" w:firstLine="1000"/>
        <w:spacing w:after="0" w:line="282" w:lineRule="auto"/>
        <w:tabs>
          <w:tab w:leader="none" w:pos="39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Each party shall pay the fees and expenses of its advisers, counsel, accountants and other experts, if any, and all other expenses incurred by such party incident to the negotiation, preparation, execution, delivery and performance of this Agreement.</w:t>
      </w:r>
    </w:p>
    <w:p>
      <w:pPr>
        <w:spacing w:after="0" w:line="16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203200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1320" w:top="55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color w:val="auto"/>
        </w:rPr>
        <w:t>The parties hereto have caused this Agreement to be executed and delivered as of the date first written above.</w:t>
      </w:r>
    </w:p>
    <w:p>
      <w:pPr>
        <w:spacing w:after="0" w:line="24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254" w:lineRule="exact"/>
        <w:rPr>
          <w:sz w:val="20"/>
          <w:szCs w:val="20"/>
          <w:color w:val="auto"/>
        </w:rPr>
      </w:pPr>
    </w:p>
    <w:p>
      <w:pPr>
        <w:ind w:left="510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Derek L.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18415</wp:posOffset>
            </wp:positionV>
            <wp:extent cx="32404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3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Name: Derek Graham</w:t>
      </w:r>
    </w:p>
    <w:p>
      <w:pPr>
        <w:spacing w:after="0" w:line="27" w:lineRule="exact"/>
        <w:rPr>
          <w:sz w:val="20"/>
          <w:szCs w:val="20"/>
          <w:color w:val="auto"/>
        </w:rPr>
      </w:pPr>
    </w:p>
    <w:p>
      <w:pPr>
        <w:ind w:left="5100"/>
        <w:spacing w:after="0"/>
        <w:tabs>
          <w:tab w:leader="none" w:pos="56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3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i w:val="1"/>
          <w:iCs w:val="1"/>
          <w:color w:val="auto"/>
        </w:rPr>
        <w:t>[Company Signature Page to Warrant Repurchase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203200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99"/>
          </w:cols>
          <w:pgMar w:left="760" w:top="553"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color w:val="auto"/>
        </w:rPr>
        <w:t>The parties hereto have caused this Agreement to be executed and delivered as of the date first written above.</w:t>
      </w:r>
    </w:p>
    <w:p>
      <w:pPr>
        <w:spacing w:after="0" w:line="24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EDWARD BRYAN BAGLEY</w:t>
      </w:r>
    </w:p>
    <w:p>
      <w:pPr>
        <w:spacing w:after="0" w:line="256" w:lineRule="exact"/>
        <w:rPr>
          <w:sz w:val="20"/>
          <w:szCs w:val="20"/>
          <w:color w:val="auto"/>
        </w:rPr>
      </w:pPr>
    </w:p>
    <w:p>
      <w:pPr>
        <w:ind w:left="5100"/>
        <w:spacing w:after="0"/>
        <w:tabs>
          <w:tab w:leader="none" w:pos="5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Bryan Bagley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17145</wp:posOffset>
            </wp:positionV>
            <wp:extent cx="32404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30"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Title:</w:t>
      </w:r>
    </w:p>
    <w:p>
      <w:pPr>
        <w:spacing w:after="0" w:line="21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i w:val="1"/>
          <w:iCs w:val="1"/>
          <w:color w:val="auto"/>
        </w:rPr>
        <w:t>[Holder Signature Page to Warrant Repurchase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203200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99"/>
          </w:cols>
          <w:pgMar w:left="760" w:top="553"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Existing Warrants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760" w:type="dxa"/>
            <w:vAlign w:val="bottom"/>
            <w:tcBorders>
              <w:top w:val="single" w:sz="8" w:color="auto"/>
              <w:left w:val="single" w:sz="8" w:color="auto"/>
              <w:right w:val="single" w:sz="8" w:color="auto"/>
            </w:tcBorders>
            <w:gridSpan w:val="3"/>
          </w:tcPr>
          <w:p>
            <w:pPr>
              <w:ind w:left="1480"/>
              <w:spacing w:after="0" w:line="189" w:lineRule="exact"/>
              <w:rPr>
                <w:sz w:val="20"/>
                <w:szCs w:val="20"/>
                <w:color w:val="auto"/>
              </w:rPr>
            </w:pPr>
            <w:r>
              <w:rPr>
                <w:rFonts w:ascii="Times New Roman" w:cs="Times New Roman" w:eastAsia="Times New Roman" w:hAnsi="Times New Roman"/>
                <w:sz w:val="18"/>
                <w:szCs w:val="18"/>
                <w:b w:val="1"/>
                <w:bCs w:val="1"/>
                <w:color w:val="auto"/>
              </w:rPr>
              <w:t>Issue Date</w:t>
            </w:r>
          </w:p>
        </w:tc>
        <w:tc>
          <w:tcPr>
            <w:tcW w:w="3740" w:type="dxa"/>
            <w:vAlign w:val="bottom"/>
            <w:tcBorders>
              <w:top w:val="single" w:sz="8" w:color="auto"/>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Number of Warrant Shares</w:t>
            </w:r>
          </w:p>
        </w:tc>
        <w:tc>
          <w:tcPr>
            <w:tcW w:w="880" w:type="dxa"/>
            <w:vAlign w:val="bottom"/>
            <w:tcBorders>
              <w:top w:val="single" w:sz="8" w:color="auto"/>
            </w:tcBorders>
          </w:tcPr>
          <w:p>
            <w:pPr>
              <w:spacing w:after="0"/>
              <w:rPr>
                <w:sz w:val="16"/>
                <w:szCs w:val="16"/>
                <w:color w:val="auto"/>
              </w:rPr>
            </w:pPr>
          </w:p>
        </w:tc>
        <w:tc>
          <w:tcPr>
            <w:tcW w:w="2860" w:type="dxa"/>
            <w:vAlign w:val="bottom"/>
            <w:tcBorders>
              <w:top w:val="single" w:sz="8" w:color="auto"/>
              <w:right w:val="single" w:sz="8" w:color="auto"/>
            </w:tcBorders>
            <w:gridSpan w:val="2"/>
          </w:tcPr>
          <w:p>
            <w:pPr>
              <w:jc w:val="center"/>
              <w:ind w:right="8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Aggregate Purchase Price</w:t>
            </w:r>
          </w:p>
        </w:tc>
      </w:tr>
      <w:tr>
        <w:trPr>
          <w:trHeight w:val="21"/>
        </w:trPr>
        <w:tc>
          <w:tcPr>
            <w:tcW w:w="148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3760" w:type="dxa"/>
            <w:vAlign w:val="bottom"/>
            <w:tcBorders>
              <w:left w:val="single" w:sz="8" w:color="auto"/>
              <w:bottom w:val="single" w:sz="8" w:color="auto"/>
              <w:right w:val="single" w:sz="8" w:color="auto"/>
            </w:tcBorders>
            <w:gridSpan w:val="3"/>
          </w:tcPr>
          <w:p>
            <w:pPr>
              <w:ind w:left="1480"/>
              <w:spacing w:after="0"/>
              <w:rPr>
                <w:sz w:val="20"/>
                <w:szCs w:val="20"/>
                <w:color w:val="auto"/>
              </w:rPr>
            </w:pPr>
            <w:r>
              <w:rPr>
                <w:rFonts w:ascii="Times New Roman" w:cs="Times New Roman" w:eastAsia="Times New Roman" w:hAnsi="Times New Roman"/>
                <w:sz w:val="18"/>
                <w:szCs w:val="18"/>
                <w:color w:val="auto"/>
              </w:rPr>
              <w:t>12/17/2019</w:t>
            </w:r>
          </w:p>
        </w:tc>
        <w:tc>
          <w:tcPr>
            <w:tcW w:w="2920" w:type="dxa"/>
            <w:vAlign w:val="bottom"/>
            <w:tcBorders>
              <w:bottom w:val="single" w:sz="8" w:color="auto"/>
            </w:tcBorders>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3,788</w:t>
            </w:r>
          </w:p>
        </w:tc>
        <w:tc>
          <w:tcPr>
            <w:tcW w:w="8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860" w:type="dxa"/>
            <w:vAlign w:val="bottom"/>
            <w:tcBorders>
              <w:bottom w:val="single" w:sz="8" w:color="auto"/>
              <w:right w:val="single" w:sz="8" w:color="auto"/>
            </w:tcBorders>
            <w:gridSpan w:val="2"/>
          </w:tcPr>
          <w:p>
            <w:pPr>
              <w:jc w:val="center"/>
              <w:ind w:right="900"/>
              <w:spacing w:after="0"/>
              <w:rPr>
                <w:sz w:val="20"/>
                <w:szCs w:val="20"/>
                <w:color w:val="auto"/>
              </w:rPr>
            </w:pPr>
            <w:r>
              <w:rPr>
                <w:rFonts w:ascii="Times New Roman" w:cs="Times New Roman" w:eastAsia="Times New Roman" w:hAnsi="Times New Roman"/>
                <w:sz w:val="18"/>
                <w:szCs w:val="18"/>
                <w:color w:val="auto"/>
              </w:rPr>
              <w:t>US$ 2,463.72</w:t>
            </w:r>
          </w:p>
        </w:tc>
      </w:tr>
      <w:tr>
        <w:trPr>
          <w:trHeight w:val="743"/>
        </w:trPr>
        <w:tc>
          <w:tcPr>
            <w:tcW w:w="14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upperLetter"/>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lowerLetter"/>
      <w:start w:val="3"/>
    </w:lvl>
  </w:abstractNum>
  <w:abstractNum w:abstractNumId="4">
    <w:nsid w:val="3D1B58BA"/>
    <w:multiLevelType w:val="hybridMultilevel"/>
    <w:lvl w:ilvl="0">
      <w:lvlJc w:val="left"/>
      <w:lvlText w:val="%1."/>
      <w:numFmt w:val="decimal"/>
      <w:start w:val="4"/>
    </w:lvl>
    <w:lvl w:ilvl="1">
      <w:lvlJc w:val="left"/>
      <w:lvlText w:val="(%2)"/>
      <w:numFmt w:val="lowerLetter"/>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2025-09-19T05:10:13Z</dcterms:created>
  <dcterms:modified xsi:type="dcterms:W3CDTF">2025-09-19T05:10:13Z</dcterms:modified>
</cp:coreProperties>
</file>