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4, 2016</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880" w:type="dxa"/>
            <w:vAlign w:val="bottom"/>
          </w:tcPr>
          <w:p>
            <w:pPr>
              <w:jc w:val="center"/>
              <w:ind w:left="690"/>
              <w:spacing w:after="0"/>
              <w:rPr>
                <w:sz w:val="20"/>
                <w:szCs w:val="20"/>
                <w:color w:val="auto"/>
              </w:rPr>
            </w:pPr>
            <w:r>
              <w:rPr>
                <w:rFonts w:ascii="Arial" w:cs="Arial" w:eastAsia="Arial" w:hAnsi="Arial"/>
                <w:sz w:val="18"/>
                <w:szCs w:val="18"/>
                <w:b w:val="1"/>
                <w:bCs w:val="1"/>
                <w:color w:val="auto"/>
                <w:w w:val="94"/>
              </w:rPr>
              <w:t>Utah</w:t>
            </w:r>
          </w:p>
        </w:tc>
        <w:tc>
          <w:tcPr>
            <w:tcW w:w="3520" w:type="dxa"/>
            <w:vAlign w:val="bottom"/>
            <w:gridSpan w:val="4"/>
          </w:tcPr>
          <w:p>
            <w:pPr>
              <w:jc w:val="center"/>
              <w:ind w:left="2090"/>
              <w:spacing w:after="0"/>
              <w:rPr>
                <w:sz w:val="20"/>
                <w:szCs w:val="20"/>
                <w:color w:val="auto"/>
              </w:rPr>
            </w:pPr>
            <w:r>
              <w:rPr>
                <w:rFonts w:ascii="Arial" w:cs="Arial" w:eastAsia="Arial" w:hAnsi="Arial"/>
                <w:sz w:val="18"/>
                <w:szCs w:val="18"/>
                <w:b w:val="1"/>
                <w:bCs w:val="1"/>
                <w:color w:val="auto"/>
                <w:w w:val="90"/>
              </w:rPr>
              <w:t>001-33660</w:t>
            </w: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87-0398877</w:t>
            </w:r>
          </w:p>
        </w:tc>
      </w:tr>
      <w:tr>
        <w:trPr>
          <w:trHeight w:val="202"/>
        </w:trPr>
        <w:tc>
          <w:tcPr>
            <w:tcW w:w="2880" w:type="dxa"/>
            <w:vAlign w:val="bottom"/>
            <w:tcBorders>
              <w:top w:val="single" w:sz="8" w:color="auto"/>
            </w:tcBorders>
          </w:tcPr>
          <w:p>
            <w:pPr>
              <w:jc w:val="center"/>
              <w:ind w:left="710"/>
              <w:spacing w:after="0" w:line="201" w:lineRule="exact"/>
              <w:rPr>
                <w:sz w:val="20"/>
                <w:szCs w:val="20"/>
                <w:color w:val="auto"/>
              </w:rPr>
            </w:pPr>
            <w:r>
              <w:rPr>
                <w:rFonts w:ascii="Arial" w:cs="Arial" w:eastAsia="Arial" w:hAnsi="Arial"/>
                <w:sz w:val="18"/>
                <w:szCs w:val="18"/>
                <w:color w:val="auto"/>
                <w:w w:val="91"/>
              </w:rPr>
              <w:t>(State or other jurisdiction</w:t>
            </w: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gridSpan w:val="3"/>
          </w:tcPr>
          <w:p>
            <w:pPr>
              <w:jc w:val="center"/>
              <w:ind w:right="1140"/>
              <w:spacing w:after="0" w:line="201"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880" w:type="dxa"/>
            <w:vAlign w:val="bottom"/>
          </w:tcPr>
          <w:p>
            <w:pPr>
              <w:jc w:val="center"/>
              <w:ind w:left="710"/>
              <w:spacing w:after="0"/>
              <w:rPr>
                <w:sz w:val="20"/>
                <w:szCs w:val="20"/>
                <w:color w:val="auto"/>
              </w:rPr>
            </w:pPr>
            <w:r>
              <w:rPr>
                <w:rFonts w:ascii="Arial" w:cs="Arial" w:eastAsia="Arial" w:hAnsi="Arial"/>
                <w:sz w:val="18"/>
                <w:szCs w:val="18"/>
                <w:color w:val="auto"/>
                <w:w w:val="95"/>
              </w:rPr>
              <w:t>of incorporation)</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gridSpan w:val="4"/>
          </w:tcPr>
          <w:p>
            <w:pPr>
              <w:jc w:val="center"/>
              <w:ind w:right="1360"/>
              <w:spacing w:after="0"/>
              <w:rPr>
                <w:sz w:val="20"/>
                <w:szCs w:val="20"/>
                <w:color w:val="auto"/>
              </w:rPr>
            </w:pPr>
            <w:r>
              <w:rPr>
                <w:rFonts w:ascii="Arial" w:cs="Arial" w:eastAsia="Arial" w:hAnsi="Arial"/>
                <w:sz w:val="18"/>
                <w:szCs w:val="18"/>
                <w:color w:val="auto"/>
                <w:w w:val="94"/>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78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89"/>
              </w:rPr>
              <w:t>5225 Wiley Post Way, Suite 500</w:t>
            </w:r>
          </w:p>
        </w:tc>
        <w:tc>
          <w:tcPr>
            <w:tcW w:w="3640" w:type="dxa"/>
            <w:vAlign w:val="bottom"/>
          </w:tcPr>
          <w:p>
            <w:pPr>
              <w:spacing w:after="0"/>
              <w:rPr>
                <w:sz w:val="24"/>
                <w:szCs w:val="24"/>
                <w:color w:val="auto"/>
              </w:rPr>
            </w:pPr>
          </w:p>
        </w:tc>
      </w:tr>
      <w:tr>
        <w:trPr>
          <w:trHeight w:val="241"/>
        </w:trPr>
        <w:tc>
          <w:tcPr>
            <w:tcW w:w="2880" w:type="dxa"/>
            <w:vAlign w:val="bottom"/>
          </w:tcPr>
          <w:p>
            <w:pPr>
              <w:spacing w:after="0"/>
              <w:rPr>
                <w:sz w:val="20"/>
                <w:szCs w:val="20"/>
                <w:color w:val="auto"/>
              </w:rPr>
            </w:pPr>
          </w:p>
        </w:tc>
        <w:tc>
          <w:tcPr>
            <w:tcW w:w="4900" w:type="dxa"/>
            <w:vAlign w:val="bottom"/>
            <w:gridSpan w:val="7"/>
          </w:tcPr>
          <w:p>
            <w:pPr>
              <w:jc w:val="center"/>
              <w:ind w:right="3100"/>
              <w:spacing w:after="0"/>
              <w:rPr>
                <w:sz w:val="20"/>
                <w:szCs w:val="20"/>
                <w:color w:val="auto"/>
              </w:rPr>
            </w:pPr>
            <w:r>
              <w:rPr>
                <w:rFonts w:ascii="Arial" w:cs="Arial" w:eastAsia="Arial" w:hAnsi="Arial"/>
                <w:sz w:val="18"/>
                <w:szCs w:val="18"/>
                <w:b w:val="1"/>
                <w:bCs w:val="1"/>
                <w:color w:val="auto"/>
                <w:w w:val="92"/>
              </w:rPr>
              <w:t>Salt Lake City, Utah</w:t>
            </w:r>
          </w:p>
        </w:tc>
        <w:tc>
          <w:tcPr>
            <w:tcW w:w="3640" w:type="dxa"/>
            <w:vAlign w:val="bottom"/>
          </w:tcPr>
          <w:p>
            <w:pPr>
              <w:jc w:val="right"/>
              <w:ind w:right="1510"/>
              <w:spacing w:after="0"/>
              <w:rPr>
                <w:sz w:val="20"/>
                <w:szCs w:val="20"/>
                <w:color w:val="auto"/>
              </w:rPr>
            </w:pPr>
            <w:r>
              <w:rPr>
                <w:rFonts w:ascii="Arial" w:cs="Arial" w:eastAsia="Arial" w:hAnsi="Arial"/>
                <w:sz w:val="18"/>
                <w:szCs w:val="18"/>
                <w:b w:val="1"/>
                <w:bCs w:val="1"/>
                <w:color w:val="auto"/>
              </w:rPr>
              <w:t>84116</w:t>
            </w:r>
          </w:p>
        </w:tc>
      </w:tr>
      <w:tr>
        <w:trPr>
          <w:trHeight w:val="230"/>
        </w:trPr>
        <w:tc>
          <w:tcPr>
            <w:tcW w:w="754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2880" w:type="dxa"/>
            <w:vAlign w:val="bottom"/>
          </w:tcPr>
          <w:p>
            <w:pPr>
              <w:spacing w:after="0"/>
              <w:rPr>
                <w:sz w:val="24"/>
                <w:szCs w:val="24"/>
                <w:color w:val="auto"/>
              </w:rPr>
            </w:pPr>
          </w:p>
        </w:tc>
        <w:tc>
          <w:tcPr>
            <w:tcW w:w="3520" w:type="dxa"/>
            <w:vAlign w:val="bottom"/>
            <w:gridSpan w:val="4"/>
          </w:tcPr>
          <w:p>
            <w:pPr>
              <w:jc w:val="center"/>
              <w:ind w:left="2070"/>
              <w:spacing w:after="0"/>
              <w:rPr>
                <w:sz w:val="20"/>
                <w:szCs w:val="20"/>
                <w:color w:val="auto"/>
              </w:rPr>
            </w:pPr>
            <w:r>
              <w:rPr>
                <w:rFonts w:ascii="Arial" w:cs="Arial" w:eastAsia="Arial" w:hAnsi="Arial"/>
                <w:sz w:val="18"/>
                <w:szCs w:val="18"/>
                <w:b w:val="1"/>
                <w:bCs w:val="1"/>
                <w:color w:val="auto"/>
                <w:w w:val="91"/>
              </w:rPr>
              <w:t>+1 (801) 975-7200</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
        </w:trPr>
        <w:tc>
          <w:tcPr>
            <w:tcW w:w="2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37"/>
        </w:trPr>
        <w:tc>
          <w:tcPr>
            <w:tcW w:w="2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120" w:type="dxa"/>
            <w:vAlign w:val="bottom"/>
            <w:gridSpan w:val="6"/>
          </w:tcPr>
          <w:p>
            <w:pPr>
              <w:jc w:val="center"/>
              <w:spacing w:after="0"/>
              <w:rPr>
                <w:sz w:val="20"/>
                <w:szCs w:val="20"/>
                <w:color w:val="auto"/>
              </w:rPr>
            </w:pPr>
            <w:r>
              <w:rPr>
                <w:rFonts w:ascii="Arial" w:cs="Arial" w:eastAsia="Arial" w:hAnsi="Arial"/>
                <w:sz w:val="18"/>
                <w:szCs w:val="18"/>
                <w:color w:val="auto"/>
                <w:w w:val="91"/>
              </w:rPr>
              <w:t>(Registrant’s Telephone Number, Including Area Code)</w:t>
            </w:r>
          </w:p>
        </w:tc>
        <w:tc>
          <w:tcPr>
            <w:tcW w:w="36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4, 2016, ClearOne, Inc. issued a press release announcing its financial results for the three and six months ended June 30, 2016.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dated August 4, 2016 titled “ClearOne Reports 2016 Second Quarter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August 4, 2016</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01549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1549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investor_relations@clearone.com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Reports 2016 Second Quarter Financial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Video Products Continued to Grow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 August 4, 2016</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ClearOne (NASDAQ: CLRO), a global provider of audio and visual communication solutions, today reported financial results for the three and six months ended June 30,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80" w:type="dxa"/>
            <w:vAlign w:val="bottom"/>
          </w:tcPr>
          <w:p>
            <w:pPr>
              <w:ind w:left="220"/>
              <w:spacing w:after="0"/>
              <w:rPr>
                <w:sz w:val="20"/>
                <w:szCs w:val="20"/>
                <w:color w:val="auto"/>
              </w:rPr>
            </w:pPr>
            <w:r>
              <w:rPr>
                <w:rFonts w:ascii="Arial" w:cs="Arial" w:eastAsia="Arial" w:hAnsi="Arial"/>
                <w:sz w:val="18"/>
                <w:szCs w:val="18"/>
                <w:b w:val="1"/>
                <w:bCs w:val="1"/>
                <w:color w:val="auto"/>
              </w:rPr>
              <w:t>Financial Summary</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4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88"/>
              </w:rPr>
              <w:t>($ in thousands, except per share data)</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gridSpan w:val="8"/>
          </w:tcPr>
          <w:p>
            <w:pPr>
              <w:jc w:val="center"/>
              <w:ind w:right="520"/>
              <w:spacing w:after="0"/>
              <w:rPr>
                <w:sz w:val="20"/>
                <w:szCs w:val="20"/>
                <w:color w:val="auto"/>
              </w:rPr>
            </w:pPr>
            <w:r>
              <w:rPr>
                <w:rFonts w:ascii="Arial" w:cs="Arial" w:eastAsia="Arial" w:hAnsi="Arial"/>
                <w:sz w:val="18"/>
                <w:szCs w:val="18"/>
                <w:b w:val="1"/>
                <w:bCs w:val="1"/>
                <w:color w:val="auto"/>
                <w:w w:val="88"/>
              </w:rPr>
              <w:t>Three months ended June 30,</w:t>
            </w:r>
          </w:p>
        </w:tc>
        <w:tc>
          <w:tcPr>
            <w:tcW w:w="220" w:type="dxa"/>
            <w:vAlign w:val="bottom"/>
          </w:tcPr>
          <w:p>
            <w:pPr>
              <w:spacing w:after="0"/>
              <w:rPr>
                <w:sz w:val="20"/>
                <w:szCs w:val="20"/>
                <w:color w:val="auto"/>
              </w:rPr>
            </w:pPr>
          </w:p>
        </w:tc>
        <w:tc>
          <w:tcPr>
            <w:tcW w:w="274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87"/>
              </w:rPr>
              <w:t>Six months ended June 30,</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30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2015</w:t>
            </w:r>
          </w:p>
        </w:tc>
        <w:tc>
          <w:tcPr>
            <w:tcW w:w="380" w:type="dxa"/>
            <w:vAlign w:val="bottom"/>
            <w:tcBorders>
              <w:top w:val="single" w:sz="8" w:color="auto"/>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Change</w:t>
            </w:r>
          </w:p>
        </w:tc>
        <w:tc>
          <w:tcPr>
            <w:tcW w:w="3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38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GAAP</w:t>
            </w:r>
          </w:p>
        </w:tc>
        <w:tc>
          <w:tcPr>
            <w:tcW w:w="346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11,966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14,013</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24,999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27,600</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7,664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8,991</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16,129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17,453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Gross Profit Margin</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64.2%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64.6%</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63.3%</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2,293</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4,192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955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1,515</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2,323</w:t>
            </w:r>
          </w:p>
        </w:tc>
        <w:tc>
          <w:tcPr>
            <w:tcW w:w="3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2,787</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per share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0.16</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Non-GAAP</w:t>
            </w:r>
          </w:p>
        </w:tc>
        <w:tc>
          <w:tcPr>
            <w:tcW w:w="3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Non-GAAP Gross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7,671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8,997</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16,140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17,464</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2,889</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5,416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Non-GAAP 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1,406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1,895</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3,161</w:t>
            </w:r>
          </w:p>
        </w:tc>
        <w:tc>
          <w:tcPr>
            <w:tcW w:w="3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3,566</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3,179</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6,017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Non-GAAP Net Income per share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0.15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0.20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0.33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0.37</w:t>
            </w: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“Global economic headwinds impacted our financial performance in the 2016 second quarter” said Zee Hakimoglu, President and Chief Executive Officer. “Despite lower overall demand, sales of our video products grew significantly and our gross margin remained strong. Also during the quarter, we continued to make solid investments in product development, paid a cash dividend and enhanced shareholder value with substantial repurchases of our common stock.”</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“Looking ahead, we recently launched a number of new products and introduced our next generation professional audio conferencing platform at InfoComm 2016, generating phenomenal excitement from our channel partners and end-users. We expect to begin shipping the new ClearOne platform before the end of the year, which will reinforce our dominant leadership position in the installed audio conferencing market. Combined, these actions and initiatives solidly positioned ClearOne and our products to benefit from any improvements to the economic environment.”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second quarter of 2016, the Company paid a cash dividend of $0.05 per share and acquired approximately 332,000 shares of its common stock under its $10 million stock repurchase program announced in March 2016. As of June 30, 2016, the Company has acquired approximately 365,000 shares amounting to $4.1 million under the stock repurchase program. The Company had also spent $1.8 million on a program for the repurchase of approximately 226,000 stock options in the first quarter of 2016, which reduced diluted shares outstanding. The Company said it intends to continue to repurchase shares of its common stock in the open market, subject to price, volume and other safe harbor restrictions. After payments totaling $6.8 million for the dividend and stock and option repurchases during the first six months of 2016, cash, cash equivalents and investments were $37.0 million at June 30, 2016 compared with $39.8 million at December 31, 2015. The Company continued to have no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Next Gen Audio Conferencing Platform Launched</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In June 2016, ClearOne launched CONVERGE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 2, the new audio conferencing platform to succeed the market leading CONVERGE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 series of audio conferencing products. This next-gen platform delivers stunningly clear audio thanks to the world’s most advanced audio signal processing. Scalable, reliable, and competitively priced, CONVERGE Pro 2 outperforms in any size room, any audio environment, any application. The CONVERGE Pro 2 platform builds on ClearOne’s leadership in audio digital signal processing innovation over three decades with new algorithms that reinvent audio DSP, new architecture that extends flexibility and scalability, and new software that creates an unmatched user experience.</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CONVERGE Pro 2’s DSP platform satisfies diverse demands with the features that include: (i) the very latest and most powerful adaptive audio DSP algorithms, including acoustic echo cancellation, noise cancellation, feedback elimination, gain and level control, and microphone gating; (ii) greater</w:t>
      </w:r>
    </w:p>
    <w:p>
      <w:pPr>
        <w:jc w:val="both"/>
        <w:spacing w:after="0" w:line="224" w:lineRule="auto"/>
        <w:rPr>
          <w:sz w:val="20"/>
          <w:szCs w:val="20"/>
          <w:color w:val="auto"/>
        </w:rPr>
      </w:pPr>
      <w:r>
        <w:rPr>
          <w:rFonts w:ascii="Arial" w:cs="Arial" w:eastAsia="Arial" w:hAnsi="Arial"/>
          <w:sz w:val="18"/>
          <w:szCs w:val="18"/>
          <w:color w:val="auto"/>
        </w:rPr>
        <w:t>flexibility through more microphone inputs; (iii) maximum functionality through integration of VoIP or telephony, USB, and Dante</w:t>
      </w:r>
      <w:r>
        <w:rPr>
          <w:rFonts w:ascii="Arial" w:cs="Arial" w:eastAsia="Arial" w:hAnsi="Arial"/>
          <w:sz w:val="30"/>
          <w:szCs w:val="30"/>
          <w:color w:val="auto"/>
          <w:vertAlign w:val="superscript"/>
        </w:rPr>
        <w:t>TM</w:t>
      </w:r>
      <w:r>
        <w:rPr>
          <w:rFonts w:ascii="Arial" w:cs="Arial" w:eastAsia="Arial" w:hAnsi="Arial"/>
          <w:sz w:val="18"/>
          <w:szCs w:val="18"/>
          <w:color w:val="auto"/>
        </w:rPr>
        <w:t>; (iv) a new expansion bus that delivers increased audio-channel scalability to support large audio projects; (v) a new native interface that enables daisy-chaining for any combination of ClearOne peripheral devices, such as the new Beamforming Microphone Array 2 and/or the new DIALOG® 20 Wireless Microphone system; and (vi) a new software that includes both a traditional matrix view and the unique ClearOne FlowView™.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Generation Beamforming Microphone Array Launched</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2016, ClearOne’s new second generation Beamforming Microphone Array 2 was launched. ClearOne’s original Beamforming Microphone Array was the audiovisual industry’s first professional grade microphone array with beamforming and adaptive acoustic steering. Beamforming Microphone Array 2 is optimized to operate with ClearOne’s next generation CONVERGE® Pro 2 audio conferencing platform. The Beamforming Microphone Array 2 affirms ClearOne’s industry leadership, by delivering among other things: (i) significantly enhanced echo canceling for demanding acoustic environments; (ii) faster convergence and better adaptation to changes in room acoustics; (iii) dramatically better mic pickup, sharpening the capability to detect softer voices; and (iv) natural and clearly intelligible audio, even when two people speak at once; and zero consumption of analog mic inputs in the CONVERGE Pro 2 DSP mixer.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Two-Channel Wireless Microphone System Introduced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2016, the new compact two-channel DIALOG 20, a system packed with innovative features that increases the breadth of ClearOne’s wireless microphone product line, was introduced. DIALOG 20 targets uses in which only a few wireless mics are required, e.g., classrooms, presentation and training venues, huddle and other spaces.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new CONVERGE® Pro 2, Beamforming Microphone Array 2 and DIALOG 20 are expected to ship before the end of the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Encoder and Decoder Added to ClearOne’s Family of Network Media Streaming Solutions</w:t>
      </w:r>
    </w:p>
    <w:p>
      <w:pPr>
        <w:spacing w:after="0" w:line="23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 May 2016, VIEW</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 E110 Encoder and VIEW Pro D310 Decoder, expected to ship before September 2016, were added to ClearOne’s industry-leading family of VIEW Pro network media streaming components. VIEW Pro E110 Encoder is a single-channel alternative to the popular dual-channel VIEW Pro E120 Encoder providing a lower-cost encoder for customers preferring a single-channel option. The new VIEW Pro D310 Decoder features all the basic functionality to fully satisfy simple display of single-image video applications while delivering superb price-to-performance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New Patents Awarded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2016, the U.S. Patent and Trademark Office (USPTO) issued ClearOne a patent that enables a beamformer to have better low-frequency response, fewer microphones in the array and less associated computational complexity.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2016, the USPTO issued ClearOne a patent related to a networked speaker that can synchronize audio output in multi-speaker sessions. Embodiments of this patent can also be used to equalize each speaker individually to ensure that each speaker has an optimized frequency response for the best possible sound reproduction and to prevent a speaker from being overdriven and damaged.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2016, the USPTO issued ClearOne a patent pertaining to a scalable conferencing system designed to support multi-party calls, permitting endpoints to discover each other and providing an efficient way for data to be mixed and re-transmitted to endpoints that are participating in a multi-party conference. This can decrease the cost of multi-party conferencing.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net income, adjusted Earnings Before Interest, Taxes, Depreciation and Amortization (EBITDA) and net income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net income, income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ClearOne is a global company that designs, develops and sells conferencing, collaboration, and network streaming &amp; signage solutions for voice and visual communications. The performance and simplicity of its advanced comprehensive solutions offer unprecedented levels of functionality, reliability and scalability. More information about the Company can be found at www.clearone.com. 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http://investors.clearone.com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w w:val="97"/>
              </w:rPr>
              <w:t>June 30, 2016</w:t>
            </w:r>
          </w:p>
        </w:tc>
        <w:tc>
          <w:tcPr>
            <w:tcW w:w="140" w:type="dxa"/>
            <w:vAlign w:val="bottom"/>
          </w:tcPr>
          <w:p>
            <w:pPr>
              <w:spacing w:after="0"/>
              <w:rPr>
                <w:sz w:val="20"/>
                <w:szCs w:val="20"/>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8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7,141</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$86 and $54, respectively</w:t>
            </w:r>
          </w:p>
        </w:tc>
        <w:tc>
          <w:tcPr>
            <w:tcW w:w="220" w:type="dxa"/>
            <w:vAlign w:val="bottom"/>
            <w:shd w:val="clear" w:color="auto" w:fill="CCEEFF"/>
          </w:tcPr>
          <w:p>
            <w:pPr>
              <w:spacing w:after="0"/>
              <w:rPr>
                <w:sz w:val="18"/>
                <w:szCs w:val="18"/>
                <w:color w:val="auto"/>
              </w:rPr>
            </w:pPr>
          </w:p>
        </w:tc>
        <w:tc>
          <w:tcPr>
            <w:tcW w:w="18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9,282</w:t>
            </w:r>
          </w:p>
        </w:tc>
        <w:tc>
          <w:tcPr>
            <w:tcW w:w="140" w:type="dxa"/>
            <w:vAlign w:val="bottom"/>
            <w:shd w:val="clear" w:color="auto" w:fill="CCEEFF"/>
          </w:tcPr>
          <w:p>
            <w:pPr>
              <w:spacing w:after="0"/>
              <w:rPr>
                <w:sz w:val="18"/>
                <w:szCs w:val="18"/>
                <w:color w:val="auto"/>
              </w:rPr>
            </w:pPr>
          </w:p>
        </w:tc>
        <w:tc>
          <w:tcPr>
            <w:tcW w:w="1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12,668</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13,447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Distributor channel inventories</w:t>
            </w:r>
          </w:p>
        </w:tc>
        <w:tc>
          <w:tcPr>
            <w:tcW w:w="220" w:type="dxa"/>
            <w:vAlign w:val="bottom"/>
            <w:shd w:val="clear" w:color="auto" w:fill="CCEEFF"/>
          </w:tcPr>
          <w:p>
            <w:pPr>
              <w:spacing w:after="0"/>
              <w:rPr>
                <w:sz w:val="18"/>
                <w:szCs w:val="18"/>
                <w:color w:val="auto"/>
              </w:rPr>
            </w:pPr>
          </w:p>
        </w:tc>
        <w:tc>
          <w:tcPr>
            <w:tcW w:w="18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1,669</w:t>
            </w:r>
          </w:p>
        </w:tc>
        <w:tc>
          <w:tcPr>
            <w:tcW w:w="140" w:type="dxa"/>
            <w:vAlign w:val="bottom"/>
            <w:shd w:val="clear" w:color="auto" w:fill="CCEEFF"/>
          </w:tcPr>
          <w:p>
            <w:pPr>
              <w:spacing w:after="0"/>
              <w:rPr>
                <w:sz w:val="18"/>
                <w:szCs w:val="18"/>
                <w:color w:val="auto"/>
              </w:rPr>
            </w:pPr>
          </w:p>
        </w:tc>
        <w:tc>
          <w:tcPr>
            <w:tcW w:w="1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9"/>
                <w:szCs w:val="19"/>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2,104</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42,409</w:t>
            </w: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46,146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220" w:type="dxa"/>
            <w:vAlign w:val="bottom"/>
          </w:tcPr>
          <w:p>
            <w:pPr>
              <w:spacing w:after="0"/>
              <w:rPr>
                <w:sz w:val="18"/>
                <w:szCs w:val="18"/>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20,287</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220" w:type="dxa"/>
            <w:vAlign w:val="bottom"/>
            <w:shd w:val="clear" w:color="auto" w:fill="CCEEFF"/>
          </w:tcPr>
          <w:p>
            <w:pPr>
              <w:spacing w:after="0"/>
              <w:rPr>
                <w:sz w:val="18"/>
                <w:szCs w:val="18"/>
                <w:color w:val="auto"/>
              </w:rPr>
            </w:pPr>
          </w:p>
        </w:tc>
        <w:tc>
          <w:tcPr>
            <w:tcW w:w="18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2,078</w:t>
            </w:r>
          </w:p>
        </w:tc>
        <w:tc>
          <w:tcPr>
            <w:tcW w:w="140" w:type="dxa"/>
            <w:vAlign w:val="bottom"/>
            <w:shd w:val="clear" w:color="auto" w:fill="CCEEFF"/>
          </w:tcPr>
          <w:p>
            <w:pPr>
              <w:spacing w:after="0"/>
              <w:rPr>
                <w:sz w:val="18"/>
                <w:szCs w:val="18"/>
                <w:color w:val="auto"/>
              </w:rPr>
            </w:pPr>
          </w:p>
        </w:tc>
        <w:tc>
          <w:tcPr>
            <w:tcW w:w="1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1,487</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20" w:type="dxa"/>
            <w:vAlign w:val="bottom"/>
            <w:shd w:val="clear" w:color="auto" w:fill="CCEEFF"/>
          </w:tcPr>
          <w:p>
            <w:pPr>
              <w:spacing w:after="0"/>
              <w:rPr>
                <w:sz w:val="18"/>
                <w:szCs w:val="18"/>
                <w:color w:val="auto"/>
              </w:rPr>
            </w:pPr>
          </w:p>
        </w:tc>
        <w:tc>
          <w:tcPr>
            <w:tcW w:w="18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6,140</w:t>
            </w:r>
          </w:p>
        </w:tc>
        <w:tc>
          <w:tcPr>
            <w:tcW w:w="140" w:type="dxa"/>
            <w:vAlign w:val="bottom"/>
            <w:shd w:val="clear" w:color="auto" w:fill="CCEEFF"/>
          </w:tcPr>
          <w:p>
            <w:pPr>
              <w:spacing w:after="0"/>
              <w:rPr>
                <w:sz w:val="18"/>
                <w:szCs w:val="18"/>
                <w:color w:val="auto"/>
              </w:rPr>
            </w:pPr>
          </w:p>
        </w:tc>
        <w:tc>
          <w:tcPr>
            <w:tcW w:w="1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12,724</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8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5,093</w:t>
            </w:r>
          </w:p>
        </w:tc>
        <w:tc>
          <w:tcPr>
            <w:tcW w:w="140" w:type="dxa"/>
            <w:vAlign w:val="bottom"/>
            <w:shd w:val="clear" w:color="auto" w:fill="CCEEFF"/>
          </w:tcPr>
          <w:p>
            <w:pPr>
              <w:spacing w:after="0"/>
              <w:rPr>
                <w:sz w:val="18"/>
                <w:szCs w:val="18"/>
                <w:color w:val="auto"/>
              </w:rPr>
            </w:pPr>
          </w:p>
        </w:tc>
        <w:tc>
          <w:tcPr>
            <w:tcW w:w="1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90,335</w:t>
            </w:r>
          </w:p>
        </w:tc>
        <w:tc>
          <w:tcPr>
            <w:tcW w:w="3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158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2,097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2,815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8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2,251</w:t>
            </w:r>
          </w:p>
        </w:tc>
        <w:tc>
          <w:tcPr>
            <w:tcW w:w="140" w:type="dxa"/>
            <w:vAlign w:val="bottom"/>
            <w:shd w:val="clear" w:color="auto" w:fill="CCEEFF"/>
          </w:tcPr>
          <w:p>
            <w:pPr>
              <w:spacing w:after="0"/>
              <w:rPr>
                <w:sz w:val="18"/>
                <w:szCs w:val="18"/>
                <w:color w:val="auto"/>
              </w:rPr>
            </w:pPr>
          </w:p>
        </w:tc>
        <w:tc>
          <w:tcPr>
            <w:tcW w:w="1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220" w:type="dxa"/>
            <w:vAlign w:val="bottom"/>
          </w:tcPr>
          <w:p>
            <w:pPr>
              <w:spacing w:after="0"/>
              <w:rPr>
                <w:sz w:val="19"/>
                <w:szCs w:val="19"/>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4,781</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4,549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18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1,283</w:t>
            </w:r>
          </w:p>
        </w:tc>
        <w:tc>
          <w:tcPr>
            <w:tcW w:w="140" w:type="dxa"/>
            <w:vAlign w:val="bottom"/>
            <w:shd w:val="clear" w:color="auto" w:fill="CCEEFF"/>
          </w:tcPr>
          <w:p>
            <w:pPr>
              <w:spacing w:after="0"/>
              <w:rPr>
                <w:sz w:val="18"/>
                <w:szCs w:val="18"/>
                <w:color w:val="auto"/>
              </w:rPr>
            </w:pPr>
          </w:p>
        </w:tc>
        <w:tc>
          <w:tcPr>
            <w:tcW w:w="1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1500" w:type="dxa"/>
            <w:vAlign w:val="bottom"/>
            <w:tcBorders>
              <w:bottom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180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gridSpan w:val="2"/>
          </w:tcPr>
          <w:p>
            <w:pPr>
              <w:spacing w:after="0" w:line="203" w:lineRule="exact"/>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10,552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10,960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par value $0.001, 50,000,000 shares authorized, 8,933,582 and 9,183,957 shares</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w:t>
            </w:r>
          </w:p>
        </w:tc>
        <w:tc>
          <w:tcPr>
            <w:tcW w:w="220" w:type="dxa"/>
            <w:vAlign w:val="bottom"/>
            <w:shd w:val="clear" w:color="auto" w:fill="CCEEFF"/>
          </w:tcPr>
          <w:p>
            <w:pPr>
              <w:spacing w:after="0"/>
              <w:rPr>
                <w:sz w:val="20"/>
                <w:szCs w:val="20"/>
                <w:color w:val="auto"/>
              </w:rPr>
            </w:pPr>
          </w:p>
        </w:tc>
        <w:tc>
          <w:tcPr>
            <w:tcW w:w="18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p>
        </w:tc>
        <w:tc>
          <w:tcPr>
            <w:tcW w:w="1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45,987</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46,291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33,723</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36,435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79,783</w:t>
            </w:r>
          </w:p>
        </w:tc>
        <w:tc>
          <w:tcPr>
            <w:tcW w:w="3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3" w:lineRule="exact"/>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90,335</w:t>
            </w:r>
          </w:p>
        </w:tc>
        <w:tc>
          <w:tcPr>
            <w:tcW w:w="3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93,529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gridSpan w:val="6"/>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6"/>
          </w:tcPr>
          <w:p>
            <w:pPr>
              <w:ind w:left="18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Cost of goods sold</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4,302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8,870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Sales and marketing</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2,681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5,306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1,568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3,166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1,064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9,112,613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9,119,907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9,154,568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9,110,062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9,362,037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9,603,682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9,512,559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9,560,914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per share (basic)</w:t>
            </w:r>
          </w:p>
        </w:tc>
        <w:tc>
          <w:tcPr>
            <w:tcW w:w="10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0.10</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per share (diluted)</w:t>
            </w:r>
          </w:p>
        </w:tc>
        <w:tc>
          <w:tcPr>
            <w:tcW w:w="10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0.10</w:t>
            </w:r>
          </w:p>
        </w:tc>
        <w:tc>
          <w:tcPr>
            <w:tcW w:w="5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0.16</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0.24</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4"/>
              </w:rPr>
              <w:t>Three Months Ended June 30,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gross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gross profit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2,293</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3,293</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Legal expenses, acquisition expenses, re-audit expenses,</w:t>
            </w:r>
          </w:p>
        </w:tc>
        <w:tc>
          <w:tcPr>
            <w:tcW w:w="180" w:type="dxa"/>
            <w:vAlign w:val="bottom"/>
          </w:tcPr>
          <w:p>
            <w:pPr>
              <w:spacing w:after="0"/>
              <w:rPr>
                <w:sz w:val="17"/>
                <w:szCs w:val="17"/>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4"/>
        </w:trPr>
        <w:tc>
          <w:tcPr>
            <w:tcW w:w="5260" w:type="dxa"/>
            <w:vAlign w:val="bottom"/>
            <w:gridSpan w:val="2"/>
          </w:tcPr>
          <w:p>
            <w:pPr>
              <w:spacing w:after="0"/>
              <w:rPr>
                <w:sz w:val="20"/>
                <w:szCs w:val="20"/>
                <w:color w:val="auto"/>
              </w:rPr>
            </w:pPr>
            <w:r>
              <w:rPr>
                <w:rFonts w:ascii="Arial" w:cs="Arial" w:eastAsia="Arial" w:hAnsi="Arial"/>
                <w:sz w:val="18"/>
                <w:szCs w:val="18"/>
                <w:color w:val="auto"/>
              </w:rPr>
              <w:t>restructuring expenses, etc. not related to regular operations</w:t>
            </w:r>
          </w:p>
        </w:tc>
        <w:tc>
          <w:tcPr>
            <w:tcW w:w="1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operating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955</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1,515</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2,323</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Legal expenses, acquisition expenses, re-audit expenses,</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restructuring expenses, etc. not related to regular operations</w:t>
            </w:r>
          </w:p>
        </w:tc>
        <w:tc>
          <w:tcPr>
            <w:tcW w:w="1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on disposal of assets related to wireless microphones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Tax effect of non-GAAP adjustments</w:t>
            </w:r>
          </w:p>
        </w:tc>
        <w:tc>
          <w:tcPr>
            <w:tcW w:w="1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955</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1,515</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2,323</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Number of shares used in computing GAAP income per share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9,362,037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9,603,682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9,512,559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9,560,914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income per share (diluted)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Non-GAAP 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1,406</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1,895</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3,161</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Number of shares used in computing Non-GAAP income per share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9,362,037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9,603,682</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9,512,559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9,560,914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Non-GAAP income per share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0.20</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0.33</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GAAP total 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955</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1,515</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2,323</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Legal expenses, acquisition expenses, re-audit expenses,</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restructuring expenses, etc. not related to regular operations</w:t>
            </w:r>
          </w:p>
        </w:tc>
        <w:tc>
          <w:tcPr>
            <w:tcW w:w="1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on disposal of assets related to wireless microphones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863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0" w:name="page11"/>
    <w:bookmarkEnd w:id="10"/>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2019-12-05T22:35:52Z</dcterms:created>
  <dcterms:modified xsi:type="dcterms:W3CDTF">2019-12-05T22:35:52Z</dcterms:modified>
</cp:coreProperties>
</file>