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 PURSUANT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TO SECTION 13 OR 15(D) OF</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May 6, 2014</w:t>
      </w:r>
    </w:p>
    <w:p>
      <w:pPr>
        <w:spacing w:after="0" w:line="200" w:lineRule="exact"/>
        <w:rPr>
          <w:sz w:val="24"/>
          <w:szCs w:val="24"/>
          <w:color w:val="auto"/>
        </w:rPr>
      </w:pPr>
    </w:p>
    <w:p>
      <w:pPr>
        <w:spacing w:after="0" w:line="224" w:lineRule="exact"/>
        <w:rPr>
          <w:sz w:val="24"/>
          <w:szCs w:val="24"/>
          <w:color w:val="auto"/>
        </w:rPr>
      </w:pPr>
    </w:p>
    <w:p>
      <w:pPr>
        <w:jc w:val="center"/>
        <w:spacing w:after="0"/>
        <w:rPr>
          <w:sz w:val="20"/>
          <w:szCs w:val="20"/>
          <w:color w:val="auto"/>
        </w:rPr>
      </w:pPr>
      <w:r>
        <w:rPr>
          <w:rFonts w:ascii="Arial" w:cs="Arial" w:eastAsia="Arial" w:hAnsi="Arial"/>
          <w:sz w:val="29"/>
          <w:szCs w:val="29"/>
          <w:b w:val="1"/>
          <w:bCs w:val="1"/>
          <w:u w:val="single" w:color="auto"/>
          <w:color w:val="auto"/>
        </w:rPr>
        <w:t>ClearOne, Inc.</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Utah</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(State or Other Jurisdiction of Incorporation)</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900" w:type="dxa"/>
            <w:vAlign w:val="bottom"/>
            <w:gridSpan w:val="2"/>
          </w:tcPr>
          <w:p>
            <w:pPr>
              <w:ind w:left="1640"/>
              <w:spacing w:after="0"/>
              <w:rPr>
                <w:sz w:val="20"/>
                <w:szCs w:val="20"/>
                <w:color w:val="auto"/>
              </w:rPr>
            </w:pPr>
            <w:r>
              <w:rPr>
                <w:rFonts w:ascii="Arial" w:cs="Arial" w:eastAsia="Arial" w:hAnsi="Arial"/>
                <w:sz w:val="18"/>
                <w:szCs w:val="18"/>
                <w:b w:val="1"/>
                <w:bCs w:val="1"/>
                <w:color w:val="auto"/>
              </w:rPr>
              <w:t>Utah</w:t>
            </w:r>
          </w:p>
        </w:tc>
        <w:tc>
          <w:tcPr>
            <w:tcW w:w="3880" w:type="dxa"/>
            <w:vAlign w:val="bottom"/>
          </w:tcPr>
          <w:p>
            <w:pPr>
              <w:jc w:val="right"/>
              <w:ind w:right="1450"/>
              <w:spacing w:after="0"/>
              <w:rPr>
                <w:sz w:val="20"/>
                <w:szCs w:val="20"/>
                <w:color w:val="auto"/>
              </w:rPr>
            </w:pPr>
            <w:r>
              <w:rPr>
                <w:rFonts w:ascii="Arial" w:cs="Arial" w:eastAsia="Arial" w:hAnsi="Arial"/>
                <w:sz w:val="18"/>
                <w:szCs w:val="18"/>
                <w:b w:val="1"/>
                <w:bCs w:val="1"/>
                <w:color w:val="auto"/>
              </w:rPr>
              <w:t>001-33660</w:t>
            </w:r>
          </w:p>
        </w:tc>
        <w:tc>
          <w:tcPr>
            <w:tcW w:w="220" w:type="dxa"/>
            <w:vAlign w:val="bottom"/>
          </w:tcPr>
          <w:p>
            <w:pPr>
              <w:spacing w:after="0"/>
              <w:rPr>
                <w:sz w:val="20"/>
                <w:szCs w:val="20"/>
                <w:color w:val="auto"/>
              </w:rPr>
            </w:pPr>
          </w:p>
        </w:tc>
        <w:tc>
          <w:tcPr>
            <w:tcW w:w="3420" w:type="dxa"/>
            <w:vAlign w:val="bottom"/>
          </w:tcPr>
          <w:p>
            <w:pPr>
              <w:jc w:val="right"/>
              <w:ind w:right="1190"/>
              <w:spacing w:after="0"/>
              <w:rPr>
                <w:sz w:val="20"/>
                <w:szCs w:val="20"/>
                <w:color w:val="auto"/>
              </w:rPr>
            </w:pPr>
            <w:r>
              <w:rPr>
                <w:rFonts w:ascii="Arial" w:cs="Arial" w:eastAsia="Arial" w:hAnsi="Arial"/>
                <w:sz w:val="18"/>
                <w:szCs w:val="18"/>
                <w:b w:val="1"/>
                <w:bCs w:val="1"/>
                <w:color w:val="auto"/>
              </w:rPr>
              <w:t>87-0398877</w:t>
            </w:r>
          </w:p>
        </w:tc>
      </w:tr>
      <w:tr>
        <w:trPr>
          <w:trHeight w:val="27"/>
        </w:trPr>
        <w:tc>
          <w:tcPr>
            <w:tcW w:w="36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420" w:type="dxa"/>
            <w:vAlign w:val="bottom"/>
            <w:tcBorders>
              <w:bottom w:val="single" w:sz="8" w:color="auto"/>
            </w:tcBorders>
          </w:tcPr>
          <w:p>
            <w:pPr>
              <w:spacing w:after="0"/>
              <w:rPr>
                <w:sz w:val="2"/>
                <w:szCs w:val="2"/>
                <w:color w:val="auto"/>
              </w:rPr>
            </w:pPr>
          </w:p>
        </w:tc>
      </w:tr>
      <w:tr>
        <w:trPr>
          <w:trHeight w:val="222"/>
        </w:trPr>
        <w:tc>
          <w:tcPr>
            <w:tcW w:w="390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(State or other jurisdiction</w:t>
            </w:r>
          </w:p>
        </w:tc>
        <w:tc>
          <w:tcPr>
            <w:tcW w:w="3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93"/>
              </w:rPr>
              <w:t>(I.R.S. Employer</w:t>
            </w:r>
          </w:p>
        </w:tc>
      </w:tr>
      <w:tr>
        <w:trPr>
          <w:trHeight w:val="230"/>
        </w:trPr>
        <w:tc>
          <w:tcPr>
            <w:tcW w:w="3900" w:type="dxa"/>
            <w:vAlign w:val="bottom"/>
            <w:gridSpan w:val="2"/>
          </w:tcPr>
          <w:p>
            <w:pPr>
              <w:jc w:val="center"/>
              <w:ind w:right="160"/>
              <w:spacing w:after="0"/>
              <w:rPr>
                <w:sz w:val="20"/>
                <w:szCs w:val="20"/>
                <w:color w:val="auto"/>
              </w:rPr>
            </w:pPr>
            <w:r>
              <w:rPr>
                <w:rFonts w:ascii="Arial" w:cs="Arial" w:eastAsia="Arial" w:hAnsi="Arial"/>
                <w:sz w:val="18"/>
                <w:szCs w:val="18"/>
                <w:color w:val="auto"/>
                <w:w w:val="93"/>
              </w:rPr>
              <w:t>of incorporation)</w:t>
            </w:r>
          </w:p>
        </w:tc>
        <w:tc>
          <w:tcPr>
            <w:tcW w:w="410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(Commission File Number)</w:t>
            </w:r>
          </w:p>
        </w:tc>
        <w:tc>
          <w:tcPr>
            <w:tcW w:w="342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9020" w:type="dxa"/>
            <w:vAlign w:val="bottom"/>
            <w:gridSpan w:val="4"/>
          </w:tcPr>
          <w:p>
            <w:pPr>
              <w:jc w:val="center"/>
              <w:ind w:right="160"/>
              <w:spacing w:after="0"/>
              <w:rPr>
                <w:sz w:val="20"/>
                <w:szCs w:val="20"/>
                <w:color w:val="auto"/>
              </w:rPr>
            </w:pPr>
            <w:r>
              <w:rPr>
                <w:rFonts w:ascii="Arial" w:cs="Arial" w:eastAsia="Arial" w:hAnsi="Arial"/>
                <w:sz w:val="18"/>
                <w:szCs w:val="18"/>
                <w:b w:val="1"/>
                <w:bCs w:val="1"/>
                <w:color w:val="auto"/>
                <w:w w:val="90"/>
              </w:rPr>
              <w:t>5225 Wiley Post Way, Suite 500</w:t>
            </w:r>
          </w:p>
        </w:tc>
        <w:tc>
          <w:tcPr>
            <w:tcW w:w="2400" w:type="dxa"/>
            <w:vAlign w:val="bottom"/>
          </w:tcPr>
          <w:p>
            <w:pPr>
              <w:spacing w:after="0"/>
              <w:rPr>
                <w:sz w:val="18"/>
                <w:szCs w:val="18"/>
                <w:color w:val="auto"/>
              </w:rPr>
            </w:pPr>
          </w:p>
        </w:tc>
      </w:tr>
      <w:tr>
        <w:trPr>
          <w:trHeight w:val="234"/>
        </w:trPr>
        <w:tc>
          <w:tcPr>
            <w:tcW w:w="9020" w:type="dxa"/>
            <w:vAlign w:val="bottom"/>
            <w:gridSpan w:val="4"/>
          </w:tcPr>
          <w:p>
            <w:pPr>
              <w:jc w:val="center"/>
              <w:ind w:right="160"/>
              <w:spacing w:after="0"/>
              <w:rPr>
                <w:sz w:val="20"/>
                <w:szCs w:val="20"/>
                <w:color w:val="auto"/>
              </w:rPr>
            </w:pPr>
            <w:r>
              <w:rPr>
                <w:rFonts w:ascii="Arial" w:cs="Arial" w:eastAsia="Arial" w:hAnsi="Arial"/>
                <w:sz w:val="18"/>
                <w:szCs w:val="18"/>
                <w:b w:val="1"/>
                <w:bCs w:val="1"/>
                <w:color w:val="auto"/>
                <w:w w:val="93"/>
              </w:rPr>
              <w:t>Salt Lake City, Utah</w:t>
            </w:r>
          </w:p>
        </w:tc>
        <w:tc>
          <w:tcPr>
            <w:tcW w:w="2400" w:type="dxa"/>
            <w:vAlign w:val="bottom"/>
          </w:tcPr>
          <w:p>
            <w:pPr>
              <w:jc w:val="right"/>
              <w:ind w:right="850"/>
              <w:spacing w:after="0"/>
              <w:rPr>
                <w:sz w:val="20"/>
                <w:szCs w:val="20"/>
                <w:color w:val="auto"/>
              </w:rPr>
            </w:pPr>
            <w:r>
              <w:rPr>
                <w:rFonts w:ascii="Arial" w:cs="Arial" w:eastAsia="Arial" w:hAnsi="Arial"/>
                <w:sz w:val="18"/>
                <w:szCs w:val="18"/>
                <w:b w:val="1"/>
                <w:bCs w:val="1"/>
                <w:color w:val="auto"/>
              </w:rPr>
              <w:t>84116</w:t>
            </w:r>
          </w:p>
        </w:tc>
      </w:tr>
      <w:tr>
        <w:trPr>
          <w:trHeight w:val="27"/>
        </w:trPr>
        <w:tc>
          <w:tcPr>
            <w:tcW w:w="5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r>
      <w:tr>
        <w:trPr>
          <w:trHeight w:val="237"/>
        </w:trPr>
        <w:tc>
          <w:tcPr>
            <w:tcW w:w="9020" w:type="dxa"/>
            <w:vAlign w:val="bottom"/>
            <w:gridSpan w:val="4"/>
          </w:tcPr>
          <w:p>
            <w:pPr>
              <w:ind w:left="2980"/>
              <w:spacing w:after="0"/>
              <w:rPr>
                <w:sz w:val="20"/>
                <w:szCs w:val="20"/>
                <w:color w:val="auto"/>
              </w:rPr>
            </w:pPr>
            <w:r>
              <w:rPr>
                <w:rFonts w:ascii="Arial" w:cs="Arial" w:eastAsia="Arial" w:hAnsi="Arial"/>
                <w:sz w:val="18"/>
                <w:szCs w:val="18"/>
                <w:color w:val="auto"/>
              </w:rPr>
              <w:t>(Address of principal executive offices)</w:t>
            </w:r>
          </w:p>
        </w:tc>
        <w:tc>
          <w:tcPr>
            <w:tcW w:w="2400" w:type="dxa"/>
            <w:vAlign w:val="bottom"/>
          </w:tcPr>
          <w:p>
            <w:pPr>
              <w:jc w:val="right"/>
              <w:ind w:right="710"/>
              <w:spacing w:after="0"/>
              <w:rPr>
                <w:sz w:val="20"/>
                <w:szCs w:val="20"/>
                <w:color w:val="auto"/>
              </w:rPr>
            </w:pPr>
            <w:r>
              <w:rPr>
                <w:rFonts w:ascii="Arial" w:cs="Arial" w:eastAsia="Arial" w:hAnsi="Arial"/>
                <w:sz w:val="18"/>
                <w:szCs w:val="18"/>
                <w:color w:val="auto"/>
              </w:rPr>
              <w:t>(Zip Code)</w:t>
            </w:r>
          </w:p>
        </w:tc>
      </w:tr>
      <w:tr>
        <w:trPr>
          <w:trHeight w:val="635"/>
        </w:trPr>
        <w:tc>
          <w:tcPr>
            <w:tcW w:w="6300" w:type="dxa"/>
            <w:vAlign w:val="bottom"/>
            <w:gridSpan w:val="2"/>
          </w:tcPr>
          <w:p>
            <w:pPr>
              <w:jc w:val="center"/>
              <w:ind w:left="5050"/>
              <w:spacing w:after="0"/>
              <w:rPr>
                <w:sz w:val="20"/>
                <w:szCs w:val="20"/>
                <w:color w:val="auto"/>
              </w:rPr>
            </w:pPr>
            <w:r>
              <w:rPr>
                <w:rFonts w:ascii="Arial" w:cs="Arial" w:eastAsia="Arial" w:hAnsi="Arial"/>
                <w:sz w:val="18"/>
                <w:szCs w:val="18"/>
                <w:b w:val="1"/>
                <w:bCs w:val="1"/>
                <w:color w:val="auto"/>
                <w:w w:val="90"/>
              </w:rPr>
              <w:t>(801) 975-7200</w:t>
            </w:r>
          </w:p>
        </w:tc>
        <w:tc>
          <w:tcPr>
            <w:tcW w:w="2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0" w:type="dxa"/>
            <w:vAlign w:val="bottom"/>
          </w:tcPr>
          <w:p>
            <w:pPr>
              <w:spacing w:after="0"/>
              <w:rPr>
                <w:sz w:val="24"/>
                <w:szCs w:val="24"/>
                <w:color w:val="auto"/>
              </w:rPr>
            </w:pPr>
          </w:p>
        </w:tc>
      </w:tr>
      <w:tr>
        <w:trPr>
          <w:trHeight w:val="20"/>
        </w:trPr>
        <w:tc>
          <w:tcPr>
            <w:tcW w:w="5180" w:type="dxa"/>
            <w:vAlign w:val="bottom"/>
            <w:tcBorders>
              <w:right w:val="single" w:sz="8" w:color="auto"/>
            </w:tcBorders>
          </w:tcPr>
          <w:p>
            <w:pPr>
              <w:spacing w:after="0" w:line="20" w:lineRule="exact"/>
              <w:rPr>
                <w:sz w:val="1"/>
                <w:szCs w:val="1"/>
                <w:color w:val="auto"/>
              </w:rPr>
            </w:pPr>
          </w:p>
        </w:tc>
        <w:tc>
          <w:tcPr>
            <w:tcW w:w="1120" w:type="dxa"/>
            <w:vAlign w:val="bottom"/>
            <w:tcBorders>
              <w:right w:val="single" w:sz="8" w:color="auto"/>
            </w:tcBorders>
            <w:shd w:val="clear" w:color="auto" w:fill="000000"/>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237"/>
        </w:trPr>
        <w:tc>
          <w:tcPr>
            <w:tcW w:w="9020" w:type="dxa"/>
            <w:vAlign w:val="bottom"/>
            <w:gridSpan w:val="4"/>
          </w:tcPr>
          <w:p>
            <w:pPr>
              <w:jc w:val="center"/>
              <w:ind w:left="2310"/>
              <w:spacing w:after="0"/>
              <w:rPr>
                <w:sz w:val="20"/>
                <w:szCs w:val="20"/>
                <w:color w:val="auto"/>
              </w:rPr>
            </w:pPr>
            <w:r>
              <w:rPr>
                <w:rFonts w:ascii="Arial" w:cs="Arial" w:eastAsia="Arial" w:hAnsi="Arial"/>
                <w:sz w:val="18"/>
                <w:szCs w:val="18"/>
                <w:color w:val="auto"/>
                <w:w w:val="90"/>
              </w:rPr>
              <w:t>(Registrant's Telephone Number, Including Area Code)</w:t>
            </w:r>
          </w:p>
        </w:tc>
        <w:tc>
          <w:tcPr>
            <w:tcW w:w="2400" w:type="dxa"/>
            <w:vAlign w:val="bottom"/>
          </w:tcPr>
          <w:p>
            <w:pPr>
              <w:spacing w:after="0"/>
              <w:rPr>
                <w:sz w:val="20"/>
                <w:szCs w:val="20"/>
                <w:color w:val="auto"/>
              </w:rPr>
            </w:pPr>
          </w:p>
        </w:tc>
      </w:tr>
      <w:tr>
        <w:trPr>
          <w:trHeight w:val="392"/>
        </w:trPr>
        <w:tc>
          <w:tcPr>
            <w:tcW w:w="5180" w:type="dxa"/>
            <w:vAlign w:val="bottom"/>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Not applicable</w:t>
            </w:r>
          </w:p>
        </w:tc>
        <w:tc>
          <w:tcPr>
            <w:tcW w:w="2720" w:type="dxa"/>
            <w:vAlign w:val="bottom"/>
            <w:gridSpan w:val="2"/>
          </w:tcPr>
          <w:p>
            <w:pPr>
              <w:spacing w:after="0"/>
              <w:rPr>
                <w:sz w:val="24"/>
                <w:szCs w:val="24"/>
                <w:color w:val="auto"/>
              </w:rPr>
            </w:pPr>
          </w:p>
        </w:tc>
        <w:tc>
          <w:tcPr>
            <w:tcW w:w="2400" w:type="dxa"/>
            <w:vAlign w:val="bottom"/>
          </w:tcPr>
          <w:p>
            <w:pPr>
              <w:spacing w:after="0"/>
              <w:rPr>
                <w:sz w:val="24"/>
                <w:szCs w:val="24"/>
                <w:color w:val="auto"/>
              </w:rPr>
            </w:pPr>
          </w:p>
        </w:tc>
      </w:tr>
      <w:tr>
        <w:trPr>
          <w:trHeight w:val="237"/>
        </w:trPr>
        <w:tc>
          <w:tcPr>
            <w:tcW w:w="9020" w:type="dxa"/>
            <w:vAlign w:val="bottom"/>
            <w:gridSpan w:val="4"/>
          </w:tcPr>
          <w:p>
            <w:pPr>
              <w:jc w:val="center"/>
              <w:ind w:left="2310"/>
              <w:spacing w:after="0"/>
              <w:rPr>
                <w:sz w:val="20"/>
                <w:szCs w:val="20"/>
                <w:color w:val="auto"/>
              </w:rPr>
            </w:pPr>
            <w:r>
              <w:rPr>
                <w:rFonts w:ascii="Arial" w:cs="Arial" w:eastAsia="Arial" w:hAnsi="Arial"/>
                <w:sz w:val="18"/>
                <w:szCs w:val="18"/>
                <w:color w:val="auto"/>
                <w:w w:val="90"/>
              </w:rPr>
              <w:t>(Former Name or Former Address, if Changed Since Last Report)</w:t>
            </w:r>
          </w:p>
        </w:tc>
        <w:tc>
          <w:tcPr>
            <w:tcW w:w="2400" w:type="dxa"/>
            <w:vAlign w:val="bottom"/>
          </w:tcPr>
          <w:p>
            <w:pPr>
              <w:spacing w:after="0"/>
              <w:rPr>
                <w:sz w:val="20"/>
                <w:szCs w:val="20"/>
                <w:color w:val="auto"/>
              </w:rPr>
            </w:pPr>
          </w:p>
        </w:tc>
      </w:tr>
    </w:tbl>
    <w:p>
      <w:pPr>
        <w:spacing w:after="0" w:line="202"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8300" w:type="dxa"/>
            <w:vAlign w:val="bottom"/>
            <w:gridSpan w:val="2"/>
          </w:tcPr>
          <w:p>
            <w:pPr>
              <w:ind w:left="60"/>
              <w:spacing w:after="0"/>
              <w:rPr>
                <w:sz w:val="20"/>
                <w:szCs w:val="20"/>
                <w:color w:val="auto"/>
              </w:rPr>
            </w:pPr>
            <w:r>
              <w:rPr>
                <w:rFonts w:ascii="Arial" w:cs="Arial" w:eastAsia="Arial" w:hAnsi="Arial"/>
                <w:sz w:val="18"/>
                <w:szCs w:val="18"/>
                <w:color w:val="auto"/>
              </w:rPr>
              <w:t>] Written communications pursuant to Rule 425 under the Securities Act (17 CFR 230.425)</w:t>
            </w:r>
          </w:p>
        </w:tc>
      </w:tr>
      <w:tr>
        <w:trPr>
          <w:trHeight w:val="216"/>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8140" w:type="dxa"/>
            <w:vAlign w:val="bottom"/>
          </w:tcPr>
          <w:p>
            <w:pPr>
              <w:ind w:left="60"/>
              <w:spacing w:after="0"/>
              <w:rPr>
                <w:sz w:val="20"/>
                <w:szCs w:val="20"/>
                <w:color w:val="auto"/>
              </w:rPr>
            </w:pPr>
            <w:r>
              <w:rPr>
                <w:rFonts w:ascii="Arial" w:cs="Arial" w:eastAsia="Arial" w:hAnsi="Arial"/>
                <w:sz w:val="18"/>
                <w:szCs w:val="18"/>
                <w:color w:val="auto"/>
              </w:rPr>
              <w:t>Soliciting material pursuant to Rule 14a-12 under the Exchange Act (17 CFR 240.14a-12)</w:t>
            </w:r>
          </w:p>
        </w:tc>
      </w:tr>
      <w:tr>
        <w:trPr>
          <w:trHeight w:val="216"/>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8300" w:type="dxa"/>
            <w:vAlign w:val="bottom"/>
            <w:gridSpan w:val="2"/>
          </w:tcPr>
          <w:p>
            <w:pPr>
              <w:ind w:left="60"/>
              <w:spacing w:after="0"/>
              <w:rPr>
                <w:sz w:val="20"/>
                <w:szCs w:val="20"/>
                <w:color w:val="auto"/>
              </w:rPr>
            </w:pPr>
            <w:r>
              <w:rPr>
                <w:rFonts w:ascii="Arial" w:cs="Arial" w:eastAsia="Arial" w:hAnsi="Arial"/>
                <w:sz w:val="18"/>
                <w:szCs w:val="18"/>
                <w:color w:val="auto"/>
                <w:w w:val="91"/>
              </w:rPr>
              <w:t>] Pre-commencement communications pursuant to Rule 14d-2(b) under the Exchange Act (17 CFR 240.14d-2(b))</w:t>
            </w:r>
          </w:p>
        </w:tc>
      </w:tr>
      <w:tr>
        <w:trPr>
          <w:trHeight w:val="230"/>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8140" w:type="dxa"/>
            <w:vAlign w:val="bottom"/>
          </w:tcPr>
          <w:p>
            <w:pPr>
              <w:ind w:left="60"/>
              <w:spacing w:after="0"/>
              <w:rPr>
                <w:sz w:val="20"/>
                <w:szCs w:val="20"/>
                <w:color w:val="auto"/>
              </w:rPr>
            </w:pPr>
            <w:r>
              <w:rPr>
                <w:rFonts w:ascii="Arial" w:cs="Arial" w:eastAsia="Arial" w:hAnsi="Arial"/>
                <w:sz w:val="18"/>
                <w:szCs w:val="18"/>
                <w:color w:val="auto"/>
                <w:w w:val="91"/>
              </w:rPr>
              <w:t>Pre-commencement communication pursuant to Rule 13e-4(c) under the Exchange Act (17 CFR 240.13e-4(c))</w:t>
            </w:r>
          </w:p>
        </w:tc>
      </w:tr>
    </w:tbl>
    <w:p>
      <w:pPr>
        <w:sectPr>
          <w:pgSz w:w="11900" w:h="16838" w:orient="portrait"/>
          <w:cols w:equalWidth="0" w:num="1">
            <w:col w:w="11420"/>
          </w:cols>
          <w:pgMar w:left="240" w:top="949"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ind w:right="80" w:firstLine="4214"/>
        <w:spacing w:after="0" w:line="277" w:lineRule="auto"/>
        <w:rPr>
          <w:sz w:val="20"/>
          <w:szCs w:val="20"/>
          <w:color w:val="auto"/>
        </w:rPr>
      </w:pPr>
      <w:r>
        <w:rPr>
          <w:rFonts w:ascii="Arial" w:cs="Arial" w:eastAsia="Arial" w:hAnsi="Arial"/>
          <w:sz w:val="18"/>
          <w:szCs w:val="18"/>
          <w:color w:val="auto"/>
        </w:rPr>
        <w:t>On May 6, 2014, ClearOne, Inc. issued a press release announcing its financial results for the three months ended March 31, 2014. The full text of the press release is attached as Exhibit 99.1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2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Exhibit No.</w:t>
            </w:r>
          </w:p>
        </w:tc>
        <w:tc>
          <w:tcPr>
            <w:tcW w:w="120" w:type="dxa"/>
            <w:vAlign w:val="bottom"/>
          </w:tcPr>
          <w:p>
            <w:pPr>
              <w:spacing w:after="0"/>
              <w:rPr>
                <w:sz w:val="16"/>
                <w:szCs w:val="16"/>
                <w:color w:val="auto"/>
              </w:rPr>
            </w:pPr>
          </w:p>
        </w:tc>
        <w:tc>
          <w:tcPr>
            <w:tcW w:w="10040" w:type="dxa"/>
            <w:vAlign w:val="bottom"/>
            <w:tcBorders>
              <w:bottom w:val="single" w:sz="8" w:color="auto"/>
            </w:tcBorders>
          </w:tcPr>
          <w:p>
            <w:pPr>
              <w:ind w:left="1140"/>
              <w:spacing w:after="0"/>
              <w:rPr>
                <w:sz w:val="20"/>
                <w:szCs w:val="20"/>
                <w:color w:val="auto"/>
              </w:rPr>
            </w:pPr>
            <w:r>
              <w:rPr>
                <w:rFonts w:ascii="Arial" w:cs="Arial" w:eastAsia="Arial" w:hAnsi="Arial"/>
                <w:sz w:val="14"/>
                <w:szCs w:val="14"/>
                <w:b w:val="1"/>
                <w:bCs w:val="1"/>
                <w:color w:val="auto"/>
              </w:rPr>
              <w:t>Description</w:t>
            </w:r>
          </w:p>
        </w:tc>
      </w:tr>
      <w:tr>
        <w:trPr>
          <w:trHeight w:val="223"/>
        </w:trPr>
        <w:tc>
          <w:tcPr>
            <w:tcW w:w="1380" w:type="dxa"/>
            <w:vAlign w:val="bottom"/>
            <w:gridSpan w:val="2"/>
          </w:tcPr>
          <w:p>
            <w:pPr>
              <w:ind w:left="40"/>
              <w:spacing w:after="0"/>
              <w:rPr>
                <w:sz w:val="20"/>
                <w:szCs w:val="20"/>
                <w:color w:val="auto"/>
              </w:rPr>
            </w:pPr>
            <w:r>
              <w:rPr>
                <w:rFonts w:ascii="Arial" w:cs="Arial" w:eastAsia="Arial" w:hAnsi="Arial"/>
                <w:sz w:val="16"/>
                <w:szCs w:val="16"/>
                <w:color w:val="auto"/>
              </w:rPr>
              <w:t>Exhibit 99.1</w:t>
            </w:r>
          </w:p>
        </w:tc>
        <w:tc>
          <w:tcPr>
            <w:tcW w:w="10040" w:type="dxa"/>
            <w:vAlign w:val="bottom"/>
          </w:tcPr>
          <w:p>
            <w:pPr>
              <w:ind w:left="40"/>
              <w:spacing w:after="0"/>
              <w:rPr>
                <w:sz w:val="20"/>
                <w:szCs w:val="20"/>
                <w:color w:val="auto"/>
              </w:rPr>
            </w:pPr>
            <w:r>
              <w:rPr>
                <w:rFonts w:ascii="Arial" w:cs="Arial" w:eastAsia="Arial" w:hAnsi="Arial"/>
                <w:sz w:val="16"/>
                <w:szCs w:val="16"/>
                <w:color w:val="auto"/>
              </w:rPr>
              <w:t>Press Release dated May 6, 2014 titled “ClearOne Reports First Quarter Results”.</w:t>
            </w:r>
          </w:p>
        </w:tc>
      </w:tr>
      <w:tr>
        <w:trPr>
          <w:trHeight w:val="465"/>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40" w:type="dxa"/>
            <w:vAlign w:val="bottom"/>
          </w:tcPr>
          <w:p>
            <w:pPr>
              <w:ind w:left="3760"/>
              <w:spacing w:after="0"/>
              <w:rPr>
                <w:sz w:val="20"/>
                <w:szCs w:val="20"/>
                <w:color w:val="auto"/>
              </w:rPr>
            </w:pPr>
            <w:r>
              <w:rPr>
                <w:rFonts w:ascii="Arial" w:cs="Arial" w:eastAsia="Arial" w:hAnsi="Arial"/>
                <w:sz w:val="18"/>
                <w:szCs w:val="18"/>
                <w:b w:val="1"/>
                <w:bCs w:val="1"/>
                <w:color w:val="auto"/>
              </w:rPr>
              <w:t>SIGNATURES</w:t>
            </w:r>
          </w:p>
        </w:tc>
      </w:tr>
    </w:tbl>
    <w:p>
      <w:pPr>
        <w:spacing w:after="0" w:line="20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08"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ClearOne, Inc.,</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(Registrant)</w:t>
      </w:r>
    </w:p>
    <w:p>
      <w:pPr>
        <w:spacing w:after="0" w:line="184" w:lineRule="exact"/>
        <w:rPr>
          <w:sz w:val="20"/>
          <w:szCs w:val="20"/>
          <w:color w:val="auto"/>
        </w:rPr>
      </w:pPr>
    </w:p>
    <w:p>
      <w:pPr>
        <w:ind w:left="40"/>
        <w:spacing w:after="0"/>
        <w:tabs>
          <w:tab w:leader="none" w:pos="5500" w:val="left"/>
          <w:tab w:leader="none" w:pos="5960" w:val="left"/>
        </w:tabs>
        <w:rPr>
          <w:sz w:val="20"/>
          <w:szCs w:val="20"/>
          <w:color w:val="auto"/>
        </w:rPr>
      </w:pPr>
      <w:r>
        <w:rPr>
          <w:rFonts w:ascii="Arial" w:cs="Arial" w:eastAsia="Arial" w:hAnsi="Arial"/>
          <w:sz w:val="18"/>
          <w:szCs w:val="18"/>
          <w:color w:val="auto"/>
        </w:rPr>
        <w:t>May 6, 2014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Zeynep Hakimoglu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34734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Zeynep Hakimoglu</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796" w:right="23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Brent Johnson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801-303-3577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brent.johnson@clearone.com</w:t>
      </w:r>
    </w:p>
    <w:p>
      <w:pPr>
        <w:spacing w:after="0" w:line="2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ClearOne Reports First Quarter Results</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During the Quarter Position ClearOne to Drive Sales of Industry-Leading Portfolio</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color w:val="auto"/>
        </w:rPr>
        <w:t>SALT LAKE CITY, UTAH - May 6, 2014</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2014 Highlights</w:t>
      </w:r>
    </w:p>
    <w:p>
      <w:pPr>
        <w:spacing w:after="0" w:line="310" w:lineRule="exact"/>
        <w:rPr>
          <w:sz w:val="20"/>
          <w:szCs w:val="20"/>
          <w:color w:val="auto"/>
        </w:rPr>
      </w:pPr>
    </w:p>
    <w:p>
      <w:pPr>
        <w:ind w:left="720" w:hanging="388"/>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Achieved record first quarter revenue of $12.7 million</w:t>
      </w:r>
    </w:p>
    <w:p>
      <w:pPr>
        <w:spacing w:after="0" w:line="157" w:lineRule="exact"/>
        <w:rPr>
          <w:rFonts w:ascii="Arial" w:cs="Arial" w:eastAsia="Arial" w:hAnsi="Arial"/>
          <w:sz w:val="18"/>
          <w:szCs w:val="18"/>
          <w:color w:val="auto"/>
        </w:rPr>
      </w:pPr>
    </w:p>
    <w:p>
      <w:pPr>
        <w:ind w:left="720" w:hanging="388"/>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Reported revenue growth of 13%</w:t>
      </w:r>
    </w:p>
    <w:p>
      <w:pPr>
        <w:spacing w:after="0" w:line="157" w:lineRule="exact"/>
        <w:rPr>
          <w:rFonts w:ascii="Arial" w:cs="Arial" w:eastAsia="Arial" w:hAnsi="Arial"/>
          <w:sz w:val="18"/>
          <w:szCs w:val="18"/>
          <w:color w:val="auto"/>
        </w:rPr>
      </w:pPr>
    </w:p>
    <w:p>
      <w:pPr>
        <w:ind w:left="720" w:hanging="388"/>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Closed acquisition of Sabine</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6"/>
          <w:szCs w:val="16"/>
          <w:color w:val="auto"/>
        </w:rPr>
      </w:pPr>
      <w:r>
        <w:rPr>
          <w:rFonts w:ascii="Arial" w:cs="Arial" w:eastAsia="Arial" w:hAnsi="Arial"/>
          <w:sz w:val="16"/>
          <w:szCs w:val="16"/>
          <w:color w:val="auto"/>
        </w:rPr>
        <w:t>Added a seasoned video conferencing sales and business development team to drive all-inclusive ClearOne video collaboration portfolio to market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Summary</w:t>
      </w:r>
    </w:p>
    <w:p>
      <w:pPr>
        <w:spacing w:after="0" w:line="200" w:lineRule="exact"/>
        <w:rPr>
          <w:sz w:val="20"/>
          <w:szCs w:val="20"/>
          <w:color w:val="auto"/>
        </w:rPr>
      </w:pPr>
    </w:p>
    <w:p>
      <w:pPr>
        <w:spacing w:after="0" w:line="205" w:lineRule="exact"/>
        <w:rPr>
          <w:sz w:val="20"/>
          <w:szCs w:val="20"/>
          <w:color w:val="auto"/>
        </w:rPr>
      </w:pPr>
    </w:p>
    <w:tbl>
      <w:tblPr>
        <w:tblLayout w:type="fixed"/>
        <w:tblInd w:w="1560" w:type="dxa"/>
        <w:tblCellMar>
          <w:top w:w="0" w:type="dxa"/>
          <w:left w:w="0" w:type="dxa"/>
          <w:bottom w:w="0" w:type="dxa"/>
          <w:right w:w="0" w:type="dxa"/>
        </w:tblCellMar>
      </w:tblPr>
      <w:tr>
        <w:trPr>
          <w:trHeight w:val="237"/>
        </w:trPr>
        <w:tc>
          <w:tcPr>
            <w:tcW w:w="4560" w:type="dxa"/>
            <w:vAlign w:val="bottom"/>
          </w:tcPr>
          <w:p>
            <w:pPr>
              <w:spacing w:after="0"/>
              <w:rPr>
                <w:sz w:val="20"/>
                <w:szCs w:val="20"/>
                <w:color w:val="auto"/>
              </w:rPr>
            </w:pPr>
            <w:r>
              <w:rPr>
                <w:rFonts w:ascii="Arial" w:cs="Arial" w:eastAsia="Arial" w:hAnsi="Arial"/>
                <w:sz w:val="14"/>
                <w:szCs w:val="14"/>
                <w:b w:val="1"/>
                <w:bCs w:val="1"/>
                <w:color w:val="auto"/>
              </w:rPr>
              <w:t>(Dollars in thousands, except per share values)</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First Quarter</w:t>
            </w:r>
          </w:p>
        </w:tc>
        <w:tc>
          <w:tcPr>
            <w:tcW w:w="1200" w:type="dxa"/>
            <w:vAlign w:val="bottom"/>
            <w:tcBorders>
              <w:bottom w:val="single" w:sz="8" w:color="auto"/>
            </w:tcBorders>
          </w:tcPr>
          <w:p>
            <w:pPr>
              <w:spacing w:after="0"/>
              <w:rPr>
                <w:sz w:val="20"/>
                <w:szCs w:val="20"/>
                <w:color w:val="auto"/>
              </w:rPr>
            </w:pPr>
          </w:p>
        </w:tc>
      </w:tr>
      <w:tr>
        <w:trPr>
          <w:trHeight w:val="237"/>
        </w:trPr>
        <w:tc>
          <w:tcPr>
            <w:tcW w:w="4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51"/>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ind w:right="353"/>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20"/>
                <w:szCs w:val="20"/>
                <w:color w:val="auto"/>
              </w:rPr>
            </w:pPr>
          </w:p>
        </w:tc>
        <w:tc>
          <w:tcPr>
            <w:tcW w:w="1200" w:type="dxa"/>
            <w:vAlign w:val="bottom"/>
          </w:tcPr>
          <w:p>
            <w:pPr>
              <w:ind w:left="340"/>
              <w:spacing w:after="0"/>
              <w:rPr>
                <w:sz w:val="20"/>
                <w:szCs w:val="20"/>
                <w:color w:val="auto"/>
              </w:rPr>
            </w:pPr>
            <w:r>
              <w:rPr>
                <w:rFonts w:ascii="Arial" w:cs="Arial" w:eastAsia="Arial" w:hAnsi="Arial"/>
                <w:sz w:val="16"/>
                <w:szCs w:val="16"/>
                <w:b w:val="1"/>
                <w:bCs w:val="1"/>
                <w:color w:val="auto"/>
              </w:rPr>
              <w:t>Change</w:t>
            </w:r>
          </w:p>
        </w:tc>
      </w:tr>
      <w:tr>
        <w:trPr>
          <w:trHeight w:val="33"/>
        </w:trPr>
        <w:tc>
          <w:tcPr>
            <w:tcW w:w="45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4560" w:type="dxa"/>
            <w:vAlign w:val="bottom"/>
          </w:tcPr>
          <w:p>
            <w:pPr>
              <w:spacing w:after="0"/>
              <w:rPr>
                <w:sz w:val="20"/>
                <w:szCs w:val="20"/>
                <w:color w:val="auto"/>
              </w:rPr>
            </w:pPr>
            <w:r>
              <w:rPr>
                <w:rFonts w:ascii="Arial" w:cs="Arial" w:eastAsia="Arial" w:hAnsi="Arial"/>
                <w:sz w:val="18"/>
                <w:szCs w:val="18"/>
                <w:color w:val="auto"/>
              </w:rPr>
              <w:t>Revenue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12,708</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11,293</w:t>
            </w:r>
          </w:p>
        </w:tc>
        <w:tc>
          <w:tcPr>
            <w:tcW w:w="10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8"/>
              </w:rPr>
              <w:t>13%</w:t>
            </w:r>
          </w:p>
        </w:tc>
      </w:tr>
      <w:tr>
        <w:trPr>
          <w:trHeight w:val="270"/>
        </w:trPr>
        <w:tc>
          <w:tcPr>
            <w:tcW w:w="4560" w:type="dxa"/>
            <w:vAlign w:val="bottom"/>
          </w:tcPr>
          <w:p>
            <w:pPr>
              <w:spacing w:after="0"/>
              <w:rPr>
                <w:sz w:val="20"/>
                <w:szCs w:val="20"/>
                <w:color w:val="auto"/>
              </w:rPr>
            </w:pPr>
            <w:r>
              <w:rPr>
                <w:rFonts w:ascii="Arial" w:cs="Arial" w:eastAsia="Arial" w:hAnsi="Arial"/>
                <w:sz w:val="18"/>
                <w:szCs w:val="18"/>
                <w:color w:val="auto"/>
              </w:rPr>
              <w:t>Gross Profit</w:t>
            </w:r>
          </w:p>
        </w:tc>
        <w:tc>
          <w:tcPr>
            <w:tcW w:w="2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7,702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6,999</w:t>
            </w:r>
          </w:p>
        </w:tc>
        <w:tc>
          <w:tcPr>
            <w:tcW w:w="100" w:type="dxa"/>
            <w:vAlign w:val="bottom"/>
          </w:tcPr>
          <w:p>
            <w:pPr>
              <w:spacing w:after="0"/>
              <w:rPr>
                <w:sz w:val="23"/>
                <w:szCs w:val="23"/>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8"/>
              </w:rPr>
              <w:t>10%</w:t>
            </w:r>
          </w:p>
        </w:tc>
      </w:tr>
      <w:tr>
        <w:trPr>
          <w:trHeight w:val="270"/>
        </w:trPr>
        <w:tc>
          <w:tcPr>
            <w:tcW w:w="4560" w:type="dxa"/>
            <w:vAlign w:val="bottom"/>
          </w:tcPr>
          <w:p>
            <w:pPr>
              <w:spacing w:after="0"/>
              <w:rPr>
                <w:sz w:val="20"/>
                <w:szCs w:val="20"/>
                <w:color w:val="auto"/>
              </w:rPr>
            </w:pPr>
            <w:r>
              <w:rPr>
                <w:rFonts w:ascii="Arial" w:cs="Arial" w:eastAsia="Arial" w:hAnsi="Arial"/>
                <w:sz w:val="18"/>
                <w:szCs w:val="18"/>
                <w:color w:val="auto"/>
              </w:rPr>
              <w:t>Non-GAAP Net Income</w:t>
            </w:r>
          </w:p>
        </w:tc>
        <w:tc>
          <w:tcPr>
            <w:tcW w:w="2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831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966</w:t>
            </w:r>
          </w:p>
        </w:tc>
        <w:tc>
          <w:tcPr>
            <w:tcW w:w="100" w:type="dxa"/>
            <w:vAlign w:val="bottom"/>
          </w:tcPr>
          <w:p>
            <w:pPr>
              <w:spacing w:after="0"/>
              <w:rPr>
                <w:sz w:val="23"/>
                <w:szCs w:val="23"/>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1"/>
              </w:rPr>
              <w:t>(14)%</w:t>
            </w:r>
          </w:p>
        </w:tc>
      </w:tr>
      <w:tr>
        <w:trPr>
          <w:trHeight w:val="270"/>
        </w:trPr>
        <w:tc>
          <w:tcPr>
            <w:tcW w:w="4560" w:type="dxa"/>
            <w:vAlign w:val="bottom"/>
          </w:tcPr>
          <w:p>
            <w:pPr>
              <w:spacing w:after="0"/>
              <w:rPr>
                <w:sz w:val="20"/>
                <w:szCs w:val="20"/>
                <w:color w:val="auto"/>
              </w:rPr>
            </w:pPr>
            <w:r>
              <w:rPr>
                <w:rFonts w:ascii="Arial" w:cs="Arial" w:eastAsia="Arial" w:hAnsi="Arial"/>
                <w:sz w:val="18"/>
                <w:szCs w:val="18"/>
                <w:color w:val="auto"/>
              </w:rPr>
              <w:t>Non-GAAP Adjusted EBITDA</w:t>
            </w:r>
          </w:p>
        </w:tc>
        <w:tc>
          <w:tcPr>
            <w:tcW w:w="2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1,616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1,574</w:t>
            </w:r>
          </w:p>
        </w:tc>
        <w:tc>
          <w:tcPr>
            <w:tcW w:w="100" w:type="dxa"/>
            <w:vAlign w:val="bottom"/>
          </w:tcPr>
          <w:p>
            <w:pPr>
              <w:spacing w:after="0"/>
              <w:rPr>
                <w:sz w:val="23"/>
                <w:szCs w:val="23"/>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2"/>
              </w:rPr>
              <w:t>3%</w:t>
            </w:r>
          </w:p>
        </w:tc>
      </w:tr>
      <w:tr>
        <w:trPr>
          <w:trHeight w:val="270"/>
        </w:trPr>
        <w:tc>
          <w:tcPr>
            <w:tcW w:w="4560" w:type="dxa"/>
            <w:vAlign w:val="bottom"/>
          </w:tcPr>
          <w:p>
            <w:pPr>
              <w:spacing w:after="0"/>
              <w:rPr>
                <w:sz w:val="20"/>
                <w:szCs w:val="20"/>
                <w:color w:val="auto"/>
              </w:rPr>
            </w:pPr>
            <w:r>
              <w:rPr>
                <w:rFonts w:ascii="Arial" w:cs="Arial" w:eastAsia="Arial" w:hAnsi="Arial"/>
                <w:sz w:val="18"/>
                <w:szCs w:val="18"/>
                <w:color w:val="auto"/>
              </w:rPr>
              <w:t>Non-GAAP Diluted EPS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0.09</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0.10</w:t>
            </w:r>
          </w:p>
        </w:tc>
        <w:tc>
          <w:tcPr>
            <w:tcW w:w="100" w:type="dxa"/>
            <w:vAlign w:val="bottom"/>
          </w:tcPr>
          <w:p>
            <w:pPr>
              <w:spacing w:after="0"/>
              <w:rPr>
                <w:sz w:val="23"/>
                <w:szCs w:val="23"/>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1"/>
              </w:rPr>
              <w:t>(10)%</w:t>
            </w:r>
          </w:p>
        </w:tc>
      </w:tr>
    </w:tbl>
    <w:p>
      <w:pPr>
        <w:spacing w:after="0" w:line="229" w:lineRule="exact"/>
        <w:rPr>
          <w:sz w:val="20"/>
          <w:szCs w:val="20"/>
          <w:color w:val="auto"/>
        </w:rPr>
      </w:pPr>
    </w:p>
    <w:p>
      <w:pPr>
        <w:jc w:val="both"/>
        <w:ind w:right="200"/>
        <w:spacing w:after="0" w:line="373" w:lineRule="auto"/>
        <w:rPr>
          <w:sz w:val="20"/>
          <w:szCs w:val="20"/>
          <w:color w:val="auto"/>
        </w:rPr>
      </w:pPr>
      <w:r>
        <w:rPr>
          <w:rFonts w:ascii="Arial" w:cs="Arial" w:eastAsia="Arial" w:hAnsi="Arial"/>
          <w:sz w:val="18"/>
          <w:szCs w:val="18"/>
          <w:color w:val="auto"/>
        </w:rPr>
        <w:t>ClearOne (NASDAQ: CLRO), a global provider of audio and visual communication solutions, today reported financial results for the first quarter of 2014. Results include Sabine operations for the period following the acquisition on March 7. The results do not include Spontania operations since the acquisition closed on April 1.</w:t>
      </w:r>
    </w:p>
    <w:p>
      <w:pPr>
        <w:spacing w:after="0" w:line="210" w:lineRule="exact"/>
        <w:rPr>
          <w:sz w:val="20"/>
          <w:szCs w:val="20"/>
          <w:color w:val="auto"/>
        </w:rPr>
      </w:pPr>
    </w:p>
    <w:p>
      <w:pPr>
        <w:ind w:right="120"/>
        <w:spacing w:after="0" w:line="425" w:lineRule="auto"/>
        <w:rPr>
          <w:sz w:val="20"/>
          <w:szCs w:val="20"/>
          <w:color w:val="auto"/>
        </w:rPr>
      </w:pPr>
      <w:r>
        <w:rPr>
          <w:rFonts w:ascii="Arial" w:cs="Arial" w:eastAsia="Arial" w:hAnsi="Arial"/>
          <w:sz w:val="16"/>
          <w:szCs w:val="16"/>
          <w:color w:val="auto"/>
        </w:rPr>
        <w:t>For the 2014 first quarter, revenue increased by 13% to $12.7 million, compared with $11.3 million for the first quarter of 2013. Gross profit for the first quarter was $7.7 million, or 61% of revenue, compared with $7.0 million, or 62% of revenue, for the first quarter of 2013. Non-GAAP net income decreased 14% to $0.83 million, or $0.09 per diluted share, from $0.97 million, or $0.10 per diluted share, for the first quarter of 2013. Non-GAAP adjusted EBITDA for the 2014 first quarter increased 3% to $1.62 million, or $0.17 per diluted share, from $1.57 million, or $0.17 per diluted share, a year ago.</w:t>
      </w:r>
    </w:p>
    <w:p>
      <w:pPr>
        <w:sectPr>
          <w:pgSz w:w="11900" w:h="16838" w:orient="portrait"/>
          <w:cols w:equalWidth="0" w:num="1">
            <w:col w:w="11420"/>
          </w:cols>
          <w:pgMar w:left="240" w:top="580" w:right="239" w:bottom="1440" w:gutter="0" w:footer="0" w:header="0"/>
        </w:sectPr>
      </w:pPr>
    </w:p>
    <w:bookmarkStart w:id="3" w:name="page4"/>
    <w:bookmarkEnd w:id="3"/>
    <w:p>
      <w:pPr>
        <w:ind w:right="40"/>
        <w:spacing w:after="0" w:line="395" w:lineRule="auto"/>
        <w:rPr>
          <w:sz w:val="20"/>
          <w:szCs w:val="20"/>
          <w:color w:val="auto"/>
        </w:rPr>
      </w:pPr>
      <w:r>
        <w:rPr>
          <w:rFonts w:ascii="Arial" w:cs="Arial" w:eastAsia="Arial" w:hAnsi="Arial"/>
          <w:sz w:val="17"/>
          <w:szCs w:val="17"/>
          <w:color w:val="auto"/>
        </w:rPr>
        <w:t>The reduction in GAAP net income for the first quarter of 2014 was caused primarily by acquisition expenses related to Sabine and Spontania acquisitions. Non-GAAP and GAAP net income were also impacted by increased operating costs related to Sabine operations and investments made in the new video collaboration sales and marketing team ahead of expected contributions in revenue from Sabine and Spontania acquisitions for the remainder of 2014. Results also reflect increased tax expense for this quarter as Congress did not extend certain R&amp;D tax credits.</w:t>
      </w:r>
    </w:p>
    <w:p>
      <w:pPr>
        <w:spacing w:after="0" w:line="172" w:lineRule="exact"/>
        <w:rPr>
          <w:sz w:val="20"/>
          <w:szCs w:val="20"/>
          <w:color w:val="auto"/>
        </w:rPr>
      </w:pPr>
    </w:p>
    <w:p>
      <w:pPr>
        <w:ind w:right="20"/>
        <w:spacing w:after="0" w:line="366" w:lineRule="auto"/>
        <w:rPr>
          <w:sz w:val="20"/>
          <w:szCs w:val="20"/>
          <w:color w:val="auto"/>
        </w:rPr>
      </w:pPr>
      <w:r>
        <w:rPr>
          <w:rFonts w:ascii="Arial" w:cs="Arial" w:eastAsia="Arial" w:hAnsi="Arial"/>
          <w:sz w:val="18"/>
          <w:szCs w:val="18"/>
          <w:color w:val="auto"/>
        </w:rPr>
        <w:t>During the quarter, the company acquired the supplier of its complementary professional wireless microphone solutions, Sabine, Inc., securing continued access to products central to ClearOne’s microphones portfolio. In 2014, ClearOne’s full suite of wireless microphone products is expected to achieve revenue between $5.4 million to $6.9 million including the Sabine acquisition, compared to $1.3 million revenue from wireless microphone products in 2013, before Sabine’s acquisition. ClearOne also expects to improve profitability of its wireless microphone products by reducing operating expenses as the integration of the Sabine business moves forward.</w:t>
      </w:r>
    </w:p>
    <w:p>
      <w:pPr>
        <w:spacing w:after="0" w:line="191" w:lineRule="exact"/>
        <w:rPr>
          <w:sz w:val="20"/>
          <w:szCs w:val="20"/>
          <w:color w:val="auto"/>
        </w:rPr>
      </w:pPr>
    </w:p>
    <w:p>
      <w:pPr>
        <w:ind w:right="40"/>
        <w:spacing w:after="0" w:line="366" w:lineRule="auto"/>
        <w:rPr>
          <w:sz w:val="20"/>
          <w:szCs w:val="20"/>
          <w:color w:val="auto"/>
        </w:rPr>
      </w:pPr>
      <w:r>
        <w:rPr>
          <w:rFonts w:ascii="Arial" w:cs="Arial" w:eastAsia="Arial" w:hAnsi="Arial"/>
          <w:sz w:val="18"/>
          <w:szCs w:val="18"/>
          <w:color w:val="auto"/>
        </w:rPr>
        <w:t>On April 1, 2014 ClearOne completed the acquisition of Spontania cloud-based video collaboration solutions from Spain-based Dialcom Networks. In order to effectively grow video collaboration revenue, during the first quarter of 2014 ClearOne made important additions to its video collaboration sales team, led by industry veteran David Moss and consisting of professionals with rich backgrounds including experience working for marquee industry players like Cisco, Polycom, Siemens, and Vidyo. ClearOne intends to further build and broaden the sales channel of the complete portfolio led by Spontania as part of ClearOne’s full range of video collaboration solutions.</w:t>
      </w:r>
    </w:p>
    <w:p>
      <w:pPr>
        <w:spacing w:after="0" w:line="191" w:lineRule="exact"/>
        <w:rPr>
          <w:sz w:val="20"/>
          <w:szCs w:val="20"/>
          <w:color w:val="auto"/>
        </w:rPr>
      </w:pPr>
    </w:p>
    <w:p>
      <w:pPr>
        <w:spacing w:after="0" w:line="425" w:lineRule="auto"/>
        <w:rPr>
          <w:sz w:val="20"/>
          <w:szCs w:val="20"/>
          <w:color w:val="auto"/>
        </w:rPr>
      </w:pPr>
      <w:r>
        <w:rPr>
          <w:rFonts w:ascii="Arial" w:cs="Arial" w:eastAsia="Arial" w:hAnsi="Arial"/>
          <w:sz w:val="16"/>
          <w:szCs w:val="16"/>
          <w:color w:val="auto"/>
        </w:rPr>
        <w:t>"The quarterly results reflect our continued plan of prudently leveraging our profits from current growth to fuel future growth by making complementary and balanced investments in sales and marketing and research and development,” said Zee Hakimoglu, President and Chief Executive Officer. “We expect the acquisitions and the associated investments in sales and marketing capabilities to contribute to higher revenues and increased earnings growth in the following quarters of 2014. We are confident that these timely and essential steps will create increasing value for ClearOne, its partners, and its shareholders."</w:t>
      </w:r>
    </w:p>
    <w:p>
      <w:pPr>
        <w:spacing w:after="0" w:line="155" w:lineRule="exact"/>
        <w:rPr>
          <w:sz w:val="20"/>
          <w:szCs w:val="20"/>
          <w:color w:val="auto"/>
        </w:rPr>
      </w:pPr>
    </w:p>
    <w:p>
      <w:pPr>
        <w:ind w:right="280"/>
        <w:spacing w:after="0" w:line="366" w:lineRule="auto"/>
        <w:rPr>
          <w:sz w:val="20"/>
          <w:szCs w:val="20"/>
          <w:color w:val="auto"/>
        </w:rPr>
      </w:pPr>
      <w:r>
        <w:rPr>
          <w:rFonts w:ascii="Arial" w:cs="Arial" w:eastAsia="Arial" w:hAnsi="Arial"/>
          <w:sz w:val="18"/>
          <w:szCs w:val="18"/>
          <w:color w:val="auto"/>
        </w:rPr>
        <w:t>Cash, cash equivalents and investments totaled $34.0 million at March 31, 2014, down from $42.7 million on December 31, 2013. The decrease in cash balance reflects the amounts paid for both Sabine and Spontania acquisitions. Cash payment of about $5.0 million was made towards the Spontania acquisition before the end of the first quarter though the transaction closed in April 2014. While the company filed a shelf registration statement with the Securities and Exchange Commission to register the shares of common stock issued as part of the acquisition of Sabine, the company has no plans to issue additional equity or debt.</w:t>
      </w: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83" w:lineRule="exact"/>
        <w:rPr>
          <w:sz w:val="20"/>
          <w:szCs w:val="20"/>
          <w:color w:val="auto"/>
        </w:rPr>
      </w:pPr>
    </w:p>
    <w:p>
      <w:pPr>
        <w:ind w:right="80"/>
        <w:spacing w:after="0" w:line="425" w:lineRule="auto"/>
        <w:rPr>
          <w:sz w:val="20"/>
          <w:szCs w:val="20"/>
          <w:color w:val="auto"/>
        </w:rPr>
      </w:pPr>
      <w:r>
        <w:rPr>
          <w:rFonts w:ascii="Arial" w:cs="Arial" w:eastAsia="Arial" w:hAnsi="Arial"/>
          <w:sz w:val="16"/>
          <w:szCs w:val="16"/>
          <w:color w:val="auto"/>
        </w:rPr>
        <w:t>ClearOne provides non-GAAP financial information in the form of non-GAAP net income, non-GAAP EDBITDA and non-GAAP adjusted EBITDA and corresponding earnings per share to investors to supplement GAAP financial information. ClearOne believes that excluding certain items from GAAP results allows ClearOne's management to better understand ClearOne's consolidated financial performance from period to period as management does not believe that the excluded items are reflective of underlying operating performance. non-GAAP net income, non-GAAP EDBITDA and non-GAAP adjusted</w:t>
      </w:r>
    </w:p>
    <w:p>
      <w:pPr>
        <w:sectPr>
          <w:pgSz w:w="11900" w:h="16838" w:orient="portrait"/>
          <w:cols w:equalWidth="0" w:num="1">
            <w:col w:w="11420"/>
          </w:cols>
          <w:pgMar w:left="240" w:top="638" w:right="239" w:bottom="1440" w:gutter="0" w:footer="0" w:header="0"/>
        </w:sectPr>
      </w:pPr>
    </w:p>
    <w:bookmarkStart w:id="4" w:name="page5"/>
    <w:bookmarkEnd w:id="4"/>
    <w:p>
      <w:pPr>
        <w:spacing w:after="0" w:line="387" w:lineRule="auto"/>
        <w:rPr>
          <w:sz w:val="20"/>
          <w:szCs w:val="20"/>
          <w:color w:val="auto"/>
        </w:rPr>
      </w:pPr>
      <w:r>
        <w:rPr>
          <w:rFonts w:ascii="Arial" w:cs="Arial" w:eastAsia="Arial" w:hAnsi="Arial"/>
          <w:sz w:val="17"/>
          <w:szCs w:val="17"/>
          <w:color w:val="auto"/>
        </w:rPr>
        <w:t>EBITDA and corresponding earnings per share excludes certain costs and expenses, the details of which are provided in the tables below containing the reconciliation between GAAP and non-GAAP financial measures. The exclusion of these items in the non-GAAP presentation should not be interpreted as implying that these items are non-recurring, infrequent, or unusual. ClearOne believes non-GAAP financial measures will provide investors with useful information to help them evaluate ClearOne's operating results and projections. This non-GAAP financial information is not meant to be considered in isolation or as a substitute for operating income, net income or other financial measures prepared in accordance with GAAP. There are limitations to the use of non-GAAP financial measures. Other companies, including companies in ClearOne's industry, may calculate non-GAAP financial measures differently than ClearOne does, limiting the usefulness of those measures for comparative purposes. Detailed reconciliation of the non-GAAP measures used in this news release to the corresponding GAAP measures is included with this news release.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ClearOne</w:t>
      </w:r>
    </w:p>
    <w:p>
      <w:pPr>
        <w:spacing w:after="0" w:line="283" w:lineRule="exact"/>
        <w:rPr>
          <w:sz w:val="20"/>
          <w:szCs w:val="20"/>
          <w:color w:val="auto"/>
        </w:rPr>
      </w:pPr>
    </w:p>
    <w:p>
      <w:pPr>
        <w:jc w:val="both"/>
        <w:ind w:right="540"/>
        <w:spacing w:after="0" w:line="373" w:lineRule="auto"/>
        <w:rPr>
          <w:sz w:val="20"/>
          <w:szCs w:val="20"/>
          <w:color w:val="auto"/>
        </w:rPr>
      </w:pPr>
      <w:r>
        <w:rPr>
          <w:rFonts w:ascii="Arial" w:cs="Arial" w:eastAsia="Arial" w:hAnsi="Arial"/>
          <w:sz w:val="18"/>
          <w:szCs w:val="18"/>
          <w:color w:val="auto"/>
        </w:rPr>
        <w:t>ClearOne is a global company that designs, develops and sells conferencing, collaboration, streaming and digital signage solutions for voice and visual communications. The performance and simplicity of its advanced comprehensive solutions offer unprecedented levels of functionality, reliability and scalability. More information about the company can be found at www.clearone.com.</w:t>
      </w:r>
    </w:p>
    <w:p>
      <w:pPr>
        <w:spacing w:after="0" w:line="34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i w:val="1"/>
          <w:iCs w:val="1"/>
          <w:color w:val="auto"/>
        </w:rPr>
        <w:t>This release contains “forward-looking” statements that are based on present circumstances and on ClearOne's predictions with respect to events that have not occurred, that may not occur, or that may occur with different consequences and timing than those now assumed or anticipated. Such forward-looking statements, including acquisitions or investments the company may make to fuel growth, the purchase of common stock under the company's stock repurchase program and any statements of the plans and objectives of management for future operations, are not guarantees of future performance or results and involve risks and uncertainties that could cause actual events or results to differ materially from the events or results described in the forward-looking statements. Such forward-looking statements are made only as of the date of this release and ClearOne assumes no obligation to update forward-looking statements to reflect subsequent events or circumstances. Readers should not place undue reliance on these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http://investors.clearone.com</w:t>
      </w:r>
    </w:p>
    <w:p>
      <w:pPr>
        <w:sectPr>
          <w:pgSz w:w="11900" w:h="16838" w:orient="portrait"/>
          <w:cols w:equalWidth="0" w:num="1">
            <w:col w:w="11420"/>
          </w:cols>
          <w:pgMar w:left="240" w:top="638" w:right="239" w:bottom="1440" w:gutter="0" w:footer="0" w:header="0"/>
        </w:sectPr>
      </w:pPr>
    </w:p>
    <w:bookmarkStart w:id="5" w:name="page6"/>
    <w:bookmarkEnd w:id="5"/>
    <w:p>
      <w:pPr>
        <w:jc w:val="center"/>
        <w:ind w:right="40"/>
        <w:spacing w:after="0"/>
        <w:rPr>
          <w:sz w:val="20"/>
          <w:szCs w:val="20"/>
          <w:color w:val="auto"/>
        </w:rPr>
      </w:pPr>
      <w:r>
        <w:rPr>
          <w:rFonts w:ascii="Arial" w:cs="Arial" w:eastAsia="Arial" w:hAnsi="Arial"/>
          <w:sz w:val="16"/>
          <w:szCs w:val="16"/>
          <w:b w:val="1"/>
          <w:bCs w:val="1"/>
          <w:color w:val="auto"/>
        </w:rPr>
        <w:t>CLEARONE INC.</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UNAUDITED CONSOLIDATED BALANCE SHEETS</w:t>
      </w:r>
    </w:p>
    <w:p>
      <w:pPr>
        <w:spacing w:after="0" w:line="5"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(Dollars in thousands, except par value)</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5"/>
              </w:rPr>
              <w:t>As of</w:t>
            </w:r>
          </w:p>
        </w:tc>
        <w:tc>
          <w:tcPr>
            <w:tcW w:w="200" w:type="dxa"/>
            <w:vAlign w:val="bottom"/>
          </w:tcPr>
          <w:p>
            <w:pPr>
              <w:spacing w:after="0"/>
              <w:rPr>
                <w:sz w:val="14"/>
                <w:szCs w:val="14"/>
                <w:color w:val="auto"/>
              </w:rPr>
            </w:pPr>
          </w:p>
        </w:tc>
        <w:tc>
          <w:tcPr>
            <w:tcW w:w="1520" w:type="dxa"/>
            <w:vAlign w:val="bottom"/>
          </w:tcPr>
          <w:p>
            <w:pPr>
              <w:jc w:val="right"/>
              <w:ind w:right="64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92"/>
        </w:trPr>
        <w:tc>
          <w:tcPr>
            <w:tcW w:w="6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March 31, 2014</w:t>
            </w:r>
          </w:p>
        </w:tc>
        <w:tc>
          <w:tcPr>
            <w:tcW w:w="200" w:type="dxa"/>
            <w:vAlign w:val="bottom"/>
          </w:tcPr>
          <w:p>
            <w:pPr>
              <w:spacing w:after="0"/>
              <w:rPr>
                <w:sz w:val="16"/>
                <w:szCs w:val="16"/>
                <w:color w:val="auto"/>
              </w:rPr>
            </w:pPr>
          </w:p>
        </w:tc>
        <w:tc>
          <w:tcPr>
            <w:tcW w:w="1520" w:type="dxa"/>
            <w:vAlign w:val="bottom"/>
          </w:tcPr>
          <w:p>
            <w:pPr>
              <w:jc w:val="right"/>
              <w:ind w:right="200"/>
              <w:spacing w:after="0"/>
              <w:rPr>
                <w:sz w:val="20"/>
                <w:szCs w:val="20"/>
                <w:color w:val="auto"/>
              </w:rPr>
            </w:pPr>
            <w:r>
              <w:rPr>
                <w:rFonts w:ascii="Arial" w:cs="Arial" w:eastAsia="Arial" w:hAnsi="Arial"/>
                <w:sz w:val="14"/>
                <w:szCs w:val="14"/>
                <w:b w:val="1"/>
                <w:bCs w:val="1"/>
                <w:color w:val="auto"/>
                <w:w w:val="96"/>
              </w:rPr>
              <w:t>December 31, 2013</w:t>
            </w:r>
          </w:p>
        </w:tc>
        <w:tc>
          <w:tcPr>
            <w:tcW w:w="0" w:type="dxa"/>
            <w:vAlign w:val="bottom"/>
          </w:tcPr>
          <w:p>
            <w:pPr>
              <w:spacing w:after="0"/>
              <w:rPr>
                <w:sz w:val="1"/>
                <w:szCs w:val="1"/>
                <w:color w:val="auto"/>
              </w:rPr>
            </w:pPr>
          </w:p>
        </w:tc>
      </w:tr>
      <w:tr>
        <w:trPr>
          <w:trHeight w:val="237"/>
        </w:trPr>
        <w:tc>
          <w:tcPr>
            <w:tcW w:w="6120" w:type="dxa"/>
            <w:vAlign w:val="bottom"/>
          </w:tcPr>
          <w:p>
            <w:pPr>
              <w:ind w:left="2740"/>
              <w:spacing w:after="0"/>
              <w:rPr>
                <w:sz w:val="20"/>
                <w:szCs w:val="20"/>
                <w:color w:val="auto"/>
              </w:rPr>
            </w:pPr>
            <w:r>
              <w:rPr>
                <w:rFonts w:ascii="Arial" w:cs="Arial" w:eastAsia="Arial" w:hAnsi="Arial"/>
                <w:sz w:val="16"/>
                <w:szCs w:val="16"/>
                <w:b w:val="1"/>
                <w:bCs w:val="1"/>
                <w:color w:val="auto"/>
              </w:rPr>
              <w:t>ASSETS</w:t>
            </w:r>
          </w:p>
        </w:tc>
        <w:tc>
          <w:tcPr>
            <w:tcW w:w="18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120" w:type="dxa"/>
            <w:vAlign w:val="bottom"/>
          </w:tcPr>
          <w:p>
            <w:pPr>
              <w:spacing w:after="0"/>
              <w:rPr>
                <w:sz w:val="20"/>
                <w:szCs w:val="20"/>
                <w:color w:val="auto"/>
              </w:rPr>
            </w:pPr>
            <w:r>
              <w:rPr>
                <w:rFonts w:ascii="Arial" w:cs="Arial" w:eastAsia="Arial" w:hAnsi="Arial"/>
                <w:sz w:val="16"/>
                <w:szCs w:val="16"/>
                <w:color w:val="auto"/>
              </w:rPr>
              <w:t>Current assets:</w:t>
            </w:r>
          </w:p>
        </w:tc>
        <w:tc>
          <w:tcPr>
            <w:tcW w:w="1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12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7,649</w:t>
            </w:r>
          </w:p>
        </w:tc>
        <w:tc>
          <w:tcPr>
            <w:tcW w:w="100" w:type="dxa"/>
            <w:vAlign w:val="bottom"/>
          </w:tcPr>
          <w:p>
            <w:pPr>
              <w:spacing w:after="0"/>
              <w:rPr>
                <w:sz w:val="23"/>
                <w:szCs w:val="23"/>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20"/>
              <w:spacing w:after="0"/>
              <w:rPr>
                <w:sz w:val="20"/>
                <w:szCs w:val="20"/>
                <w:color w:val="auto"/>
              </w:rPr>
            </w:pPr>
            <w:r>
              <w:rPr>
                <w:rFonts w:ascii="Arial" w:cs="Arial" w:eastAsia="Arial" w:hAnsi="Arial"/>
                <w:sz w:val="16"/>
                <w:szCs w:val="16"/>
                <w:color w:val="auto"/>
              </w:rPr>
              <w:t>17,192</w:t>
            </w:r>
          </w:p>
        </w:tc>
        <w:tc>
          <w:tcPr>
            <w:tcW w:w="0" w:type="dxa"/>
            <w:vAlign w:val="bottom"/>
          </w:tcPr>
          <w:p>
            <w:pPr>
              <w:spacing w:after="0"/>
              <w:rPr>
                <w:sz w:val="1"/>
                <w:szCs w:val="1"/>
                <w:color w:val="auto"/>
              </w:rPr>
            </w:pPr>
          </w:p>
        </w:tc>
      </w:tr>
      <w:tr>
        <w:trPr>
          <w:trHeight w:val="270"/>
        </w:trPr>
        <w:tc>
          <w:tcPr>
            <w:tcW w:w="6120" w:type="dxa"/>
            <w:vAlign w:val="bottom"/>
          </w:tcPr>
          <w:p>
            <w:pPr>
              <w:spacing w:after="0"/>
              <w:rPr>
                <w:sz w:val="20"/>
                <w:szCs w:val="20"/>
                <w:color w:val="auto"/>
              </w:rPr>
            </w:pPr>
            <w:r>
              <w:rPr>
                <w:rFonts w:ascii="Arial" w:cs="Arial" w:eastAsia="Arial" w:hAnsi="Arial"/>
                <w:sz w:val="16"/>
                <w:szCs w:val="16"/>
                <w:color w:val="auto"/>
              </w:rPr>
              <w:t>Marketable securities</w:t>
            </w:r>
          </w:p>
        </w:tc>
        <w:tc>
          <w:tcPr>
            <w:tcW w:w="180" w:type="dxa"/>
            <w:vAlign w:val="bottom"/>
          </w:tcPr>
          <w:p>
            <w:pPr>
              <w:spacing w:after="0"/>
              <w:rPr>
                <w:sz w:val="23"/>
                <w:szCs w:val="23"/>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4,734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20" w:type="dxa"/>
            <w:vAlign w:val="bottom"/>
          </w:tcPr>
          <w:p>
            <w:pPr>
              <w:jc w:val="right"/>
              <w:ind w:right="20"/>
              <w:spacing w:after="0"/>
              <w:rPr>
                <w:sz w:val="20"/>
                <w:szCs w:val="20"/>
                <w:color w:val="auto"/>
              </w:rPr>
            </w:pPr>
            <w:r>
              <w:rPr>
                <w:rFonts w:ascii="Arial" w:cs="Arial" w:eastAsia="Arial" w:hAnsi="Arial"/>
                <w:sz w:val="16"/>
                <w:szCs w:val="16"/>
                <w:color w:val="auto"/>
              </w:rPr>
              <w:t>3,200</w:t>
            </w:r>
          </w:p>
        </w:tc>
        <w:tc>
          <w:tcPr>
            <w:tcW w:w="0" w:type="dxa"/>
            <w:vAlign w:val="bottom"/>
          </w:tcPr>
          <w:p>
            <w:pPr>
              <w:spacing w:after="0"/>
              <w:rPr>
                <w:sz w:val="1"/>
                <w:szCs w:val="1"/>
                <w:color w:val="auto"/>
              </w:rPr>
            </w:pPr>
          </w:p>
        </w:tc>
      </w:tr>
      <w:tr>
        <w:trPr>
          <w:trHeight w:val="270"/>
        </w:trPr>
        <w:tc>
          <w:tcPr>
            <w:tcW w:w="6120" w:type="dxa"/>
            <w:vAlign w:val="bottom"/>
          </w:tcPr>
          <w:p>
            <w:pPr>
              <w:spacing w:after="0"/>
              <w:rPr>
                <w:sz w:val="20"/>
                <w:szCs w:val="20"/>
                <w:color w:val="auto"/>
              </w:rPr>
            </w:pPr>
            <w:r>
              <w:rPr>
                <w:rFonts w:ascii="Arial" w:cs="Arial" w:eastAsia="Arial" w:hAnsi="Arial"/>
                <w:sz w:val="16"/>
                <w:szCs w:val="16"/>
                <w:color w:val="auto"/>
              </w:rPr>
              <w:t>Receivables, net of allowance for doubtful accounts of $102 and $129, respectively</w:t>
            </w:r>
          </w:p>
        </w:tc>
        <w:tc>
          <w:tcPr>
            <w:tcW w:w="180" w:type="dxa"/>
            <w:vAlign w:val="bottom"/>
          </w:tcPr>
          <w:p>
            <w:pPr>
              <w:spacing w:after="0"/>
              <w:rPr>
                <w:sz w:val="23"/>
                <w:szCs w:val="23"/>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8,849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20" w:type="dxa"/>
            <w:vAlign w:val="bottom"/>
          </w:tcPr>
          <w:p>
            <w:pPr>
              <w:jc w:val="right"/>
              <w:ind w:right="20"/>
              <w:spacing w:after="0"/>
              <w:rPr>
                <w:sz w:val="20"/>
                <w:szCs w:val="20"/>
                <w:color w:val="auto"/>
              </w:rPr>
            </w:pPr>
            <w:r>
              <w:rPr>
                <w:rFonts w:ascii="Arial" w:cs="Arial" w:eastAsia="Arial" w:hAnsi="Arial"/>
                <w:sz w:val="16"/>
                <w:szCs w:val="16"/>
                <w:color w:val="auto"/>
              </w:rPr>
              <w:t>9,378</w:t>
            </w:r>
          </w:p>
        </w:tc>
        <w:tc>
          <w:tcPr>
            <w:tcW w:w="0" w:type="dxa"/>
            <w:vAlign w:val="bottom"/>
          </w:tcPr>
          <w:p>
            <w:pPr>
              <w:spacing w:after="0"/>
              <w:rPr>
                <w:sz w:val="1"/>
                <w:szCs w:val="1"/>
                <w:color w:val="auto"/>
              </w:rPr>
            </w:pPr>
          </w:p>
        </w:tc>
      </w:tr>
      <w:tr>
        <w:trPr>
          <w:trHeight w:val="270"/>
        </w:trPr>
        <w:tc>
          <w:tcPr>
            <w:tcW w:w="6120" w:type="dxa"/>
            <w:vAlign w:val="bottom"/>
          </w:tcPr>
          <w:p>
            <w:pPr>
              <w:spacing w:after="0"/>
              <w:rPr>
                <w:sz w:val="20"/>
                <w:szCs w:val="20"/>
                <w:color w:val="auto"/>
              </w:rPr>
            </w:pPr>
            <w:r>
              <w:rPr>
                <w:rFonts w:ascii="Arial" w:cs="Arial" w:eastAsia="Arial" w:hAnsi="Arial"/>
                <w:sz w:val="16"/>
                <w:szCs w:val="16"/>
                <w:color w:val="auto"/>
              </w:rPr>
              <w:t>Inventories, net</w:t>
            </w:r>
          </w:p>
        </w:tc>
        <w:tc>
          <w:tcPr>
            <w:tcW w:w="180" w:type="dxa"/>
            <w:vAlign w:val="bottom"/>
          </w:tcPr>
          <w:p>
            <w:pPr>
              <w:spacing w:after="0"/>
              <w:rPr>
                <w:sz w:val="23"/>
                <w:szCs w:val="23"/>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11,063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20" w:type="dxa"/>
            <w:vAlign w:val="bottom"/>
          </w:tcPr>
          <w:p>
            <w:pPr>
              <w:jc w:val="right"/>
              <w:ind w:right="20"/>
              <w:spacing w:after="0"/>
              <w:rPr>
                <w:sz w:val="20"/>
                <w:szCs w:val="20"/>
                <w:color w:val="auto"/>
              </w:rPr>
            </w:pPr>
            <w:r>
              <w:rPr>
                <w:rFonts w:ascii="Arial" w:cs="Arial" w:eastAsia="Arial" w:hAnsi="Arial"/>
                <w:sz w:val="16"/>
                <w:szCs w:val="16"/>
                <w:color w:val="auto"/>
              </w:rPr>
              <w:t>10,758</w:t>
            </w:r>
          </w:p>
        </w:tc>
        <w:tc>
          <w:tcPr>
            <w:tcW w:w="0" w:type="dxa"/>
            <w:vAlign w:val="bottom"/>
          </w:tcPr>
          <w:p>
            <w:pPr>
              <w:spacing w:after="0"/>
              <w:rPr>
                <w:sz w:val="1"/>
                <w:szCs w:val="1"/>
                <w:color w:val="auto"/>
              </w:rPr>
            </w:pPr>
          </w:p>
        </w:tc>
      </w:tr>
      <w:tr>
        <w:trPr>
          <w:trHeight w:val="270"/>
        </w:trPr>
        <w:tc>
          <w:tcPr>
            <w:tcW w:w="6120" w:type="dxa"/>
            <w:vAlign w:val="bottom"/>
          </w:tcPr>
          <w:p>
            <w:pPr>
              <w:spacing w:after="0"/>
              <w:rPr>
                <w:sz w:val="20"/>
                <w:szCs w:val="20"/>
                <w:color w:val="auto"/>
              </w:rPr>
            </w:pPr>
            <w:r>
              <w:rPr>
                <w:rFonts w:ascii="Arial" w:cs="Arial" w:eastAsia="Arial" w:hAnsi="Arial"/>
                <w:sz w:val="16"/>
                <w:szCs w:val="16"/>
                <w:color w:val="auto"/>
              </w:rPr>
              <w:t>Distributor channel inventories</w:t>
            </w:r>
          </w:p>
        </w:tc>
        <w:tc>
          <w:tcPr>
            <w:tcW w:w="180" w:type="dxa"/>
            <w:vAlign w:val="bottom"/>
          </w:tcPr>
          <w:p>
            <w:pPr>
              <w:spacing w:after="0"/>
              <w:rPr>
                <w:sz w:val="23"/>
                <w:szCs w:val="23"/>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1,578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20" w:type="dxa"/>
            <w:vAlign w:val="bottom"/>
          </w:tcPr>
          <w:p>
            <w:pPr>
              <w:jc w:val="right"/>
              <w:ind w:right="20"/>
              <w:spacing w:after="0"/>
              <w:rPr>
                <w:sz w:val="20"/>
                <w:szCs w:val="20"/>
                <w:color w:val="auto"/>
              </w:rPr>
            </w:pPr>
            <w:r>
              <w:rPr>
                <w:rFonts w:ascii="Arial" w:cs="Arial" w:eastAsia="Arial" w:hAnsi="Arial"/>
                <w:sz w:val="16"/>
                <w:szCs w:val="16"/>
                <w:color w:val="auto"/>
              </w:rPr>
              <w:t>1,520</w:t>
            </w:r>
          </w:p>
        </w:tc>
        <w:tc>
          <w:tcPr>
            <w:tcW w:w="0" w:type="dxa"/>
            <w:vAlign w:val="bottom"/>
          </w:tcPr>
          <w:p>
            <w:pPr>
              <w:spacing w:after="0"/>
              <w:rPr>
                <w:sz w:val="1"/>
                <w:szCs w:val="1"/>
                <w:color w:val="auto"/>
              </w:rPr>
            </w:pPr>
          </w:p>
        </w:tc>
      </w:tr>
      <w:tr>
        <w:trPr>
          <w:trHeight w:val="270"/>
        </w:trPr>
        <w:tc>
          <w:tcPr>
            <w:tcW w:w="6120" w:type="dxa"/>
            <w:vAlign w:val="bottom"/>
          </w:tcPr>
          <w:p>
            <w:pPr>
              <w:spacing w:after="0"/>
              <w:rPr>
                <w:sz w:val="20"/>
                <w:szCs w:val="20"/>
                <w:color w:val="auto"/>
              </w:rPr>
            </w:pPr>
            <w:r>
              <w:rPr>
                <w:rFonts w:ascii="Arial" w:cs="Arial" w:eastAsia="Arial" w:hAnsi="Arial"/>
                <w:sz w:val="16"/>
                <w:szCs w:val="16"/>
                <w:color w:val="auto"/>
              </w:rPr>
              <w:t>Deferred income taxes</w:t>
            </w:r>
          </w:p>
        </w:tc>
        <w:tc>
          <w:tcPr>
            <w:tcW w:w="180" w:type="dxa"/>
            <w:vAlign w:val="bottom"/>
          </w:tcPr>
          <w:p>
            <w:pPr>
              <w:spacing w:after="0"/>
              <w:rPr>
                <w:sz w:val="23"/>
                <w:szCs w:val="23"/>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3,325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20" w:type="dxa"/>
            <w:vAlign w:val="bottom"/>
          </w:tcPr>
          <w:p>
            <w:pPr>
              <w:jc w:val="right"/>
              <w:ind w:right="20"/>
              <w:spacing w:after="0"/>
              <w:rPr>
                <w:sz w:val="20"/>
                <w:szCs w:val="20"/>
                <w:color w:val="auto"/>
              </w:rPr>
            </w:pPr>
            <w:r>
              <w:rPr>
                <w:rFonts w:ascii="Arial" w:cs="Arial" w:eastAsia="Arial" w:hAnsi="Arial"/>
                <w:sz w:val="16"/>
                <w:szCs w:val="16"/>
                <w:color w:val="auto"/>
              </w:rPr>
              <w:t>3,325</w:t>
            </w:r>
          </w:p>
        </w:tc>
        <w:tc>
          <w:tcPr>
            <w:tcW w:w="0" w:type="dxa"/>
            <w:vAlign w:val="bottom"/>
          </w:tcPr>
          <w:p>
            <w:pPr>
              <w:spacing w:after="0"/>
              <w:rPr>
                <w:sz w:val="1"/>
                <w:szCs w:val="1"/>
                <w:color w:val="auto"/>
              </w:rPr>
            </w:pPr>
          </w:p>
        </w:tc>
      </w:tr>
      <w:tr>
        <w:trPr>
          <w:trHeight w:val="270"/>
        </w:trPr>
        <w:tc>
          <w:tcPr>
            <w:tcW w:w="6120" w:type="dxa"/>
            <w:vAlign w:val="bottom"/>
          </w:tcPr>
          <w:p>
            <w:pPr>
              <w:spacing w:after="0"/>
              <w:rPr>
                <w:sz w:val="20"/>
                <w:szCs w:val="20"/>
                <w:color w:val="auto"/>
              </w:rPr>
            </w:pPr>
            <w:r>
              <w:rPr>
                <w:rFonts w:ascii="Arial" w:cs="Arial" w:eastAsia="Arial" w:hAnsi="Arial"/>
                <w:sz w:val="16"/>
                <w:szCs w:val="16"/>
                <w:color w:val="auto"/>
              </w:rPr>
              <w:t>Prepaid expenses and other assets</w:t>
            </w:r>
          </w:p>
        </w:tc>
        <w:tc>
          <w:tcPr>
            <w:tcW w:w="180" w:type="dxa"/>
            <w:vAlign w:val="bottom"/>
          </w:tcPr>
          <w:p>
            <w:pPr>
              <w:spacing w:after="0"/>
              <w:rPr>
                <w:sz w:val="23"/>
                <w:szCs w:val="23"/>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7,050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20" w:type="dxa"/>
            <w:vAlign w:val="bottom"/>
          </w:tcPr>
          <w:p>
            <w:pPr>
              <w:jc w:val="right"/>
              <w:ind w:right="20"/>
              <w:spacing w:after="0"/>
              <w:rPr>
                <w:sz w:val="20"/>
                <w:szCs w:val="20"/>
                <w:color w:val="auto"/>
              </w:rPr>
            </w:pPr>
            <w:r>
              <w:rPr>
                <w:rFonts w:ascii="Arial" w:cs="Arial" w:eastAsia="Arial" w:hAnsi="Arial"/>
                <w:sz w:val="16"/>
                <w:szCs w:val="16"/>
                <w:color w:val="auto"/>
              </w:rPr>
              <w:t>2,693</w:t>
            </w:r>
          </w:p>
        </w:tc>
        <w:tc>
          <w:tcPr>
            <w:tcW w:w="0" w:type="dxa"/>
            <w:vAlign w:val="bottom"/>
          </w:tcPr>
          <w:p>
            <w:pPr>
              <w:spacing w:after="0"/>
              <w:rPr>
                <w:sz w:val="1"/>
                <w:szCs w:val="1"/>
                <w:color w:val="auto"/>
              </w:rPr>
            </w:pPr>
          </w:p>
        </w:tc>
      </w:tr>
      <w:tr>
        <w:trPr>
          <w:trHeight w:val="33"/>
        </w:trPr>
        <w:tc>
          <w:tcPr>
            <w:tcW w:w="6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120" w:type="dxa"/>
            <w:vAlign w:val="bottom"/>
          </w:tcPr>
          <w:p>
            <w:pPr>
              <w:ind w:left="180"/>
              <w:spacing w:after="0"/>
              <w:rPr>
                <w:sz w:val="20"/>
                <w:szCs w:val="20"/>
                <w:color w:val="auto"/>
              </w:rPr>
            </w:pPr>
            <w:r>
              <w:rPr>
                <w:rFonts w:ascii="Arial" w:cs="Arial" w:eastAsia="Arial" w:hAnsi="Arial"/>
                <w:sz w:val="16"/>
                <w:szCs w:val="16"/>
                <w:color w:val="auto"/>
              </w:rPr>
              <w:t>Total current assets</w:t>
            </w:r>
          </w:p>
        </w:tc>
        <w:tc>
          <w:tcPr>
            <w:tcW w:w="180" w:type="dxa"/>
            <w:vAlign w:val="bottom"/>
          </w:tcPr>
          <w:p>
            <w:pPr>
              <w:spacing w:after="0"/>
              <w:rPr>
                <w:sz w:val="18"/>
                <w:szCs w:val="18"/>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44,248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jc w:val="right"/>
              <w:ind w:right="20"/>
              <w:spacing w:after="0"/>
              <w:rPr>
                <w:sz w:val="20"/>
                <w:szCs w:val="20"/>
                <w:color w:val="auto"/>
              </w:rPr>
            </w:pPr>
            <w:r>
              <w:rPr>
                <w:rFonts w:ascii="Arial" w:cs="Arial" w:eastAsia="Arial" w:hAnsi="Arial"/>
                <w:sz w:val="16"/>
                <w:szCs w:val="16"/>
                <w:color w:val="auto"/>
              </w:rPr>
              <w:t>48,066</w:t>
            </w:r>
          </w:p>
        </w:tc>
        <w:tc>
          <w:tcPr>
            <w:tcW w:w="0" w:type="dxa"/>
            <w:vAlign w:val="bottom"/>
          </w:tcPr>
          <w:p>
            <w:pPr>
              <w:spacing w:after="0"/>
              <w:rPr>
                <w:sz w:val="1"/>
                <w:szCs w:val="1"/>
                <w:color w:val="auto"/>
              </w:rPr>
            </w:pPr>
          </w:p>
        </w:tc>
      </w:tr>
      <w:tr>
        <w:trPr>
          <w:trHeight w:val="270"/>
        </w:trPr>
        <w:tc>
          <w:tcPr>
            <w:tcW w:w="6120" w:type="dxa"/>
            <w:vAlign w:val="bottom"/>
          </w:tcPr>
          <w:p>
            <w:pPr>
              <w:spacing w:after="0"/>
              <w:rPr>
                <w:sz w:val="20"/>
                <w:szCs w:val="20"/>
                <w:color w:val="auto"/>
              </w:rPr>
            </w:pPr>
            <w:r>
              <w:rPr>
                <w:rFonts w:ascii="Arial" w:cs="Arial" w:eastAsia="Arial" w:hAnsi="Arial"/>
                <w:sz w:val="16"/>
                <w:szCs w:val="16"/>
                <w:color w:val="auto"/>
              </w:rPr>
              <w:t>Long-term marketable securities</w:t>
            </w:r>
          </w:p>
        </w:tc>
        <w:tc>
          <w:tcPr>
            <w:tcW w:w="180" w:type="dxa"/>
            <w:vAlign w:val="bottom"/>
          </w:tcPr>
          <w:p>
            <w:pPr>
              <w:spacing w:after="0"/>
              <w:rPr>
                <w:sz w:val="23"/>
                <w:szCs w:val="23"/>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21,645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20" w:type="dxa"/>
            <w:vAlign w:val="bottom"/>
          </w:tcPr>
          <w:p>
            <w:pPr>
              <w:jc w:val="right"/>
              <w:ind w:right="20"/>
              <w:spacing w:after="0"/>
              <w:rPr>
                <w:sz w:val="20"/>
                <w:szCs w:val="20"/>
                <w:color w:val="auto"/>
              </w:rPr>
            </w:pPr>
            <w:r>
              <w:rPr>
                <w:rFonts w:ascii="Arial" w:cs="Arial" w:eastAsia="Arial" w:hAnsi="Arial"/>
                <w:sz w:val="16"/>
                <w:szCs w:val="16"/>
                <w:color w:val="auto"/>
              </w:rPr>
              <w:t>22,326</w:t>
            </w:r>
          </w:p>
        </w:tc>
        <w:tc>
          <w:tcPr>
            <w:tcW w:w="0" w:type="dxa"/>
            <w:vAlign w:val="bottom"/>
          </w:tcPr>
          <w:p>
            <w:pPr>
              <w:spacing w:after="0"/>
              <w:rPr>
                <w:sz w:val="1"/>
                <w:szCs w:val="1"/>
                <w:color w:val="auto"/>
              </w:rPr>
            </w:pPr>
          </w:p>
        </w:tc>
      </w:tr>
      <w:tr>
        <w:trPr>
          <w:trHeight w:val="270"/>
        </w:trPr>
        <w:tc>
          <w:tcPr>
            <w:tcW w:w="6120" w:type="dxa"/>
            <w:vAlign w:val="bottom"/>
          </w:tcPr>
          <w:p>
            <w:pPr>
              <w:spacing w:after="0"/>
              <w:rPr>
                <w:sz w:val="20"/>
                <w:szCs w:val="20"/>
                <w:color w:val="auto"/>
              </w:rPr>
            </w:pPr>
            <w:r>
              <w:rPr>
                <w:rFonts w:ascii="Arial" w:cs="Arial" w:eastAsia="Arial" w:hAnsi="Arial"/>
                <w:sz w:val="16"/>
                <w:szCs w:val="16"/>
                <w:color w:val="auto"/>
              </w:rPr>
              <w:t>Long-term inventories, net</w:t>
            </w:r>
          </w:p>
        </w:tc>
        <w:tc>
          <w:tcPr>
            <w:tcW w:w="180" w:type="dxa"/>
            <w:vAlign w:val="bottom"/>
          </w:tcPr>
          <w:p>
            <w:pPr>
              <w:spacing w:after="0"/>
              <w:rPr>
                <w:sz w:val="23"/>
                <w:szCs w:val="23"/>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575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20" w:type="dxa"/>
            <w:vAlign w:val="bottom"/>
          </w:tcPr>
          <w:p>
            <w:pPr>
              <w:jc w:val="right"/>
              <w:ind w:right="20"/>
              <w:spacing w:after="0"/>
              <w:rPr>
                <w:sz w:val="20"/>
                <w:szCs w:val="20"/>
                <w:color w:val="auto"/>
              </w:rPr>
            </w:pPr>
            <w:r>
              <w:rPr>
                <w:rFonts w:ascii="Arial" w:cs="Arial" w:eastAsia="Arial" w:hAnsi="Arial"/>
                <w:sz w:val="16"/>
                <w:szCs w:val="16"/>
                <w:color w:val="auto"/>
              </w:rPr>
              <w:t>551</w:t>
            </w:r>
          </w:p>
        </w:tc>
        <w:tc>
          <w:tcPr>
            <w:tcW w:w="0" w:type="dxa"/>
            <w:vAlign w:val="bottom"/>
          </w:tcPr>
          <w:p>
            <w:pPr>
              <w:spacing w:after="0"/>
              <w:rPr>
                <w:sz w:val="1"/>
                <w:szCs w:val="1"/>
                <w:color w:val="auto"/>
              </w:rPr>
            </w:pPr>
          </w:p>
        </w:tc>
      </w:tr>
      <w:tr>
        <w:trPr>
          <w:trHeight w:val="270"/>
        </w:trPr>
        <w:tc>
          <w:tcPr>
            <w:tcW w:w="6120" w:type="dxa"/>
            <w:vAlign w:val="bottom"/>
          </w:tcPr>
          <w:p>
            <w:pPr>
              <w:spacing w:after="0"/>
              <w:rPr>
                <w:sz w:val="20"/>
                <w:szCs w:val="20"/>
                <w:color w:val="auto"/>
              </w:rPr>
            </w:pPr>
            <w:r>
              <w:rPr>
                <w:rFonts w:ascii="Arial" w:cs="Arial" w:eastAsia="Arial" w:hAnsi="Arial"/>
                <w:sz w:val="16"/>
                <w:szCs w:val="16"/>
                <w:color w:val="auto"/>
              </w:rPr>
              <w:t>Property and equipment, net</w:t>
            </w:r>
          </w:p>
        </w:tc>
        <w:tc>
          <w:tcPr>
            <w:tcW w:w="180" w:type="dxa"/>
            <w:vAlign w:val="bottom"/>
          </w:tcPr>
          <w:p>
            <w:pPr>
              <w:spacing w:after="0"/>
              <w:rPr>
                <w:sz w:val="23"/>
                <w:szCs w:val="23"/>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2,209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20" w:type="dxa"/>
            <w:vAlign w:val="bottom"/>
          </w:tcPr>
          <w:p>
            <w:pPr>
              <w:jc w:val="right"/>
              <w:ind w:right="20"/>
              <w:spacing w:after="0"/>
              <w:rPr>
                <w:sz w:val="20"/>
                <w:szCs w:val="20"/>
                <w:color w:val="auto"/>
              </w:rPr>
            </w:pPr>
            <w:r>
              <w:rPr>
                <w:rFonts w:ascii="Arial" w:cs="Arial" w:eastAsia="Arial" w:hAnsi="Arial"/>
                <w:sz w:val="16"/>
                <w:szCs w:val="16"/>
                <w:color w:val="auto"/>
              </w:rPr>
              <w:t>1,825</w:t>
            </w:r>
          </w:p>
        </w:tc>
        <w:tc>
          <w:tcPr>
            <w:tcW w:w="0" w:type="dxa"/>
            <w:vAlign w:val="bottom"/>
          </w:tcPr>
          <w:p>
            <w:pPr>
              <w:spacing w:after="0"/>
              <w:rPr>
                <w:sz w:val="1"/>
                <w:szCs w:val="1"/>
                <w:color w:val="auto"/>
              </w:rPr>
            </w:pPr>
          </w:p>
        </w:tc>
      </w:tr>
      <w:tr>
        <w:trPr>
          <w:trHeight w:val="270"/>
        </w:trPr>
        <w:tc>
          <w:tcPr>
            <w:tcW w:w="6120" w:type="dxa"/>
            <w:vAlign w:val="bottom"/>
          </w:tcPr>
          <w:p>
            <w:pPr>
              <w:spacing w:after="0"/>
              <w:rPr>
                <w:sz w:val="20"/>
                <w:szCs w:val="20"/>
                <w:color w:val="auto"/>
              </w:rPr>
            </w:pPr>
            <w:r>
              <w:rPr>
                <w:rFonts w:ascii="Arial" w:cs="Arial" w:eastAsia="Arial" w:hAnsi="Arial"/>
                <w:sz w:val="16"/>
                <w:szCs w:val="16"/>
                <w:color w:val="auto"/>
              </w:rPr>
              <w:t>Intangibles, net</w:t>
            </w:r>
          </w:p>
        </w:tc>
        <w:tc>
          <w:tcPr>
            <w:tcW w:w="180" w:type="dxa"/>
            <w:vAlign w:val="bottom"/>
          </w:tcPr>
          <w:p>
            <w:pPr>
              <w:spacing w:after="0"/>
              <w:rPr>
                <w:sz w:val="23"/>
                <w:szCs w:val="23"/>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6,816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20" w:type="dxa"/>
            <w:vAlign w:val="bottom"/>
          </w:tcPr>
          <w:p>
            <w:pPr>
              <w:jc w:val="right"/>
              <w:ind w:right="20"/>
              <w:spacing w:after="0"/>
              <w:rPr>
                <w:sz w:val="20"/>
                <w:szCs w:val="20"/>
                <w:color w:val="auto"/>
              </w:rPr>
            </w:pPr>
            <w:r>
              <w:rPr>
                <w:rFonts w:ascii="Arial" w:cs="Arial" w:eastAsia="Arial" w:hAnsi="Arial"/>
                <w:sz w:val="16"/>
                <w:szCs w:val="16"/>
                <w:color w:val="auto"/>
              </w:rPr>
              <w:t>3,710</w:t>
            </w:r>
          </w:p>
        </w:tc>
        <w:tc>
          <w:tcPr>
            <w:tcW w:w="0" w:type="dxa"/>
            <w:vAlign w:val="bottom"/>
          </w:tcPr>
          <w:p>
            <w:pPr>
              <w:spacing w:after="0"/>
              <w:rPr>
                <w:sz w:val="1"/>
                <w:szCs w:val="1"/>
                <w:color w:val="auto"/>
              </w:rPr>
            </w:pPr>
          </w:p>
        </w:tc>
      </w:tr>
      <w:tr>
        <w:trPr>
          <w:trHeight w:val="270"/>
        </w:trPr>
        <w:tc>
          <w:tcPr>
            <w:tcW w:w="6120" w:type="dxa"/>
            <w:vAlign w:val="bottom"/>
          </w:tcPr>
          <w:p>
            <w:pPr>
              <w:spacing w:after="0"/>
              <w:rPr>
                <w:sz w:val="20"/>
                <w:szCs w:val="20"/>
                <w:color w:val="auto"/>
              </w:rPr>
            </w:pPr>
            <w:r>
              <w:rPr>
                <w:rFonts w:ascii="Arial" w:cs="Arial" w:eastAsia="Arial" w:hAnsi="Arial"/>
                <w:sz w:val="16"/>
                <w:szCs w:val="16"/>
                <w:color w:val="auto"/>
              </w:rPr>
              <w:t>Goodwill</w:t>
            </w:r>
          </w:p>
        </w:tc>
        <w:tc>
          <w:tcPr>
            <w:tcW w:w="180" w:type="dxa"/>
            <w:vAlign w:val="bottom"/>
          </w:tcPr>
          <w:p>
            <w:pPr>
              <w:spacing w:after="0"/>
              <w:rPr>
                <w:sz w:val="23"/>
                <w:szCs w:val="23"/>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9,872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20" w:type="dxa"/>
            <w:vAlign w:val="bottom"/>
          </w:tcPr>
          <w:p>
            <w:pPr>
              <w:jc w:val="right"/>
              <w:ind w:right="20"/>
              <w:spacing w:after="0"/>
              <w:rPr>
                <w:sz w:val="20"/>
                <w:szCs w:val="20"/>
                <w:color w:val="auto"/>
              </w:rPr>
            </w:pPr>
            <w:r>
              <w:rPr>
                <w:rFonts w:ascii="Arial" w:cs="Arial" w:eastAsia="Arial" w:hAnsi="Arial"/>
                <w:sz w:val="16"/>
                <w:szCs w:val="16"/>
                <w:color w:val="auto"/>
              </w:rPr>
              <w:t>3,472</w:t>
            </w:r>
          </w:p>
        </w:tc>
        <w:tc>
          <w:tcPr>
            <w:tcW w:w="0" w:type="dxa"/>
            <w:vAlign w:val="bottom"/>
          </w:tcPr>
          <w:p>
            <w:pPr>
              <w:spacing w:after="0"/>
              <w:rPr>
                <w:sz w:val="1"/>
                <w:szCs w:val="1"/>
                <w:color w:val="auto"/>
              </w:rPr>
            </w:pPr>
          </w:p>
        </w:tc>
      </w:tr>
      <w:tr>
        <w:trPr>
          <w:trHeight w:val="270"/>
        </w:trPr>
        <w:tc>
          <w:tcPr>
            <w:tcW w:w="6120" w:type="dxa"/>
            <w:vAlign w:val="bottom"/>
          </w:tcPr>
          <w:p>
            <w:pPr>
              <w:spacing w:after="0"/>
              <w:rPr>
                <w:sz w:val="20"/>
                <w:szCs w:val="20"/>
                <w:color w:val="auto"/>
              </w:rPr>
            </w:pPr>
            <w:r>
              <w:rPr>
                <w:rFonts w:ascii="Arial" w:cs="Arial" w:eastAsia="Arial" w:hAnsi="Arial"/>
                <w:sz w:val="16"/>
                <w:szCs w:val="16"/>
                <w:color w:val="auto"/>
              </w:rPr>
              <w:t>Deferred income taxes</w:t>
            </w:r>
          </w:p>
        </w:tc>
        <w:tc>
          <w:tcPr>
            <w:tcW w:w="180" w:type="dxa"/>
            <w:vAlign w:val="bottom"/>
          </w:tcPr>
          <w:p>
            <w:pPr>
              <w:spacing w:after="0"/>
              <w:rPr>
                <w:sz w:val="23"/>
                <w:szCs w:val="23"/>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980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20" w:type="dxa"/>
            <w:vAlign w:val="bottom"/>
          </w:tcPr>
          <w:p>
            <w:pPr>
              <w:jc w:val="right"/>
              <w:ind w:right="20"/>
              <w:spacing w:after="0"/>
              <w:rPr>
                <w:sz w:val="20"/>
                <w:szCs w:val="20"/>
                <w:color w:val="auto"/>
              </w:rPr>
            </w:pPr>
            <w:r>
              <w:rPr>
                <w:rFonts w:ascii="Arial" w:cs="Arial" w:eastAsia="Arial" w:hAnsi="Arial"/>
                <w:sz w:val="16"/>
                <w:szCs w:val="16"/>
                <w:color w:val="auto"/>
              </w:rPr>
              <w:t>1,024</w:t>
            </w:r>
          </w:p>
        </w:tc>
        <w:tc>
          <w:tcPr>
            <w:tcW w:w="0" w:type="dxa"/>
            <w:vAlign w:val="bottom"/>
          </w:tcPr>
          <w:p>
            <w:pPr>
              <w:spacing w:after="0"/>
              <w:rPr>
                <w:sz w:val="1"/>
                <w:szCs w:val="1"/>
                <w:color w:val="auto"/>
              </w:rPr>
            </w:pPr>
          </w:p>
        </w:tc>
      </w:tr>
      <w:tr>
        <w:trPr>
          <w:trHeight w:val="270"/>
        </w:trPr>
        <w:tc>
          <w:tcPr>
            <w:tcW w:w="6120" w:type="dxa"/>
            <w:vAlign w:val="bottom"/>
          </w:tcPr>
          <w:p>
            <w:pPr>
              <w:spacing w:after="0"/>
              <w:rPr>
                <w:sz w:val="20"/>
                <w:szCs w:val="20"/>
                <w:color w:val="auto"/>
              </w:rPr>
            </w:pPr>
            <w:r>
              <w:rPr>
                <w:rFonts w:ascii="Arial" w:cs="Arial" w:eastAsia="Arial" w:hAnsi="Arial"/>
                <w:sz w:val="16"/>
                <w:szCs w:val="16"/>
                <w:color w:val="auto"/>
              </w:rPr>
              <w:t>Other assets</w:t>
            </w:r>
          </w:p>
        </w:tc>
        <w:tc>
          <w:tcPr>
            <w:tcW w:w="180" w:type="dxa"/>
            <w:vAlign w:val="bottom"/>
          </w:tcPr>
          <w:p>
            <w:pPr>
              <w:spacing w:after="0"/>
              <w:rPr>
                <w:sz w:val="23"/>
                <w:szCs w:val="23"/>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91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20" w:type="dxa"/>
            <w:vAlign w:val="bottom"/>
          </w:tcPr>
          <w:p>
            <w:pPr>
              <w:jc w:val="right"/>
              <w:ind w:right="20"/>
              <w:spacing w:after="0"/>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33"/>
        </w:trPr>
        <w:tc>
          <w:tcPr>
            <w:tcW w:w="6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120" w:type="dxa"/>
            <w:vAlign w:val="bottom"/>
          </w:tcPr>
          <w:p>
            <w:pPr>
              <w:ind w:left="180"/>
              <w:spacing w:after="0"/>
              <w:rPr>
                <w:sz w:val="20"/>
                <w:szCs w:val="20"/>
                <w:color w:val="auto"/>
              </w:rPr>
            </w:pPr>
            <w:r>
              <w:rPr>
                <w:rFonts w:ascii="Arial" w:cs="Arial" w:eastAsia="Arial" w:hAnsi="Arial"/>
                <w:sz w:val="16"/>
                <w:szCs w:val="16"/>
                <w:color w:val="auto"/>
              </w:rPr>
              <w:t>Total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86,436</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81,061</w:t>
            </w:r>
          </w:p>
        </w:tc>
        <w:tc>
          <w:tcPr>
            <w:tcW w:w="0" w:type="dxa"/>
            <w:vAlign w:val="bottom"/>
          </w:tcPr>
          <w:p>
            <w:pPr>
              <w:spacing w:after="0"/>
              <w:rPr>
                <w:sz w:val="1"/>
                <w:szCs w:val="1"/>
                <w:color w:val="auto"/>
              </w:rPr>
            </w:pPr>
          </w:p>
        </w:tc>
      </w:tr>
      <w:tr>
        <w:trPr>
          <w:trHeight w:val="20"/>
        </w:trPr>
        <w:tc>
          <w:tcPr>
            <w:tcW w:w="6120" w:type="dxa"/>
            <w:vAlign w:val="bottom"/>
            <w:vMerge w:val="restart"/>
          </w:tcPr>
          <w:p>
            <w:pPr>
              <w:ind w:left="1280"/>
              <w:spacing w:after="0"/>
              <w:rPr>
                <w:sz w:val="20"/>
                <w:szCs w:val="20"/>
                <w:color w:val="auto"/>
              </w:rPr>
            </w:pPr>
            <w:r>
              <w:rPr>
                <w:rFonts w:ascii="Arial" w:cs="Arial" w:eastAsia="Arial" w:hAnsi="Arial"/>
                <w:sz w:val="16"/>
                <w:szCs w:val="16"/>
                <w:b w:val="1"/>
                <w:bCs w:val="1"/>
                <w:color w:val="auto"/>
              </w:rPr>
              <w:t>LIABILITIES AND SHAREHOLDERS' EQUITY</w:t>
            </w: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12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120" w:type="dxa"/>
            <w:vAlign w:val="bottom"/>
          </w:tcPr>
          <w:p>
            <w:pPr>
              <w:spacing w:after="0"/>
              <w:rPr>
                <w:sz w:val="20"/>
                <w:szCs w:val="20"/>
                <w:color w:val="auto"/>
              </w:rPr>
            </w:pPr>
            <w:r>
              <w:rPr>
                <w:rFonts w:ascii="Arial" w:cs="Arial" w:eastAsia="Arial" w:hAnsi="Arial"/>
                <w:sz w:val="16"/>
                <w:szCs w:val="16"/>
                <w:color w:val="auto"/>
              </w:rPr>
              <w:t>Current liabilities:</w:t>
            </w:r>
          </w:p>
        </w:tc>
        <w:tc>
          <w:tcPr>
            <w:tcW w:w="1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120" w:type="dxa"/>
            <w:vAlign w:val="bottom"/>
          </w:tcPr>
          <w:p>
            <w:pPr>
              <w:spacing w:after="0"/>
              <w:rPr>
                <w:sz w:val="20"/>
                <w:szCs w:val="20"/>
                <w:color w:val="auto"/>
              </w:rPr>
            </w:pPr>
            <w:r>
              <w:rPr>
                <w:rFonts w:ascii="Arial" w:cs="Arial" w:eastAsia="Arial" w:hAnsi="Arial"/>
                <w:sz w:val="16"/>
                <w:szCs w:val="16"/>
                <w:color w:val="auto"/>
              </w:rPr>
              <w:t>Accounts payable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3,324</w:t>
            </w:r>
          </w:p>
        </w:tc>
        <w:tc>
          <w:tcPr>
            <w:tcW w:w="100" w:type="dxa"/>
            <w:vAlign w:val="bottom"/>
          </w:tcPr>
          <w:p>
            <w:pPr>
              <w:spacing w:after="0"/>
              <w:rPr>
                <w:sz w:val="23"/>
                <w:szCs w:val="23"/>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20"/>
              <w:spacing w:after="0"/>
              <w:rPr>
                <w:sz w:val="20"/>
                <w:szCs w:val="20"/>
                <w:color w:val="auto"/>
              </w:rPr>
            </w:pPr>
            <w:r>
              <w:rPr>
                <w:rFonts w:ascii="Arial" w:cs="Arial" w:eastAsia="Arial" w:hAnsi="Arial"/>
                <w:sz w:val="16"/>
                <w:szCs w:val="16"/>
                <w:color w:val="auto"/>
              </w:rPr>
              <w:t>2,730</w:t>
            </w:r>
          </w:p>
        </w:tc>
        <w:tc>
          <w:tcPr>
            <w:tcW w:w="0" w:type="dxa"/>
            <w:vAlign w:val="bottom"/>
          </w:tcPr>
          <w:p>
            <w:pPr>
              <w:spacing w:after="0"/>
              <w:rPr>
                <w:sz w:val="1"/>
                <w:szCs w:val="1"/>
                <w:color w:val="auto"/>
              </w:rPr>
            </w:pPr>
          </w:p>
        </w:tc>
      </w:tr>
      <w:tr>
        <w:trPr>
          <w:trHeight w:val="270"/>
        </w:trPr>
        <w:tc>
          <w:tcPr>
            <w:tcW w:w="6120" w:type="dxa"/>
            <w:vAlign w:val="bottom"/>
          </w:tcPr>
          <w:p>
            <w:pPr>
              <w:spacing w:after="0"/>
              <w:rPr>
                <w:sz w:val="20"/>
                <w:szCs w:val="20"/>
                <w:color w:val="auto"/>
              </w:rPr>
            </w:pPr>
            <w:r>
              <w:rPr>
                <w:rFonts w:ascii="Arial" w:cs="Arial" w:eastAsia="Arial" w:hAnsi="Arial"/>
                <w:sz w:val="16"/>
                <w:szCs w:val="16"/>
                <w:color w:val="auto"/>
              </w:rPr>
              <w:t>Accrued liabilities</w:t>
            </w:r>
          </w:p>
        </w:tc>
        <w:tc>
          <w:tcPr>
            <w:tcW w:w="180" w:type="dxa"/>
            <w:vAlign w:val="bottom"/>
          </w:tcPr>
          <w:p>
            <w:pPr>
              <w:spacing w:after="0"/>
              <w:rPr>
                <w:sz w:val="23"/>
                <w:szCs w:val="23"/>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2,627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20" w:type="dxa"/>
            <w:vAlign w:val="bottom"/>
          </w:tcPr>
          <w:p>
            <w:pPr>
              <w:jc w:val="right"/>
              <w:ind w:right="20"/>
              <w:spacing w:after="0"/>
              <w:rPr>
                <w:sz w:val="20"/>
                <w:szCs w:val="20"/>
                <w:color w:val="auto"/>
              </w:rPr>
            </w:pPr>
            <w:r>
              <w:rPr>
                <w:rFonts w:ascii="Arial" w:cs="Arial" w:eastAsia="Arial" w:hAnsi="Arial"/>
                <w:sz w:val="16"/>
                <w:szCs w:val="16"/>
                <w:color w:val="auto"/>
              </w:rPr>
              <w:t>1,761</w:t>
            </w:r>
          </w:p>
        </w:tc>
        <w:tc>
          <w:tcPr>
            <w:tcW w:w="0" w:type="dxa"/>
            <w:vAlign w:val="bottom"/>
          </w:tcPr>
          <w:p>
            <w:pPr>
              <w:spacing w:after="0"/>
              <w:rPr>
                <w:sz w:val="1"/>
                <w:szCs w:val="1"/>
                <w:color w:val="auto"/>
              </w:rPr>
            </w:pPr>
          </w:p>
        </w:tc>
      </w:tr>
      <w:tr>
        <w:trPr>
          <w:trHeight w:val="270"/>
        </w:trPr>
        <w:tc>
          <w:tcPr>
            <w:tcW w:w="6120" w:type="dxa"/>
            <w:vAlign w:val="bottom"/>
          </w:tcPr>
          <w:p>
            <w:pPr>
              <w:spacing w:after="0"/>
              <w:rPr>
                <w:sz w:val="20"/>
                <w:szCs w:val="20"/>
                <w:color w:val="auto"/>
              </w:rPr>
            </w:pPr>
            <w:r>
              <w:rPr>
                <w:rFonts w:ascii="Arial" w:cs="Arial" w:eastAsia="Arial" w:hAnsi="Arial"/>
                <w:sz w:val="16"/>
                <w:szCs w:val="16"/>
                <w:color w:val="auto"/>
              </w:rPr>
              <w:t>Deferred product revenue</w:t>
            </w:r>
          </w:p>
        </w:tc>
        <w:tc>
          <w:tcPr>
            <w:tcW w:w="180" w:type="dxa"/>
            <w:vAlign w:val="bottom"/>
          </w:tcPr>
          <w:p>
            <w:pPr>
              <w:spacing w:after="0"/>
              <w:rPr>
                <w:sz w:val="23"/>
                <w:szCs w:val="23"/>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4,107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20" w:type="dxa"/>
            <w:vAlign w:val="bottom"/>
          </w:tcPr>
          <w:p>
            <w:pPr>
              <w:jc w:val="right"/>
              <w:ind w:right="20"/>
              <w:spacing w:after="0"/>
              <w:rPr>
                <w:sz w:val="20"/>
                <w:szCs w:val="20"/>
                <w:color w:val="auto"/>
              </w:rPr>
            </w:pPr>
            <w:r>
              <w:rPr>
                <w:rFonts w:ascii="Arial" w:cs="Arial" w:eastAsia="Arial" w:hAnsi="Arial"/>
                <w:sz w:val="16"/>
                <w:szCs w:val="16"/>
                <w:color w:val="auto"/>
              </w:rPr>
              <w:t>4,158</w:t>
            </w:r>
          </w:p>
        </w:tc>
        <w:tc>
          <w:tcPr>
            <w:tcW w:w="0" w:type="dxa"/>
            <w:vAlign w:val="bottom"/>
          </w:tcPr>
          <w:p>
            <w:pPr>
              <w:spacing w:after="0"/>
              <w:rPr>
                <w:sz w:val="1"/>
                <w:szCs w:val="1"/>
                <w:color w:val="auto"/>
              </w:rPr>
            </w:pPr>
          </w:p>
        </w:tc>
      </w:tr>
      <w:tr>
        <w:trPr>
          <w:trHeight w:val="33"/>
        </w:trPr>
        <w:tc>
          <w:tcPr>
            <w:tcW w:w="6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120" w:type="dxa"/>
            <w:vAlign w:val="bottom"/>
          </w:tcPr>
          <w:p>
            <w:pPr>
              <w:ind w:left="180"/>
              <w:spacing w:after="0"/>
              <w:rPr>
                <w:sz w:val="20"/>
                <w:szCs w:val="20"/>
                <w:color w:val="auto"/>
              </w:rPr>
            </w:pPr>
            <w:r>
              <w:rPr>
                <w:rFonts w:ascii="Arial" w:cs="Arial" w:eastAsia="Arial" w:hAnsi="Arial"/>
                <w:sz w:val="16"/>
                <w:szCs w:val="16"/>
                <w:color w:val="auto"/>
              </w:rPr>
              <w:t>Total current liabilities</w:t>
            </w:r>
          </w:p>
        </w:tc>
        <w:tc>
          <w:tcPr>
            <w:tcW w:w="180" w:type="dxa"/>
            <w:vAlign w:val="bottom"/>
          </w:tcPr>
          <w:p>
            <w:pPr>
              <w:spacing w:after="0"/>
              <w:rPr>
                <w:sz w:val="18"/>
                <w:szCs w:val="18"/>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10,058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jc w:val="right"/>
              <w:ind w:right="20"/>
              <w:spacing w:after="0"/>
              <w:rPr>
                <w:sz w:val="20"/>
                <w:szCs w:val="20"/>
                <w:color w:val="auto"/>
              </w:rPr>
            </w:pPr>
            <w:r>
              <w:rPr>
                <w:rFonts w:ascii="Arial" w:cs="Arial" w:eastAsia="Arial" w:hAnsi="Arial"/>
                <w:sz w:val="16"/>
                <w:szCs w:val="16"/>
                <w:color w:val="auto"/>
              </w:rPr>
              <w:t>8,649</w:t>
            </w:r>
          </w:p>
        </w:tc>
        <w:tc>
          <w:tcPr>
            <w:tcW w:w="0" w:type="dxa"/>
            <w:vAlign w:val="bottom"/>
          </w:tcPr>
          <w:p>
            <w:pPr>
              <w:spacing w:after="0"/>
              <w:rPr>
                <w:sz w:val="1"/>
                <w:szCs w:val="1"/>
                <w:color w:val="auto"/>
              </w:rPr>
            </w:pPr>
          </w:p>
        </w:tc>
      </w:tr>
      <w:tr>
        <w:trPr>
          <w:trHeight w:val="270"/>
        </w:trPr>
        <w:tc>
          <w:tcPr>
            <w:tcW w:w="6120" w:type="dxa"/>
            <w:vAlign w:val="bottom"/>
          </w:tcPr>
          <w:p>
            <w:pPr>
              <w:spacing w:after="0"/>
              <w:rPr>
                <w:sz w:val="20"/>
                <w:szCs w:val="20"/>
                <w:color w:val="auto"/>
              </w:rPr>
            </w:pPr>
            <w:r>
              <w:rPr>
                <w:rFonts w:ascii="Arial" w:cs="Arial" w:eastAsia="Arial" w:hAnsi="Arial"/>
                <w:sz w:val="16"/>
                <w:szCs w:val="16"/>
                <w:color w:val="auto"/>
              </w:rPr>
              <w:t>Deferred rent</w:t>
            </w:r>
          </w:p>
        </w:tc>
        <w:tc>
          <w:tcPr>
            <w:tcW w:w="180" w:type="dxa"/>
            <w:vAlign w:val="bottom"/>
          </w:tcPr>
          <w:p>
            <w:pPr>
              <w:spacing w:after="0"/>
              <w:rPr>
                <w:sz w:val="23"/>
                <w:szCs w:val="23"/>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246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20" w:type="dxa"/>
            <w:vAlign w:val="bottom"/>
          </w:tcPr>
          <w:p>
            <w:pPr>
              <w:jc w:val="right"/>
              <w:ind w:right="20"/>
              <w:spacing w:after="0"/>
              <w:rPr>
                <w:sz w:val="20"/>
                <w:szCs w:val="20"/>
                <w:color w:val="auto"/>
              </w:rPr>
            </w:pPr>
            <w:r>
              <w:rPr>
                <w:rFonts w:ascii="Arial" w:cs="Arial" w:eastAsia="Arial" w:hAnsi="Arial"/>
                <w:sz w:val="16"/>
                <w:szCs w:val="16"/>
                <w:color w:val="auto"/>
              </w:rPr>
              <w:t>286</w:t>
            </w:r>
          </w:p>
        </w:tc>
        <w:tc>
          <w:tcPr>
            <w:tcW w:w="0" w:type="dxa"/>
            <w:vAlign w:val="bottom"/>
          </w:tcPr>
          <w:p>
            <w:pPr>
              <w:spacing w:after="0"/>
              <w:rPr>
                <w:sz w:val="1"/>
                <w:szCs w:val="1"/>
                <w:color w:val="auto"/>
              </w:rPr>
            </w:pPr>
          </w:p>
        </w:tc>
      </w:tr>
      <w:tr>
        <w:trPr>
          <w:trHeight w:val="270"/>
        </w:trPr>
        <w:tc>
          <w:tcPr>
            <w:tcW w:w="6120" w:type="dxa"/>
            <w:vAlign w:val="bottom"/>
          </w:tcPr>
          <w:p>
            <w:pPr>
              <w:spacing w:after="0"/>
              <w:rPr>
                <w:sz w:val="20"/>
                <w:szCs w:val="20"/>
                <w:color w:val="auto"/>
              </w:rPr>
            </w:pPr>
            <w:r>
              <w:rPr>
                <w:rFonts w:ascii="Arial" w:cs="Arial" w:eastAsia="Arial" w:hAnsi="Arial"/>
                <w:sz w:val="16"/>
                <w:szCs w:val="16"/>
                <w:color w:val="auto"/>
              </w:rPr>
              <w:t>Other long-term liabilities</w:t>
            </w:r>
          </w:p>
        </w:tc>
        <w:tc>
          <w:tcPr>
            <w:tcW w:w="180" w:type="dxa"/>
            <w:vAlign w:val="bottom"/>
          </w:tcPr>
          <w:p>
            <w:pPr>
              <w:spacing w:after="0"/>
              <w:rPr>
                <w:sz w:val="23"/>
                <w:szCs w:val="23"/>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2,363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20" w:type="dxa"/>
            <w:vAlign w:val="bottom"/>
          </w:tcPr>
          <w:p>
            <w:pPr>
              <w:jc w:val="right"/>
              <w:ind w:right="20"/>
              <w:spacing w:after="0"/>
              <w:rPr>
                <w:sz w:val="20"/>
                <w:szCs w:val="20"/>
                <w:color w:val="auto"/>
              </w:rPr>
            </w:pPr>
            <w:r>
              <w:rPr>
                <w:rFonts w:ascii="Arial" w:cs="Arial" w:eastAsia="Arial" w:hAnsi="Arial"/>
                <w:sz w:val="16"/>
                <w:szCs w:val="16"/>
                <w:color w:val="auto"/>
              </w:rPr>
              <w:t>1,791</w:t>
            </w:r>
          </w:p>
        </w:tc>
        <w:tc>
          <w:tcPr>
            <w:tcW w:w="0" w:type="dxa"/>
            <w:vAlign w:val="bottom"/>
          </w:tcPr>
          <w:p>
            <w:pPr>
              <w:spacing w:after="0"/>
              <w:rPr>
                <w:sz w:val="1"/>
                <w:szCs w:val="1"/>
                <w:color w:val="auto"/>
              </w:rPr>
            </w:pPr>
          </w:p>
        </w:tc>
      </w:tr>
      <w:tr>
        <w:trPr>
          <w:trHeight w:val="33"/>
        </w:trPr>
        <w:tc>
          <w:tcPr>
            <w:tcW w:w="6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120" w:type="dxa"/>
            <w:vAlign w:val="bottom"/>
          </w:tcPr>
          <w:p>
            <w:pPr>
              <w:ind w:left="180"/>
              <w:spacing w:after="0"/>
              <w:rPr>
                <w:sz w:val="20"/>
                <w:szCs w:val="20"/>
                <w:color w:val="auto"/>
              </w:rPr>
            </w:pPr>
            <w:r>
              <w:rPr>
                <w:rFonts w:ascii="Arial" w:cs="Arial" w:eastAsia="Arial" w:hAnsi="Arial"/>
                <w:sz w:val="16"/>
                <w:szCs w:val="16"/>
                <w:color w:val="auto"/>
              </w:rPr>
              <w:t>Total liabilities</w:t>
            </w:r>
          </w:p>
        </w:tc>
        <w:tc>
          <w:tcPr>
            <w:tcW w:w="180" w:type="dxa"/>
            <w:vAlign w:val="bottom"/>
          </w:tcPr>
          <w:p>
            <w:pPr>
              <w:spacing w:after="0"/>
              <w:rPr>
                <w:sz w:val="18"/>
                <w:szCs w:val="18"/>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12,667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jc w:val="right"/>
              <w:ind w:right="20"/>
              <w:spacing w:after="0"/>
              <w:rPr>
                <w:sz w:val="20"/>
                <w:szCs w:val="20"/>
                <w:color w:val="auto"/>
              </w:rPr>
            </w:pPr>
            <w:r>
              <w:rPr>
                <w:rFonts w:ascii="Arial" w:cs="Arial" w:eastAsia="Arial" w:hAnsi="Arial"/>
                <w:sz w:val="16"/>
                <w:szCs w:val="16"/>
                <w:color w:val="auto"/>
              </w:rPr>
              <w:t>10,726</w:t>
            </w:r>
          </w:p>
        </w:tc>
        <w:tc>
          <w:tcPr>
            <w:tcW w:w="0" w:type="dxa"/>
            <w:vAlign w:val="bottom"/>
          </w:tcPr>
          <w:p>
            <w:pPr>
              <w:spacing w:after="0"/>
              <w:rPr>
                <w:sz w:val="1"/>
                <w:szCs w:val="1"/>
                <w:color w:val="auto"/>
              </w:rPr>
            </w:pPr>
          </w:p>
        </w:tc>
      </w:tr>
      <w:tr>
        <w:trPr>
          <w:trHeight w:val="33"/>
        </w:trPr>
        <w:tc>
          <w:tcPr>
            <w:tcW w:w="6120" w:type="dxa"/>
            <w:vAlign w:val="bottom"/>
            <w:vMerge w:val="restart"/>
          </w:tcPr>
          <w:p>
            <w:pPr>
              <w:spacing w:after="0"/>
              <w:rPr>
                <w:sz w:val="20"/>
                <w:szCs w:val="20"/>
                <w:color w:val="auto"/>
              </w:rPr>
            </w:pPr>
            <w:r>
              <w:rPr>
                <w:rFonts w:ascii="Arial" w:cs="Arial" w:eastAsia="Arial" w:hAnsi="Arial"/>
                <w:sz w:val="16"/>
                <w:szCs w:val="16"/>
                <w:color w:val="auto"/>
              </w:rPr>
              <w:t>Shareholders' equity:</w:t>
            </w: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12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6120" w:type="dxa"/>
            <w:vAlign w:val="bottom"/>
          </w:tcPr>
          <w:p>
            <w:pPr>
              <w:spacing w:after="0"/>
              <w:rPr>
                <w:sz w:val="20"/>
                <w:szCs w:val="20"/>
                <w:color w:val="auto"/>
              </w:rPr>
            </w:pPr>
            <w:r>
              <w:rPr>
                <w:rFonts w:ascii="Arial" w:cs="Arial" w:eastAsia="Arial" w:hAnsi="Arial"/>
                <w:sz w:val="16"/>
                <w:szCs w:val="16"/>
                <w:color w:val="auto"/>
                <w:w w:val="94"/>
              </w:rPr>
              <w:t>Common stock, par value $0.001, 50,000,000 shares authorized, 9,309,529 and 8,986,080</w:t>
            </w: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6120" w:type="dxa"/>
            <w:vAlign w:val="bottom"/>
          </w:tcPr>
          <w:p>
            <w:pPr>
              <w:ind w:left="240"/>
              <w:spacing w:after="0"/>
              <w:rPr>
                <w:sz w:val="20"/>
                <w:szCs w:val="20"/>
                <w:color w:val="auto"/>
              </w:rPr>
            </w:pPr>
            <w:r>
              <w:rPr>
                <w:rFonts w:ascii="Arial" w:cs="Arial" w:eastAsia="Arial" w:hAnsi="Arial"/>
                <w:sz w:val="16"/>
                <w:szCs w:val="16"/>
                <w:color w:val="auto"/>
              </w:rPr>
              <w:t>shares issued and outstanding</w:t>
            </w:r>
          </w:p>
        </w:tc>
        <w:tc>
          <w:tcPr>
            <w:tcW w:w="180" w:type="dxa"/>
            <w:vAlign w:val="bottom"/>
          </w:tcPr>
          <w:p>
            <w:pPr>
              <w:spacing w:after="0"/>
              <w:rPr>
                <w:sz w:val="17"/>
                <w:szCs w:val="17"/>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jc w:val="right"/>
              <w:ind w:right="20"/>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70"/>
        </w:trPr>
        <w:tc>
          <w:tcPr>
            <w:tcW w:w="6120" w:type="dxa"/>
            <w:vAlign w:val="bottom"/>
          </w:tcPr>
          <w:p>
            <w:pPr>
              <w:spacing w:after="0"/>
              <w:rPr>
                <w:sz w:val="20"/>
                <w:szCs w:val="20"/>
                <w:color w:val="auto"/>
              </w:rPr>
            </w:pPr>
            <w:r>
              <w:rPr>
                <w:rFonts w:ascii="Arial" w:cs="Arial" w:eastAsia="Arial" w:hAnsi="Arial"/>
                <w:sz w:val="16"/>
                <w:szCs w:val="16"/>
                <w:color w:val="auto"/>
              </w:rPr>
              <w:t>Additional paid-in capital</w:t>
            </w:r>
          </w:p>
        </w:tc>
        <w:tc>
          <w:tcPr>
            <w:tcW w:w="180" w:type="dxa"/>
            <w:vAlign w:val="bottom"/>
          </w:tcPr>
          <w:p>
            <w:pPr>
              <w:spacing w:after="0"/>
              <w:rPr>
                <w:sz w:val="23"/>
                <w:szCs w:val="23"/>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44,182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20" w:type="dxa"/>
            <w:vAlign w:val="bottom"/>
          </w:tcPr>
          <w:p>
            <w:pPr>
              <w:jc w:val="right"/>
              <w:ind w:right="20"/>
              <w:spacing w:after="0"/>
              <w:rPr>
                <w:sz w:val="20"/>
                <w:szCs w:val="20"/>
                <w:color w:val="auto"/>
              </w:rPr>
            </w:pPr>
            <w:r>
              <w:rPr>
                <w:rFonts w:ascii="Arial" w:cs="Arial" w:eastAsia="Arial" w:hAnsi="Arial"/>
                <w:sz w:val="16"/>
                <w:szCs w:val="16"/>
                <w:color w:val="auto"/>
              </w:rPr>
              <w:t>41,311</w:t>
            </w:r>
          </w:p>
        </w:tc>
        <w:tc>
          <w:tcPr>
            <w:tcW w:w="0" w:type="dxa"/>
            <w:vAlign w:val="bottom"/>
          </w:tcPr>
          <w:p>
            <w:pPr>
              <w:spacing w:after="0"/>
              <w:rPr>
                <w:sz w:val="1"/>
                <w:szCs w:val="1"/>
                <w:color w:val="auto"/>
              </w:rPr>
            </w:pPr>
          </w:p>
        </w:tc>
      </w:tr>
      <w:tr>
        <w:trPr>
          <w:trHeight w:val="270"/>
        </w:trPr>
        <w:tc>
          <w:tcPr>
            <w:tcW w:w="6120" w:type="dxa"/>
            <w:vAlign w:val="bottom"/>
          </w:tcPr>
          <w:p>
            <w:pPr>
              <w:spacing w:after="0"/>
              <w:rPr>
                <w:sz w:val="20"/>
                <w:szCs w:val="20"/>
                <w:color w:val="auto"/>
              </w:rPr>
            </w:pPr>
            <w:r>
              <w:rPr>
                <w:rFonts w:ascii="Arial" w:cs="Arial" w:eastAsia="Arial" w:hAnsi="Arial"/>
                <w:sz w:val="16"/>
                <w:szCs w:val="16"/>
                <w:color w:val="auto"/>
              </w:rPr>
              <w:t>Accumulated other comprehensive income</w:t>
            </w:r>
          </w:p>
        </w:tc>
        <w:tc>
          <w:tcPr>
            <w:tcW w:w="180" w:type="dxa"/>
            <w:vAlign w:val="bottom"/>
          </w:tcPr>
          <w:p>
            <w:pPr>
              <w:spacing w:after="0"/>
              <w:rPr>
                <w:sz w:val="23"/>
                <w:szCs w:val="23"/>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96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20" w:type="dxa"/>
            <w:vAlign w:val="bottom"/>
          </w:tcPr>
          <w:p>
            <w:pPr>
              <w:jc w:val="right"/>
              <w:ind w:right="20"/>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70"/>
        </w:trPr>
        <w:tc>
          <w:tcPr>
            <w:tcW w:w="6120" w:type="dxa"/>
            <w:vAlign w:val="bottom"/>
          </w:tcPr>
          <w:p>
            <w:pPr>
              <w:spacing w:after="0"/>
              <w:rPr>
                <w:sz w:val="20"/>
                <w:szCs w:val="20"/>
                <w:color w:val="auto"/>
              </w:rPr>
            </w:pPr>
            <w:r>
              <w:rPr>
                <w:rFonts w:ascii="Arial" w:cs="Arial" w:eastAsia="Arial" w:hAnsi="Arial"/>
                <w:sz w:val="16"/>
                <w:szCs w:val="16"/>
                <w:color w:val="auto"/>
              </w:rPr>
              <w:t>Retained earnings</w:t>
            </w:r>
          </w:p>
        </w:tc>
        <w:tc>
          <w:tcPr>
            <w:tcW w:w="180" w:type="dxa"/>
            <w:vAlign w:val="bottom"/>
          </w:tcPr>
          <w:p>
            <w:pPr>
              <w:spacing w:after="0"/>
              <w:rPr>
                <w:sz w:val="23"/>
                <w:szCs w:val="23"/>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29,482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20" w:type="dxa"/>
            <w:vAlign w:val="bottom"/>
          </w:tcPr>
          <w:p>
            <w:pPr>
              <w:jc w:val="right"/>
              <w:ind w:right="20"/>
              <w:spacing w:after="0"/>
              <w:rPr>
                <w:sz w:val="20"/>
                <w:szCs w:val="20"/>
                <w:color w:val="auto"/>
              </w:rPr>
            </w:pPr>
            <w:r>
              <w:rPr>
                <w:rFonts w:ascii="Arial" w:cs="Arial" w:eastAsia="Arial" w:hAnsi="Arial"/>
                <w:sz w:val="16"/>
                <w:szCs w:val="16"/>
                <w:color w:val="auto"/>
              </w:rPr>
              <w:t>28,992</w:t>
            </w:r>
          </w:p>
        </w:tc>
        <w:tc>
          <w:tcPr>
            <w:tcW w:w="0" w:type="dxa"/>
            <w:vAlign w:val="bottom"/>
          </w:tcPr>
          <w:p>
            <w:pPr>
              <w:spacing w:after="0"/>
              <w:rPr>
                <w:sz w:val="1"/>
                <w:szCs w:val="1"/>
                <w:color w:val="auto"/>
              </w:rPr>
            </w:pPr>
          </w:p>
        </w:tc>
      </w:tr>
      <w:tr>
        <w:trPr>
          <w:trHeight w:val="33"/>
        </w:trPr>
        <w:tc>
          <w:tcPr>
            <w:tcW w:w="6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120" w:type="dxa"/>
            <w:vAlign w:val="bottom"/>
          </w:tcPr>
          <w:p>
            <w:pPr>
              <w:ind w:left="180"/>
              <w:spacing w:after="0"/>
              <w:rPr>
                <w:sz w:val="20"/>
                <w:szCs w:val="20"/>
                <w:color w:val="auto"/>
              </w:rPr>
            </w:pPr>
            <w:r>
              <w:rPr>
                <w:rFonts w:ascii="Arial" w:cs="Arial" w:eastAsia="Arial" w:hAnsi="Arial"/>
                <w:sz w:val="16"/>
                <w:szCs w:val="16"/>
                <w:color w:val="auto"/>
              </w:rPr>
              <w:t>Total shareholders' equity</w:t>
            </w:r>
          </w:p>
        </w:tc>
        <w:tc>
          <w:tcPr>
            <w:tcW w:w="180" w:type="dxa"/>
            <w:vAlign w:val="bottom"/>
          </w:tcPr>
          <w:p>
            <w:pPr>
              <w:spacing w:after="0"/>
              <w:rPr>
                <w:sz w:val="18"/>
                <w:szCs w:val="18"/>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73,769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jc w:val="right"/>
              <w:ind w:right="20"/>
              <w:spacing w:after="0"/>
              <w:rPr>
                <w:sz w:val="20"/>
                <w:szCs w:val="20"/>
                <w:color w:val="auto"/>
              </w:rPr>
            </w:pPr>
            <w:r>
              <w:rPr>
                <w:rFonts w:ascii="Arial" w:cs="Arial" w:eastAsia="Arial" w:hAnsi="Arial"/>
                <w:sz w:val="16"/>
                <w:szCs w:val="16"/>
                <w:color w:val="auto"/>
              </w:rPr>
              <w:t>70,335</w:t>
            </w:r>
          </w:p>
        </w:tc>
        <w:tc>
          <w:tcPr>
            <w:tcW w:w="0" w:type="dxa"/>
            <w:vAlign w:val="bottom"/>
          </w:tcPr>
          <w:p>
            <w:pPr>
              <w:spacing w:after="0"/>
              <w:rPr>
                <w:sz w:val="1"/>
                <w:szCs w:val="1"/>
                <w:color w:val="auto"/>
              </w:rPr>
            </w:pPr>
          </w:p>
        </w:tc>
      </w:tr>
      <w:tr>
        <w:trPr>
          <w:trHeight w:val="33"/>
        </w:trPr>
        <w:tc>
          <w:tcPr>
            <w:tcW w:w="6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120" w:type="dxa"/>
            <w:vAlign w:val="bottom"/>
          </w:tcPr>
          <w:p>
            <w:pPr>
              <w:ind w:left="180"/>
              <w:spacing w:after="0"/>
              <w:rPr>
                <w:sz w:val="20"/>
                <w:szCs w:val="20"/>
                <w:color w:val="auto"/>
              </w:rPr>
            </w:pPr>
            <w:r>
              <w:rPr>
                <w:rFonts w:ascii="Arial" w:cs="Arial" w:eastAsia="Arial" w:hAnsi="Arial"/>
                <w:sz w:val="16"/>
                <w:szCs w:val="16"/>
                <w:color w:val="auto"/>
              </w:rPr>
              <w:t>Total liabilities and shareholders' equity</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86,436</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81,061</w:t>
            </w: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9460"/>
          </w:cols>
          <w:pgMar w:left="1240" w:top="585" w:right="1199" w:bottom="1440" w:gutter="0" w:footer="0" w:header="0"/>
        </w:sectPr>
      </w:pPr>
    </w:p>
    <w:bookmarkStart w:id="6" w:name="page7"/>
    <w:bookmarkEnd w:id="6"/>
    <w:p>
      <w:pPr>
        <w:jc w:val="center"/>
        <w:ind w:right="40"/>
        <w:spacing w:after="0"/>
        <w:rPr>
          <w:sz w:val="20"/>
          <w:szCs w:val="20"/>
          <w:color w:val="auto"/>
        </w:rPr>
      </w:pPr>
      <w:r>
        <w:rPr>
          <w:rFonts w:ascii="Arial" w:cs="Arial" w:eastAsia="Arial" w:hAnsi="Arial"/>
          <w:sz w:val="16"/>
          <w:szCs w:val="16"/>
          <w:b w:val="1"/>
          <w:bCs w:val="1"/>
          <w:color w:val="auto"/>
        </w:rPr>
        <w:t>CLEARONE INC.</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UNAUDITED CONSOLIDATED STATEMENT OF OPERATIONS</w:t>
      </w:r>
    </w:p>
    <w:p>
      <w:pPr>
        <w:spacing w:after="0" w:line="5"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(Dollars in thousands, except per share values)</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559"/>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64"/>
        </w:trPr>
        <w:tc>
          <w:tcPr>
            <w:tcW w:w="598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23"/>
        </w:trPr>
        <w:tc>
          <w:tcPr>
            <w:tcW w:w="5980" w:type="dxa"/>
            <w:vAlign w:val="bottom"/>
          </w:tcPr>
          <w:p>
            <w:pPr>
              <w:spacing w:after="0"/>
              <w:rPr>
                <w:sz w:val="20"/>
                <w:szCs w:val="20"/>
                <w:color w:val="auto"/>
              </w:rPr>
            </w:pPr>
            <w:r>
              <w:rPr>
                <w:rFonts w:ascii="Arial" w:cs="Arial" w:eastAsia="Arial" w:hAnsi="Arial"/>
                <w:sz w:val="16"/>
                <w:szCs w:val="16"/>
                <w:color w:val="auto"/>
              </w:rPr>
              <w:t>Revenue</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12,708</w:t>
            </w:r>
          </w:p>
        </w:tc>
        <w:tc>
          <w:tcPr>
            <w:tcW w:w="100" w:type="dxa"/>
            <w:vAlign w:val="bottom"/>
          </w:tcPr>
          <w:p>
            <w:pPr>
              <w:spacing w:after="0"/>
              <w:rPr>
                <w:sz w:val="19"/>
                <w:szCs w:val="19"/>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11,293</w:t>
            </w:r>
          </w:p>
        </w:tc>
        <w:tc>
          <w:tcPr>
            <w:tcW w:w="0" w:type="dxa"/>
            <w:vAlign w:val="bottom"/>
          </w:tcPr>
          <w:p>
            <w:pPr>
              <w:spacing w:after="0"/>
              <w:rPr>
                <w:sz w:val="1"/>
                <w:szCs w:val="1"/>
                <w:color w:val="auto"/>
              </w:rPr>
            </w:pPr>
          </w:p>
        </w:tc>
      </w:tr>
      <w:tr>
        <w:trPr>
          <w:trHeight w:val="270"/>
        </w:trPr>
        <w:tc>
          <w:tcPr>
            <w:tcW w:w="5980" w:type="dxa"/>
            <w:vAlign w:val="bottom"/>
          </w:tcPr>
          <w:p>
            <w:pPr>
              <w:spacing w:after="0"/>
              <w:rPr>
                <w:sz w:val="20"/>
                <w:szCs w:val="20"/>
                <w:color w:val="auto"/>
              </w:rPr>
            </w:pPr>
            <w:r>
              <w:rPr>
                <w:rFonts w:ascii="Arial" w:cs="Arial" w:eastAsia="Arial" w:hAnsi="Arial"/>
                <w:sz w:val="16"/>
                <w:szCs w:val="16"/>
                <w:color w:val="auto"/>
              </w:rPr>
              <w:t>Cost of goods sold</w:t>
            </w:r>
          </w:p>
        </w:tc>
        <w:tc>
          <w:tcPr>
            <w:tcW w:w="360" w:type="dxa"/>
            <w:vAlign w:val="bottom"/>
          </w:tcPr>
          <w:p>
            <w:pPr>
              <w:spacing w:after="0"/>
              <w:rPr>
                <w:sz w:val="23"/>
                <w:szCs w:val="23"/>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5,006</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4,294</w:t>
            </w:r>
          </w:p>
        </w:tc>
        <w:tc>
          <w:tcPr>
            <w:tcW w:w="0" w:type="dxa"/>
            <w:vAlign w:val="bottom"/>
          </w:tcPr>
          <w:p>
            <w:pPr>
              <w:spacing w:after="0"/>
              <w:rPr>
                <w:sz w:val="1"/>
                <w:szCs w:val="1"/>
                <w:color w:val="auto"/>
              </w:rPr>
            </w:pPr>
          </w:p>
        </w:tc>
      </w:tr>
      <w:tr>
        <w:trPr>
          <w:trHeight w:val="33"/>
        </w:trPr>
        <w:tc>
          <w:tcPr>
            <w:tcW w:w="59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980" w:type="dxa"/>
            <w:vAlign w:val="bottom"/>
          </w:tcPr>
          <w:p>
            <w:pPr>
              <w:ind w:left="140"/>
              <w:spacing w:after="0"/>
              <w:rPr>
                <w:sz w:val="20"/>
                <w:szCs w:val="20"/>
                <w:color w:val="auto"/>
              </w:rPr>
            </w:pPr>
            <w:r>
              <w:rPr>
                <w:rFonts w:ascii="Arial" w:cs="Arial" w:eastAsia="Arial" w:hAnsi="Arial"/>
                <w:sz w:val="16"/>
                <w:szCs w:val="16"/>
                <w:color w:val="auto"/>
              </w:rPr>
              <w:t>Gross profit</w:t>
            </w:r>
          </w:p>
        </w:tc>
        <w:tc>
          <w:tcPr>
            <w:tcW w:w="360" w:type="dxa"/>
            <w:vAlign w:val="bottom"/>
          </w:tcPr>
          <w:p>
            <w:pPr>
              <w:spacing w:after="0"/>
              <w:rPr>
                <w:sz w:val="18"/>
                <w:szCs w:val="18"/>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7,702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6,999</w:t>
            </w:r>
          </w:p>
        </w:tc>
        <w:tc>
          <w:tcPr>
            <w:tcW w:w="0" w:type="dxa"/>
            <w:vAlign w:val="bottom"/>
          </w:tcPr>
          <w:p>
            <w:pPr>
              <w:spacing w:after="0"/>
              <w:rPr>
                <w:sz w:val="1"/>
                <w:szCs w:val="1"/>
                <w:color w:val="auto"/>
              </w:rPr>
            </w:pPr>
          </w:p>
        </w:tc>
      </w:tr>
      <w:tr>
        <w:trPr>
          <w:trHeight w:val="33"/>
        </w:trPr>
        <w:tc>
          <w:tcPr>
            <w:tcW w:w="5980" w:type="dxa"/>
            <w:vAlign w:val="bottom"/>
            <w:vMerge w:val="restart"/>
          </w:tcPr>
          <w:p>
            <w:pPr>
              <w:spacing w:after="0"/>
              <w:rPr>
                <w:sz w:val="20"/>
                <w:szCs w:val="20"/>
                <w:color w:val="auto"/>
              </w:rPr>
            </w:pPr>
            <w:r>
              <w:rPr>
                <w:rFonts w:ascii="Arial" w:cs="Arial" w:eastAsia="Arial" w:hAnsi="Arial"/>
                <w:sz w:val="16"/>
                <w:szCs w:val="16"/>
                <w:color w:val="auto"/>
              </w:rPr>
              <w:t>Operating expenses:</w:t>
            </w: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01"/>
        </w:trPr>
        <w:tc>
          <w:tcPr>
            <w:tcW w:w="598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980" w:type="dxa"/>
            <w:vAlign w:val="bottom"/>
          </w:tcPr>
          <w:p>
            <w:pPr>
              <w:spacing w:after="0"/>
              <w:rPr>
                <w:sz w:val="20"/>
                <w:szCs w:val="20"/>
                <w:color w:val="auto"/>
              </w:rPr>
            </w:pPr>
            <w:r>
              <w:rPr>
                <w:rFonts w:ascii="Arial" w:cs="Arial" w:eastAsia="Arial" w:hAnsi="Arial"/>
                <w:sz w:val="16"/>
                <w:szCs w:val="16"/>
                <w:color w:val="auto"/>
              </w:rPr>
              <w:t>Sales and marketing</w:t>
            </w:r>
          </w:p>
        </w:tc>
        <w:tc>
          <w:tcPr>
            <w:tcW w:w="360" w:type="dxa"/>
            <w:vAlign w:val="bottom"/>
          </w:tcPr>
          <w:p>
            <w:pPr>
              <w:spacing w:after="0"/>
              <w:rPr>
                <w:sz w:val="23"/>
                <w:szCs w:val="23"/>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2,736</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2,267</w:t>
            </w:r>
          </w:p>
        </w:tc>
        <w:tc>
          <w:tcPr>
            <w:tcW w:w="0" w:type="dxa"/>
            <w:vAlign w:val="bottom"/>
          </w:tcPr>
          <w:p>
            <w:pPr>
              <w:spacing w:after="0"/>
              <w:rPr>
                <w:sz w:val="1"/>
                <w:szCs w:val="1"/>
                <w:color w:val="auto"/>
              </w:rPr>
            </w:pPr>
          </w:p>
        </w:tc>
      </w:tr>
      <w:tr>
        <w:trPr>
          <w:trHeight w:val="270"/>
        </w:trPr>
        <w:tc>
          <w:tcPr>
            <w:tcW w:w="5980" w:type="dxa"/>
            <w:vAlign w:val="bottom"/>
          </w:tcPr>
          <w:p>
            <w:pPr>
              <w:spacing w:after="0"/>
              <w:rPr>
                <w:sz w:val="20"/>
                <w:szCs w:val="20"/>
                <w:color w:val="auto"/>
              </w:rPr>
            </w:pPr>
            <w:r>
              <w:rPr>
                <w:rFonts w:ascii="Arial" w:cs="Arial" w:eastAsia="Arial" w:hAnsi="Arial"/>
                <w:sz w:val="16"/>
                <w:szCs w:val="16"/>
                <w:color w:val="auto"/>
              </w:rPr>
              <w:t>Research and product development</w:t>
            </w:r>
          </w:p>
        </w:tc>
        <w:tc>
          <w:tcPr>
            <w:tcW w:w="360" w:type="dxa"/>
            <w:vAlign w:val="bottom"/>
          </w:tcPr>
          <w:p>
            <w:pPr>
              <w:spacing w:after="0"/>
              <w:rPr>
                <w:sz w:val="23"/>
                <w:szCs w:val="23"/>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2,241</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1,866</w:t>
            </w:r>
          </w:p>
        </w:tc>
        <w:tc>
          <w:tcPr>
            <w:tcW w:w="0" w:type="dxa"/>
            <w:vAlign w:val="bottom"/>
          </w:tcPr>
          <w:p>
            <w:pPr>
              <w:spacing w:after="0"/>
              <w:rPr>
                <w:sz w:val="1"/>
                <w:szCs w:val="1"/>
                <w:color w:val="auto"/>
              </w:rPr>
            </w:pPr>
          </w:p>
        </w:tc>
      </w:tr>
      <w:tr>
        <w:trPr>
          <w:trHeight w:val="270"/>
        </w:trPr>
        <w:tc>
          <w:tcPr>
            <w:tcW w:w="5980" w:type="dxa"/>
            <w:vAlign w:val="bottom"/>
          </w:tcPr>
          <w:p>
            <w:pPr>
              <w:spacing w:after="0"/>
              <w:rPr>
                <w:sz w:val="20"/>
                <w:szCs w:val="20"/>
                <w:color w:val="auto"/>
              </w:rPr>
            </w:pPr>
            <w:r>
              <w:rPr>
                <w:rFonts w:ascii="Arial" w:cs="Arial" w:eastAsia="Arial" w:hAnsi="Arial"/>
                <w:sz w:val="16"/>
                <w:szCs w:val="16"/>
                <w:color w:val="auto"/>
              </w:rPr>
              <w:t>General and administrative</w:t>
            </w:r>
          </w:p>
        </w:tc>
        <w:tc>
          <w:tcPr>
            <w:tcW w:w="360" w:type="dxa"/>
            <w:vAlign w:val="bottom"/>
          </w:tcPr>
          <w:p>
            <w:pPr>
              <w:spacing w:after="0"/>
              <w:rPr>
                <w:sz w:val="23"/>
                <w:szCs w:val="23"/>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1,964</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1,797</w:t>
            </w:r>
          </w:p>
        </w:tc>
        <w:tc>
          <w:tcPr>
            <w:tcW w:w="0" w:type="dxa"/>
            <w:vAlign w:val="bottom"/>
          </w:tcPr>
          <w:p>
            <w:pPr>
              <w:spacing w:after="0"/>
              <w:rPr>
                <w:sz w:val="1"/>
                <w:szCs w:val="1"/>
                <w:color w:val="auto"/>
              </w:rPr>
            </w:pPr>
          </w:p>
        </w:tc>
      </w:tr>
      <w:tr>
        <w:trPr>
          <w:trHeight w:val="33"/>
        </w:trPr>
        <w:tc>
          <w:tcPr>
            <w:tcW w:w="59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980" w:type="dxa"/>
            <w:vAlign w:val="bottom"/>
          </w:tcPr>
          <w:p>
            <w:pPr>
              <w:ind w:left="140"/>
              <w:spacing w:after="0"/>
              <w:rPr>
                <w:sz w:val="20"/>
                <w:szCs w:val="20"/>
                <w:color w:val="auto"/>
              </w:rPr>
            </w:pPr>
            <w:r>
              <w:rPr>
                <w:rFonts w:ascii="Arial" w:cs="Arial" w:eastAsia="Arial" w:hAnsi="Arial"/>
                <w:sz w:val="16"/>
                <w:szCs w:val="16"/>
                <w:color w:val="auto"/>
              </w:rPr>
              <w:t>Total operating expenses</w:t>
            </w:r>
          </w:p>
        </w:tc>
        <w:tc>
          <w:tcPr>
            <w:tcW w:w="360" w:type="dxa"/>
            <w:vAlign w:val="bottom"/>
          </w:tcPr>
          <w:p>
            <w:pPr>
              <w:spacing w:after="0"/>
              <w:rPr>
                <w:sz w:val="18"/>
                <w:szCs w:val="18"/>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6,941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5,930</w:t>
            </w:r>
          </w:p>
        </w:tc>
        <w:tc>
          <w:tcPr>
            <w:tcW w:w="0" w:type="dxa"/>
            <w:vAlign w:val="bottom"/>
          </w:tcPr>
          <w:p>
            <w:pPr>
              <w:spacing w:after="0"/>
              <w:rPr>
                <w:sz w:val="1"/>
                <w:szCs w:val="1"/>
                <w:color w:val="auto"/>
              </w:rPr>
            </w:pPr>
          </w:p>
        </w:tc>
      </w:tr>
      <w:tr>
        <w:trPr>
          <w:trHeight w:val="33"/>
        </w:trPr>
        <w:tc>
          <w:tcPr>
            <w:tcW w:w="59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01"/>
        </w:trPr>
        <w:tc>
          <w:tcPr>
            <w:tcW w:w="5980" w:type="dxa"/>
            <w:vAlign w:val="bottom"/>
          </w:tcPr>
          <w:p>
            <w:pPr>
              <w:spacing w:after="0"/>
              <w:rPr>
                <w:sz w:val="20"/>
                <w:szCs w:val="20"/>
                <w:color w:val="auto"/>
              </w:rPr>
            </w:pPr>
            <w:r>
              <w:rPr>
                <w:rFonts w:ascii="Arial" w:cs="Arial" w:eastAsia="Arial" w:hAnsi="Arial"/>
                <w:sz w:val="16"/>
                <w:szCs w:val="16"/>
                <w:color w:val="auto"/>
              </w:rPr>
              <w:t>Operating income</w:t>
            </w:r>
          </w:p>
        </w:tc>
        <w:tc>
          <w:tcPr>
            <w:tcW w:w="360" w:type="dxa"/>
            <w:vAlign w:val="bottom"/>
          </w:tcPr>
          <w:p>
            <w:pPr>
              <w:spacing w:after="0"/>
              <w:rPr>
                <w:sz w:val="24"/>
                <w:szCs w:val="24"/>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761</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1,069</w:t>
            </w:r>
          </w:p>
        </w:tc>
        <w:tc>
          <w:tcPr>
            <w:tcW w:w="0" w:type="dxa"/>
            <w:vAlign w:val="bottom"/>
          </w:tcPr>
          <w:p>
            <w:pPr>
              <w:spacing w:after="0"/>
              <w:rPr>
                <w:sz w:val="1"/>
                <w:szCs w:val="1"/>
                <w:color w:val="auto"/>
              </w:rPr>
            </w:pPr>
          </w:p>
        </w:tc>
      </w:tr>
      <w:tr>
        <w:trPr>
          <w:trHeight w:val="270"/>
        </w:trPr>
        <w:tc>
          <w:tcPr>
            <w:tcW w:w="5980" w:type="dxa"/>
            <w:vAlign w:val="bottom"/>
          </w:tcPr>
          <w:p>
            <w:pPr>
              <w:spacing w:after="0"/>
              <w:rPr>
                <w:sz w:val="20"/>
                <w:szCs w:val="20"/>
                <w:color w:val="auto"/>
              </w:rPr>
            </w:pPr>
            <w:r>
              <w:rPr>
                <w:rFonts w:ascii="Arial" w:cs="Arial" w:eastAsia="Arial" w:hAnsi="Arial"/>
                <w:sz w:val="16"/>
                <w:szCs w:val="16"/>
                <w:color w:val="auto"/>
              </w:rPr>
              <w:t>Other income (expense), net</w:t>
            </w:r>
          </w:p>
        </w:tc>
        <w:tc>
          <w:tcPr>
            <w:tcW w:w="360" w:type="dxa"/>
            <w:vAlign w:val="bottom"/>
          </w:tcPr>
          <w:p>
            <w:pPr>
              <w:spacing w:after="0"/>
              <w:rPr>
                <w:sz w:val="23"/>
                <w:szCs w:val="23"/>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81</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33"/>
        </w:trPr>
        <w:tc>
          <w:tcPr>
            <w:tcW w:w="59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980" w:type="dxa"/>
            <w:vAlign w:val="bottom"/>
          </w:tcPr>
          <w:p>
            <w:pPr>
              <w:ind w:left="140"/>
              <w:spacing w:after="0"/>
              <w:rPr>
                <w:sz w:val="20"/>
                <w:szCs w:val="20"/>
                <w:color w:val="auto"/>
              </w:rPr>
            </w:pPr>
            <w:r>
              <w:rPr>
                <w:rFonts w:ascii="Arial" w:cs="Arial" w:eastAsia="Arial" w:hAnsi="Arial"/>
                <w:sz w:val="16"/>
                <w:szCs w:val="16"/>
                <w:color w:val="auto"/>
              </w:rPr>
              <w:t>Income before income taxes</w:t>
            </w:r>
          </w:p>
        </w:tc>
        <w:tc>
          <w:tcPr>
            <w:tcW w:w="360" w:type="dxa"/>
            <w:vAlign w:val="bottom"/>
          </w:tcPr>
          <w:p>
            <w:pPr>
              <w:spacing w:after="0"/>
              <w:rPr>
                <w:sz w:val="18"/>
                <w:szCs w:val="18"/>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842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1,055</w:t>
            </w:r>
          </w:p>
        </w:tc>
        <w:tc>
          <w:tcPr>
            <w:tcW w:w="0" w:type="dxa"/>
            <w:vAlign w:val="bottom"/>
          </w:tcPr>
          <w:p>
            <w:pPr>
              <w:spacing w:after="0"/>
              <w:rPr>
                <w:sz w:val="1"/>
                <w:szCs w:val="1"/>
                <w:color w:val="auto"/>
              </w:rPr>
            </w:pPr>
          </w:p>
        </w:tc>
      </w:tr>
      <w:tr>
        <w:trPr>
          <w:trHeight w:val="270"/>
        </w:trPr>
        <w:tc>
          <w:tcPr>
            <w:tcW w:w="5980" w:type="dxa"/>
            <w:vAlign w:val="bottom"/>
          </w:tcPr>
          <w:p>
            <w:pPr>
              <w:spacing w:after="0"/>
              <w:rPr>
                <w:sz w:val="20"/>
                <w:szCs w:val="20"/>
                <w:color w:val="auto"/>
              </w:rPr>
            </w:pPr>
            <w:r>
              <w:rPr>
                <w:rFonts w:ascii="Arial" w:cs="Arial" w:eastAsia="Arial" w:hAnsi="Arial"/>
                <w:sz w:val="16"/>
                <w:szCs w:val="16"/>
                <w:color w:val="auto"/>
              </w:rPr>
              <w:t>Provision for income taxes</w:t>
            </w:r>
          </w:p>
        </w:tc>
        <w:tc>
          <w:tcPr>
            <w:tcW w:w="360" w:type="dxa"/>
            <w:vAlign w:val="bottom"/>
          </w:tcPr>
          <w:p>
            <w:pPr>
              <w:spacing w:after="0"/>
              <w:rPr>
                <w:sz w:val="23"/>
                <w:szCs w:val="23"/>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352</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324</w:t>
            </w:r>
          </w:p>
        </w:tc>
        <w:tc>
          <w:tcPr>
            <w:tcW w:w="0" w:type="dxa"/>
            <w:vAlign w:val="bottom"/>
          </w:tcPr>
          <w:p>
            <w:pPr>
              <w:spacing w:after="0"/>
              <w:rPr>
                <w:sz w:val="1"/>
                <w:szCs w:val="1"/>
                <w:color w:val="auto"/>
              </w:rPr>
            </w:pPr>
          </w:p>
        </w:tc>
      </w:tr>
      <w:tr>
        <w:trPr>
          <w:trHeight w:val="33"/>
        </w:trPr>
        <w:tc>
          <w:tcPr>
            <w:tcW w:w="59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980" w:type="dxa"/>
            <w:vAlign w:val="bottom"/>
          </w:tcPr>
          <w:p>
            <w:pPr>
              <w:ind w:left="140"/>
              <w:spacing w:after="0"/>
              <w:rPr>
                <w:sz w:val="20"/>
                <w:szCs w:val="20"/>
                <w:color w:val="auto"/>
              </w:rPr>
            </w:pPr>
            <w:r>
              <w:rPr>
                <w:rFonts w:ascii="Arial" w:cs="Arial" w:eastAsia="Arial" w:hAnsi="Arial"/>
                <w:sz w:val="16"/>
                <w:szCs w:val="16"/>
                <w:color w:val="auto"/>
              </w:rPr>
              <w:t>Net income</w:t>
            </w: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490</w:t>
            </w:r>
          </w:p>
        </w:tc>
        <w:tc>
          <w:tcPr>
            <w:tcW w:w="100" w:type="dxa"/>
            <w:vAlign w:val="bottom"/>
          </w:tcPr>
          <w:p>
            <w:pPr>
              <w:spacing w:after="0"/>
              <w:rPr>
                <w:sz w:val="21"/>
                <w:szCs w:val="21"/>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731</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8"/>
        </w:trPr>
        <w:tc>
          <w:tcPr>
            <w:tcW w:w="5980" w:type="dxa"/>
            <w:vAlign w:val="bottom"/>
          </w:tcPr>
          <w:p>
            <w:pPr>
              <w:spacing w:after="0"/>
              <w:rPr>
                <w:sz w:val="20"/>
                <w:szCs w:val="20"/>
                <w:color w:val="auto"/>
              </w:rPr>
            </w:pPr>
            <w:r>
              <w:rPr>
                <w:rFonts w:ascii="Arial" w:cs="Arial" w:eastAsia="Arial" w:hAnsi="Arial"/>
                <w:sz w:val="16"/>
                <w:szCs w:val="16"/>
                <w:color w:val="auto"/>
              </w:rPr>
              <w:t>Basic earnings per common share</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0.05</w:t>
            </w:r>
          </w:p>
        </w:tc>
        <w:tc>
          <w:tcPr>
            <w:tcW w:w="100" w:type="dxa"/>
            <w:vAlign w:val="bottom"/>
          </w:tcPr>
          <w:p>
            <w:pPr>
              <w:spacing w:after="0"/>
              <w:rPr>
                <w:sz w:val="24"/>
                <w:szCs w:val="24"/>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0.08</w:t>
            </w:r>
          </w:p>
        </w:tc>
        <w:tc>
          <w:tcPr>
            <w:tcW w:w="0" w:type="dxa"/>
            <w:vAlign w:val="bottom"/>
          </w:tcPr>
          <w:p>
            <w:pPr>
              <w:spacing w:after="0"/>
              <w:rPr>
                <w:sz w:val="1"/>
                <w:szCs w:val="1"/>
                <w:color w:val="auto"/>
              </w:rPr>
            </w:pPr>
          </w:p>
        </w:tc>
      </w:tr>
      <w:tr>
        <w:trPr>
          <w:trHeight w:val="270"/>
        </w:trPr>
        <w:tc>
          <w:tcPr>
            <w:tcW w:w="5980" w:type="dxa"/>
            <w:vAlign w:val="bottom"/>
          </w:tcPr>
          <w:p>
            <w:pPr>
              <w:spacing w:after="0"/>
              <w:rPr>
                <w:sz w:val="20"/>
                <w:szCs w:val="20"/>
                <w:color w:val="auto"/>
              </w:rPr>
            </w:pPr>
            <w:r>
              <w:rPr>
                <w:rFonts w:ascii="Arial" w:cs="Arial" w:eastAsia="Arial" w:hAnsi="Arial"/>
                <w:sz w:val="16"/>
                <w:szCs w:val="16"/>
                <w:color w:val="auto"/>
              </w:rPr>
              <w:t>Diluted earnings per common share</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0.05</w:t>
            </w:r>
          </w:p>
        </w:tc>
        <w:tc>
          <w:tcPr>
            <w:tcW w:w="100" w:type="dxa"/>
            <w:vAlign w:val="bottom"/>
          </w:tcPr>
          <w:p>
            <w:pPr>
              <w:spacing w:after="0"/>
              <w:rPr>
                <w:sz w:val="23"/>
                <w:szCs w:val="23"/>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0.08</w:t>
            </w:r>
          </w:p>
        </w:tc>
        <w:tc>
          <w:tcPr>
            <w:tcW w:w="0" w:type="dxa"/>
            <w:vAlign w:val="bottom"/>
          </w:tcPr>
          <w:p>
            <w:pPr>
              <w:spacing w:after="0"/>
              <w:rPr>
                <w:sz w:val="1"/>
                <w:szCs w:val="1"/>
                <w:color w:val="auto"/>
              </w:rPr>
            </w:pPr>
          </w:p>
        </w:tc>
      </w:tr>
      <w:tr>
        <w:trPr>
          <w:trHeight w:val="540"/>
        </w:trPr>
        <w:tc>
          <w:tcPr>
            <w:tcW w:w="5980" w:type="dxa"/>
            <w:vAlign w:val="bottom"/>
          </w:tcPr>
          <w:p>
            <w:pPr>
              <w:spacing w:after="0"/>
              <w:rPr>
                <w:sz w:val="20"/>
                <w:szCs w:val="20"/>
                <w:color w:val="auto"/>
              </w:rPr>
            </w:pPr>
            <w:r>
              <w:rPr>
                <w:rFonts w:ascii="Arial" w:cs="Arial" w:eastAsia="Arial" w:hAnsi="Arial"/>
                <w:sz w:val="16"/>
                <w:szCs w:val="16"/>
                <w:color w:val="auto"/>
              </w:rPr>
              <w:t>Basic weighted average shares outstanding</w:t>
            </w:r>
          </w:p>
        </w:tc>
        <w:tc>
          <w:tcPr>
            <w:tcW w:w="360" w:type="dxa"/>
            <w:vAlign w:val="bottom"/>
          </w:tcPr>
          <w:p>
            <w:pPr>
              <w:spacing w:after="0"/>
              <w:rPr>
                <w:sz w:val="24"/>
                <w:szCs w:val="24"/>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9,082,546</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9,152,859</w:t>
            </w:r>
          </w:p>
        </w:tc>
        <w:tc>
          <w:tcPr>
            <w:tcW w:w="0" w:type="dxa"/>
            <w:vAlign w:val="bottom"/>
          </w:tcPr>
          <w:p>
            <w:pPr>
              <w:spacing w:after="0"/>
              <w:rPr>
                <w:sz w:val="1"/>
                <w:szCs w:val="1"/>
                <w:color w:val="auto"/>
              </w:rPr>
            </w:pPr>
          </w:p>
        </w:tc>
      </w:tr>
      <w:tr>
        <w:trPr>
          <w:trHeight w:val="270"/>
        </w:trPr>
        <w:tc>
          <w:tcPr>
            <w:tcW w:w="5980" w:type="dxa"/>
            <w:vAlign w:val="bottom"/>
          </w:tcPr>
          <w:p>
            <w:pPr>
              <w:spacing w:after="0"/>
              <w:rPr>
                <w:sz w:val="20"/>
                <w:szCs w:val="20"/>
                <w:color w:val="auto"/>
              </w:rPr>
            </w:pPr>
            <w:r>
              <w:rPr>
                <w:rFonts w:ascii="Arial" w:cs="Arial" w:eastAsia="Arial" w:hAnsi="Arial"/>
                <w:sz w:val="16"/>
                <w:szCs w:val="16"/>
                <w:color w:val="auto"/>
              </w:rPr>
              <w:t>Diluted weighted average shares outstanding</w:t>
            </w:r>
          </w:p>
        </w:tc>
        <w:tc>
          <w:tcPr>
            <w:tcW w:w="360" w:type="dxa"/>
            <w:vAlign w:val="bottom"/>
          </w:tcPr>
          <w:p>
            <w:pPr>
              <w:spacing w:after="0"/>
              <w:rPr>
                <w:sz w:val="23"/>
                <w:szCs w:val="23"/>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9,558,941</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9,394,181</w:t>
            </w:r>
          </w:p>
        </w:tc>
        <w:tc>
          <w:tcPr>
            <w:tcW w:w="0" w:type="dxa"/>
            <w:vAlign w:val="bottom"/>
          </w:tcPr>
          <w:p>
            <w:pPr>
              <w:spacing w:after="0"/>
              <w:rPr>
                <w:sz w:val="1"/>
                <w:szCs w:val="1"/>
                <w:color w:val="auto"/>
              </w:rPr>
            </w:pPr>
          </w:p>
        </w:tc>
      </w:tr>
      <w:tr>
        <w:trPr>
          <w:trHeight w:val="567"/>
        </w:trPr>
        <w:tc>
          <w:tcPr>
            <w:tcW w:w="5980" w:type="dxa"/>
            <w:vAlign w:val="bottom"/>
          </w:tcPr>
          <w:p>
            <w:pPr>
              <w:spacing w:after="0"/>
              <w:rPr>
                <w:sz w:val="20"/>
                <w:szCs w:val="20"/>
                <w:color w:val="auto"/>
              </w:rPr>
            </w:pPr>
            <w:r>
              <w:rPr>
                <w:rFonts w:ascii="Arial" w:cs="Arial" w:eastAsia="Arial" w:hAnsi="Arial"/>
                <w:sz w:val="16"/>
                <w:szCs w:val="16"/>
                <w:color w:val="auto"/>
              </w:rPr>
              <w:t>Comprehensive income:</w:t>
            </w: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980" w:type="dxa"/>
            <w:vAlign w:val="bottom"/>
          </w:tcPr>
          <w:p>
            <w:pPr>
              <w:spacing w:after="0"/>
              <w:rPr>
                <w:sz w:val="20"/>
                <w:szCs w:val="20"/>
                <w:color w:val="auto"/>
              </w:rPr>
            </w:pPr>
            <w:r>
              <w:rPr>
                <w:rFonts w:ascii="Arial" w:cs="Arial" w:eastAsia="Arial" w:hAnsi="Arial"/>
                <w:sz w:val="16"/>
                <w:szCs w:val="16"/>
                <w:color w:val="auto"/>
              </w:rPr>
              <w:t>Net income</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490</w:t>
            </w:r>
          </w:p>
        </w:tc>
        <w:tc>
          <w:tcPr>
            <w:tcW w:w="100" w:type="dxa"/>
            <w:vAlign w:val="bottom"/>
          </w:tcPr>
          <w:p>
            <w:pPr>
              <w:spacing w:after="0"/>
              <w:rPr>
                <w:sz w:val="23"/>
                <w:szCs w:val="23"/>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731</w:t>
            </w:r>
          </w:p>
        </w:tc>
        <w:tc>
          <w:tcPr>
            <w:tcW w:w="0" w:type="dxa"/>
            <w:vAlign w:val="bottom"/>
          </w:tcPr>
          <w:p>
            <w:pPr>
              <w:spacing w:after="0"/>
              <w:rPr>
                <w:sz w:val="1"/>
                <w:szCs w:val="1"/>
                <w:color w:val="auto"/>
              </w:rPr>
            </w:pPr>
          </w:p>
        </w:tc>
      </w:tr>
      <w:tr>
        <w:trPr>
          <w:trHeight w:val="270"/>
        </w:trPr>
        <w:tc>
          <w:tcPr>
            <w:tcW w:w="5980" w:type="dxa"/>
            <w:vAlign w:val="bottom"/>
          </w:tcPr>
          <w:p>
            <w:pPr>
              <w:spacing w:after="0"/>
              <w:rPr>
                <w:sz w:val="20"/>
                <w:szCs w:val="20"/>
                <w:color w:val="auto"/>
              </w:rPr>
            </w:pPr>
            <w:r>
              <w:rPr>
                <w:rFonts w:ascii="Arial" w:cs="Arial" w:eastAsia="Arial" w:hAnsi="Arial"/>
                <w:sz w:val="16"/>
                <w:szCs w:val="16"/>
                <w:color w:val="auto"/>
              </w:rPr>
              <w:t>Unrealized gain on available-for-sale securities, net of tax</w:t>
            </w:r>
          </w:p>
        </w:tc>
        <w:tc>
          <w:tcPr>
            <w:tcW w:w="360" w:type="dxa"/>
            <w:vAlign w:val="bottom"/>
          </w:tcPr>
          <w:p>
            <w:pPr>
              <w:spacing w:after="0"/>
              <w:rPr>
                <w:sz w:val="23"/>
                <w:szCs w:val="23"/>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96</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9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980" w:type="dxa"/>
            <w:vAlign w:val="bottom"/>
          </w:tcPr>
          <w:p>
            <w:pPr>
              <w:ind w:left="140"/>
              <w:spacing w:after="0"/>
              <w:rPr>
                <w:sz w:val="20"/>
                <w:szCs w:val="20"/>
                <w:color w:val="auto"/>
              </w:rPr>
            </w:pPr>
            <w:r>
              <w:rPr>
                <w:rFonts w:ascii="Arial" w:cs="Arial" w:eastAsia="Arial" w:hAnsi="Arial"/>
                <w:sz w:val="16"/>
                <w:szCs w:val="16"/>
                <w:color w:val="auto"/>
              </w:rPr>
              <w:t>Comprehensive income</w:t>
            </w: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586</w:t>
            </w:r>
          </w:p>
        </w:tc>
        <w:tc>
          <w:tcPr>
            <w:tcW w:w="100" w:type="dxa"/>
            <w:vAlign w:val="bottom"/>
          </w:tcPr>
          <w:p>
            <w:pPr>
              <w:spacing w:after="0"/>
              <w:rPr>
                <w:sz w:val="21"/>
                <w:szCs w:val="21"/>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731</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9180"/>
          </w:cols>
          <w:pgMar w:left="1380" w:top="585" w:right="133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6"/>
          <w:szCs w:val="16"/>
          <w:b w:val="1"/>
          <w:bCs w:val="1"/>
          <w:color w:val="auto"/>
        </w:rPr>
        <w:t>CLEARONE INC.</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UNAUDITED STATEMENT OF NON-GAAP NET INCOME AND</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RECONCILIATION OF GAAP NET INCOME TO NON-GAAP NET INCOME</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(Dollars in thousands, except per share values)</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ind w:left="24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63"/>
        </w:trPr>
        <w:tc>
          <w:tcPr>
            <w:tcW w:w="33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03"/>
        </w:trPr>
        <w:tc>
          <w:tcPr>
            <w:tcW w:w="33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w w:val="92"/>
              </w:rPr>
              <w:t>Unaudited Statement of Non-GAAP Net Income</w:t>
            </w:r>
          </w:p>
        </w:tc>
        <w:tc>
          <w:tcPr>
            <w:tcW w:w="3020" w:type="dxa"/>
            <w:vAlign w:val="bottom"/>
            <w:gridSpan w:val="2"/>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5"/>
        </w:trPr>
        <w:tc>
          <w:tcPr>
            <w:tcW w:w="6360" w:type="dxa"/>
            <w:vAlign w:val="bottom"/>
            <w:gridSpan w:val="3"/>
          </w:tcPr>
          <w:p>
            <w:pPr>
              <w:spacing w:after="0"/>
              <w:rPr>
                <w:sz w:val="20"/>
                <w:szCs w:val="20"/>
                <w:color w:val="auto"/>
              </w:rPr>
            </w:pPr>
            <w:r>
              <w:rPr>
                <w:rFonts w:ascii="Arial" w:cs="Arial" w:eastAsia="Arial" w:hAnsi="Arial"/>
                <w:sz w:val="16"/>
                <w:szCs w:val="16"/>
                <w:color w:val="auto"/>
              </w:rPr>
              <w:t>Revenue</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12,708</w:t>
            </w:r>
          </w:p>
        </w:tc>
        <w:tc>
          <w:tcPr>
            <w:tcW w:w="100" w:type="dxa"/>
            <w:vAlign w:val="bottom"/>
          </w:tcPr>
          <w:p>
            <w:pPr>
              <w:spacing w:after="0"/>
              <w:rPr>
                <w:sz w:val="24"/>
                <w:szCs w:val="24"/>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11,293</w:t>
            </w:r>
          </w:p>
        </w:tc>
        <w:tc>
          <w:tcPr>
            <w:tcW w:w="0" w:type="dxa"/>
            <w:vAlign w:val="bottom"/>
          </w:tcPr>
          <w:p>
            <w:pPr>
              <w:spacing w:after="0"/>
              <w:rPr>
                <w:sz w:val="1"/>
                <w:szCs w:val="1"/>
                <w:color w:val="auto"/>
              </w:rPr>
            </w:pPr>
          </w:p>
        </w:tc>
      </w:tr>
      <w:tr>
        <w:trPr>
          <w:trHeight w:val="270"/>
        </w:trPr>
        <w:tc>
          <w:tcPr>
            <w:tcW w:w="6360" w:type="dxa"/>
            <w:vAlign w:val="bottom"/>
            <w:gridSpan w:val="3"/>
          </w:tcPr>
          <w:p>
            <w:pPr>
              <w:spacing w:after="0"/>
              <w:rPr>
                <w:sz w:val="20"/>
                <w:szCs w:val="20"/>
                <w:color w:val="auto"/>
              </w:rPr>
            </w:pPr>
            <w:r>
              <w:rPr>
                <w:rFonts w:ascii="Arial" w:cs="Arial" w:eastAsia="Arial" w:hAnsi="Arial"/>
                <w:sz w:val="16"/>
                <w:szCs w:val="16"/>
                <w:color w:val="auto"/>
              </w:rPr>
              <w:t>Cost of goods sold</w:t>
            </w: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5,004</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4,292</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360" w:type="dxa"/>
            <w:vAlign w:val="bottom"/>
            <w:gridSpan w:val="3"/>
          </w:tcPr>
          <w:p>
            <w:pPr>
              <w:spacing w:after="0"/>
              <w:rPr>
                <w:sz w:val="20"/>
                <w:szCs w:val="20"/>
                <w:color w:val="auto"/>
              </w:rPr>
            </w:pPr>
            <w:r>
              <w:rPr>
                <w:rFonts w:ascii="Arial" w:cs="Arial" w:eastAsia="Arial" w:hAnsi="Arial"/>
                <w:sz w:val="16"/>
                <w:szCs w:val="16"/>
                <w:color w:val="auto"/>
              </w:rPr>
              <w:t>Gross profit</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7,704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7,001</w:t>
            </w:r>
          </w:p>
        </w:tc>
        <w:tc>
          <w:tcPr>
            <w:tcW w:w="0" w:type="dxa"/>
            <w:vAlign w:val="bottom"/>
          </w:tcPr>
          <w:p>
            <w:pPr>
              <w:spacing w:after="0"/>
              <w:rPr>
                <w:sz w:val="1"/>
                <w:szCs w:val="1"/>
                <w:color w:val="auto"/>
              </w:rPr>
            </w:pPr>
          </w:p>
        </w:tc>
      </w:tr>
      <w:tr>
        <w:trPr>
          <w:trHeight w:val="33"/>
        </w:trPr>
        <w:tc>
          <w:tcPr>
            <w:tcW w:w="6360" w:type="dxa"/>
            <w:vAlign w:val="bottom"/>
            <w:gridSpan w:val="3"/>
            <w:vMerge w:val="restart"/>
          </w:tcPr>
          <w:p>
            <w:pPr>
              <w:spacing w:after="0"/>
              <w:rPr>
                <w:sz w:val="20"/>
                <w:szCs w:val="20"/>
                <w:color w:val="auto"/>
              </w:rPr>
            </w:pPr>
            <w:r>
              <w:rPr>
                <w:rFonts w:ascii="Arial" w:cs="Arial" w:eastAsia="Arial" w:hAnsi="Arial"/>
                <w:sz w:val="16"/>
                <w:szCs w:val="16"/>
                <w:color w:val="auto"/>
              </w:rPr>
              <w:t>Operating expenses:</w:t>
            </w: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55"/>
        </w:trPr>
        <w:tc>
          <w:tcPr>
            <w:tcW w:w="6360" w:type="dxa"/>
            <w:vAlign w:val="bottom"/>
            <w:gridSpan w:val="3"/>
            <w:vMerge w:val="continue"/>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360" w:type="dxa"/>
            <w:vAlign w:val="bottom"/>
            <w:gridSpan w:val="3"/>
          </w:tcPr>
          <w:p>
            <w:pPr>
              <w:spacing w:after="0"/>
              <w:rPr>
                <w:sz w:val="20"/>
                <w:szCs w:val="20"/>
                <w:color w:val="auto"/>
              </w:rPr>
            </w:pPr>
            <w:r>
              <w:rPr>
                <w:rFonts w:ascii="Arial" w:cs="Arial" w:eastAsia="Arial" w:hAnsi="Arial"/>
                <w:sz w:val="16"/>
                <w:szCs w:val="16"/>
                <w:color w:val="auto"/>
              </w:rPr>
              <w:t>Sales and marketing</w:t>
            </w: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2,716</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2,252</w:t>
            </w:r>
          </w:p>
        </w:tc>
        <w:tc>
          <w:tcPr>
            <w:tcW w:w="0" w:type="dxa"/>
            <w:vAlign w:val="bottom"/>
          </w:tcPr>
          <w:p>
            <w:pPr>
              <w:spacing w:after="0"/>
              <w:rPr>
                <w:sz w:val="1"/>
                <w:szCs w:val="1"/>
                <w:color w:val="auto"/>
              </w:rPr>
            </w:pPr>
          </w:p>
        </w:tc>
      </w:tr>
      <w:tr>
        <w:trPr>
          <w:trHeight w:val="270"/>
        </w:trPr>
        <w:tc>
          <w:tcPr>
            <w:tcW w:w="6360" w:type="dxa"/>
            <w:vAlign w:val="bottom"/>
            <w:gridSpan w:val="3"/>
          </w:tcPr>
          <w:p>
            <w:pPr>
              <w:spacing w:after="0"/>
              <w:rPr>
                <w:sz w:val="20"/>
                <w:szCs w:val="20"/>
                <w:color w:val="auto"/>
              </w:rPr>
            </w:pPr>
            <w:r>
              <w:rPr>
                <w:rFonts w:ascii="Arial" w:cs="Arial" w:eastAsia="Arial" w:hAnsi="Arial"/>
                <w:sz w:val="16"/>
                <w:szCs w:val="16"/>
                <w:color w:val="auto"/>
              </w:rPr>
              <w:t>Research and product development</w:t>
            </w: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2,230</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1,855</w:t>
            </w:r>
          </w:p>
        </w:tc>
        <w:tc>
          <w:tcPr>
            <w:tcW w:w="0" w:type="dxa"/>
            <w:vAlign w:val="bottom"/>
          </w:tcPr>
          <w:p>
            <w:pPr>
              <w:spacing w:after="0"/>
              <w:rPr>
                <w:sz w:val="1"/>
                <w:szCs w:val="1"/>
                <w:color w:val="auto"/>
              </w:rPr>
            </w:pPr>
          </w:p>
        </w:tc>
      </w:tr>
      <w:tr>
        <w:trPr>
          <w:trHeight w:val="270"/>
        </w:trPr>
        <w:tc>
          <w:tcPr>
            <w:tcW w:w="6360" w:type="dxa"/>
            <w:vAlign w:val="bottom"/>
            <w:gridSpan w:val="3"/>
          </w:tcPr>
          <w:p>
            <w:pPr>
              <w:spacing w:after="0"/>
              <w:rPr>
                <w:sz w:val="20"/>
                <w:szCs w:val="20"/>
                <w:color w:val="auto"/>
              </w:rPr>
            </w:pPr>
            <w:r>
              <w:rPr>
                <w:rFonts w:ascii="Arial" w:cs="Arial" w:eastAsia="Arial" w:hAnsi="Arial"/>
                <w:sz w:val="16"/>
                <w:szCs w:val="16"/>
                <w:color w:val="auto"/>
              </w:rPr>
              <w:t>General and administrative</w:t>
            </w: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1,379</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1,486</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360" w:type="dxa"/>
            <w:vAlign w:val="bottom"/>
            <w:gridSpan w:val="3"/>
          </w:tcPr>
          <w:p>
            <w:pPr>
              <w:spacing w:after="0"/>
              <w:rPr>
                <w:sz w:val="20"/>
                <w:szCs w:val="20"/>
                <w:color w:val="auto"/>
              </w:rPr>
            </w:pPr>
            <w:r>
              <w:rPr>
                <w:rFonts w:ascii="Arial" w:cs="Arial" w:eastAsia="Arial" w:hAnsi="Arial"/>
                <w:sz w:val="16"/>
                <w:szCs w:val="16"/>
                <w:color w:val="auto"/>
              </w:rPr>
              <w:t>Total operating expenses</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6,325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5,593</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55"/>
        </w:trPr>
        <w:tc>
          <w:tcPr>
            <w:tcW w:w="6360" w:type="dxa"/>
            <w:vAlign w:val="bottom"/>
            <w:gridSpan w:val="3"/>
          </w:tcPr>
          <w:p>
            <w:pPr>
              <w:spacing w:after="0"/>
              <w:rPr>
                <w:sz w:val="20"/>
                <w:szCs w:val="20"/>
                <w:color w:val="auto"/>
              </w:rPr>
            </w:pPr>
            <w:r>
              <w:rPr>
                <w:rFonts w:ascii="Arial" w:cs="Arial" w:eastAsia="Arial" w:hAnsi="Arial"/>
                <w:sz w:val="16"/>
                <w:szCs w:val="16"/>
                <w:color w:val="auto"/>
              </w:rPr>
              <w:t>Operating income</w:t>
            </w: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1,379</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1,408</w:t>
            </w:r>
          </w:p>
        </w:tc>
        <w:tc>
          <w:tcPr>
            <w:tcW w:w="0" w:type="dxa"/>
            <w:vAlign w:val="bottom"/>
          </w:tcPr>
          <w:p>
            <w:pPr>
              <w:spacing w:after="0"/>
              <w:rPr>
                <w:sz w:val="1"/>
                <w:szCs w:val="1"/>
                <w:color w:val="auto"/>
              </w:rPr>
            </w:pPr>
          </w:p>
        </w:tc>
      </w:tr>
      <w:tr>
        <w:trPr>
          <w:trHeight w:val="270"/>
        </w:trPr>
        <w:tc>
          <w:tcPr>
            <w:tcW w:w="6360" w:type="dxa"/>
            <w:vAlign w:val="bottom"/>
            <w:gridSpan w:val="3"/>
          </w:tcPr>
          <w:p>
            <w:pPr>
              <w:spacing w:after="0"/>
              <w:rPr>
                <w:sz w:val="20"/>
                <w:szCs w:val="20"/>
                <w:color w:val="auto"/>
              </w:rPr>
            </w:pPr>
            <w:r>
              <w:rPr>
                <w:rFonts w:ascii="Arial" w:cs="Arial" w:eastAsia="Arial" w:hAnsi="Arial"/>
                <w:sz w:val="16"/>
                <w:szCs w:val="16"/>
                <w:color w:val="auto"/>
              </w:rPr>
              <w:t>Other income (expense), net</w:t>
            </w: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81</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360" w:type="dxa"/>
            <w:vAlign w:val="bottom"/>
            <w:gridSpan w:val="3"/>
          </w:tcPr>
          <w:p>
            <w:pPr>
              <w:spacing w:after="0"/>
              <w:rPr>
                <w:sz w:val="20"/>
                <w:szCs w:val="20"/>
                <w:color w:val="auto"/>
              </w:rPr>
            </w:pPr>
            <w:r>
              <w:rPr>
                <w:rFonts w:ascii="Arial" w:cs="Arial" w:eastAsia="Arial" w:hAnsi="Arial"/>
                <w:sz w:val="16"/>
                <w:szCs w:val="16"/>
                <w:color w:val="auto"/>
              </w:rPr>
              <w:t>Income before income taxes</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1,460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1,394</w:t>
            </w:r>
          </w:p>
        </w:tc>
        <w:tc>
          <w:tcPr>
            <w:tcW w:w="0" w:type="dxa"/>
            <w:vAlign w:val="bottom"/>
          </w:tcPr>
          <w:p>
            <w:pPr>
              <w:spacing w:after="0"/>
              <w:rPr>
                <w:sz w:val="1"/>
                <w:szCs w:val="1"/>
                <w:color w:val="auto"/>
              </w:rPr>
            </w:pPr>
          </w:p>
        </w:tc>
      </w:tr>
      <w:tr>
        <w:trPr>
          <w:trHeight w:val="270"/>
        </w:trPr>
        <w:tc>
          <w:tcPr>
            <w:tcW w:w="6360" w:type="dxa"/>
            <w:vAlign w:val="bottom"/>
            <w:gridSpan w:val="3"/>
          </w:tcPr>
          <w:p>
            <w:pPr>
              <w:spacing w:after="0"/>
              <w:rPr>
                <w:sz w:val="20"/>
                <w:szCs w:val="20"/>
                <w:color w:val="auto"/>
              </w:rPr>
            </w:pPr>
            <w:r>
              <w:rPr>
                <w:rFonts w:ascii="Arial" w:cs="Arial" w:eastAsia="Arial" w:hAnsi="Arial"/>
                <w:sz w:val="16"/>
                <w:szCs w:val="16"/>
                <w:color w:val="auto"/>
              </w:rPr>
              <w:t>Provision for income taxes</w:t>
            </w: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629</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428</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360" w:type="dxa"/>
            <w:vAlign w:val="bottom"/>
            <w:gridSpan w:val="3"/>
          </w:tcPr>
          <w:p>
            <w:pPr>
              <w:spacing w:after="0"/>
              <w:rPr>
                <w:sz w:val="20"/>
                <w:szCs w:val="20"/>
                <w:color w:val="auto"/>
              </w:rPr>
            </w:pPr>
            <w:r>
              <w:rPr>
                <w:rFonts w:ascii="Arial" w:cs="Arial" w:eastAsia="Arial" w:hAnsi="Arial"/>
                <w:sz w:val="16"/>
                <w:szCs w:val="16"/>
                <w:b w:val="1"/>
                <w:bCs w:val="1"/>
                <w:color w:val="auto"/>
              </w:rPr>
              <w:t>Non-GAAP Net income</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831</w:t>
            </w:r>
          </w:p>
        </w:tc>
        <w:tc>
          <w:tcPr>
            <w:tcW w:w="100" w:type="dxa"/>
            <w:vAlign w:val="bottom"/>
          </w:tcPr>
          <w:p>
            <w:pPr>
              <w:spacing w:after="0"/>
              <w:rPr>
                <w:sz w:val="21"/>
                <w:szCs w:val="21"/>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966</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6360" w:type="dxa"/>
            <w:vAlign w:val="bottom"/>
            <w:gridSpan w:val="3"/>
          </w:tcPr>
          <w:p>
            <w:pPr>
              <w:spacing w:after="0"/>
              <w:rPr>
                <w:sz w:val="20"/>
                <w:szCs w:val="20"/>
                <w:color w:val="auto"/>
              </w:rPr>
            </w:pPr>
            <w:r>
              <w:rPr>
                <w:rFonts w:ascii="Arial" w:cs="Arial" w:eastAsia="Arial" w:hAnsi="Arial"/>
                <w:sz w:val="16"/>
                <w:szCs w:val="16"/>
                <w:color w:val="auto"/>
              </w:rPr>
              <w:t>Basic earnings per common share</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0.09</w:t>
            </w:r>
          </w:p>
        </w:tc>
        <w:tc>
          <w:tcPr>
            <w:tcW w:w="100" w:type="dxa"/>
            <w:vAlign w:val="bottom"/>
          </w:tcPr>
          <w:p>
            <w:pPr>
              <w:spacing w:after="0"/>
              <w:rPr>
                <w:sz w:val="24"/>
                <w:szCs w:val="24"/>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0.11</w:t>
            </w:r>
          </w:p>
        </w:tc>
        <w:tc>
          <w:tcPr>
            <w:tcW w:w="0" w:type="dxa"/>
            <w:vAlign w:val="bottom"/>
          </w:tcPr>
          <w:p>
            <w:pPr>
              <w:spacing w:after="0"/>
              <w:rPr>
                <w:sz w:val="1"/>
                <w:szCs w:val="1"/>
                <w:color w:val="auto"/>
              </w:rPr>
            </w:pPr>
          </w:p>
        </w:tc>
      </w:tr>
      <w:tr>
        <w:trPr>
          <w:trHeight w:val="270"/>
        </w:trPr>
        <w:tc>
          <w:tcPr>
            <w:tcW w:w="6360" w:type="dxa"/>
            <w:vAlign w:val="bottom"/>
            <w:gridSpan w:val="3"/>
          </w:tcPr>
          <w:p>
            <w:pPr>
              <w:spacing w:after="0"/>
              <w:rPr>
                <w:sz w:val="20"/>
                <w:szCs w:val="20"/>
                <w:color w:val="auto"/>
              </w:rPr>
            </w:pPr>
            <w:r>
              <w:rPr>
                <w:rFonts w:ascii="Arial" w:cs="Arial" w:eastAsia="Arial" w:hAnsi="Arial"/>
                <w:sz w:val="16"/>
                <w:szCs w:val="16"/>
                <w:color w:val="auto"/>
              </w:rPr>
              <w:t>Diluted earnings per common share</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0.09</w:t>
            </w:r>
          </w:p>
        </w:tc>
        <w:tc>
          <w:tcPr>
            <w:tcW w:w="100" w:type="dxa"/>
            <w:vAlign w:val="bottom"/>
          </w:tcPr>
          <w:p>
            <w:pPr>
              <w:spacing w:after="0"/>
              <w:rPr>
                <w:sz w:val="23"/>
                <w:szCs w:val="23"/>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0.10</w:t>
            </w:r>
          </w:p>
        </w:tc>
        <w:tc>
          <w:tcPr>
            <w:tcW w:w="0" w:type="dxa"/>
            <w:vAlign w:val="bottom"/>
          </w:tcPr>
          <w:p>
            <w:pPr>
              <w:spacing w:after="0"/>
              <w:rPr>
                <w:sz w:val="1"/>
                <w:szCs w:val="1"/>
                <w:color w:val="auto"/>
              </w:rPr>
            </w:pPr>
          </w:p>
        </w:tc>
      </w:tr>
      <w:tr>
        <w:trPr>
          <w:trHeight w:val="594"/>
        </w:trPr>
        <w:tc>
          <w:tcPr>
            <w:tcW w:w="6360" w:type="dxa"/>
            <w:vAlign w:val="bottom"/>
            <w:gridSpan w:val="3"/>
          </w:tcPr>
          <w:p>
            <w:pPr>
              <w:spacing w:after="0"/>
              <w:rPr>
                <w:sz w:val="20"/>
                <w:szCs w:val="20"/>
                <w:color w:val="auto"/>
              </w:rPr>
            </w:pPr>
            <w:r>
              <w:rPr>
                <w:rFonts w:ascii="Arial" w:cs="Arial" w:eastAsia="Arial" w:hAnsi="Arial"/>
                <w:sz w:val="16"/>
                <w:szCs w:val="16"/>
                <w:color w:val="auto"/>
              </w:rPr>
              <w:t>Basic weighted average shares outstanding</w:t>
            </w: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9,082,546</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9,152,859</w:t>
            </w:r>
          </w:p>
        </w:tc>
        <w:tc>
          <w:tcPr>
            <w:tcW w:w="0" w:type="dxa"/>
            <w:vAlign w:val="bottom"/>
          </w:tcPr>
          <w:p>
            <w:pPr>
              <w:spacing w:after="0"/>
              <w:rPr>
                <w:sz w:val="1"/>
                <w:szCs w:val="1"/>
                <w:color w:val="auto"/>
              </w:rPr>
            </w:pPr>
          </w:p>
        </w:tc>
      </w:tr>
      <w:tr>
        <w:trPr>
          <w:trHeight w:val="270"/>
        </w:trPr>
        <w:tc>
          <w:tcPr>
            <w:tcW w:w="6360" w:type="dxa"/>
            <w:vAlign w:val="bottom"/>
            <w:gridSpan w:val="3"/>
          </w:tcPr>
          <w:p>
            <w:pPr>
              <w:spacing w:after="0"/>
              <w:rPr>
                <w:sz w:val="20"/>
                <w:szCs w:val="20"/>
                <w:color w:val="auto"/>
              </w:rPr>
            </w:pPr>
            <w:r>
              <w:rPr>
                <w:rFonts w:ascii="Arial" w:cs="Arial" w:eastAsia="Arial" w:hAnsi="Arial"/>
                <w:sz w:val="16"/>
                <w:szCs w:val="16"/>
                <w:color w:val="auto"/>
              </w:rPr>
              <w:t>Diluted weighted average shares outstanding</w:t>
            </w: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9,558,941</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9,394,181</w:t>
            </w:r>
          </w:p>
        </w:tc>
        <w:tc>
          <w:tcPr>
            <w:tcW w:w="0" w:type="dxa"/>
            <w:vAlign w:val="bottom"/>
          </w:tcPr>
          <w:p>
            <w:pPr>
              <w:spacing w:after="0"/>
              <w:rPr>
                <w:sz w:val="1"/>
                <w:szCs w:val="1"/>
                <w:color w:val="auto"/>
              </w:rPr>
            </w:pPr>
          </w:p>
        </w:tc>
      </w:tr>
      <w:tr>
        <w:trPr>
          <w:trHeight w:val="560"/>
        </w:trPr>
        <w:tc>
          <w:tcPr>
            <w:tcW w:w="6360" w:type="dxa"/>
            <w:vAlign w:val="bottom"/>
            <w:gridSpan w:val="3"/>
          </w:tcPr>
          <w:p>
            <w:pPr>
              <w:spacing w:after="0"/>
              <w:rPr>
                <w:sz w:val="20"/>
                <w:szCs w:val="20"/>
                <w:color w:val="auto"/>
              </w:rPr>
            </w:pPr>
            <w:r>
              <w:rPr>
                <w:rFonts w:ascii="Arial" w:cs="Arial" w:eastAsia="Arial" w:hAnsi="Arial"/>
                <w:sz w:val="16"/>
                <w:szCs w:val="16"/>
                <w:b w:val="1"/>
                <w:bCs w:val="1"/>
                <w:color w:val="auto"/>
              </w:rPr>
              <w:t>Reconciliation of GAAP Net Income to Non-GAAP Net Income</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4360" w:type="dxa"/>
            <w:vAlign w:val="bottom"/>
            <w:tcBorders>
              <w:top w:val="single" w:sz="8" w:color="auto"/>
            </w:tcBorders>
            <w:gridSpan w:val="2"/>
          </w:tcPr>
          <w:p>
            <w:pPr>
              <w:spacing w:after="0"/>
              <w:rPr>
                <w:sz w:val="20"/>
                <w:szCs w:val="20"/>
                <w:color w:val="auto"/>
              </w:rPr>
            </w:pPr>
            <w:r>
              <w:rPr>
                <w:rFonts w:ascii="Arial" w:cs="Arial" w:eastAsia="Arial" w:hAnsi="Arial"/>
                <w:sz w:val="16"/>
                <w:szCs w:val="16"/>
                <w:b w:val="1"/>
                <w:bCs w:val="1"/>
                <w:color w:val="auto"/>
              </w:rPr>
              <w:t>GAAP Net Income</w:t>
            </w:r>
          </w:p>
        </w:tc>
        <w:tc>
          <w:tcPr>
            <w:tcW w:w="2000" w:type="dxa"/>
            <w:vAlign w:val="bottom"/>
          </w:tcPr>
          <w:p>
            <w:pPr>
              <w:spacing w:after="0"/>
              <w:rPr>
                <w:sz w:val="24"/>
                <w:szCs w:val="24"/>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490</w:t>
            </w:r>
          </w:p>
        </w:tc>
        <w:tc>
          <w:tcPr>
            <w:tcW w:w="100" w:type="dxa"/>
            <w:vAlign w:val="bottom"/>
          </w:tcPr>
          <w:p>
            <w:pPr>
              <w:spacing w:after="0"/>
              <w:rPr>
                <w:sz w:val="24"/>
                <w:szCs w:val="24"/>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731</w:t>
            </w:r>
          </w:p>
        </w:tc>
        <w:tc>
          <w:tcPr>
            <w:tcW w:w="0" w:type="dxa"/>
            <w:vAlign w:val="bottom"/>
          </w:tcPr>
          <w:p>
            <w:pPr>
              <w:spacing w:after="0"/>
              <w:rPr>
                <w:sz w:val="1"/>
                <w:szCs w:val="1"/>
                <w:color w:val="auto"/>
              </w:rPr>
            </w:pPr>
          </w:p>
        </w:tc>
      </w:tr>
      <w:tr>
        <w:trPr>
          <w:trHeight w:val="270"/>
        </w:trPr>
        <w:tc>
          <w:tcPr>
            <w:tcW w:w="6360" w:type="dxa"/>
            <w:vAlign w:val="bottom"/>
            <w:gridSpan w:val="3"/>
          </w:tcPr>
          <w:p>
            <w:pPr>
              <w:spacing w:after="0"/>
              <w:rPr>
                <w:sz w:val="20"/>
                <w:szCs w:val="20"/>
                <w:color w:val="auto"/>
              </w:rPr>
            </w:pPr>
            <w:r>
              <w:rPr>
                <w:rFonts w:ascii="Arial" w:cs="Arial" w:eastAsia="Arial" w:hAnsi="Arial"/>
                <w:sz w:val="16"/>
                <w:szCs w:val="16"/>
                <w:b w:val="1"/>
                <w:bCs w:val="1"/>
                <w:color w:val="auto"/>
              </w:rPr>
              <w:t>Adjustments:</w:t>
            </w: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360" w:type="dxa"/>
            <w:vAlign w:val="bottom"/>
            <w:gridSpan w:val="3"/>
          </w:tcPr>
          <w:p>
            <w:pPr>
              <w:ind w:left="180"/>
              <w:spacing w:after="0"/>
              <w:rPr>
                <w:sz w:val="20"/>
                <w:szCs w:val="20"/>
                <w:color w:val="auto"/>
              </w:rPr>
            </w:pPr>
            <w:r>
              <w:rPr>
                <w:rFonts w:ascii="Arial" w:cs="Arial" w:eastAsia="Arial" w:hAnsi="Arial"/>
                <w:sz w:val="16"/>
                <w:szCs w:val="16"/>
                <w:color w:val="auto"/>
              </w:rPr>
              <w:t>Share-based compensation</w:t>
            </w: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84</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70"/>
        </w:trPr>
        <w:tc>
          <w:tcPr>
            <w:tcW w:w="6360" w:type="dxa"/>
            <w:vAlign w:val="bottom"/>
            <w:gridSpan w:val="3"/>
          </w:tcPr>
          <w:p>
            <w:pPr>
              <w:ind w:left="180"/>
              <w:spacing w:after="0"/>
              <w:rPr>
                <w:sz w:val="20"/>
                <w:szCs w:val="20"/>
                <w:color w:val="auto"/>
              </w:rPr>
            </w:pPr>
            <w:r>
              <w:rPr>
                <w:rFonts w:ascii="Arial" w:cs="Arial" w:eastAsia="Arial" w:hAnsi="Arial"/>
                <w:sz w:val="16"/>
                <w:szCs w:val="16"/>
                <w:color w:val="auto"/>
              </w:rPr>
              <w:t>Amortization of purchased intangibles</w:t>
            </w: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164</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143</w:t>
            </w:r>
          </w:p>
        </w:tc>
        <w:tc>
          <w:tcPr>
            <w:tcW w:w="0" w:type="dxa"/>
            <w:vAlign w:val="bottom"/>
          </w:tcPr>
          <w:p>
            <w:pPr>
              <w:spacing w:after="0"/>
              <w:rPr>
                <w:sz w:val="1"/>
                <w:szCs w:val="1"/>
                <w:color w:val="auto"/>
              </w:rPr>
            </w:pPr>
          </w:p>
        </w:tc>
      </w:tr>
      <w:tr>
        <w:trPr>
          <w:trHeight w:val="253"/>
        </w:trPr>
        <w:tc>
          <w:tcPr>
            <w:tcW w:w="6360" w:type="dxa"/>
            <w:vAlign w:val="bottom"/>
            <w:gridSpan w:val="3"/>
          </w:tcPr>
          <w:p>
            <w:pPr>
              <w:ind w:left="180"/>
              <w:spacing w:after="0"/>
              <w:rPr>
                <w:sz w:val="20"/>
                <w:szCs w:val="20"/>
                <w:color w:val="auto"/>
              </w:rPr>
            </w:pPr>
            <w:r>
              <w:rPr>
                <w:rFonts w:ascii="Arial" w:cs="Arial" w:eastAsia="Arial" w:hAnsi="Arial"/>
                <w:sz w:val="16"/>
                <w:szCs w:val="16"/>
                <w:color w:val="auto"/>
              </w:rPr>
              <w:t>Legal expenses for litigation relating to indemnification of former officers, theft of our</w:t>
            </w: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6360" w:type="dxa"/>
            <w:vAlign w:val="bottom"/>
            <w:gridSpan w:val="3"/>
          </w:tcPr>
          <w:p>
            <w:pPr>
              <w:ind w:left="420"/>
              <w:spacing w:after="0"/>
              <w:rPr>
                <w:sz w:val="20"/>
                <w:szCs w:val="20"/>
                <w:color w:val="auto"/>
              </w:rPr>
            </w:pPr>
            <w:r>
              <w:rPr>
                <w:rFonts w:ascii="Arial" w:cs="Arial" w:eastAsia="Arial" w:hAnsi="Arial"/>
                <w:sz w:val="16"/>
                <w:szCs w:val="16"/>
                <w:color w:val="auto"/>
              </w:rPr>
              <w:t>intellectual property claims and our claim for damages</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270"/>
        </w:trPr>
        <w:tc>
          <w:tcPr>
            <w:tcW w:w="6360" w:type="dxa"/>
            <w:vAlign w:val="bottom"/>
            <w:gridSpan w:val="3"/>
          </w:tcPr>
          <w:p>
            <w:pPr>
              <w:ind w:left="180"/>
              <w:spacing w:after="0"/>
              <w:rPr>
                <w:sz w:val="20"/>
                <w:szCs w:val="20"/>
                <w:color w:val="auto"/>
              </w:rPr>
            </w:pPr>
            <w:r>
              <w:rPr>
                <w:rFonts w:ascii="Arial" w:cs="Arial" w:eastAsia="Arial" w:hAnsi="Arial"/>
                <w:sz w:val="16"/>
                <w:szCs w:val="16"/>
                <w:color w:val="auto"/>
              </w:rPr>
              <w:t>Acquisition related expenses</w:t>
            </w: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341</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360" w:type="dxa"/>
            <w:vAlign w:val="bottom"/>
            <w:gridSpan w:val="3"/>
          </w:tcPr>
          <w:p>
            <w:pPr>
              <w:spacing w:after="0"/>
              <w:rPr>
                <w:sz w:val="20"/>
                <w:szCs w:val="20"/>
                <w:color w:val="auto"/>
              </w:rPr>
            </w:pPr>
            <w:r>
              <w:rPr>
                <w:rFonts w:ascii="Arial" w:cs="Arial" w:eastAsia="Arial" w:hAnsi="Arial"/>
                <w:sz w:val="16"/>
                <w:szCs w:val="16"/>
                <w:color w:val="auto"/>
              </w:rPr>
              <w:t>Total of adjustments before taxes</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618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339</w:t>
            </w:r>
          </w:p>
        </w:tc>
        <w:tc>
          <w:tcPr>
            <w:tcW w:w="0" w:type="dxa"/>
            <w:vAlign w:val="bottom"/>
          </w:tcPr>
          <w:p>
            <w:pPr>
              <w:spacing w:after="0"/>
              <w:rPr>
                <w:sz w:val="1"/>
                <w:szCs w:val="1"/>
                <w:color w:val="auto"/>
              </w:rPr>
            </w:pPr>
          </w:p>
        </w:tc>
      </w:tr>
      <w:tr>
        <w:trPr>
          <w:trHeight w:val="270"/>
        </w:trPr>
        <w:tc>
          <w:tcPr>
            <w:tcW w:w="6360" w:type="dxa"/>
            <w:vAlign w:val="bottom"/>
            <w:gridSpan w:val="3"/>
          </w:tcPr>
          <w:p>
            <w:pPr>
              <w:spacing w:after="0"/>
              <w:rPr>
                <w:sz w:val="20"/>
                <w:szCs w:val="20"/>
                <w:color w:val="auto"/>
              </w:rPr>
            </w:pPr>
            <w:r>
              <w:rPr>
                <w:rFonts w:ascii="Arial" w:cs="Arial" w:eastAsia="Arial" w:hAnsi="Arial"/>
                <w:sz w:val="16"/>
                <w:szCs w:val="16"/>
                <w:color w:val="auto"/>
              </w:rPr>
              <w:t>Income taxes affected by the above adjustments</w:t>
            </w: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277</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360" w:type="dxa"/>
            <w:vAlign w:val="bottom"/>
            <w:gridSpan w:val="3"/>
          </w:tcPr>
          <w:p>
            <w:pPr>
              <w:ind w:left="240"/>
              <w:spacing w:after="0"/>
              <w:rPr>
                <w:sz w:val="20"/>
                <w:szCs w:val="20"/>
                <w:color w:val="auto"/>
              </w:rPr>
            </w:pPr>
            <w:r>
              <w:rPr>
                <w:rFonts w:ascii="Arial" w:cs="Arial" w:eastAsia="Arial" w:hAnsi="Arial"/>
                <w:sz w:val="16"/>
                <w:szCs w:val="16"/>
                <w:color w:val="auto"/>
              </w:rPr>
              <w:t>Total adjustments</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341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235</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360" w:type="dxa"/>
            <w:vAlign w:val="bottom"/>
            <w:gridSpan w:val="3"/>
          </w:tcPr>
          <w:p>
            <w:pPr>
              <w:spacing w:after="0"/>
              <w:rPr>
                <w:sz w:val="20"/>
                <w:szCs w:val="20"/>
                <w:color w:val="auto"/>
              </w:rPr>
            </w:pPr>
            <w:r>
              <w:rPr>
                <w:rFonts w:ascii="Arial" w:cs="Arial" w:eastAsia="Arial" w:hAnsi="Arial"/>
                <w:sz w:val="16"/>
                <w:szCs w:val="16"/>
                <w:b w:val="1"/>
                <w:bCs w:val="1"/>
                <w:color w:val="auto"/>
              </w:rPr>
              <w:t>Non-GAAP Net Income</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831</w:t>
            </w:r>
          </w:p>
        </w:tc>
        <w:tc>
          <w:tcPr>
            <w:tcW w:w="100" w:type="dxa"/>
            <w:vAlign w:val="bottom"/>
          </w:tcPr>
          <w:p>
            <w:pPr>
              <w:spacing w:after="0"/>
              <w:rPr>
                <w:sz w:val="21"/>
                <w:szCs w:val="21"/>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966</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9360"/>
          </w:cols>
          <w:pgMar w:left="1280" w:top="585" w:right="1259" w:bottom="1440" w:gutter="0" w:footer="0" w:header="0"/>
        </w:sectPr>
      </w:pPr>
    </w:p>
    <w:bookmarkStart w:id="8" w:name="page9"/>
    <w:bookmarkEnd w:id="8"/>
    <w:p>
      <w:pPr>
        <w:jc w:val="center"/>
        <w:ind w:right="40"/>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ind w:right="40"/>
        <w:spacing w:after="0" w:line="255" w:lineRule="auto"/>
        <w:rPr>
          <w:sz w:val="20"/>
          <w:szCs w:val="20"/>
          <w:color w:val="auto"/>
        </w:rPr>
      </w:pPr>
      <w:r>
        <w:rPr>
          <w:rFonts w:ascii="Arial" w:cs="Arial" w:eastAsia="Arial" w:hAnsi="Arial"/>
          <w:sz w:val="18"/>
          <w:szCs w:val="18"/>
          <w:b w:val="1"/>
          <w:bCs w:val="1"/>
          <w:color w:val="auto"/>
        </w:rPr>
        <w:t xml:space="preserve">UNAUDITED RECONCILIATION OF GAAP NET INCOME TO NON-GAAP EBITDA AND NON-GAAP ADJUSTED EBITDA </w:t>
      </w:r>
      <w:r>
        <w:rPr>
          <w:rFonts w:ascii="Arial" w:cs="Arial" w:eastAsia="Arial" w:hAnsi="Arial"/>
          <w:sz w:val="18"/>
          <w:szCs w:val="18"/>
          <w:color w:val="auto"/>
        </w:rPr>
        <w:t>(Dollars in thousands, except per share values)</w:t>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0" w:type="dxa"/>
            <w:vAlign w:val="bottom"/>
          </w:tcPr>
          <w:p>
            <w:pPr>
              <w:spacing w:after="0"/>
              <w:rPr>
                <w:sz w:val="16"/>
                <w:szCs w:val="16"/>
                <w:color w:val="auto"/>
              </w:rPr>
            </w:pPr>
          </w:p>
        </w:tc>
        <w:tc>
          <w:tcPr>
            <w:tcW w:w="53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480"/>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40" w:type="dxa"/>
            <w:vAlign w:val="bottom"/>
          </w:tcPr>
          <w:p>
            <w:pPr>
              <w:spacing w:after="0"/>
              <w:rPr>
                <w:sz w:val="22"/>
                <w:szCs w:val="22"/>
                <w:color w:val="auto"/>
              </w:rPr>
            </w:pPr>
          </w:p>
        </w:tc>
        <w:tc>
          <w:tcPr>
            <w:tcW w:w="53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2013</w:t>
            </w:r>
          </w:p>
        </w:tc>
      </w:tr>
      <w:tr>
        <w:trPr>
          <w:trHeight w:val="223"/>
        </w:trPr>
        <w:tc>
          <w:tcPr>
            <w:tcW w:w="6160" w:type="dxa"/>
            <w:vAlign w:val="bottom"/>
            <w:gridSpan w:val="2"/>
          </w:tcPr>
          <w:p>
            <w:pPr>
              <w:spacing w:after="0"/>
              <w:rPr>
                <w:sz w:val="20"/>
                <w:szCs w:val="20"/>
                <w:color w:val="auto"/>
              </w:rPr>
            </w:pPr>
            <w:r>
              <w:rPr>
                <w:rFonts w:ascii="Arial" w:cs="Arial" w:eastAsia="Arial" w:hAnsi="Arial"/>
                <w:sz w:val="16"/>
                <w:szCs w:val="16"/>
                <w:color w:val="auto"/>
              </w:rPr>
              <w:t>GAAP net income</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490</w:t>
            </w:r>
          </w:p>
        </w:tc>
        <w:tc>
          <w:tcPr>
            <w:tcW w:w="100" w:type="dxa"/>
            <w:vAlign w:val="bottom"/>
          </w:tcPr>
          <w:p>
            <w:pPr>
              <w:spacing w:after="0"/>
              <w:rPr>
                <w:sz w:val="19"/>
                <w:szCs w:val="19"/>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731</w:t>
            </w:r>
          </w:p>
        </w:tc>
      </w:tr>
      <w:tr>
        <w:trPr>
          <w:trHeight w:val="263"/>
        </w:trPr>
        <w:tc>
          <w:tcPr>
            <w:tcW w:w="8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Adjustments:</w:t>
            </w:r>
          </w:p>
        </w:tc>
        <w:tc>
          <w:tcPr>
            <w:tcW w:w="53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58"/>
        </w:trPr>
        <w:tc>
          <w:tcPr>
            <w:tcW w:w="6160" w:type="dxa"/>
            <w:vAlign w:val="bottom"/>
            <w:gridSpan w:val="2"/>
          </w:tcPr>
          <w:p>
            <w:pPr>
              <w:spacing w:after="0"/>
              <w:rPr>
                <w:sz w:val="20"/>
                <w:szCs w:val="20"/>
                <w:color w:val="auto"/>
              </w:rPr>
            </w:pPr>
            <w:r>
              <w:rPr>
                <w:rFonts w:ascii="Arial" w:cs="Arial" w:eastAsia="Arial" w:hAnsi="Arial"/>
                <w:sz w:val="16"/>
                <w:szCs w:val="16"/>
                <w:color w:val="auto"/>
              </w:rPr>
              <w:t>Provision for income taxes</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352</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324</w:t>
            </w:r>
          </w:p>
        </w:tc>
      </w:tr>
      <w:tr>
        <w:trPr>
          <w:trHeight w:val="270"/>
        </w:trPr>
        <w:tc>
          <w:tcPr>
            <w:tcW w:w="6160" w:type="dxa"/>
            <w:vAlign w:val="bottom"/>
            <w:gridSpan w:val="2"/>
          </w:tcPr>
          <w:p>
            <w:pPr>
              <w:spacing w:after="0"/>
              <w:rPr>
                <w:sz w:val="20"/>
                <w:szCs w:val="20"/>
                <w:color w:val="auto"/>
              </w:rPr>
            </w:pPr>
            <w:r>
              <w:rPr>
                <w:rFonts w:ascii="Arial" w:cs="Arial" w:eastAsia="Arial" w:hAnsi="Arial"/>
                <w:sz w:val="16"/>
                <w:szCs w:val="16"/>
                <w:color w:val="auto"/>
              </w:rPr>
              <w:t>Depreciation and amortization</w:t>
            </w: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320</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323</w:t>
            </w:r>
          </w:p>
        </w:tc>
      </w:tr>
      <w:tr>
        <w:trPr>
          <w:trHeight w:val="33"/>
        </w:trPr>
        <w:tc>
          <w:tcPr>
            <w:tcW w:w="840" w:type="dxa"/>
            <w:vAlign w:val="bottom"/>
          </w:tcPr>
          <w:p>
            <w:pPr>
              <w:spacing w:after="0"/>
              <w:rPr>
                <w:sz w:val="2"/>
                <w:szCs w:val="2"/>
                <w:color w:val="auto"/>
              </w:rPr>
            </w:pPr>
          </w:p>
        </w:tc>
        <w:tc>
          <w:tcPr>
            <w:tcW w:w="53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8"/>
        </w:trPr>
        <w:tc>
          <w:tcPr>
            <w:tcW w:w="6160" w:type="dxa"/>
            <w:vAlign w:val="bottom"/>
            <w:gridSpan w:val="2"/>
          </w:tcPr>
          <w:p>
            <w:pPr>
              <w:spacing w:after="0"/>
              <w:rPr>
                <w:sz w:val="20"/>
                <w:szCs w:val="20"/>
                <w:color w:val="auto"/>
              </w:rPr>
            </w:pPr>
            <w:r>
              <w:rPr>
                <w:rFonts w:ascii="Arial" w:cs="Arial" w:eastAsia="Arial" w:hAnsi="Arial"/>
                <w:sz w:val="14"/>
                <w:szCs w:val="14"/>
                <w:b w:val="1"/>
                <w:bCs w:val="1"/>
                <w:color w:val="auto"/>
              </w:rPr>
              <w:t>Non-GAAP EBITDA</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1,162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1,378</w:t>
            </w:r>
          </w:p>
        </w:tc>
      </w:tr>
      <w:tr>
        <w:trPr>
          <w:trHeight w:val="249"/>
        </w:trPr>
        <w:tc>
          <w:tcPr>
            <w:tcW w:w="6160" w:type="dxa"/>
            <w:vAlign w:val="bottom"/>
            <w:gridSpan w:val="2"/>
          </w:tcPr>
          <w:p>
            <w:pPr>
              <w:spacing w:after="0"/>
              <w:rPr>
                <w:sz w:val="20"/>
                <w:szCs w:val="20"/>
                <w:color w:val="auto"/>
              </w:rPr>
            </w:pPr>
            <w:r>
              <w:rPr>
                <w:rFonts w:ascii="Arial" w:cs="Arial" w:eastAsia="Arial" w:hAnsi="Arial"/>
                <w:sz w:val="16"/>
                <w:szCs w:val="16"/>
                <w:color w:val="auto"/>
              </w:rPr>
              <w:t>Share-based compensation</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59</w:t>
            </w:r>
          </w:p>
        </w:tc>
      </w:tr>
      <w:tr>
        <w:trPr>
          <w:trHeight w:val="253"/>
        </w:trPr>
        <w:tc>
          <w:tcPr>
            <w:tcW w:w="6160" w:type="dxa"/>
            <w:vAlign w:val="bottom"/>
            <w:gridSpan w:val="2"/>
          </w:tcPr>
          <w:p>
            <w:pPr>
              <w:spacing w:after="0"/>
              <w:rPr>
                <w:sz w:val="20"/>
                <w:szCs w:val="20"/>
                <w:color w:val="auto"/>
              </w:rPr>
            </w:pPr>
            <w:r>
              <w:rPr>
                <w:rFonts w:ascii="Arial" w:cs="Arial" w:eastAsia="Arial" w:hAnsi="Arial"/>
                <w:sz w:val="16"/>
                <w:szCs w:val="16"/>
                <w:color w:val="auto"/>
              </w:rPr>
              <w:t>Legal expenses for litigation relating to indemnification of former officers, theft of our</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06"/>
        </w:trPr>
        <w:tc>
          <w:tcPr>
            <w:tcW w:w="6160" w:type="dxa"/>
            <w:vAlign w:val="bottom"/>
            <w:gridSpan w:val="2"/>
          </w:tcPr>
          <w:p>
            <w:pPr>
              <w:ind w:left="160"/>
              <w:spacing w:after="0"/>
              <w:rPr>
                <w:sz w:val="20"/>
                <w:szCs w:val="20"/>
                <w:color w:val="auto"/>
              </w:rPr>
            </w:pPr>
            <w:r>
              <w:rPr>
                <w:rFonts w:ascii="Arial" w:cs="Arial" w:eastAsia="Arial" w:hAnsi="Arial"/>
                <w:sz w:val="16"/>
                <w:szCs w:val="16"/>
                <w:color w:val="auto"/>
              </w:rPr>
              <w:t>intellectual property claims and our claim for damages</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89</w:t>
            </w:r>
          </w:p>
        </w:tc>
      </w:tr>
      <w:tr>
        <w:trPr>
          <w:trHeight w:val="270"/>
        </w:trPr>
        <w:tc>
          <w:tcPr>
            <w:tcW w:w="6160" w:type="dxa"/>
            <w:vAlign w:val="bottom"/>
            <w:gridSpan w:val="2"/>
          </w:tcPr>
          <w:p>
            <w:pPr>
              <w:spacing w:after="0"/>
              <w:rPr>
                <w:sz w:val="20"/>
                <w:szCs w:val="20"/>
                <w:color w:val="auto"/>
              </w:rPr>
            </w:pPr>
            <w:r>
              <w:rPr>
                <w:rFonts w:ascii="Arial" w:cs="Arial" w:eastAsia="Arial" w:hAnsi="Arial"/>
                <w:sz w:val="16"/>
                <w:szCs w:val="16"/>
                <w:color w:val="auto"/>
              </w:rPr>
              <w:t>Acquisition related expenses</w:t>
            </w: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341</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48</w:t>
            </w:r>
          </w:p>
        </w:tc>
      </w:tr>
      <w:tr>
        <w:trPr>
          <w:trHeight w:val="33"/>
        </w:trPr>
        <w:tc>
          <w:tcPr>
            <w:tcW w:w="840" w:type="dxa"/>
            <w:vAlign w:val="bottom"/>
          </w:tcPr>
          <w:p>
            <w:pPr>
              <w:spacing w:after="0"/>
              <w:rPr>
                <w:sz w:val="2"/>
                <w:szCs w:val="2"/>
                <w:color w:val="auto"/>
              </w:rPr>
            </w:pPr>
          </w:p>
        </w:tc>
        <w:tc>
          <w:tcPr>
            <w:tcW w:w="53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6160" w:type="dxa"/>
            <w:vAlign w:val="bottom"/>
            <w:gridSpan w:val="2"/>
          </w:tcPr>
          <w:p>
            <w:pPr>
              <w:spacing w:after="0"/>
              <w:rPr>
                <w:sz w:val="20"/>
                <w:szCs w:val="20"/>
                <w:color w:val="auto"/>
              </w:rPr>
            </w:pPr>
            <w:r>
              <w:rPr>
                <w:rFonts w:ascii="Arial" w:cs="Arial" w:eastAsia="Arial" w:hAnsi="Arial"/>
                <w:sz w:val="14"/>
                <w:szCs w:val="14"/>
                <w:b w:val="1"/>
                <w:bCs w:val="1"/>
                <w:color w:val="auto"/>
              </w:rPr>
              <w:t>Non-GAAP Adjusted EBITDA</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1,616</w:t>
            </w:r>
          </w:p>
        </w:tc>
        <w:tc>
          <w:tcPr>
            <w:tcW w:w="100" w:type="dxa"/>
            <w:vAlign w:val="bottom"/>
          </w:tcPr>
          <w:p>
            <w:pPr>
              <w:spacing w:after="0"/>
              <w:rPr>
                <w:sz w:val="21"/>
                <w:szCs w:val="21"/>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1,574</w:t>
            </w:r>
          </w:p>
        </w:tc>
      </w:tr>
      <w:tr>
        <w:trPr>
          <w:trHeight w:val="20"/>
        </w:trPr>
        <w:tc>
          <w:tcPr>
            <w:tcW w:w="84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542"/>
        </w:trPr>
        <w:tc>
          <w:tcPr>
            <w:tcW w:w="6160" w:type="dxa"/>
            <w:vAlign w:val="bottom"/>
            <w:gridSpan w:val="2"/>
          </w:tcPr>
          <w:p>
            <w:pPr>
              <w:spacing w:after="0"/>
              <w:rPr>
                <w:sz w:val="20"/>
                <w:szCs w:val="20"/>
                <w:color w:val="auto"/>
              </w:rPr>
            </w:pPr>
            <w:r>
              <w:rPr>
                <w:rFonts w:ascii="Arial" w:cs="Arial" w:eastAsia="Arial" w:hAnsi="Arial"/>
                <w:sz w:val="16"/>
                <w:szCs w:val="16"/>
                <w:color w:val="auto"/>
              </w:rPr>
              <w:t>Basic weighted average shares outstanding</w:t>
            </w:r>
          </w:p>
        </w:tc>
        <w:tc>
          <w:tcPr>
            <w:tcW w:w="3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9,082,546</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9,152,859</w:t>
            </w:r>
          </w:p>
        </w:tc>
      </w:tr>
      <w:tr>
        <w:trPr>
          <w:trHeight w:val="270"/>
        </w:trPr>
        <w:tc>
          <w:tcPr>
            <w:tcW w:w="6160" w:type="dxa"/>
            <w:vAlign w:val="bottom"/>
            <w:gridSpan w:val="2"/>
          </w:tcPr>
          <w:p>
            <w:pPr>
              <w:spacing w:after="0"/>
              <w:rPr>
                <w:sz w:val="20"/>
                <w:szCs w:val="20"/>
                <w:color w:val="auto"/>
              </w:rPr>
            </w:pPr>
            <w:r>
              <w:rPr>
                <w:rFonts w:ascii="Arial" w:cs="Arial" w:eastAsia="Arial" w:hAnsi="Arial"/>
                <w:sz w:val="16"/>
                <w:szCs w:val="16"/>
                <w:color w:val="auto"/>
              </w:rPr>
              <w:t>Diluted weighted average shares outstanding</w:t>
            </w: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9,558,941</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9,394,181</w:t>
            </w:r>
          </w:p>
        </w:tc>
      </w:tr>
      <w:tr>
        <w:trPr>
          <w:trHeight w:val="594"/>
        </w:trPr>
        <w:tc>
          <w:tcPr>
            <w:tcW w:w="6160" w:type="dxa"/>
            <w:vAlign w:val="bottom"/>
            <w:gridSpan w:val="2"/>
          </w:tcPr>
          <w:p>
            <w:pPr>
              <w:spacing w:after="0"/>
              <w:rPr>
                <w:sz w:val="20"/>
                <w:szCs w:val="20"/>
                <w:color w:val="auto"/>
              </w:rPr>
            </w:pPr>
            <w:r>
              <w:rPr>
                <w:rFonts w:ascii="Arial" w:cs="Arial" w:eastAsia="Arial" w:hAnsi="Arial"/>
                <w:sz w:val="16"/>
                <w:szCs w:val="16"/>
                <w:color w:val="auto"/>
              </w:rPr>
              <w:t>Basic Non-GAAP Adjusted EBITDA per common share</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0.18</w:t>
            </w:r>
          </w:p>
        </w:tc>
        <w:tc>
          <w:tcPr>
            <w:tcW w:w="100" w:type="dxa"/>
            <w:vAlign w:val="bottom"/>
          </w:tcPr>
          <w:p>
            <w:pPr>
              <w:spacing w:after="0"/>
              <w:rPr>
                <w:sz w:val="24"/>
                <w:szCs w:val="24"/>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0.17</w:t>
            </w:r>
          </w:p>
        </w:tc>
      </w:tr>
      <w:tr>
        <w:trPr>
          <w:trHeight w:val="270"/>
        </w:trPr>
        <w:tc>
          <w:tcPr>
            <w:tcW w:w="6160" w:type="dxa"/>
            <w:vAlign w:val="bottom"/>
            <w:gridSpan w:val="2"/>
          </w:tcPr>
          <w:p>
            <w:pPr>
              <w:spacing w:after="0"/>
              <w:rPr>
                <w:sz w:val="20"/>
                <w:szCs w:val="20"/>
                <w:color w:val="auto"/>
              </w:rPr>
            </w:pPr>
            <w:r>
              <w:rPr>
                <w:rFonts w:ascii="Arial" w:cs="Arial" w:eastAsia="Arial" w:hAnsi="Arial"/>
                <w:sz w:val="16"/>
                <w:szCs w:val="16"/>
                <w:color w:val="auto"/>
              </w:rPr>
              <w:t>Diluted Non-GAAP Adjusted EBITDA per common share</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0.17</w:t>
            </w:r>
          </w:p>
        </w:tc>
        <w:tc>
          <w:tcPr>
            <w:tcW w:w="100" w:type="dxa"/>
            <w:vAlign w:val="bottom"/>
          </w:tcPr>
          <w:p>
            <w:pPr>
              <w:spacing w:after="0"/>
              <w:rPr>
                <w:sz w:val="23"/>
                <w:szCs w:val="23"/>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0.17</w:t>
            </w:r>
          </w:p>
        </w:tc>
      </w:tr>
    </w:tbl>
    <w:p>
      <w:pPr>
        <w:spacing w:after="0" w:line="1" w:lineRule="exact"/>
        <w:rPr>
          <w:sz w:val="20"/>
          <w:szCs w:val="20"/>
          <w:color w:val="auto"/>
        </w:rPr>
      </w:pPr>
    </w:p>
    <w:sectPr>
      <w:pgSz w:w="11900" w:h="16838" w:orient="portrait"/>
      <w:cols w:equalWidth="0" w:num="1">
        <w:col w:w="9220"/>
      </w:cols>
      <w:pgMar w:left="1360" w:top="580" w:right="1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2019-12-06T02:18:20Z</dcterms:created>
  <dcterms:modified xsi:type="dcterms:W3CDTF">2019-12-06T02:18:20Z</dcterms:modified>
</cp:coreProperties>
</file>