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No.8)</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ClearOne Communications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185060100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2009</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909,126</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909,126</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10.18%</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ClearOne Communications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Courier New" w:cs="Courier New" w:eastAsia="Courier New" w:hAnsi="Courier New"/>
                <w:sz w:val="18"/>
                <w:szCs w:val="18"/>
                <w:color w:val="auto"/>
              </w:rPr>
              <w:t>1825</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Research Way</w:t>
            </w:r>
          </w:p>
        </w:tc>
        <w:tc>
          <w:tcPr>
            <w:tcW w:w="5580" w:type="dxa"/>
            <w:vAlign w:val="bottom"/>
          </w:tcPr>
          <w:p>
            <w:pPr>
              <w:spacing w:after="0"/>
              <w:rPr>
                <w:sz w:val="17"/>
                <w:szCs w:val="17"/>
                <w:color w:val="auto"/>
              </w:rPr>
            </w:pPr>
          </w:p>
        </w:tc>
      </w:tr>
      <w:tr>
        <w:trPr>
          <w:trHeight w:val="203"/>
        </w:trPr>
        <w:tc>
          <w:tcPr>
            <w:tcW w:w="2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Salt Lake, UT   84119</w:t>
            </w:r>
          </w:p>
        </w:tc>
        <w:tc>
          <w:tcPr>
            <w:tcW w:w="558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185060100</w:t>
            </w:r>
          </w:p>
        </w:tc>
        <w:tc>
          <w:tcPr>
            <w:tcW w:w="126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2(b), check</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909,126</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10.18%</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909,126</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909,126</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3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3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Behalf of Another Person .</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519"/>
        <w:spacing w:after="0" w:line="275" w:lineRule="auto"/>
        <w:rPr>
          <w:sz w:val="20"/>
          <w:szCs w:val="20"/>
          <w:color w:val="auto"/>
        </w:rPr>
      </w:pPr>
      <w:r>
        <w:rPr>
          <w:rFonts w:ascii="Courier New" w:cs="Courier New" w:eastAsia="Courier New" w:hAnsi="Courier New"/>
          <w:sz w:val="16"/>
          <w:szCs w:val="16"/>
          <w:color w:val="auto"/>
        </w:rPr>
        <w:t>The interest of one account, Royce Opportunity Fund an investment company registered under the Investment Company Act of 1940 and managed by Royce &amp; Associates, LLC, amounted to 699,862 shares or 7.84%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185060100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22,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2019-12-10T09:02:54Z</dcterms:created>
  <dcterms:modified xsi:type="dcterms:W3CDTF">2019-12-10T09:02:54Z</dcterms:modified>
</cp:coreProperties>
</file>