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February 27, 2013</w:t>
      </w: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ClearOne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32" w:lineRule="exact"/>
        <w:rPr>
          <w:sz w:val="24"/>
          <w:szCs w:val="24"/>
          <w:color w:val="auto"/>
        </w:rPr>
      </w:pPr>
    </w:p>
    <w:tbl>
      <w:tblPr>
        <w:tblLayout w:type="fixed"/>
        <w:tblInd w:w="10" w:type="dxa"/>
        <w:tblCellMar>
          <w:top w:w="0" w:type="dxa"/>
          <w:left w:w="0" w:type="dxa"/>
          <w:bottom w:w="0" w:type="dxa"/>
          <w:right w:w="0" w:type="dxa"/>
        </w:tblCellMar>
      </w:tblPr>
      <w:tr>
        <w:trPr>
          <w:trHeight w:val="277"/>
        </w:trPr>
        <w:tc>
          <w:tcPr>
            <w:tcW w:w="5240" w:type="dxa"/>
            <w:vAlign w:val="bottom"/>
            <w:tcBorders>
              <w:top w:val="single" w:sz="8" w:color="808080"/>
              <w:left w:val="single" w:sz="8" w:color="808080"/>
              <w:bottom w:val="single" w:sz="8" w:color="auto"/>
            </w:tcBorders>
          </w:tcPr>
          <w:p>
            <w:pPr>
              <w:jc w:val="right"/>
              <w:ind w:right="2130"/>
              <w:spacing w:after="0"/>
              <w:rPr>
                <w:sz w:val="20"/>
                <w:szCs w:val="20"/>
                <w:color w:val="auto"/>
              </w:rPr>
            </w:pPr>
            <w:r>
              <w:rPr>
                <w:rFonts w:ascii="Arial" w:cs="Arial" w:eastAsia="Arial" w:hAnsi="Arial"/>
                <w:sz w:val="18"/>
                <w:szCs w:val="18"/>
                <w:b w:val="1"/>
                <w:bCs w:val="1"/>
                <w:color w:val="auto"/>
              </w:rPr>
              <w:t>001-33660</w:t>
            </w:r>
          </w:p>
        </w:tc>
        <w:tc>
          <w:tcPr>
            <w:tcW w:w="520" w:type="dxa"/>
            <w:vAlign w:val="bottom"/>
            <w:tcBorders>
              <w:top w:val="single" w:sz="8" w:color="808080"/>
            </w:tcBorders>
          </w:tcPr>
          <w:p>
            <w:pPr>
              <w:spacing w:after="0"/>
              <w:rPr>
                <w:sz w:val="24"/>
                <w:szCs w:val="24"/>
                <w:color w:val="auto"/>
              </w:rPr>
            </w:pPr>
          </w:p>
        </w:tc>
        <w:tc>
          <w:tcPr>
            <w:tcW w:w="4720" w:type="dxa"/>
            <w:vAlign w:val="bottom"/>
            <w:tcBorders>
              <w:top w:val="single" w:sz="8" w:color="808080"/>
              <w:bottom w:val="single" w:sz="8" w:color="auto"/>
              <w:right w:val="single" w:sz="8" w:color="808080"/>
            </w:tcBorders>
            <w:gridSpan w:val="3"/>
          </w:tcPr>
          <w:p>
            <w:pPr>
              <w:jc w:val="center"/>
              <w:spacing w:after="0"/>
              <w:rPr>
                <w:sz w:val="20"/>
                <w:szCs w:val="20"/>
                <w:color w:val="auto"/>
              </w:rPr>
            </w:pPr>
            <w:r>
              <w:rPr>
                <w:rFonts w:ascii="Arial" w:cs="Arial" w:eastAsia="Arial" w:hAnsi="Arial"/>
                <w:sz w:val="18"/>
                <w:szCs w:val="18"/>
                <w:b w:val="1"/>
                <w:bCs w:val="1"/>
                <w:color w:val="auto"/>
                <w:w w:val="91"/>
              </w:rPr>
              <w:t>87-0398877</w:t>
            </w:r>
          </w:p>
        </w:tc>
      </w:tr>
      <w:tr>
        <w:trPr>
          <w:trHeight w:val="202"/>
        </w:trPr>
        <w:tc>
          <w:tcPr>
            <w:tcW w:w="5240" w:type="dxa"/>
            <w:vAlign w:val="bottom"/>
            <w:tcBorders>
              <w:left w:val="single" w:sz="8" w:color="808080"/>
            </w:tcBorders>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520" w:type="dxa"/>
            <w:vAlign w:val="bottom"/>
          </w:tcPr>
          <w:p>
            <w:pPr>
              <w:spacing w:after="0"/>
              <w:rPr>
                <w:sz w:val="17"/>
                <w:szCs w:val="17"/>
                <w:color w:val="auto"/>
              </w:rPr>
            </w:pPr>
          </w:p>
        </w:tc>
        <w:tc>
          <w:tcPr>
            <w:tcW w:w="4720" w:type="dxa"/>
            <w:vAlign w:val="bottom"/>
            <w:tcBorders>
              <w:right w:val="single" w:sz="8" w:color="808080"/>
            </w:tcBorders>
            <w:gridSpan w:val="3"/>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51"/>
        </w:trPr>
        <w:tc>
          <w:tcPr>
            <w:tcW w:w="5240" w:type="dxa"/>
            <w:vAlign w:val="bottom"/>
            <w:tcBorders>
              <w:left w:val="single" w:sz="8" w:color="808080"/>
              <w:bottom w:val="single" w:sz="8" w:color="808080"/>
            </w:tcBorders>
          </w:tcPr>
          <w:p>
            <w:pPr>
              <w:spacing w:after="0"/>
              <w:rPr>
                <w:sz w:val="21"/>
                <w:szCs w:val="21"/>
                <w:color w:val="auto"/>
              </w:rPr>
            </w:pPr>
          </w:p>
        </w:tc>
        <w:tc>
          <w:tcPr>
            <w:tcW w:w="520" w:type="dxa"/>
            <w:vAlign w:val="bottom"/>
            <w:tcBorders>
              <w:bottom w:val="single" w:sz="8" w:color="808080"/>
            </w:tcBorders>
          </w:tcPr>
          <w:p>
            <w:pPr>
              <w:spacing w:after="0"/>
              <w:rPr>
                <w:sz w:val="21"/>
                <w:szCs w:val="21"/>
                <w:color w:val="auto"/>
              </w:rPr>
            </w:pPr>
          </w:p>
        </w:tc>
        <w:tc>
          <w:tcPr>
            <w:tcW w:w="4720" w:type="dxa"/>
            <w:vAlign w:val="bottom"/>
            <w:tcBorders>
              <w:bottom w:val="single" w:sz="8" w:color="808080"/>
              <w:right w:val="single" w:sz="8" w:color="808080"/>
            </w:tcBorders>
            <w:gridSpan w:val="3"/>
          </w:tcPr>
          <w:p>
            <w:pPr>
              <w:jc w:val="center"/>
              <w:spacing w:after="0"/>
              <w:rPr>
                <w:sz w:val="20"/>
                <w:szCs w:val="20"/>
                <w:color w:val="auto"/>
              </w:rPr>
            </w:pPr>
            <w:r>
              <w:rPr>
                <w:rFonts w:ascii="Arial" w:cs="Arial" w:eastAsia="Arial" w:hAnsi="Arial"/>
                <w:sz w:val="18"/>
                <w:szCs w:val="18"/>
                <w:color w:val="auto"/>
                <w:w w:val="92"/>
              </w:rPr>
              <w:t>identification number)</w:t>
            </w:r>
          </w:p>
        </w:tc>
      </w:tr>
      <w:tr>
        <w:trPr>
          <w:trHeight w:val="264"/>
        </w:trPr>
        <w:tc>
          <w:tcPr>
            <w:tcW w:w="5760" w:type="dxa"/>
            <w:vAlign w:val="bottom"/>
            <w:tcBorders>
              <w:bottom w:val="single" w:sz="8" w:color="808080"/>
            </w:tcBorders>
            <w:gridSpan w:val="2"/>
          </w:tcPr>
          <w:p>
            <w:pPr>
              <w:spacing w:after="0"/>
              <w:rPr>
                <w:sz w:val="22"/>
                <w:szCs w:val="22"/>
                <w:color w:val="auto"/>
              </w:rPr>
            </w:pPr>
          </w:p>
        </w:tc>
        <w:tc>
          <w:tcPr>
            <w:tcW w:w="1800" w:type="dxa"/>
            <w:vAlign w:val="bottom"/>
            <w:tcBorders>
              <w:bottom w:val="single" w:sz="8" w:color="808080"/>
            </w:tcBorders>
          </w:tcPr>
          <w:p>
            <w:pPr>
              <w:spacing w:after="0"/>
              <w:rPr>
                <w:sz w:val="22"/>
                <w:szCs w:val="22"/>
                <w:color w:val="auto"/>
              </w:rPr>
            </w:pPr>
          </w:p>
        </w:tc>
        <w:tc>
          <w:tcPr>
            <w:tcW w:w="440" w:type="dxa"/>
            <w:vAlign w:val="bottom"/>
            <w:tcBorders>
              <w:bottom w:val="single" w:sz="8" w:color="808080"/>
            </w:tcBorders>
          </w:tcPr>
          <w:p>
            <w:pPr>
              <w:spacing w:after="0"/>
              <w:rPr>
                <w:sz w:val="22"/>
                <w:szCs w:val="22"/>
                <w:color w:val="auto"/>
              </w:rPr>
            </w:pPr>
          </w:p>
        </w:tc>
        <w:tc>
          <w:tcPr>
            <w:tcW w:w="2480" w:type="dxa"/>
            <w:vAlign w:val="bottom"/>
            <w:tcBorders>
              <w:bottom w:val="single" w:sz="8" w:color="808080"/>
            </w:tcBorders>
          </w:tcPr>
          <w:p>
            <w:pPr>
              <w:spacing w:after="0"/>
              <w:rPr>
                <w:sz w:val="22"/>
                <w:szCs w:val="22"/>
                <w:color w:val="auto"/>
              </w:rPr>
            </w:pPr>
          </w:p>
        </w:tc>
      </w:tr>
      <w:tr>
        <w:trPr>
          <w:trHeight w:val="198"/>
        </w:trPr>
        <w:tc>
          <w:tcPr>
            <w:tcW w:w="5760" w:type="dxa"/>
            <w:vAlign w:val="bottom"/>
            <w:tcBorders>
              <w:left w:val="single" w:sz="8" w:color="808080"/>
            </w:tcBorders>
            <w:gridSpan w:val="2"/>
          </w:tcPr>
          <w:p>
            <w:pPr>
              <w:jc w:val="center"/>
              <w:ind w:left="1750"/>
              <w:spacing w:after="0" w:line="198" w:lineRule="exact"/>
              <w:rPr>
                <w:sz w:val="20"/>
                <w:szCs w:val="20"/>
                <w:color w:val="auto"/>
              </w:rPr>
            </w:pPr>
            <w:r>
              <w:rPr>
                <w:rFonts w:ascii="Arial" w:cs="Arial" w:eastAsia="Arial" w:hAnsi="Arial"/>
                <w:sz w:val="18"/>
                <w:szCs w:val="18"/>
                <w:b w:val="1"/>
                <w:bCs w:val="1"/>
                <w:color w:val="auto"/>
                <w:w w:val="89"/>
              </w:rPr>
              <w:t>5225 Wiley Post Way, Suite 500</w:t>
            </w:r>
          </w:p>
        </w:tc>
        <w:tc>
          <w:tcPr>
            <w:tcW w:w="1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80" w:type="dxa"/>
            <w:vAlign w:val="bottom"/>
            <w:tcBorders>
              <w:right w:val="single" w:sz="8" w:color="808080"/>
            </w:tcBorders>
          </w:tcPr>
          <w:p>
            <w:pPr>
              <w:spacing w:after="0"/>
              <w:rPr>
                <w:sz w:val="17"/>
                <w:szCs w:val="17"/>
                <w:color w:val="auto"/>
              </w:rPr>
            </w:pPr>
          </w:p>
        </w:tc>
      </w:tr>
      <w:tr>
        <w:trPr>
          <w:trHeight w:val="268"/>
        </w:trPr>
        <w:tc>
          <w:tcPr>
            <w:tcW w:w="5760" w:type="dxa"/>
            <w:vAlign w:val="bottom"/>
            <w:tcBorders>
              <w:left w:val="single" w:sz="8" w:color="808080"/>
            </w:tcBorders>
            <w:gridSpan w:val="2"/>
          </w:tcPr>
          <w:p>
            <w:pPr>
              <w:jc w:val="center"/>
              <w:ind w:left="1750"/>
              <w:spacing w:after="0"/>
              <w:rPr>
                <w:sz w:val="20"/>
                <w:szCs w:val="20"/>
                <w:color w:val="auto"/>
              </w:rPr>
            </w:pPr>
            <w:r>
              <w:rPr>
                <w:rFonts w:ascii="Arial" w:cs="Arial" w:eastAsia="Arial" w:hAnsi="Arial"/>
                <w:sz w:val="18"/>
                <w:szCs w:val="18"/>
                <w:b w:val="1"/>
                <w:bCs w:val="1"/>
                <w:color w:val="auto"/>
                <w:w w:val="92"/>
              </w:rPr>
              <w:t>Salt Lake City, Utah</w:t>
            </w:r>
          </w:p>
        </w:tc>
        <w:tc>
          <w:tcPr>
            <w:tcW w:w="4720" w:type="dxa"/>
            <w:vAlign w:val="bottom"/>
            <w:tcBorders>
              <w:right w:val="single" w:sz="8" w:color="808080"/>
            </w:tcBorders>
            <w:gridSpan w:val="3"/>
          </w:tcPr>
          <w:p>
            <w:pPr>
              <w:jc w:val="right"/>
              <w:ind w:right="950"/>
              <w:spacing w:after="0"/>
              <w:rPr>
                <w:sz w:val="20"/>
                <w:szCs w:val="20"/>
                <w:color w:val="auto"/>
              </w:rPr>
            </w:pPr>
            <w:r>
              <w:rPr>
                <w:rFonts w:ascii="Arial" w:cs="Arial" w:eastAsia="Arial" w:hAnsi="Arial"/>
                <w:sz w:val="18"/>
                <w:szCs w:val="18"/>
                <w:b w:val="1"/>
                <w:bCs w:val="1"/>
                <w:color w:val="auto"/>
              </w:rPr>
              <w:t>84116</w:t>
            </w:r>
          </w:p>
        </w:tc>
      </w:tr>
      <w:tr>
        <w:trPr>
          <w:trHeight w:val="250"/>
        </w:trPr>
        <w:tc>
          <w:tcPr>
            <w:tcW w:w="5760" w:type="dxa"/>
            <w:vAlign w:val="bottom"/>
            <w:tcBorders>
              <w:top w:val="single" w:sz="8" w:color="auto"/>
              <w:left w:val="single" w:sz="8" w:color="808080"/>
              <w:bottom w:val="single" w:sz="8" w:color="808080"/>
            </w:tcBorders>
            <w:gridSpan w:val="2"/>
          </w:tcPr>
          <w:p>
            <w:pPr>
              <w:jc w:val="center"/>
              <w:ind w:left="1730"/>
              <w:spacing w:after="0"/>
              <w:rPr>
                <w:sz w:val="20"/>
                <w:szCs w:val="20"/>
                <w:color w:val="auto"/>
              </w:rPr>
            </w:pPr>
            <w:r>
              <w:rPr>
                <w:rFonts w:ascii="Arial" w:cs="Arial" w:eastAsia="Arial" w:hAnsi="Arial"/>
                <w:sz w:val="18"/>
                <w:szCs w:val="18"/>
                <w:color w:val="auto"/>
                <w:w w:val="92"/>
              </w:rPr>
              <w:t>(Address of principal executive offices)</w:t>
            </w:r>
          </w:p>
        </w:tc>
        <w:tc>
          <w:tcPr>
            <w:tcW w:w="1800" w:type="dxa"/>
            <w:vAlign w:val="bottom"/>
            <w:tcBorders>
              <w:top w:val="single" w:sz="8" w:color="auto"/>
              <w:bottom w:val="single" w:sz="8" w:color="808080"/>
            </w:tcBorders>
          </w:tcPr>
          <w:p>
            <w:pPr>
              <w:spacing w:after="0"/>
              <w:rPr>
                <w:sz w:val="21"/>
                <w:szCs w:val="21"/>
                <w:color w:val="auto"/>
              </w:rPr>
            </w:pPr>
          </w:p>
        </w:tc>
        <w:tc>
          <w:tcPr>
            <w:tcW w:w="440" w:type="dxa"/>
            <w:vAlign w:val="bottom"/>
            <w:tcBorders>
              <w:bottom w:val="single" w:sz="8" w:color="808080"/>
            </w:tcBorders>
          </w:tcPr>
          <w:p>
            <w:pPr>
              <w:spacing w:after="0"/>
              <w:rPr>
                <w:sz w:val="21"/>
                <w:szCs w:val="21"/>
                <w:color w:val="auto"/>
              </w:rPr>
            </w:pPr>
          </w:p>
        </w:tc>
        <w:tc>
          <w:tcPr>
            <w:tcW w:w="2480" w:type="dxa"/>
            <w:vAlign w:val="bottom"/>
            <w:tcBorders>
              <w:top w:val="single" w:sz="8" w:color="auto"/>
              <w:bottom w:val="single" w:sz="8" w:color="808080"/>
              <w:right w:val="single" w:sz="8" w:color="808080"/>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(801) 975-7200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1280" w:type="dxa"/>
            <w:vAlign w:val="bottom"/>
            <w:gridSpan w:val="2"/>
          </w:tcPr>
          <w:p>
            <w:pPr>
              <w:ind w:left="60"/>
              <w:spacing w:after="0"/>
              <w:rPr>
                <w:sz w:val="20"/>
                <w:szCs w:val="20"/>
                <w:color w:val="auto"/>
              </w:rPr>
            </w:pPr>
            <w:r>
              <w:rPr>
                <w:rFonts w:ascii="Arial" w:cs="Arial" w:eastAsia="Arial" w:hAnsi="Arial"/>
                <w:sz w:val="18"/>
                <w:szCs w:val="18"/>
                <w:color w:val="auto"/>
              </w:rPr>
              <w:t>] Written communications pursuant to Rule 425 under the Securities Act (17 CFR 230.425)</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1120" w:type="dxa"/>
            <w:vAlign w:val="bottom"/>
          </w:tcPr>
          <w:p>
            <w:pPr>
              <w:ind w:left="6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1280" w:type="dxa"/>
            <w:vAlign w:val="bottom"/>
            <w:gridSpan w:val="2"/>
          </w:tcPr>
          <w:p>
            <w:pPr>
              <w:ind w:left="60"/>
              <w:spacing w:after="0"/>
              <w:rPr>
                <w:sz w:val="20"/>
                <w:szCs w:val="20"/>
                <w:color w:val="auto"/>
              </w:rPr>
            </w:pPr>
            <w:r>
              <w:rPr>
                <w:rFonts w:ascii="Arial" w:cs="Arial" w:eastAsia="Arial" w:hAnsi="Arial"/>
                <w:sz w:val="18"/>
                <w:szCs w:val="18"/>
                <w:color w:val="auto"/>
              </w:rPr>
              <w:t>] Pre-commencement communications pursuant to Rule 14d-2(b) under the Exchange Act (17 CFR 240.14d-2(b))</w:t>
            </w:r>
          </w:p>
        </w:tc>
      </w:t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1120" w:type="dxa"/>
            <w:vAlign w:val="bottom"/>
          </w:tcPr>
          <w:p>
            <w:pPr>
              <w:ind w:left="60"/>
              <w:spacing w:after="0"/>
              <w:rPr>
                <w:sz w:val="20"/>
                <w:szCs w:val="20"/>
                <w:color w:val="auto"/>
              </w:rPr>
            </w:pPr>
            <w:r>
              <w:rPr>
                <w:rFonts w:ascii="Arial" w:cs="Arial" w:eastAsia="Arial" w:hAnsi="Arial"/>
                <w:sz w:val="18"/>
                <w:szCs w:val="18"/>
                <w:color w:val="auto"/>
              </w:rPr>
              <w:t>Pre-commencement communication pursuant to Rule 13e-4(c) under the Exchange Act (17 CFR 240.13e-4(c))</w:t>
            </w:r>
          </w:p>
        </w:tc>
      </w:tr>
      <w:tr>
        <w:trPr>
          <w:trHeight w:val="358"/>
        </w:trPr>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1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4"/>
          <w:szCs w:val="24"/>
          <w:color w:val="auto"/>
        </w:rPr>
      </w:pPr>
    </w:p>
    <w:p>
      <w:pPr>
        <w:ind w:right="280" w:firstLine="720"/>
        <w:spacing w:after="0" w:line="277" w:lineRule="auto"/>
        <w:rPr>
          <w:sz w:val="20"/>
          <w:szCs w:val="20"/>
          <w:color w:val="auto"/>
        </w:rPr>
      </w:pPr>
      <w:r>
        <w:rPr>
          <w:rFonts w:ascii="Arial" w:cs="Arial" w:eastAsia="Arial" w:hAnsi="Arial"/>
          <w:sz w:val="18"/>
          <w:szCs w:val="18"/>
          <w:color w:val="auto"/>
        </w:rPr>
        <w:t>On February 27, 2013, ClearOne Inc. issued a press release announcing its financial results for the three and twelve months ended December 31, 2012. The full text of the press release is attached as Exhibit 99.1</w:t>
      </w:r>
    </w:p>
    <w:p>
      <w:pPr>
        <w:spacing w:after="0" w:line="19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(d) Exhibits.</w:t>
      </w:r>
    </w:p>
    <w:p>
      <w:pPr>
        <w:spacing w:after="0" w:line="260" w:lineRule="exact"/>
        <w:rPr>
          <w:sz w:val="24"/>
          <w:szCs w:val="24"/>
          <w:color w:val="auto"/>
        </w:rPr>
      </w:pPr>
    </w:p>
    <w:tbl>
      <w:tblPr>
        <w:tblLayout w:type="fixed"/>
        <w:tblInd w:w="10" w:type="dxa"/>
        <w:tblCellMar>
          <w:top w:w="0" w:type="dxa"/>
          <w:left w:w="0" w:type="dxa"/>
          <w:bottom w:w="0" w:type="dxa"/>
          <w:right w:w="0" w:type="dxa"/>
        </w:tblCellMar>
      </w:tblPr>
      <w:tr>
        <w:trPr>
          <w:trHeight w:val="284"/>
        </w:trPr>
        <w:tc>
          <w:tcPr>
            <w:tcW w:w="1280" w:type="dxa"/>
            <w:vAlign w:val="bottom"/>
            <w:tcBorders>
              <w:top w:val="single" w:sz="8" w:color="808080"/>
              <w:left w:val="single" w:sz="8" w:color="808080"/>
              <w:bottom w:val="single" w:sz="8" w:color="auto"/>
            </w:tcBorders>
          </w:tcPr>
          <w:p>
            <w:pPr>
              <w:ind w:left="40"/>
              <w:spacing w:after="0"/>
              <w:rPr>
                <w:sz w:val="20"/>
                <w:szCs w:val="20"/>
                <w:color w:val="auto"/>
              </w:rPr>
            </w:pPr>
            <w:r>
              <w:rPr>
                <w:rFonts w:ascii="Arial" w:cs="Arial" w:eastAsia="Arial" w:hAnsi="Arial"/>
                <w:sz w:val="14"/>
                <w:szCs w:val="14"/>
                <w:b w:val="1"/>
                <w:bCs w:val="1"/>
                <w:color w:val="auto"/>
              </w:rPr>
              <w:t>Exhibit No.</w:t>
            </w:r>
          </w:p>
        </w:tc>
        <w:tc>
          <w:tcPr>
            <w:tcW w:w="260" w:type="dxa"/>
            <w:vAlign w:val="bottom"/>
            <w:tcBorders>
              <w:top w:val="single" w:sz="8" w:color="808080"/>
            </w:tcBorders>
          </w:tcPr>
          <w:p>
            <w:pPr>
              <w:spacing w:after="0"/>
              <w:rPr>
                <w:sz w:val="24"/>
                <w:szCs w:val="24"/>
                <w:color w:val="auto"/>
              </w:rPr>
            </w:pPr>
          </w:p>
        </w:tc>
        <w:tc>
          <w:tcPr>
            <w:tcW w:w="8940" w:type="dxa"/>
            <w:vAlign w:val="bottom"/>
            <w:tcBorders>
              <w:top w:val="single" w:sz="8" w:color="808080"/>
              <w:bottom w:val="single" w:sz="8" w:color="auto"/>
              <w:right w:val="single" w:sz="8" w:color="808080"/>
            </w:tcBorders>
          </w:tcPr>
          <w:p>
            <w:pPr>
              <w:ind w:left="4080"/>
              <w:spacing w:after="0"/>
              <w:rPr>
                <w:sz w:val="20"/>
                <w:szCs w:val="20"/>
                <w:color w:val="auto"/>
              </w:rPr>
            </w:pPr>
            <w:r>
              <w:rPr>
                <w:rFonts w:ascii="Arial" w:cs="Arial" w:eastAsia="Arial" w:hAnsi="Arial"/>
                <w:sz w:val="14"/>
                <w:szCs w:val="14"/>
                <w:b w:val="1"/>
                <w:bCs w:val="1"/>
                <w:color w:val="auto"/>
              </w:rPr>
              <w:t>Description</w:t>
            </w:r>
          </w:p>
        </w:tc>
      </w:tr>
      <w:tr>
        <w:trPr>
          <w:trHeight w:val="453"/>
        </w:trPr>
        <w:tc>
          <w:tcPr>
            <w:tcW w:w="1540" w:type="dxa"/>
            <w:vAlign w:val="bottom"/>
            <w:tcBorders>
              <w:left w:val="single" w:sz="8" w:color="808080"/>
            </w:tcBorders>
            <w:gridSpan w:val="2"/>
          </w:tcPr>
          <w:p>
            <w:pPr>
              <w:ind w:left="40"/>
              <w:spacing w:after="0"/>
              <w:rPr>
                <w:sz w:val="20"/>
                <w:szCs w:val="20"/>
                <w:color w:val="auto"/>
              </w:rPr>
            </w:pPr>
            <w:r>
              <w:rPr>
                <w:rFonts w:ascii="Arial" w:cs="Arial" w:eastAsia="Arial" w:hAnsi="Arial"/>
                <w:sz w:val="18"/>
                <w:szCs w:val="18"/>
                <w:color w:val="auto"/>
              </w:rPr>
              <w:t>Exhibit 99.1</w:t>
            </w:r>
          </w:p>
        </w:tc>
        <w:tc>
          <w:tcPr>
            <w:tcW w:w="8940" w:type="dxa"/>
            <w:vAlign w:val="bottom"/>
            <w:tcBorders>
              <w:right w:val="single" w:sz="8" w:color="808080"/>
            </w:tcBorders>
          </w:tcPr>
          <w:p>
            <w:pPr>
              <w:spacing w:after="0"/>
              <w:rPr>
                <w:sz w:val="20"/>
                <w:szCs w:val="20"/>
                <w:color w:val="auto"/>
              </w:rPr>
            </w:pPr>
            <w:r>
              <w:rPr>
                <w:rFonts w:ascii="Arial" w:cs="Arial" w:eastAsia="Arial" w:hAnsi="Arial"/>
                <w:sz w:val="18"/>
                <w:szCs w:val="18"/>
                <w:color w:val="auto"/>
                <w:w w:val="96"/>
              </w:rPr>
              <w:t>Press Release dated February 27, 2013 titled “ClearOne Reports 2012 Fourth Quarter, Full Year Financial Results”.</w:t>
            </w:r>
          </w:p>
        </w:tc>
      </w:tr>
      <w:tr>
        <w:trPr>
          <w:trHeight w:val="48"/>
        </w:trPr>
        <w:tc>
          <w:tcPr>
            <w:tcW w:w="1280" w:type="dxa"/>
            <w:vAlign w:val="bottom"/>
            <w:tcBorders>
              <w:left w:val="single" w:sz="8" w:color="808080"/>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8940" w:type="dxa"/>
            <w:vAlign w:val="bottom"/>
            <w:tcBorders>
              <w:bottom w:val="single" w:sz="8" w:color="808080"/>
              <w:right w:val="single" w:sz="8" w:color="808080"/>
            </w:tcBorders>
          </w:tcPr>
          <w:p>
            <w:pPr>
              <w:spacing w:after="0"/>
              <w:rPr>
                <w:sz w:val="4"/>
                <w:szCs w:val="4"/>
                <w:color w:val="auto"/>
              </w:rPr>
            </w:pPr>
          </w:p>
        </w:tc>
      </w:tr>
    </w:tbl>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4587875" cy="643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87875" cy="643255"/>
                    </a:xfrm>
                    <a:prstGeom prst="rect">
                      <a:avLst/>
                    </a:prstGeom>
                    <a:noFill/>
                  </pic:spPr>
                </pic:pic>
              </a:graphicData>
            </a:graphic>
          </wp:anchor>
        </w:drawing>
      </w:r>
    </w:p>
    <w:p>
      <w:pPr>
        <w:spacing w:after="0" w:line="218"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CLEARONE INC.</w:t>
      </w:r>
    </w:p>
    <w:p>
      <w:pPr>
        <w:sectPr>
          <w:pgSz w:w="11900" w:h="16838" w:orient="portrait"/>
          <w:cols w:equalWidth="0" w:num="1">
            <w:col w:w="11420"/>
          </w:cols>
          <w:pgMar w:left="240" w:top="513" w:right="239" w:bottom="437"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3"/>
        </w:trPr>
        <w:tc>
          <w:tcPr>
            <w:tcW w:w="2900" w:type="dxa"/>
            <w:vAlign w:val="bottom"/>
            <w:tcBorders>
              <w:left w:val="single" w:sz="8" w:color="808080"/>
            </w:tcBorders>
          </w:tcPr>
          <w:p>
            <w:pPr>
              <w:ind w:left="40"/>
              <w:spacing w:after="0"/>
              <w:rPr>
                <w:sz w:val="20"/>
                <w:szCs w:val="20"/>
                <w:color w:val="auto"/>
              </w:rPr>
            </w:pPr>
            <w:r>
              <w:rPr>
                <w:rFonts w:ascii="Arial" w:cs="Arial" w:eastAsia="Arial" w:hAnsi="Arial"/>
                <w:sz w:val="18"/>
                <w:szCs w:val="18"/>
                <w:color w:val="auto"/>
              </w:rPr>
              <w:t>Date: February 28, 2013</w:t>
            </w:r>
          </w:p>
        </w:tc>
        <w:tc>
          <w:tcPr>
            <w:tcW w:w="4340" w:type="dxa"/>
            <w:vAlign w:val="bottom"/>
            <w:tcBorders>
              <w:right w:val="single" w:sz="8" w:color="808080"/>
            </w:tcBorders>
            <w:gridSpan w:val="2"/>
          </w:tcPr>
          <w:p>
            <w:pPr>
              <w:ind w:left="1080"/>
              <w:spacing w:after="0"/>
              <w:rPr>
                <w:sz w:val="20"/>
                <w:szCs w:val="20"/>
                <w:color w:val="auto"/>
              </w:rPr>
            </w:pPr>
            <w:r>
              <w:rPr>
                <w:rFonts w:ascii="Arial" w:cs="Arial" w:eastAsia="Arial" w:hAnsi="Arial"/>
                <w:sz w:val="18"/>
                <w:szCs w:val="18"/>
                <w:color w:val="auto"/>
              </w:rPr>
              <w:t>By: /s/ Zeynep Hakimoglu</w:t>
            </w:r>
          </w:p>
        </w:tc>
      </w:tr>
      <w:tr>
        <w:trPr>
          <w:trHeight w:val="215"/>
        </w:trPr>
        <w:tc>
          <w:tcPr>
            <w:tcW w:w="2900" w:type="dxa"/>
            <w:vAlign w:val="bottom"/>
            <w:tcBorders>
              <w:left w:val="single" w:sz="8" w:color="808080"/>
            </w:tcBorders>
          </w:tcPr>
          <w:p>
            <w:pPr>
              <w:spacing w:after="0"/>
              <w:rPr>
                <w:sz w:val="18"/>
                <w:szCs w:val="18"/>
                <w:color w:val="auto"/>
              </w:rPr>
            </w:pPr>
          </w:p>
        </w:tc>
        <w:tc>
          <w:tcPr>
            <w:tcW w:w="1440" w:type="dxa"/>
            <w:vAlign w:val="bottom"/>
          </w:tcPr>
          <w:p>
            <w:pPr>
              <w:spacing w:after="0"/>
              <w:rPr>
                <w:sz w:val="18"/>
                <w:szCs w:val="18"/>
                <w:color w:val="auto"/>
              </w:rPr>
            </w:pPr>
          </w:p>
        </w:tc>
        <w:tc>
          <w:tcPr>
            <w:tcW w:w="2900" w:type="dxa"/>
            <w:vAlign w:val="bottom"/>
            <w:tcBorders>
              <w:top w:val="single" w:sz="8" w:color="auto"/>
              <w:right w:val="single" w:sz="8" w:color="808080"/>
            </w:tcBorders>
          </w:tcPr>
          <w:p>
            <w:pPr>
              <w:spacing w:after="0"/>
              <w:rPr>
                <w:sz w:val="20"/>
                <w:szCs w:val="20"/>
                <w:color w:val="auto"/>
              </w:rPr>
            </w:pPr>
            <w:r>
              <w:rPr>
                <w:rFonts w:ascii="Arial" w:cs="Arial" w:eastAsia="Arial" w:hAnsi="Arial"/>
                <w:sz w:val="18"/>
                <w:szCs w:val="18"/>
                <w:color w:val="auto"/>
              </w:rPr>
              <w:t>Zeynep Hakimoglu</w:t>
            </w:r>
          </w:p>
        </w:tc>
      </w:tr>
      <w:tr>
        <w:trPr>
          <w:trHeight w:val="230"/>
        </w:trPr>
        <w:tc>
          <w:tcPr>
            <w:tcW w:w="2900" w:type="dxa"/>
            <w:vAlign w:val="bottom"/>
            <w:tcBorders>
              <w:left w:val="single" w:sz="8" w:color="808080"/>
            </w:tcBorders>
          </w:tcPr>
          <w:p>
            <w:pPr>
              <w:spacing w:after="0"/>
              <w:rPr>
                <w:sz w:val="20"/>
                <w:szCs w:val="20"/>
                <w:color w:val="auto"/>
              </w:rPr>
            </w:pPr>
          </w:p>
        </w:tc>
        <w:tc>
          <w:tcPr>
            <w:tcW w:w="1440" w:type="dxa"/>
            <w:vAlign w:val="bottom"/>
          </w:tcPr>
          <w:p>
            <w:pPr>
              <w:spacing w:after="0"/>
              <w:rPr>
                <w:sz w:val="20"/>
                <w:szCs w:val="20"/>
                <w:color w:val="auto"/>
              </w:rPr>
            </w:pPr>
          </w:p>
        </w:tc>
        <w:tc>
          <w:tcPr>
            <w:tcW w:w="2900" w:type="dxa"/>
            <w:vAlign w:val="bottom"/>
            <w:tcBorders>
              <w:right w:val="single" w:sz="8" w:color="808080"/>
            </w:tcBorders>
          </w:tcPr>
          <w:p>
            <w:pPr>
              <w:spacing w:after="0"/>
              <w:rPr>
                <w:sz w:val="20"/>
                <w:szCs w:val="20"/>
                <w:color w:val="auto"/>
              </w:rPr>
            </w:pPr>
            <w:r>
              <w:rPr>
                <w:rFonts w:ascii="Arial" w:cs="Arial" w:eastAsia="Arial" w:hAnsi="Arial"/>
                <w:sz w:val="18"/>
                <w:szCs w:val="18"/>
                <w:color w:val="auto"/>
              </w:rPr>
              <w:t>President &amp; Chief Executive Officer</w:t>
            </w:r>
          </w:p>
        </w:tc>
      </w:tr>
      <w:tr>
        <w:trPr>
          <w:trHeight w:val="291"/>
        </w:trPr>
        <w:tc>
          <w:tcPr>
            <w:tcW w:w="2900" w:type="dxa"/>
            <w:vAlign w:val="bottom"/>
            <w:tcBorders>
              <w:left w:val="single" w:sz="8" w:color="808080"/>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right w:val="single" w:sz="8" w:color="808080"/>
            </w:tcBorders>
          </w:tcPr>
          <w:p>
            <w:pPr>
              <w:spacing w:after="0"/>
              <w:rPr>
                <w:sz w:val="24"/>
                <w:szCs w:val="24"/>
                <w:color w:val="auto"/>
              </w:rPr>
            </w:pPr>
          </w:p>
        </w:tc>
      </w:tr>
    </w:tbl>
    <w:p>
      <w:pPr>
        <w:sectPr>
          <w:pgSz w:w="11900" w:h="16838" w:orient="portrait"/>
          <w:cols w:equalWidth="0" w:num="1">
            <w:col w:w="10219"/>
          </w:cols>
          <w:pgMar w:left="240" w:top="153"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Contact: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Brent Johnson</w:t>
      </w:r>
    </w:p>
    <w:p>
      <w:pPr>
        <w:spacing w:after="0"/>
        <w:rPr>
          <w:sz w:val="20"/>
          <w:szCs w:val="20"/>
          <w:color w:val="auto"/>
        </w:rPr>
      </w:pPr>
      <w:r>
        <w:rPr>
          <w:rFonts w:ascii="Arial" w:cs="Arial" w:eastAsia="Arial" w:hAnsi="Arial"/>
          <w:sz w:val="20"/>
          <w:szCs w:val="20"/>
          <w:color w:val="auto"/>
        </w:rPr>
        <w:t>Investor Relations</w:t>
      </w:r>
    </w:p>
    <w:p>
      <w:pPr>
        <w:spacing w:after="0"/>
        <w:rPr>
          <w:sz w:val="20"/>
          <w:szCs w:val="20"/>
          <w:color w:val="auto"/>
        </w:rPr>
      </w:pPr>
      <w:r>
        <w:rPr>
          <w:rFonts w:ascii="Arial" w:cs="Arial" w:eastAsia="Arial" w:hAnsi="Arial"/>
          <w:sz w:val="20"/>
          <w:szCs w:val="20"/>
          <w:color w:val="auto"/>
        </w:rPr>
        <w:t>801-303-3577</w:t>
      </w:r>
    </w:p>
    <w:p>
      <w:pPr>
        <w:spacing w:after="0"/>
        <w:rPr>
          <w:sz w:val="20"/>
          <w:szCs w:val="20"/>
          <w:color w:val="auto"/>
        </w:rPr>
      </w:pPr>
      <w:r>
        <w:rPr>
          <w:rFonts w:ascii="Arial" w:cs="Arial" w:eastAsia="Arial" w:hAnsi="Arial"/>
          <w:sz w:val="20"/>
          <w:szCs w:val="20"/>
          <w:color w:val="auto"/>
        </w:rPr>
        <w:t>brent.johnson@clearone.com</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CLEARONE REPORTS 2012 FOURTH QUARTER, FULL YEAR FINANCIAL RESULTS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Company Reports Record Q4 Revenue, Exceeds $13 Million</w:t>
      </w:r>
    </w:p>
    <w:p>
      <w:pPr>
        <w:spacing w:after="0" w:line="210" w:lineRule="exact"/>
        <w:rPr>
          <w:sz w:val="20"/>
          <w:szCs w:val="20"/>
          <w:color w:val="auto"/>
        </w:rPr>
      </w:pPr>
    </w:p>
    <w:p>
      <w:pPr>
        <w:ind w:right="120"/>
        <w:spacing w:after="0" w:line="267" w:lineRule="auto"/>
        <w:rPr>
          <w:sz w:val="20"/>
          <w:szCs w:val="20"/>
          <w:color w:val="auto"/>
        </w:rPr>
      </w:pPr>
      <w:r>
        <w:rPr>
          <w:rFonts w:ascii="Arial" w:cs="Arial" w:eastAsia="Arial" w:hAnsi="Arial"/>
          <w:sz w:val="20"/>
          <w:szCs w:val="20"/>
          <w:b w:val="1"/>
          <w:bCs w:val="1"/>
          <w:color w:val="auto"/>
        </w:rPr>
        <w:t xml:space="preserve">SALT LAKE CITY, UTAH </w:t>
      </w:r>
      <w:r>
        <w:rPr>
          <w:rFonts w:ascii="Arial" w:cs="Arial" w:eastAsia="Arial" w:hAnsi="Arial"/>
          <w:sz w:val="20"/>
          <w:szCs w:val="20"/>
          <w:color w:val="auto"/>
        </w:rPr>
        <w:t>—</w:t>
      </w:r>
      <w:r>
        <w:rPr>
          <w:rFonts w:ascii="Arial" w:cs="Arial" w:eastAsia="Arial" w:hAnsi="Arial"/>
          <w:sz w:val="20"/>
          <w:szCs w:val="20"/>
          <w:b w:val="1"/>
          <w:bCs w:val="1"/>
          <w:color w:val="auto"/>
        </w:rPr>
        <w:t xml:space="preserve"> February 27, 2013 </w:t>
      </w:r>
      <w:r>
        <w:rPr>
          <w:rFonts w:ascii="Arial" w:cs="Arial" w:eastAsia="Arial" w:hAnsi="Arial"/>
          <w:sz w:val="20"/>
          <w:szCs w:val="20"/>
          <w:color w:val="auto"/>
        </w:rPr>
        <w:t>— ClearOne (NASDAQ: CLRO) today reported its financial results for the fourth quarter</w:t>
      </w:r>
      <w:r>
        <w:rPr>
          <w:rFonts w:ascii="Arial" w:cs="Arial" w:eastAsia="Arial" w:hAnsi="Arial"/>
          <w:sz w:val="20"/>
          <w:szCs w:val="20"/>
          <w:b w:val="1"/>
          <w:bCs w:val="1"/>
          <w:color w:val="auto"/>
        </w:rPr>
        <w:t xml:space="preserve"> </w:t>
      </w:r>
      <w:r>
        <w:rPr>
          <w:rFonts w:ascii="Arial" w:cs="Arial" w:eastAsia="Arial" w:hAnsi="Arial"/>
          <w:sz w:val="20"/>
          <w:szCs w:val="20"/>
          <w:color w:val="auto"/>
        </w:rPr>
        <w:t>and full year ended December 31, 2012.</w:t>
      </w:r>
    </w:p>
    <w:p>
      <w:pPr>
        <w:spacing w:after="0" w:line="170"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For the 2012 fourth quarter, revenue increased 9% to $13.0 million from $12.0 million for the fourth quarter of 2011. Gross profit was $7.4 million, or 57% of revenue, compared with $7.1 million, or 59% of revenue, for the fourth quarter of 2011. Operating income was $39.1 million and net income was $24.5 million, or $2.67 per diluted share, which included $38.3 million of proceeds from litigation, net. For the prior year fourth quarter, operating income was $2.1 million and net income was $1.4 million, or $0.15 per diluted share. Non-GAAP net income, which excludes proceeds from litigation, share-based compensation and other non-operating items, was $1.2 million, or $0.13 per diluted share, compared with $1.5 million, or $0.17 per diluted share, for fourth quarter 2011. Non-GAAP Adjusted EBITDA was $2.9 million, or $0.31 per diluted share, compared with $2.6 million, or $0.28 per diluted share, for fourth quarter of 2011.</w:t>
      </w:r>
    </w:p>
    <w:p>
      <w:pPr>
        <w:spacing w:after="0" w:line="179" w:lineRule="exact"/>
        <w:rPr>
          <w:sz w:val="20"/>
          <w:szCs w:val="20"/>
          <w:color w:val="auto"/>
        </w:rPr>
      </w:pPr>
    </w:p>
    <w:p>
      <w:pPr>
        <w:jc w:val="both"/>
        <w:ind w:right="140"/>
        <w:spacing w:after="0" w:line="259" w:lineRule="auto"/>
        <w:rPr>
          <w:sz w:val="20"/>
          <w:szCs w:val="20"/>
          <w:color w:val="auto"/>
        </w:rPr>
      </w:pPr>
      <w:r>
        <w:rPr>
          <w:rFonts w:ascii="Arial" w:cs="Arial" w:eastAsia="Arial" w:hAnsi="Arial"/>
          <w:sz w:val="19"/>
          <w:szCs w:val="19"/>
          <w:color w:val="auto"/>
        </w:rPr>
        <w:t>For the 2012 full year, revenue was $46.4 million compared with $46.1 million for 2011. Gross profit was $27.3 million, or 59% of revenue, compared with $27.5 million, or 60% of revenue, for 2011. Operating income, which included $38.5 million of proceeds from litigation was $42.5 million and net income was $26.6 million, or $2.89 per diluted share. For the prior year, which included $3.7 million of proceeds from litigation, operating income was $10.6 million and net income was $6.9 million, or $0.75 per diluted share. Non-GAAP net income was $4.0 million, or $0.43 per diluted share, compared with $5.3 million, or $0.57 per diluted share, for 2011. Non-GAAP Adjusted EBITDA was $8.0 million, or $0.87 per diluted share, compared with $9.0 million, or $0.97 per diluted share, for 2011.</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auto"/>
        </w:rPr>
        <w:t>The reconciliation between GAAP and Non-GAAP measures is available in the tables attached to this release.</w:t>
      </w:r>
    </w:p>
    <w:p>
      <w:pPr>
        <w:spacing w:after="0" w:line="216"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“We finished 2012 with a record performance due to substantial increase in demand for our products in North America. We are optimistic that our positive momentum will be not only sustained but further propelled by the introduction of new and innovative audio and video products into our channel,” said Zee Hakimoglu, President, Chief Executive Officer and Chairman of ClearOne. “The strong cash position we currently enjoy has also allowed us to increase our commitment to our stock buy-back program. We will also carefully evaluate over time, opportunities available to us and use the cash for selective infusions of technology, sales &amp; marketing, infrastructure, and other investments to fuel our growth, as well as acquisitions that may strategically fit our business and are accretive to our performance.”</w:t>
      </w:r>
    </w:p>
    <w:p>
      <w:pPr>
        <w:spacing w:after="0" w:line="165"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At December 31, 2012, the company had cash and cash equivalents of $55.5 million, up from $16.7 million at the end of the prior year, and no debt.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Highlights:</w:t>
      </w:r>
    </w:p>
    <w:p>
      <w:pPr>
        <w:spacing w:after="0" w:line="222" w:lineRule="exact"/>
        <w:rPr>
          <w:sz w:val="20"/>
          <w:szCs w:val="20"/>
          <w:color w:val="auto"/>
        </w:rPr>
      </w:pPr>
    </w:p>
    <w:p>
      <w:pPr>
        <w:ind w:left="660" w:right="520" w:hanging="328"/>
        <w:spacing w:after="0" w:line="247" w:lineRule="auto"/>
        <w:tabs>
          <w:tab w:leader="none" w:pos="669" w:val="left"/>
        </w:tabs>
        <w:numPr>
          <w:ilvl w:val="0"/>
          <w:numId w:val="1"/>
        </w:numPr>
        <w:rPr>
          <w:rFonts w:ascii="Arial" w:cs="Arial" w:eastAsia="Arial" w:hAnsi="Arial"/>
          <w:sz w:val="20"/>
          <w:szCs w:val="20"/>
          <w:color w:val="auto"/>
        </w:rPr>
      </w:pPr>
      <w:r>
        <w:rPr>
          <w:rFonts w:ascii="Arial" w:cs="Arial" w:eastAsia="Arial" w:hAnsi="Arial"/>
          <w:sz w:val="20"/>
          <w:szCs w:val="20"/>
          <w:color w:val="auto"/>
        </w:rPr>
        <w:t>December 2012. The company settled an arbitration proceeding for $45.0 million, subject to a 15% contingency legal fee paid to ClearOne's litigation counsel.</w:t>
      </w:r>
    </w:p>
    <w:p>
      <w:pPr>
        <w:spacing w:after="0" w:line="1" w:lineRule="exact"/>
        <w:rPr>
          <w:rFonts w:ascii="Arial" w:cs="Arial" w:eastAsia="Arial" w:hAnsi="Arial"/>
          <w:sz w:val="20"/>
          <w:szCs w:val="20"/>
          <w:color w:val="auto"/>
        </w:rPr>
      </w:pPr>
    </w:p>
    <w:p>
      <w:pPr>
        <w:ind w:left="660" w:right="340" w:hanging="328"/>
        <w:spacing w:after="0" w:line="239" w:lineRule="auto"/>
        <w:tabs>
          <w:tab w:leader="none" w:pos="669" w:val="left"/>
        </w:tabs>
        <w:numPr>
          <w:ilvl w:val="0"/>
          <w:numId w:val="1"/>
        </w:numPr>
        <w:rPr>
          <w:rFonts w:ascii="Arial" w:cs="Arial" w:eastAsia="Arial" w:hAnsi="Arial"/>
          <w:sz w:val="20"/>
          <w:szCs w:val="20"/>
          <w:color w:val="auto"/>
        </w:rPr>
      </w:pPr>
      <w:r>
        <w:rPr>
          <w:rFonts w:ascii="Arial" w:cs="Arial" w:eastAsia="Arial" w:hAnsi="Arial"/>
          <w:sz w:val="20"/>
          <w:szCs w:val="20"/>
          <w:color w:val="auto"/>
        </w:rPr>
        <w:t>December 2012. The company established a distribution agreement with D&amp;H Distributing, under which D&amp;H will distribute ClearOne's new line of software-based video conferencing solutions and its USB, analog and VoIP conference phones to authorized technology resellers and retailers in North America.</w:t>
      </w:r>
    </w:p>
    <w:p>
      <w:pPr>
        <w:spacing w:after="0" w:line="1" w:lineRule="exact"/>
        <w:rPr>
          <w:rFonts w:ascii="Arial" w:cs="Arial" w:eastAsia="Arial" w:hAnsi="Arial"/>
          <w:sz w:val="20"/>
          <w:szCs w:val="20"/>
          <w:color w:val="auto"/>
        </w:rPr>
      </w:pPr>
    </w:p>
    <w:p>
      <w:pPr>
        <w:ind w:left="660" w:right="480" w:hanging="328"/>
        <w:spacing w:after="0" w:line="255" w:lineRule="auto"/>
        <w:tabs>
          <w:tab w:leader="none" w:pos="669" w:val="left"/>
        </w:tabs>
        <w:numPr>
          <w:ilvl w:val="0"/>
          <w:numId w:val="1"/>
        </w:numPr>
        <w:rPr>
          <w:rFonts w:ascii="Arial" w:cs="Arial" w:eastAsia="Arial" w:hAnsi="Arial"/>
          <w:sz w:val="18"/>
          <w:szCs w:val="18"/>
          <w:color w:val="auto"/>
        </w:rPr>
      </w:pPr>
      <w:r>
        <w:rPr>
          <w:rFonts w:ascii="Arial" w:cs="Arial" w:eastAsia="Arial" w:hAnsi="Arial"/>
          <w:sz w:val="18"/>
          <w:szCs w:val="18"/>
          <w:color w:val="auto"/>
        </w:rPr>
        <w:t>December 2012. The company announced its new WS800 Digital Wireless Microphone System to complement its professionally installed audio conferencing product lines. The microphone system uses radio-frequency digital wireless signal transmission technology with highly secure encryption and is optimized to work with CONVERGE® Pro and INTERACT® Pro products.</w:t>
      </w:r>
    </w:p>
    <w:p>
      <w:pPr>
        <w:spacing w:after="0" w:line="1" w:lineRule="exact"/>
        <w:rPr>
          <w:rFonts w:ascii="Arial" w:cs="Arial" w:eastAsia="Arial" w:hAnsi="Arial"/>
          <w:sz w:val="18"/>
          <w:szCs w:val="18"/>
          <w:color w:val="auto"/>
        </w:rPr>
      </w:pPr>
    </w:p>
    <w:p>
      <w:pPr>
        <w:ind w:left="660" w:right="160" w:hanging="328"/>
        <w:spacing w:after="0" w:line="239" w:lineRule="auto"/>
        <w:tabs>
          <w:tab w:leader="none" w:pos="669" w:val="left"/>
        </w:tabs>
        <w:numPr>
          <w:ilvl w:val="0"/>
          <w:numId w:val="1"/>
        </w:numPr>
        <w:rPr>
          <w:rFonts w:ascii="Arial" w:cs="Arial" w:eastAsia="Arial" w:hAnsi="Arial"/>
          <w:sz w:val="20"/>
          <w:szCs w:val="20"/>
          <w:color w:val="auto"/>
        </w:rPr>
      </w:pPr>
      <w:r>
        <w:rPr>
          <w:rFonts w:ascii="Arial" w:cs="Arial" w:eastAsia="Arial" w:hAnsi="Arial"/>
          <w:sz w:val="20"/>
          <w:szCs w:val="20"/>
          <w:color w:val="auto"/>
        </w:rPr>
        <w:t>January 2013. The company appointed video conferencing veteran Adi Regev as Vice President of its video conferencing business. Regev will be responsible for the strategic positioning, business development and growth of the company's COLLABORATE™ portfolio of software-based video conferencing products, which includes desktop video applications, room systems, and infrastructure and management solutions.</w:t>
      </w:r>
    </w:p>
    <w:p>
      <w:pPr>
        <w:spacing w:after="0" w:line="2" w:lineRule="exact"/>
        <w:rPr>
          <w:rFonts w:ascii="Arial" w:cs="Arial" w:eastAsia="Arial" w:hAnsi="Arial"/>
          <w:sz w:val="20"/>
          <w:szCs w:val="20"/>
          <w:color w:val="auto"/>
        </w:rPr>
      </w:pPr>
    </w:p>
    <w:p>
      <w:pPr>
        <w:ind w:left="660" w:right="200" w:hanging="328"/>
        <w:spacing w:after="0" w:line="269" w:lineRule="auto"/>
        <w:tabs>
          <w:tab w:leader="none" w:pos="669" w:val="left"/>
        </w:tabs>
        <w:numPr>
          <w:ilvl w:val="0"/>
          <w:numId w:val="1"/>
        </w:numPr>
        <w:rPr>
          <w:rFonts w:ascii="Arial" w:cs="Arial" w:eastAsia="Arial" w:hAnsi="Arial"/>
          <w:sz w:val="19"/>
          <w:szCs w:val="19"/>
          <w:color w:val="auto"/>
        </w:rPr>
      </w:pPr>
      <w:r>
        <w:rPr>
          <w:rFonts w:ascii="Arial" w:cs="Arial" w:eastAsia="Arial" w:hAnsi="Arial"/>
          <w:sz w:val="19"/>
          <w:szCs w:val="19"/>
          <w:color w:val="auto"/>
        </w:rPr>
        <w:t>February 2013. The company's Board of Directors approved an increase in the company's stock repurchase program to $10.0 million from $3.0 million of its outstanding shares of common stock in open market or privately negotiated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2"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ClearOne provides non-GAAP financial information in the form of Non-GAAP net income, Adjusted EBITDA and corresponding earnings per share to investors to supplement GAAP financial information. ClearOne believes that excluding certain items from GAAP results allows ClearOne's management to better understand ClearOne's consolidated financial performance from period to period as management does not believe that the excluded items are reflective of underlying operating performance. Non-GAAP net income, Adjusted EBITDA and corresponding earnings per share excludes certain costs and expenses, the details of which are provided in the tables below containing the reconciliation between GAAP and Non-GAAP financial measures. The exclusion of these items in the non-GAAP presentation should not be interpreted as implying that these items are non-recurring, infrequent, or unusual. ClearOne believes non-GAAP financial measures will provide investors with useful information to help them evaluate ClearOne's operating results and projections. This non-GAAP financial information is not meant to be considered in isolation or as a substitute for operating income, net income or other financial measures prepared in accordance with GAAP. There are limitations to the use of non-GAAP financial measures. Other companies, including companies in</w:t>
      </w:r>
    </w:p>
    <w:p>
      <w:pPr>
        <w:sectPr>
          <w:pgSz w:w="11900" w:h="16838" w:orient="portrait"/>
          <w:cols w:equalWidth="0" w:num="1">
            <w:col w:w="11420"/>
          </w:cols>
          <w:pgMar w:left="240" w:top="111" w:right="239" w:bottom="0" w:gutter="0" w:footer="0" w:header="0"/>
        </w:sectPr>
      </w:pPr>
    </w:p>
    <w:bookmarkStart w:id="3" w:name="page4"/>
    <w:bookmarkEnd w:id="3"/>
    <w:p>
      <w:pPr>
        <w:spacing w:after="0" w:line="317" w:lineRule="auto"/>
        <w:rPr>
          <w:sz w:val="20"/>
          <w:szCs w:val="20"/>
          <w:color w:val="auto"/>
        </w:rPr>
      </w:pPr>
      <w:r>
        <w:rPr>
          <w:rFonts w:ascii="Arial" w:cs="Arial" w:eastAsia="Arial" w:hAnsi="Arial"/>
          <w:sz w:val="18"/>
          <w:szCs w:val="18"/>
          <w:color w:val="auto"/>
        </w:rPr>
        <w:t>ClearOne's industry, may calculate non-GAAP financial measures differently than ClearOne does, limiting the usefulness of those measures for comparative purposes. A detailed reconciliation of Non-GAAP net income to GAAP net income is included with this news release.</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ClearOne</w:t>
      </w:r>
    </w:p>
    <w:p>
      <w:pPr>
        <w:spacing w:after="0" w:line="22" w:lineRule="exact"/>
        <w:rPr>
          <w:sz w:val="20"/>
          <w:szCs w:val="20"/>
          <w:color w:val="auto"/>
        </w:rPr>
      </w:pPr>
    </w:p>
    <w:p>
      <w:pPr>
        <w:ind w:right="240"/>
        <w:spacing w:after="0" w:line="260" w:lineRule="auto"/>
        <w:rPr>
          <w:sz w:val="20"/>
          <w:szCs w:val="20"/>
          <w:color w:val="auto"/>
        </w:rPr>
      </w:pPr>
      <w:r>
        <w:rPr>
          <w:rFonts w:ascii="Arial" w:cs="Arial" w:eastAsia="Arial" w:hAnsi="Arial"/>
          <w:sz w:val="19"/>
          <w:szCs w:val="19"/>
          <w:color w:val="auto"/>
        </w:rPr>
        <w:t>ClearOne is a global company that designs, develops and sells conferencing, collaboration, streaming and digital signage solutions for audio and visual communications. The performance and simplicity of its advanced comprehensive solutions offer unprecedented levels of functionality, reliability and scalability. More information about the company can be found at www.clearone.com.</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80"/>
        <w:spacing w:after="0" w:line="273" w:lineRule="auto"/>
        <w:rPr>
          <w:sz w:val="20"/>
          <w:szCs w:val="20"/>
          <w:color w:val="auto"/>
        </w:rPr>
      </w:pPr>
      <w:r>
        <w:rPr>
          <w:rFonts w:ascii="Arial" w:cs="Arial" w:eastAsia="Arial" w:hAnsi="Arial"/>
          <w:sz w:val="18"/>
          <w:szCs w:val="18"/>
          <w:i w:val="1"/>
          <w:iCs w:val="1"/>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including acquisitions or investments the company may make to fuel growth, the purchase of common stock under the company’s stock repurchase program and any statements of the plans and objectives of management for future operations,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 # #</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http://investors.clearone.com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109220</wp:posOffset>
            </wp:positionV>
            <wp:extent cx="7272020" cy="69850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6985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760"/>
        <w:spacing w:after="0"/>
        <w:rPr>
          <w:sz w:val="20"/>
          <w:szCs w:val="20"/>
          <w:color w:val="auto"/>
        </w:rPr>
      </w:pPr>
      <w:r>
        <w:rPr>
          <w:rFonts w:ascii="Arial" w:cs="Arial" w:eastAsia="Arial" w:hAnsi="Arial"/>
          <w:sz w:val="16"/>
          <w:szCs w:val="16"/>
          <w:b w:val="1"/>
          <w:bCs w:val="1"/>
          <w:color w:val="auto"/>
        </w:rPr>
        <w:t>CLEARONE INC.</w:t>
      </w:r>
    </w:p>
    <w:p>
      <w:pPr>
        <w:spacing w:after="0" w:line="46" w:lineRule="exact"/>
        <w:rPr>
          <w:sz w:val="20"/>
          <w:szCs w:val="20"/>
          <w:color w:val="auto"/>
        </w:rPr>
      </w:pPr>
    </w:p>
    <w:p>
      <w:pPr>
        <w:jc w:val="center"/>
        <w:ind w:right="2760"/>
        <w:spacing w:after="0"/>
        <w:rPr>
          <w:sz w:val="20"/>
          <w:szCs w:val="20"/>
          <w:color w:val="auto"/>
        </w:rPr>
      </w:pPr>
      <w:r>
        <w:rPr>
          <w:rFonts w:ascii="Arial" w:cs="Arial" w:eastAsia="Arial" w:hAnsi="Arial"/>
          <w:sz w:val="16"/>
          <w:szCs w:val="16"/>
          <w:b w:val="1"/>
          <w:bCs w:val="1"/>
          <w:color w:val="auto"/>
        </w:rPr>
        <w:t>UNAUDITED CONSOLIDATED BALANCE SHEETS</w:t>
      </w:r>
    </w:p>
    <w:p>
      <w:pPr>
        <w:spacing w:after="0" w:line="46" w:lineRule="exact"/>
        <w:rPr>
          <w:sz w:val="20"/>
          <w:szCs w:val="20"/>
          <w:color w:val="auto"/>
        </w:rPr>
      </w:pPr>
    </w:p>
    <w:p>
      <w:pPr>
        <w:jc w:val="center"/>
        <w:ind w:right="2760"/>
        <w:spacing w:after="0"/>
        <w:rPr>
          <w:sz w:val="20"/>
          <w:szCs w:val="20"/>
          <w:color w:val="auto"/>
        </w:rPr>
      </w:pPr>
      <w:r>
        <w:rPr>
          <w:rFonts w:ascii="Arial" w:cs="Arial" w:eastAsia="Arial" w:hAnsi="Arial"/>
          <w:sz w:val="16"/>
          <w:szCs w:val="16"/>
          <w:b w:val="1"/>
          <w:bCs w:val="1"/>
          <w:color w:val="auto"/>
        </w:rPr>
        <w:t>(Dollars in thousands, except par value)</w:t>
      </w:r>
    </w:p>
    <w:p>
      <w:pPr>
        <w:spacing w:after="0" w:line="200" w:lineRule="exact"/>
        <w:rPr>
          <w:sz w:val="20"/>
          <w:szCs w:val="20"/>
          <w:color w:val="auto"/>
        </w:rPr>
      </w:pPr>
    </w:p>
    <w:p>
      <w:pPr>
        <w:spacing w:after="0" w:line="337"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jc w:val="right"/>
              <w:ind w:right="519"/>
              <w:spacing w:after="0"/>
              <w:rPr>
                <w:sz w:val="20"/>
                <w:szCs w:val="20"/>
                <w:color w:val="auto"/>
              </w:rPr>
            </w:pPr>
            <w:r>
              <w:rPr>
                <w:rFonts w:ascii="Arial" w:cs="Arial" w:eastAsia="Arial" w:hAnsi="Arial"/>
                <w:sz w:val="14"/>
                <w:szCs w:val="14"/>
                <w:b w:val="1"/>
                <w:bCs w:val="1"/>
                <w:color w:val="auto"/>
              </w:rPr>
              <w:t>As of</w:t>
            </w:r>
          </w:p>
        </w:tc>
        <w:tc>
          <w:tcPr>
            <w:tcW w:w="400" w:type="dxa"/>
            <w:vAlign w:val="bottom"/>
          </w:tcPr>
          <w:p>
            <w:pPr>
              <w:spacing w:after="0"/>
              <w:rPr>
                <w:sz w:val="14"/>
                <w:szCs w:val="14"/>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71"/>
        </w:trPr>
        <w:tc>
          <w:tcPr>
            <w:tcW w:w="5360" w:type="dxa"/>
            <w:vAlign w:val="bottom"/>
            <w:vMerge w:val="restart"/>
          </w:tcPr>
          <w:p>
            <w:pPr>
              <w:ind w:left="2340"/>
              <w:spacing w:after="0"/>
              <w:rPr>
                <w:sz w:val="20"/>
                <w:szCs w:val="20"/>
                <w:color w:val="auto"/>
              </w:rPr>
            </w:pPr>
            <w:r>
              <w:rPr>
                <w:rFonts w:ascii="Arial" w:cs="Arial" w:eastAsia="Arial" w:hAnsi="Arial"/>
                <w:sz w:val="16"/>
                <w:szCs w:val="16"/>
                <w:b w:val="1"/>
                <w:bCs w:val="1"/>
                <w:color w:val="auto"/>
              </w:rPr>
              <w:t>ASSETS</w:t>
            </w:r>
          </w:p>
        </w:tc>
        <w:tc>
          <w:tcPr>
            <w:tcW w:w="146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December 31, 2012</w:t>
            </w:r>
          </w:p>
        </w:tc>
        <w:tc>
          <w:tcPr>
            <w:tcW w:w="14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December 31, 2011</w:t>
            </w:r>
          </w:p>
        </w:tc>
        <w:tc>
          <w:tcPr>
            <w:tcW w:w="0" w:type="dxa"/>
            <w:vAlign w:val="bottom"/>
          </w:tcPr>
          <w:p>
            <w:pPr>
              <w:spacing w:after="0"/>
              <w:rPr>
                <w:sz w:val="1"/>
                <w:szCs w:val="1"/>
                <w:color w:val="auto"/>
              </w:rPr>
            </w:pPr>
          </w:p>
        </w:tc>
      </w:tr>
      <w:tr>
        <w:trPr>
          <w:trHeight w:val="204"/>
        </w:trPr>
        <w:tc>
          <w:tcPr>
            <w:tcW w:w="5360" w:type="dxa"/>
            <w:vAlign w:val="bottom"/>
            <w:vMerge w:val="continue"/>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6"/>
                <w:szCs w:val="16"/>
                <w:color w:val="auto"/>
              </w:rPr>
              <w:t>Current assets:</w:t>
            </w: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4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55,509</w:t>
            </w:r>
          </w:p>
        </w:tc>
        <w:tc>
          <w:tcPr>
            <w:tcW w:w="4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16,683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5360" w:type="dxa"/>
            <w:vAlign w:val="bottom"/>
          </w:tcPr>
          <w:p>
            <w:pPr>
              <w:spacing w:after="0"/>
              <w:rPr>
                <w:sz w:val="20"/>
                <w:szCs w:val="20"/>
                <w:color w:val="auto"/>
              </w:rPr>
            </w:pPr>
            <w:r>
              <w:rPr>
                <w:rFonts w:ascii="Arial" w:cs="Arial" w:eastAsia="Arial" w:hAnsi="Arial"/>
                <w:sz w:val="16"/>
                <w:szCs w:val="16"/>
                <w:color w:val="auto"/>
              </w:rPr>
              <w:t>Receivables, net of allowance for doubtful accounts of $60 and $149,</w:t>
            </w: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5360" w:type="dxa"/>
            <w:vAlign w:val="bottom"/>
          </w:tcPr>
          <w:p>
            <w:pPr>
              <w:spacing w:after="0"/>
              <w:rPr>
                <w:sz w:val="20"/>
                <w:szCs w:val="20"/>
                <w:color w:val="auto"/>
              </w:rPr>
            </w:pPr>
            <w:r>
              <w:rPr>
                <w:rFonts w:ascii="Arial" w:cs="Arial" w:eastAsia="Arial" w:hAnsi="Arial"/>
                <w:sz w:val="16"/>
                <w:szCs w:val="16"/>
                <w:color w:val="auto"/>
              </w:rPr>
              <w:t>respectively</w:t>
            </w:r>
          </w:p>
        </w:tc>
        <w:tc>
          <w:tcPr>
            <w:tcW w:w="420" w:type="dxa"/>
            <w:vAlign w:val="bottom"/>
          </w:tcPr>
          <w:p>
            <w:pPr>
              <w:spacing w:after="0"/>
              <w:rPr>
                <w:sz w:val="17"/>
                <w:szCs w:val="17"/>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8,388</w:t>
            </w:r>
          </w:p>
        </w:tc>
        <w:tc>
          <w:tcPr>
            <w:tcW w:w="400" w:type="dxa"/>
            <w:vAlign w:val="bottom"/>
          </w:tcPr>
          <w:p>
            <w:pPr>
              <w:spacing w:after="0"/>
              <w:rPr>
                <w:sz w:val="17"/>
                <w:szCs w:val="17"/>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8,457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6"/>
                <w:szCs w:val="16"/>
                <w:color w:val="auto"/>
              </w:rPr>
              <w:t>Inventories</w:t>
            </w:r>
          </w:p>
        </w:tc>
        <w:tc>
          <w:tcPr>
            <w:tcW w:w="420" w:type="dxa"/>
            <w:vAlign w:val="bottom"/>
          </w:tcPr>
          <w:p>
            <w:pPr>
              <w:spacing w:after="0"/>
              <w:rPr>
                <w:sz w:val="19"/>
                <w:szCs w:val="19"/>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10,873</w:t>
            </w:r>
          </w:p>
        </w:tc>
        <w:tc>
          <w:tcPr>
            <w:tcW w:w="400" w:type="dxa"/>
            <w:vAlign w:val="bottom"/>
          </w:tcPr>
          <w:p>
            <w:pPr>
              <w:spacing w:after="0"/>
              <w:rPr>
                <w:sz w:val="19"/>
                <w:szCs w:val="19"/>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12,565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6"/>
                <w:szCs w:val="16"/>
                <w:color w:val="auto"/>
              </w:rPr>
              <w:t>Deferred income taxes</w:t>
            </w:r>
          </w:p>
        </w:tc>
        <w:tc>
          <w:tcPr>
            <w:tcW w:w="420" w:type="dxa"/>
            <w:vAlign w:val="bottom"/>
          </w:tcPr>
          <w:p>
            <w:pPr>
              <w:spacing w:after="0"/>
              <w:rPr>
                <w:sz w:val="19"/>
                <w:szCs w:val="19"/>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3,148</w:t>
            </w:r>
          </w:p>
        </w:tc>
        <w:tc>
          <w:tcPr>
            <w:tcW w:w="400" w:type="dxa"/>
            <w:vAlign w:val="bottom"/>
          </w:tcPr>
          <w:p>
            <w:pPr>
              <w:spacing w:after="0"/>
              <w:rPr>
                <w:sz w:val="19"/>
                <w:szCs w:val="19"/>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2,987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6"/>
                <w:szCs w:val="16"/>
                <w:color w:val="auto"/>
              </w:rPr>
              <w:t>Prepaid expenses and other assets</w:t>
            </w: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1,369</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60" w:type="dxa"/>
            <w:vAlign w:val="bottom"/>
          </w:tcPr>
          <w:p>
            <w:pPr>
              <w:ind w:left="180"/>
              <w:spacing w:after="0"/>
              <w:rPr>
                <w:sz w:val="20"/>
                <w:szCs w:val="20"/>
                <w:color w:val="auto"/>
              </w:rPr>
            </w:pPr>
            <w:r>
              <w:rPr>
                <w:rFonts w:ascii="Arial" w:cs="Arial" w:eastAsia="Arial" w:hAnsi="Arial"/>
                <w:sz w:val="16"/>
                <w:szCs w:val="16"/>
                <w:color w:val="auto"/>
              </w:rPr>
              <w:t>Total current assets</w:t>
            </w:r>
          </w:p>
        </w:tc>
        <w:tc>
          <w:tcPr>
            <w:tcW w:w="420" w:type="dxa"/>
            <w:vAlign w:val="bottom"/>
          </w:tcPr>
          <w:p>
            <w:pPr>
              <w:spacing w:after="0"/>
              <w:rPr>
                <w:sz w:val="18"/>
                <w:szCs w:val="18"/>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79,287</w:t>
            </w:r>
          </w:p>
        </w:tc>
        <w:tc>
          <w:tcPr>
            <w:tcW w:w="400" w:type="dxa"/>
            <w:vAlign w:val="bottom"/>
          </w:tcPr>
          <w:p>
            <w:pPr>
              <w:spacing w:after="0"/>
              <w:rPr>
                <w:sz w:val="18"/>
                <w:szCs w:val="18"/>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41,432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6"/>
                <w:szCs w:val="16"/>
                <w:color w:val="auto"/>
              </w:rPr>
              <w:t>Long-term inventories, net</w:t>
            </w:r>
          </w:p>
        </w:tc>
        <w:tc>
          <w:tcPr>
            <w:tcW w:w="420" w:type="dxa"/>
            <w:vAlign w:val="bottom"/>
          </w:tcPr>
          <w:p>
            <w:pPr>
              <w:spacing w:after="0"/>
              <w:rPr>
                <w:sz w:val="19"/>
                <w:szCs w:val="19"/>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1,955</w:t>
            </w:r>
          </w:p>
        </w:tc>
        <w:tc>
          <w:tcPr>
            <w:tcW w:w="400" w:type="dxa"/>
            <w:vAlign w:val="bottom"/>
          </w:tcPr>
          <w:p>
            <w:pPr>
              <w:spacing w:after="0"/>
              <w:rPr>
                <w:sz w:val="19"/>
                <w:szCs w:val="19"/>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1,905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420" w:type="dxa"/>
            <w:vAlign w:val="bottom"/>
          </w:tcPr>
          <w:p>
            <w:pPr>
              <w:spacing w:after="0"/>
              <w:rPr>
                <w:sz w:val="19"/>
                <w:szCs w:val="19"/>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1,708</w:t>
            </w:r>
          </w:p>
        </w:tc>
        <w:tc>
          <w:tcPr>
            <w:tcW w:w="400" w:type="dxa"/>
            <w:vAlign w:val="bottom"/>
          </w:tcPr>
          <w:p>
            <w:pPr>
              <w:spacing w:after="0"/>
              <w:rPr>
                <w:sz w:val="19"/>
                <w:szCs w:val="19"/>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2,338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6"/>
                <w:szCs w:val="16"/>
                <w:color w:val="auto"/>
              </w:rPr>
              <w:t>Intangibles, net</w:t>
            </w:r>
          </w:p>
        </w:tc>
        <w:tc>
          <w:tcPr>
            <w:tcW w:w="420" w:type="dxa"/>
            <w:vAlign w:val="bottom"/>
          </w:tcPr>
          <w:p>
            <w:pPr>
              <w:spacing w:after="0"/>
              <w:rPr>
                <w:sz w:val="19"/>
                <w:szCs w:val="19"/>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4,258</w:t>
            </w:r>
          </w:p>
        </w:tc>
        <w:tc>
          <w:tcPr>
            <w:tcW w:w="400" w:type="dxa"/>
            <w:vAlign w:val="bottom"/>
          </w:tcPr>
          <w:p>
            <w:pPr>
              <w:spacing w:after="0"/>
              <w:rPr>
                <w:sz w:val="19"/>
                <w:szCs w:val="19"/>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2,690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6"/>
                <w:szCs w:val="16"/>
                <w:color w:val="auto"/>
              </w:rPr>
              <w:t>Goodwill</w:t>
            </w:r>
          </w:p>
        </w:tc>
        <w:tc>
          <w:tcPr>
            <w:tcW w:w="420" w:type="dxa"/>
            <w:vAlign w:val="bottom"/>
          </w:tcPr>
          <w:p>
            <w:pPr>
              <w:spacing w:after="0"/>
              <w:rPr>
                <w:sz w:val="19"/>
                <w:szCs w:val="19"/>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3,472</w:t>
            </w:r>
          </w:p>
        </w:tc>
        <w:tc>
          <w:tcPr>
            <w:tcW w:w="400" w:type="dxa"/>
            <w:vAlign w:val="bottom"/>
          </w:tcPr>
          <w:p>
            <w:pPr>
              <w:spacing w:after="0"/>
              <w:rPr>
                <w:sz w:val="19"/>
                <w:szCs w:val="19"/>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1,153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6"/>
                <w:szCs w:val="16"/>
                <w:color w:val="auto"/>
              </w:rPr>
              <w:t>Deferred income taxes</w:t>
            </w:r>
          </w:p>
        </w:tc>
        <w:tc>
          <w:tcPr>
            <w:tcW w:w="420" w:type="dxa"/>
            <w:vAlign w:val="bottom"/>
          </w:tcPr>
          <w:p>
            <w:pPr>
              <w:spacing w:after="0"/>
              <w:rPr>
                <w:sz w:val="19"/>
                <w:szCs w:val="19"/>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1,195</w:t>
            </w:r>
          </w:p>
        </w:tc>
        <w:tc>
          <w:tcPr>
            <w:tcW w:w="400" w:type="dxa"/>
            <w:vAlign w:val="bottom"/>
          </w:tcPr>
          <w:p>
            <w:pPr>
              <w:spacing w:after="0"/>
              <w:rPr>
                <w:sz w:val="19"/>
                <w:szCs w:val="19"/>
                <w:color w:val="auto"/>
              </w:rPr>
            </w:pPr>
          </w:p>
        </w:tc>
        <w:tc>
          <w:tcPr>
            <w:tcW w:w="108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5360" w:type="dxa"/>
            <w:vAlign w:val="bottom"/>
          </w:tcPr>
          <w:p>
            <w:pPr>
              <w:spacing w:after="0"/>
              <w:rPr>
                <w:sz w:val="20"/>
                <w:szCs w:val="20"/>
                <w:color w:val="auto"/>
              </w:rPr>
            </w:pPr>
            <w:r>
              <w:rPr>
                <w:rFonts w:ascii="Arial" w:cs="Arial" w:eastAsia="Arial" w:hAnsi="Arial"/>
                <w:sz w:val="16"/>
                <w:szCs w:val="16"/>
                <w:color w:val="auto"/>
              </w:rPr>
              <w:t>Other assets</w:t>
            </w: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64</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360" w:type="dxa"/>
            <w:vAlign w:val="bottom"/>
          </w:tcPr>
          <w:p>
            <w:pPr>
              <w:ind w:left="180"/>
              <w:spacing w:after="0"/>
              <w:rPr>
                <w:sz w:val="20"/>
                <w:szCs w:val="20"/>
                <w:color w:val="auto"/>
              </w:rPr>
            </w:pPr>
            <w:r>
              <w:rPr>
                <w:rFonts w:ascii="Arial" w:cs="Arial" w:eastAsia="Arial" w:hAnsi="Arial"/>
                <w:sz w:val="16"/>
                <w:szCs w:val="16"/>
                <w:color w:val="auto"/>
              </w:rPr>
              <w:t>Total assets</w:t>
            </w:r>
          </w:p>
        </w:tc>
        <w:tc>
          <w:tcPr>
            <w:tcW w:w="4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91,939</w:t>
            </w:r>
          </w:p>
        </w:tc>
        <w:tc>
          <w:tcPr>
            <w:tcW w:w="4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49,559</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ind w:left="880"/>
              <w:spacing w:after="0"/>
              <w:rPr>
                <w:sz w:val="20"/>
                <w:szCs w:val="20"/>
                <w:color w:val="auto"/>
              </w:rPr>
            </w:pPr>
            <w:r>
              <w:rPr>
                <w:rFonts w:ascii="Arial" w:cs="Arial" w:eastAsia="Arial" w:hAnsi="Arial"/>
                <w:sz w:val="16"/>
                <w:szCs w:val="16"/>
                <w:b w:val="1"/>
                <w:bCs w:val="1"/>
                <w:color w:val="auto"/>
              </w:rPr>
              <w:t>LIABILITIES AND SHAREHOLDERS' EQUITY</w:t>
            </w: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53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6"/>
                <w:szCs w:val="16"/>
                <w:color w:val="auto"/>
              </w:rPr>
              <w:t>Current liabilities:</w:t>
            </w: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6"/>
                <w:szCs w:val="16"/>
                <w:color w:val="auto"/>
              </w:rPr>
              <w:t>Accounts payable</w:t>
            </w:r>
          </w:p>
        </w:tc>
        <w:tc>
          <w:tcPr>
            <w:tcW w:w="4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2,302</w:t>
            </w:r>
          </w:p>
        </w:tc>
        <w:tc>
          <w:tcPr>
            <w:tcW w:w="4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2,814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6"/>
                <w:szCs w:val="16"/>
                <w:color w:val="auto"/>
              </w:rPr>
              <w:t>Accrued liabilities</w:t>
            </w:r>
          </w:p>
        </w:tc>
        <w:tc>
          <w:tcPr>
            <w:tcW w:w="420" w:type="dxa"/>
            <w:vAlign w:val="bottom"/>
          </w:tcPr>
          <w:p>
            <w:pPr>
              <w:spacing w:after="0"/>
              <w:rPr>
                <w:sz w:val="19"/>
                <w:szCs w:val="19"/>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2,143</w:t>
            </w:r>
          </w:p>
        </w:tc>
        <w:tc>
          <w:tcPr>
            <w:tcW w:w="400" w:type="dxa"/>
            <w:vAlign w:val="bottom"/>
          </w:tcPr>
          <w:p>
            <w:pPr>
              <w:spacing w:after="0"/>
              <w:rPr>
                <w:sz w:val="19"/>
                <w:szCs w:val="19"/>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2,234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6"/>
                <w:szCs w:val="16"/>
                <w:color w:val="auto"/>
              </w:rPr>
              <w:t>Income taxes payable</w:t>
            </w:r>
          </w:p>
        </w:tc>
        <w:tc>
          <w:tcPr>
            <w:tcW w:w="420" w:type="dxa"/>
            <w:vAlign w:val="bottom"/>
          </w:tcPr>
          <w:p>
            <w:pPr>
              <w:spacing w:after="0"/>
              <w:rPr>
                <w:sz w:val="19"/>
                <w:szCs w:val="19"/>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14,782</w:t>
            </w:r>
          </w:p>
        </w:tc>
        <w:tc>
          <w:tcPr>
            <w:tcW w:w="400" w:type="dxa"/>
            <w:vAlign w:val="bottom"/>
          </w:tcPr>
          <w:p>
            <w:pPr>
              <w:spacing w:after="0"/>
              <w:rPr>
                <w:sz w:val="19"/>
                <w:szCs w:val="19"/>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300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6"/>
                <w:szCs w:val="16"/>
                <w:color w:val="auto"/>
              </w:rPr>
              <w:t>Deferred product revenue</w:t>
            </w: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3,593</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3,404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60" w:type="dxa"/>
            <w:vAlign w:val="bottom"/>
          </w:tcPr>
          <w:p>
            <w:pPr>
              <w:ind w:left="180"/>
              <w:spacing w:after="0"/>
              <w:rPr>
                <w:sz w:val="20"/>
                <w:szCs w:val="20"/>
                <w:color w:val="auto"/>
              </w:rPr>
            </w:pPr>
            <w:r>
              <w:rPr>
                <w:rFonts w:ascii="Arial" w:cs="Arial" w:eastAsia="Arial" w:hAnsi="Arial"/>
                <w:sz w:val="16"/>
                <w:szCs w:val="16"/>
                <w:color w:val="auto"/>
              </w:rPr>
              <w:t>Total current liabilities</w:t>
            </w:r>
          </w:p>
        </w:tc>
        <w:tc>
          <w:tcPr>
            <w:tcW w:w="420" w:type="dxa"/>
            <w:vAlign w:val="bottom"/>
          </w:tcPr>
          <w:p>
            <w:pPr>
              <w:spacing w:after="0"/>
              <w:rPr>
                <w:sz w:val="18"/>
                <w:szCs w:val="18"/>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22,820</w:t>
            </w:r>
          </w:p>
        </w:tc>
        <w:tc>
          <w:tcPr>
            <w:tcW w:w="400" w:type="dxa"/>
            <w:vAlign w:val="bottom"/>
          </w:tcPr>
          <w:p>
            <w:pPr>
              <w:spacing w:after="0"/>
              <w:rPr>
                <w:sz w:val="18"/>
                <w:szCs w:val="18"/>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8,752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6"/>
                <w:szCs w:val="16"/>
                <w:color w:val="auto"/>
              </w:rPr>
              <w:t>Deferred income taxes</w:t>
            </w:r>
          </w:p>
        </w:tc>
        <w:tc>
          <w:tcPr>
            <w:tcW w:w="420" w:type="dxa"/>
            <w:vAlign w:val="bottom"/>
          </w:tcPr>
          <w:p>
            <w:pPr>
              <w:spacing w:after="0"/>
              <w:rPr>
                <w:sz w:val="19"/>
                <w:szCs w:val="19"/>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101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6"/>
                <w:szCs w:val="16"/>
                <w:color w:val="auto"/>
              </w:rPr>
              <w:t>Deferred rent</w:t>
            </w:r>
          </w:p>
        </w:tc>
        <w:tc>
          <w:tcPr>
            <w:tcW w:w="420" w:type="dxa"/>
            <w:vAlign w:val="bottom"/>
          </w:tcPr>
          <w:p>
            <w:pPr>
              <w:spacing w:after="0"/>
              <w:rPr>
                <w:sz w:val="19"/>
                <w:szCs w:val="19"/>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422</w:t>
            </w:r>
          </w:p>
        </w:tc>
        <w:tc>
          <w:tcPr>
            <w:tcW w:w="400" w:type="dxa"/>
            <w:vAlign w:val="bottom"/>
          </w:tcPr>
          <w:p>
            <w:pPr>
              <w:spacing w:after="0"/>
              <w:rPr>
                <w:sz w:val="19"/>
                <w:szCs w:val="19"/>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494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2,029</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60" w:type="dxa"/>
            <w:vAlign w:val="bottom"/>
          </w:tcPr>
          <w:p>
            <w:pPr>
              <w:ind w:left="180"/>
              <w:spacing w:after="0"/>
              <w:rPr>
                <w:sz w:val="20"/>
                <w:szCs w:val="20"/>
                <w:color w:val="auto"/>
              </w:rPr>
            </w:pPr>
            <w:r>
              <w:rPr>
                <w:rFonts w:ascii="Arial" w:cs="Arial" w:eastAsia="Arial" w:hAnsi="Arial"/>
                <w:sz w:val="16"/>
                <w:szCs w:val="16"/>
                <w:color w:val="auto"/>
              </w:rPr>
              <w:t>Total liabilities</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25,271</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9,895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5360" w:type="dxa"/>
            <w:vAlign w:val="bottom"/>
          </w:tcPr>
          <w:p>
            <w:pPr>
              <w:spacing w:after="0"/>
              <w:rPr>
                <w:sz w:val="20"/>
                <w:szCs w:val="20"/>
                <w:color w:val="auto"/>
              </w:rPr>
            </w:pPr>
            <w:r>
              <w:rPr>
                <w:rFonts w:ascii="Arial" w:cs="Arial" w:eastAsia="Arial" w:hAnsi="Arial"/>
                <w:sz w:val="16"/>
                <w:szCs w:val="16"/>
                <w:color w:val="auto"/>
              </w:rPr>
              <w:t>Shareholders' equity:</w:t>
            </w: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5360" w:type="dxa"/>
            <w:vAlign w:val="bottom"/>
          </w:tcPr>
          <w:p>
            <w:pPr>
              <w:spacing w:after="0"/>
              <w:rPr>
                <w:sz w:val="20"/>
                <w:szCs w:val="20"/>
                <w:color w:val="auto"/>
              </w:rPr>
            </w:pPr>
            <w:r>
              <w:rPr>
                <w:rFonts w:ascii="Arial" w:cs="Arial" w:eastAsia="Arial" w:hAnsi="Arial"/>
                <w:sz w:val="16"/>
                <w:szCs w:val="16"/>
                <w:color w:val="auto"/>
                <w:w w:val="94"/>
              </w:rPr>
              <w:t>Common stock, par value $0.001, 50,000,000 shares authorized, 9,258,206 and</w:t>
            </w: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360" w:type="dxa"/>
            <w:vAlign w:val="bottom"/>
          </w:tcPr>
          <w:p>
            <w:pPr>
              <w:spacing w:after="0"/>
              <w:rPr>
                <w:sz w:val="20"/>
                <w:szCs w:val="20"/>
                <w:color w:val="auto"/>
              </w:rPr>
            </w:pPr>
            <w:r>
              <w:rPr>
                <w:rFonts w:ascii="Arial" w:cs="Arial" w:eastAsia="Arial" w:hAnsi="Arial"/>
                <w:sz w:val="16"/>
                <w:szCs w:val="16"/>
                <w:color w:val="auto"/>
              </w:rPr>
              <w:t>9,098,152 shares issued and outstanding, respectively</w:t>
            </w:r>
          </w:p>
        </w:tc>
        <w:tc>
          <w:tcPr>
            <w:tcW w:w="420" w:type="dxa"/>
            <w:vAlign w:val="bottom"/>
          </w:tcPr>
          <w:p>
            <w:pPr>
              <w:spacing w:after="0"/>
              <w:rPr>
                <w:sz w:val="17"/>
                <w:szCs w:val="17"/>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9</w:t>
            </w:r>
          </w:p>
        </w:tc>
        <w:tc>
          <w:tcPr>
            <w:tcW w:w="400" w:type="dxa"/>
            <w:vAlign w:val="bottom"/>
          </w:tcPr>
          <w:p>
            <w:pPr>
              <w:spacing w:after="0"/>
              <w:rPr>
                <w:sz w:val="17"/>
                <w:szCs w:val="17"/>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420" w:type="dxa"/>
            <w:vAlign w:val="bottom"/>
          </w:tcPr>
          <w:p>
            <w:pPr>
              <w:spacing w:after="0"/>
              <w:rPr>
                <w:sz w:val="19"/>
                <w:szCs w:val="19"/>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40,814</w:t>
            </w:r>
          </w:p>
        </w:tc>
        <w:tc>
          <w:tcPr>
            <w:tcW w:w="400" w:type="dxa"/>
            <w:vAlign w:val="bottom"/>
          </w:tcPr>
          <w:p>
            <w:pPr>
              <w:spacing w:after="0"/>
              <w:rPr>
                <w:sz w:val="19"/>
                <w:szCs w:val="19"/>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40,073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6"/>
                <w:szCs w:val="16"/>
                <w:color w:val="auto"/>
              </w:rPr>
              <w:t>Treasury stock at cost - 94,744 as of December 31, 2012</w:t>
            </w:r>
          </w:p>
        </w:tc>
        <w:tc>
          <w:tcPr>
            <w:tcW w:w="420" w:type="dxa"/>
            <w:vAlign w:val="bottom"/>
          </w:tcPr>
          <w:p>
            <w:pPr>
              <w:spacing w:after="0"/>
              <w:rPr>
                <w:sz w:val="19"/>
                <w:szCs w:val="19"/>
                <w:color w:val="auto"/>
              </w:rPr>
            </w:pP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(384)</w:t>
            </w:r>
          </w:p>
        </w:tc>
        <w:tc>
          <w:tcPr>
            <w:tcW w:w="400" w:type="dxa"/>
            <w:vAlign w:val="bottom"/>
          </w:tcPr>
          <w:p>
            <w:pPr>
              <w:spacing w:after="0"/>
              <w:rPr>
                <w:sz w:val="19"/>
                <w:szCs w:val="19"/>
                <w:color w:val="auto"/>
              </w:rPr>
            </w:pPr>
          </w:p>
        </w:tc>
        <w:tc>
          <w:tcPr>
            <w:tcW w:w="108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6"/>
                <w:szCs w:val="16"/>
                <w:color w:val="auto"/>
              </w:rPr>
              <w:t>Retained earnings (accumulated deficit)</w:t>
            </w: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26,229</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60" w:type="dxa"/>
            <w:vAlign w:val="bottom"/>
          </w:tcPr>
          <w:p>
            <w:pPr>
              <w:ind w:left="180"/>
              <w:spacing w:after="0"/>
              <w:rPr>
                <w:sz w:val="20"/>
                <w:szCs w:val="20"/>
                <w:color w:val="auto"/>
              </w:rPr>
            </w:pPr>
            <w:r>
              <w:rPr>
                <w:rFonts w:ascii="Arial" w:cs="Arial" w:eastAsia="Arial" w:hAnsi="Arial"/>
                <w:sz w:val="16"/>
                <w:szCs w:val="16"/>
                <w:color w:val="auto"/>
              </w:rPr>
              <w:t>Total shareholders' equity</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66,668</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39,664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60" w:type="dxa"/>
            <w:vAlign w:val="bottom"/>
          </w:tcPr>
          <w:p>
            <w:pPr>
              <w:ind w:left="180"/>
              <w:spacing w:after="0"/>
              <w:rPr>
                <w:sz w:val="20"/>
                <w:szCs w:val="20"/>
                <w:color w:val="auto"/>
              </w:rPr>
            </w:pPr>
            <w:r>
              <w:rPr>
                <w:rFonts w:ascii="Arial" w:cs="Arial" w:eastAsia="Arial" w:hAnsi="Arial"/>
                <w:sz w:val="16"/>
                <w:szCs w:val="16"/>
                <w:color w:val="auto"/>
              </w:rPr>
              <w:t>Total liabilities and shareholders' equity</w:t>
            </w:r>
          </w:p>
        </w:tc>
        <w:tc>
          <w:tcPr>
            <w:tcW w:w="4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91,939</w:t>
            </w:r>
          </w:p>
        </w:tc>
        <w:tc>
          <w:tcPr>
            <w:tcW w:w="4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49,559</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240" w:top="122" w:right="299" w:bottom="0" w:gutter="0" w:footer="0" w:header="0"/>
        </w:sectPr>
      </w:pPr>
    </w:p>
    <w:bookmarkStart w:id="4" w:name="page5"/>
    <w:bookmarkEnd w:id="4"/>
    <w:p>
      <w:pPr>
        <w:jc w:val="center"/>
        <w:ind w:right="19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316230</wp:posOffset>
            </wp:positionV>
            <wp:extent cx="7272020" cy="4531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531995"/>
                    </a:xfrm>
                    <a:prstGeom prst="rect">
                      <a:avLst/>
                    </a:prstGeom>
                    <a:noFill/>
                  </pic:spPr>
                </pic:pic>
              </a:graphicData>
            </a:graphic>
          </wp:anchor>
        </w:drawing>
        <w:t>CLEARONE INC.</w:t>
      </w:r>
    </w:p>
    <w:p>
      <w:pPr>
        <w:spacing w:after="0" w:line="46" w:lineRule="exact"/>
        <w:rPr>
          <w:sz w:val="20"/>
          <w:szCs w:val="20"/>
          <w:color w:val="auto"/>
        </w:rPr>
      </w:pPr>
    </w:p>
    <w:p>
      <w:pPr>
        <w:jc w:val="center"/>
        <w:ind w:right="1920"/>
        <w:spacing w:after="0"/>
        <w:rPr>
          <w:sz w:val="20"/>
          <w:szCs w:val="20"/>
          <w:color w:val="auto"/>
        </w:rPr>
      </w:pPr>
      <w:r>
        <w:rPr>
          <w:rFonts w:ascii="Arial" w:cs="Arial" w:eastAsia="Arial" w:hAnsi="Arial"/>
          <w:sz w:val="16"/>
          <w:szCs w:val="16"/>
          <w:b w:val="1"/>
          <w:bCs w:val="1"/>
          <w:color w:val="auto"/>
        </w:rPr>
        <w:t>UNAUDITED CONSOLIDATED STATEMENTS OF OPERATIONS</w:t>
      </w:r>
    </w:p>
    <w:p>
      <w:pPr>
        <w:spacing w:after="0" w:line="46" w:lineRule="exact"/>
        <w:rPr>
          <w:sz w:val="20"/>
          <w:szCs w:val="20"/>
          <w:color w:val="auto"/>
        </w:rPr>
      </w:pPr>
    </w:p>
    <w:p>
      <w:pPr>
        <w:jc w:val="center"/>
        <w:ind w:right="1920"/>
        <w:spacing w:after="0"/>
        <w:rPr>
          <w:sz w:val="20"/>
          <w:szCs w:val="20"/>
          <w:color w:val="auto"/>
        </w:rPr>
      </w:pPr>
      <w:r>
        <w:rPr>
          <w:rFonts w:ascii="Arial" w:cs="Arial" w:eastAsia="Arial" w:hAnsi="Arial"/>
          <w:sz w:val="16"/>
          <w:szCs w:val="16"/>
          <w:b w:val="1"/>
          <w:bCs w:val="1"/>
          <w:color w:val="auto"/>
        </w:rPr>
        <w:t>(Dollars in thousands, except per share value)</w:t>
      </w:r>
    </w:p>
    <w:p>
      <w:pPr>
        <w:sectPr>
          <w:pgSz w:w="11900" w:h="16838" w:orient="portrait"/>
          <w:cols w:equalWidth="0" w:num="1">
            <w:col w:w="11420"/>
          </w:cols>
          <w:pgMar w:left="240" w:top="1179" w:right="239" w:bottom="130" w:gutter="0" w:footer="0" w:header="0"/>
        </w:sectPr>
      </w:pPr>
    </w:p>
    <w:p>
      <w:pPr>
        <w:spacing w:after="0" w:line="307" w:lineRule="exact"/>
        <w:rPr>
          <w:sz w:val="20"/>
          <w:szCs w:val="20"/>
          <w:color w:val="auto"/>
        </w:rPr>
      </w:pPr>
    </w:p>
    <w:p>
      <w:pPr>
        <w:ind w:left="4080"/>
        <w:spacing w:after="0"/>
        <w:rPr>
          <w:sz w:val="20"/>
          <w:szCs w:val="20"/>
          <w:color w:val="auto"/>
        </w:rPr>
      </w:pPr>
      <w:r>
        <w:rPr>
          <w:rFonts w:ascii="Arial" w:cs="Arial" w:eastAsia="Arial" w:hAnsi="Arial"/>
          <w:sz w:val="14"/>
          <w:szCs w:val="14"/>
          <w:b w:val="1"/>
          <w:bCs w:val="1"/>
          <w:color w:val="auto"/>
        </w:rPr>
        <w:t>Quarter ended December 31,</w:t>
      </w:r>
    </w:p>
    <w:p>
      <w:pPr>
        <w:spacing w:after="0" w:line="69" w:lineRule="exact"/>
        <w:rPr>
          <w:sz w:val="20"/>
          <w:szCs w:val="20"/>
          <w:color w:val="auto"/>
        </w:rPr>
      </w:pPr>
    </w:p>
    <w:p>
      <w:pPr>
        <w:jc w:val="both"/>
        <w:ind w:left="4340"/>
        <w:spacing w:after="0"/>
        <w:tabs>
          <w:tab w:leader="none" w:pos="5700" w:val="left"/>
        </w:tabs>
        <w:rPr>
          <w:sz w:val="20"/>
          <w:szCs w:val="20"/>
          <w:color w:val="auto"/>
        </w:rPr>
      </w:pP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2011</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Year ended December 31,</w:t>
      </w:r>
    </w:p>
    <w:p>
      <w:pPr>
        <w:spacing w:after="0" w:line="69" w:lineRule="exact"/>
        <w:rPr>
          <w:sz w:val="20"/>
          <w:szCs w:val="20"/>
          <w:color w:val="auto"/>
        </w:rPr>
      </w:pPr>
    </w:p>
    <w:p>
      <w:pPr>
        <w:ind w:left="140"/>
        <w:spacing w:after="0"/>
        <w:tabs>
          <w:tab w:leader="none" w:pos="1480" w:val="left"/>
        </w:tabs>
        <w:rPr>
          <w:sz w:val="20"/>
          <w:szCs w:val="20"/>
          <w:color w:val="auto"/>
        </w:rPr>
      </w:pPr>
      <w:r>
        <w:rPr>
          <w:rFonts w:ascii="Arial" w:cs="Arial" w:eastAsia="Arial" w:hAnsi="Arial"/>
          <w:sz w:val="12"/>
          <w:szCs w:val="12"/>
          <w:b w:val="1"/>
          <w:bCs w:val="1"/>
          <w:color w:val="auto"/>
        </w:rPr>
        <w:t>2012</w:t>
      </w:r>
      <w:r>
        <w:rPr>
          <w:sz w:val="20"/>
          <w:szCs w:val="20"/>
          <w:color w:val="auto"/>
        </w:rPr>
        <w:tab/>
      </w:r>
      <w:r>
        <w:rPr>
          <w:rFonts w:ascii="Arial" w:cs="Arial" w:eastAsia="Arial" w:hAnsi="Arial"/>
          <w:sz w:val="12"/>
          <w:szCs w:val="12"/>
          <w:b w:val="1"/>
          <w:bCs w:val="1"/>
          <w:color w:val="auto"/>
        </w:rPr>
        <w:t>2011</w:t>
      </w:r>
    </w:p>
    <w:p>
      <w:pPr>
        <w:spacing w:after="0" w:line="33" w:lineRule="exact"/>
        <w:rPr>
          <w:sz w:val="20"/>
          <w:szCs w:val="20"/>
          <w:color w:val="auto"/>
        </w:rPr>
      </w:pPr>
    </w:p>
    <w:p>
      <w:pPr>
        <w:sectPr>
          <w:pgSz w:w="11900" w:h="16838" w:orient="portrait"/>
          <w:cols w:equalWidth="0" w:num="2">
            <w:col w:w="6520" w:space="720"/>
            <w:col w:w="4180"/>
          </w:cols>
          <w:pgMar w:left="240" w:top="1179" w:right="239" w:bottom="13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22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6"/>
                <w:szCs w:val="16"/>
                <w:color w:val="auto"/>
              </w:rPr>
              <w:t>Revenue</w:t>
            </w:r>
          </w:p>
        </w:tc>
        <w:tc>
          <w:tcPr>
            <w:tcW w:w="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13,036</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11,965</w:t>
            </w:r>
          </w:p>
        </w:tc>
        <w:tc>
          <w:tcPr>
            <w:tcW w:w="320" w:type="dxa"/>
            <w:vAlign w:val="bottom"/>
          </w:tcPr>
          <w:p>
            <w:pPr>
              <w:spacing w:after="0"/>
              <w:rPr>
                <w:sz w:val="17"/>
                <w:szCs w:val="17"/>
                <w:color w:val="auto"/>
              </w:rPr>
            </w:pP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46,417</w:t>
            </w:r>
          </w:p>
        </w:tc>
        <w:tc>
          <w:tcPr>
            <w:tcW w:w="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46,067</w:t>
            </w:r>
          </w:p>
        </w:tc>
        <w:tc>
          <w:tcPr>
            <w:tcW w:w="4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27"/>
        </w:trPr>
        <w:tc>
          <w:tcPr>
            <w:tcW w:w="2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Arial" w:cs="Arial" w:eastAsia="Arial" w:hAnsi="Arial"/>
                <w:sz w:val="16"/>
                <w:szCs w:val="16"/>
                <w:color w:val="auto"/>
              </w:rPr>
              <w:t>Cost of goods sold</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5,625</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4,855</w:t>
            </w:r>
          </w:p>
        </w:tc>
        <w:tc>
          <w:tcPr>
            <w:tcW w:w="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19,089</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18,522</w:t>
            </w:r>
          </w:p>
        </w:tc>
        <w:tc>
          <w:tcPr>
            <w:tcW w:w="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10"/>
        </w:trPr>
        <w:tc>
          <w:tcPr>
            <w:tcW w:w="2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7,411</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7,110</w:t>
            </w:r>
          </w:p>
        </w:tc>
        <w:tc>
          <w:tcPr>
            <w:tcW w:w="3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27,328</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27,545</w:t>
            </w:r>
          </w:p>
        </w:tc>
        <w:tc>
          <w:tcPr>
            <w:tcW w:w="4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405"/>
        </w:trPr>
        <w:tc>
          <w:tcPr>
            <w:tcW w:w="220" w:type="dxa"/>
            <w:vAlign w:val="bottom"/>
          </w:tcPr>
          <w:p>
            <w:pPr>
              <w:spacing w:after="0"/>
              <w:rPr>
                <w:sz w:val="24"/>
                <w:szCs w:val="24"/>
                <w:color w:val="auto"/>
              </w:rPr>
            </w:pPr>
          </w:p>
        </w:tc>
        <w:tc>
          <w:tcPr>
            <w:tcW w:w="338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44"/>
        </w:trPr>
        <w:tc>
          <w:tcPr>
            <w:tcW w:w="220" w:type="dxa"/>
            <w:vAlign w:val="bottom"/>
          </w:tcPr>
          <w:p>
            <w:pPr>
              <w:spacing w:after="0"/>
              <w:rPr>
                <w:sz w:val="21"/>
                <w:szCs w:val="21"/>
                <w:color w:val="auto"/>
              </w:rPr>
            </w:pPr>
          </w:p>
        </w:tc>
        <w:tc>
          <w:tcPr>
            <w:tcW w:w="3380" w:type="dxa"/>
            <w:vAlign w:val="bottom"/>
            <w:gridSpan w:val="2"/>
          </w:tcPr>
          <w:p>
            <w:pPr>
              <w:spacing w:after="0"/>
              <w:rPr>
                <w:sz w:val="20"/>
                <w:szCs w:val="20"/>
                <w:color w:val="auto"/>
              </w:rPr>
            </w:pPr>
            <w:r>
              <w:rPr>
                <w:rFonts w:ascii="Arial" w:cs="Arial" w:eastAsia="Arial" w:hAnsi="Arial"/>
                <w:sz w:val="16"/>
                <w:szCs w:val="16"/>
                <w:color w:val="auto"/>
              </w:rPr>
              <w:t>Sales and marketing</w:t>
            </w:r>
          </w:p>
        </w:tc>
        <w:tc>
          <w:tcPr>
            <w:tcW w:w="400" w:type="dxa"/>
            <w:vAlign w:val="bottom"/>
          </w:tcPr>
          <w:p>
            <w:pPr>
              <w:spacing w:after="0"/>
              <w:rPr>
                <w:sz w:val="21"/>
                <w:szCs w:val="21"/>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1,903</w:t>
            </w:r>
          </w:p>
        </w:tc>
        <w:tc>
          <w:tcPr>
            <w:tcW w:w="380" w:type="dxa"/>
            <w:vAlign w:val="bottom"/>
          </w:tcPr>
          <w:p>
            <w:pPr>
              <w:spacing w:after="0"/>
              <w:rPr>
                <w:sz w:val="21"/>
                <w:szCs w:val="21"/>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1,846</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8,112</w:t>
            </w:r>
          </w:p>
        </w:tc>
        <w:tc>
          <w:tcPr>
            <w:tcW w:w="380" w:type="dxa"/>
            <w:vAlign w:val="bottom"/>
          </w:tcPr>
          <w:p>
            <w:pPr>
              <w:spacing w:after="0"/>
              <w:rPr>
                <w:sz w:val="21"/>
                <w:szCs w:val="21"/>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8,120</w:t>
            </w:r>
          </w:p>
        </w:tc>
        <w:tc>
          <w:tcPr>
            <w:tcW w:w="4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30"/>
        </w:trPr>
        <w:tc>
          <w:tcPr>
            <w:tcW w:w="2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Arial" w:cs="Arial" w:eastAsia="Arial" w:hAnsi="Arial"/>
                <w:sz w:val="16"/>
                <w:szCs w:val="16"/>
                <w:color w:val="auto"/>
              </w:rPr>
              <w:t>Research and product development</w:t>
            </w:r>
          </w:p>
        </w:tc>
        <w:tc>
          <w:tcPr>
            <w:tcW w:w="400" w:type="dxa"/>
            <w:vAlign w:val="bottom"/>
          </w:tcPr>
          <w:p>
            <w:pPr>
              <w:spacing w:after="0"/>
              <w:rPr>
                <w:sz w:val="19"/>
                <w:szCs w:val="19"/>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2,265</w:t>
            </w:r>
          </w:p>
        </w:tc>
        <w:tc>
          <w:tcPr>
            <w:tcW w:w="380" w:type="dxa"/>
            <w:vAlign w:val="bottom"/>
          </w:tcPr>
          <w:p>
            <w:pPr>
              <w:spacing w:after="0"/>
              <w:rPr>
                <w:sz w:val="19"/>
                <w:szCs w:val="19"/>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1,880</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8,261</w:t>
            </w:r>
          </w:p>
        </w:tc>
        <w:tc>
          <w:tcPr>
            <w:tcW w:w="380" w:type="dxa"/>
            <w:vAlign w:val="bottom"/>
          </w:tcPr>
          <w:p>
            <w:pPr>
              <w:spacing w:after="0"/>
              <w:rPr>
                <w:sz w:val="19"/>
                <w:szCs w:val="19"/>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7,128</w:t>
            </w:r>
          </w:p>
        </w:tc>
        <w:tc>
          <w:tcPr>
            <w:tcW w:w="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30"/>
        </w:trPr>
        <w:tc>
          <w:tcPr>
            <w:tcW w:w="2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Arial" w:cs="Arial" w:eastAsia="Arial" w:hAnsi="Arial"/>
                <w:sz w:val="16"/>
                <w:szCs w:val="16"/>
                <w:color w:val="auto"/>
              </w:rPr>
              <w:t>General and administrative</w:t>
            </w:r>
          </w:p>
        </w:tc>
        <w:tc>
          <w:tcPr>
            <w:tcW w:w="400" w:type="dxa"/>
            <w:vAlign w:val="bottom"/>
          </w:tcPr>
          <w:p>
            <w:pPr>
              <w:spacing w:after="0"/>
              <w:rPr>
                <w:sz w:val="19"/>
                <w:szCs w:val="19"/>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2,374</w:t>
            </w:r>
          </w:p>
        </w:tc>
        <w:tc>
          <w:tcPr>
            <w:tcW w:w="380" w:type="dxa"/>
            <w:vAlign w:val="bottom"/>
          </w:tcPr>
          <w:p>
            <w:pPr>
              <w:spacing w:after="0"/>
              <w:rPr>
                <w:sz w:val="19"/>
                <w:szCs w:val="19"/>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1,262</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6,934</w:t>
            </w:r>
          </w:p>
        </w:tc>
        <w:tc>
          <w:tcPr>
            <w:tcW w:w="380" w:type="dxa"/>
            <w:vAlign w:val="bottom"/>
          </w:tcPr>
          <w:p>
            <w:pPr>
              <w:spacing w:after="0"/>
              <w:rPr>
                <w:sz w:val="19"/>
                <w:szCs w:val="19"/>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5,427</w:t>
            </w:r>
          </w:p>
        </w:tc>
        <w:tc>
          <w:tcPr>
            <w:tcW w:w="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30"/>
        </w:trPr>
        <w:tc>
          <w:tcPr>
            <w:tcW w:w="2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Arial" w:cs="Arial" w:eastAsia="Arial" w:hAnsi="Arial"/>
                <w:sz w:val="16"/>
                <w:szCs w:val="16"/>
                <w:color w:val="auto"/>
              </w:rPr>
              <w:t>Proceeds from litigation, net</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(38,250)</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(38,500)</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(3,702)</w:t>
            </w:r>
          </w:p>
        </w:tc>
        <w:tc>
          <w:tcPr>
            <w:tcW w:w="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13"/>
        </w:trPr>
        <w:tc>
          <w:tcPr>
            <w:tcW w:w="2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6"/>
                <w:szCs w:val="16"/>
                <w:color w:val="auto"/>
              </w:rPr>
              <w:t>Total operating expenses</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(31,708)</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4,988</w:t>
            </w:r>
          </w:p>
        </w:tc>
        <w:tc>
          <w:tcPr>
            <w:tcW w:w="3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(15,193)</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16,973</w:t>
            </w:r>
          </w:p>
        </w:tc>
        <w:tc>
          <w:tcPr>
            <w:tcW w:w="4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436"/>
        </w:trPr>
        <w:tc>
          <w:tcPr>
            <w:tcW w:w="220" w:type="dxa"/>
            <w:vAlign w:val="bottom"/>
          </w:tcPr>
          <w:p>
            <w:pPr>
              <w:spacing w:after="0"/>
              <w:rPr>
                <w:sz w:val="24"/>
                <w:szCs w:val="24"/>
                <w:color w:val="auto"/>
              </w:rPr>
            </w:pPr>
          </w:p>
        </w:tc>
        <w:tc>
          <w:tcPr>
            <w:tcW w:w="3380" w:type="dxa"/>
            <w:vAlign w:val="bottom"/>
            <w:gridSpan w:val="2"/>
          </w:tcPr>
          <w:p>
            <w:pPr>
              <w:spacing w:after="0"/>
              <w:rPr>
                <w:sz w:val="20"/>
                <w:szCs w:val="20"/>
                <w:color w:val="auto"/>
              </w:rPr>
            </w:pPr>
            <w:r>
              <w:rPr>
                <w:rFonts w:ascii="Arial" w:cs="Arial" w:eastAsia="Arial" w:hAnsi="Arial"/>
                <w:sz w:val="16"/>
                <w:szCs w:val="16"/>
                <w:color w:val="auto"/>
              </w:rPr>
              <w:t>Operating income</w:t>
            </w:r>
          </w:p>
        </w:tc>
        <w:tc>
          <w:tcPr>
            <w:tcW w:w="400" w:type="dxa"/>
            <w:vAlign w:val="bottom"/>
          </w:tcPr>
          <w:p>
            <w:pPr>
              <w:spacing w:after="0"/>
              <w:rPr>
                <w:sz w:val="24"/>
                <w:szCs w:val="24"/>
                <w:color w:val="auto"/>
              </w:rPr>
            </w:pPr>
          </w:p>
        </w:tc>
        <w:tc>
          <w:tcPr>
            <w:tcW w:w="1000" w:type="dxa"/>
            <w:vAlign w:val="bottom"/>
          </w:tcPr>
          <w:p>
            <w:pPr>
              <w:jc w:val="right"/>
              <w:ind w:right="179"/>
              <w:spacing w:after="0"/>
              <w:rPr>
                <w:sz w:val="20"/>
                <w:szCs w:val="20"/>
                <w:color w:val="auto"/>
              </w:rPr>
            </w:pPr>
            <w:r>
              <w:rPr>
                <w:rFonts w:ascii="Arial" w:cs="Arial" w:eastAsia="Arial" w:hAnsi="Arial"/>
                <w:sz w:val="16"/>
                <w:szCs w:val="16"/>
                <w:color w:val="auto"/>
              </w:rPr>
              <w:t>39,119</w:t>
            </w:r>
          </w:p>
        </w:tc>
        <w:tc>
          <w:tcPr>
            <w:tcW w:w="380" w:type="dxa"/>
            <w:vAlign w:val="bottom"/>
          </w:tcPr>
          <w:p>
            <w:pPr>
              <w:spacing w:after="0"/>
              <w:rPr>
                <w:sz w:val="24"/>
                <w:szCs w:val="24"/>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2,122</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42,521</w:t>
            </w:r>
          </w:p>
        </w:tc>
        <w:tc>
          <w:tcPr>
            <w:tcW w:w="380" w:type="dxa"/>
            <w:vAlign w:val="bottom"/>
          </w:tcPr>
          <w:p>
            <w:pPr>
              <w:spacing w:after="0"/>
              <w:rPr>
                <w:sz w:val="24"/>
                <w:szCs w:val="24"/>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10,572</w:t>
            </w:r>
          </w:p>
        </w:tc>
        <w:tc>
          <w:tcPr>
            <w:tcW w:w="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30"/>
        </w:trPr>
        <w:tc>
          <w:tcPr>
            <w:tcW w:w="2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Arial" w:cs="Arial" w:eastAsia="Arial" w:hAnsi="Arial"/>
                <w:sz w:val="16"/>
                <w:szCs w:val="16"/>
                <w:color w:val="auto"/>
              </w:rPr>
              <w:t>Other income (expense), net</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10</w:t>
            </w:r>
          </w:p>
        </w:tc>
        <w:tc>
          <w:tcPr>
            <w:tcW w:w="3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34</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24</w:t>
            </w:r>
          </w:p>
        </w:tc>
        <w:tc>
          <w:tcPr>
            <w:tcW w:w="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10"/>
        </w:trPr>
        <w:tc>
          <w:tcPr>
            <w:tcW w:w="2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6"/>
                <w:szCs w:val="16"/>
                <w:color w:val="auto"/>
              </w:rPr>
              <w:t>Income before income taxes</w:t>
            </w:r>
          </w:p>
        </w:tc>
        <w:tc>
          <w:tcPr>
            <w:tcW w:w="400" w:type="dxa"/>
            <w:vAlign w:val="bottom"/>
          </w:tcPr>
          <w:p>
            <w:pPr>
              <w:spacing w:after="0"/>
              <w:rPr>
                <w:sz w:val="18"/>
                <w:szCs w:val="18"/>
                <w:color w:val="auto"/>
              </w:rPr>
            </w:pPr>
          </w:p>
        </w:tc>
        <w:tc>
          <w:tcPr>
            <w:tcW w:w="1000" w:type="dxa"/>
            <w:vAlign w:val="bottom"/>
          </w:tcPr>
          <w:p>
            <w:pPr>
              <w:jc w:val="right"/>
              <w:ind w:right="179"/>
              <w:spacing w:after="0"/>
              <w:rPr>
                <w:sz w:val="20"/>
                <w:szCs w:val="20"/>
                <w:color w:val="auto"/>
              </w:rPr>
            </w:pPr>
            <w:r>
              <w:rPr>
                <w:rFonts w:ascii="Arial" w:cs="Arial" w:eastAsia="Arial" w:hAnsi="Arial"/>
                <w:sz w:val="16"/>
                <w:szCs w:val="16"/>
                <w:color w:val="auto"/>
              </w:rPr>
              <w:t>39,112</w:t>
            </w:r>
          </w:p>
        </w:tc>
        <w:tc>
          <w:tcPr>
            <w:tcW w:w="38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2,132</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42,555</w:t>
            </w:r>
          </w:p>
        </w:tc>
        <w:tc>
          <w:tcPr>
            <w:tcW w:w="38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10,596</w:t>
            </w:r>
          </w:p>
        </w:tc>
        <w:tc>
          <w:tcPr>
            <w:tcW w:w="4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3"/>
        </w:trPr>
        <w:tc>
          <w:tcPr>
            <w:tcW w:w="220" w:type="dxa"/>
            <w:vAlign w:val="bottom"/>
          </w:tcPr>
          <w:p>
            <w:pPr>
              <w:spacing w:after="0"/>
              <w:rPr>
                <w:sz w:val="20"/>
                <w:szCs w:val="20"/>
                <w:color w:val="auto"/>
              </w:rPr>
            </w:pPr>
          </w:p>
        </w:tc>
        <w:tc>
          <w:tcPr>
            <w:tcW w:w="3380" w:type="dxa"/>
            <w:vAlign w:val="bottom"/>
            <w:gridSpan w:val="2"/>
          </w:tcPr>
          <w:p>
            <w:pPr>
              <w:spacing w:after="0"/>
              <w:rPr>
                <w:sz w:val="20"/>
                <w:szCs w:val="20"/>
                <w:color w:val="auto"/>
              </w:rPr>
            </w:pPr>
            <w:r>
              <w:rPr>
                <w:rFonts w:ascii="Arial" w:cs="Arial" w:eastAsia="Arial" w:hAnsi="Arial"/>
                <w:sz w:val="16"/>
                <w:szCs w:val="16"/>
                <w:color w:val="auto"/>
              </w:rPr>
              <w:t>Provision for income taxes</w:t>
            </w: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14,598</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711</w:t>
            </w:r>
          </w:p>
        </w:tc>
        <w:tc>
          <w:tcPr>
            <w:tcW w:w="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15,908</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3,667</w:t>
            </w:r>
          </w:p>
        </w:tc>
        <w:tc>
          <w:tcPr>
            <w:tcW w:w="4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13"/>
        </w:trPr>
        <w:tc>
          <w:tcPr>
            <w:tcW w:w="2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24,514</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1,421</w:t>
            </w:r>
          </w:p>
        </w:tc>
        <w:tc>
          <w:tcPr>
            <w:tcW w:w="320" w:type="dxa"/>
            <w:vAlign w:val="bottom"/>
          </w:tcPr>
          <w:p>
            <w:pPr>
              <w:spacing w:after="0"/>
              <w:rPr>
                <w:sz w:val="18"/>
                <w:szCs w:val="18"/>
                <w:color w:val="auto"/>
              </w:rPr>
            </w:pP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26,647</w:t>
            </w:r>
          </w:p>
        </w:tc>
        <w:tc>
          <w:tcPr>
            <w:tcW w:w="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6,929</w:t>
            </w:r>
          </w:p>
        </w:tc>
        <w:tc>
          <w:tcPr>
            <w:tcW w:w="40" w:type="dxa"/>
            <w:vAlign w:val="bottom"/>
            <w:tcBorders>
              <w:bottom w:val="single" w:sz="8" w:color="auto"/>
            </w:tcBorders>
          </w:tcPr>
          <w:p>
            <w:pPr>
              <w:spacing w:after="0"/>
              <w:rPr>
                <w:sz w:val="18"/>
                <w:szCs w:val="18"/>
                <w:color w:val="auto"/>
              </w:rPr>
            </w:pPr>
          </w:p>
        </w:tc>
        <w:tc>
          <w:tcPr>
            <w:tcW w:w="202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420"/>
        </w:trPr>
        <w:tc>
          <w:tcPr>
            <w:tcW w:w="220" w:type="dxa"/>
            <w:vAlign w:val="bottom"/>
          </w:tcPr>
          <w:p>
            <w:pPr>
              <w:spacing w:after="0"/>
              <w:rPr>
                <w:sz w:val="24"/>
                <w:szCs w:val="24"/>
                <w:color w:val="auto"/>
              </w:rPr>
            </w:pPr>
          </w:p>
        </w:tc>
        <w:tc>
          <w:tcPr>
            <w:tcW w:w="3380" w:type="dxa"/>
            <w:vAlign w:val="bottom"/>
            <w:gridSpan w:val="2"/>
          </w:tcPr>
          <w:p>
            <w:pPr>
              <w:spacing w:after="0"/>
              <w:rPr>
                <w:sz w:val="20"/>
                <w:szCs w:val="20"/>
                <w:color w:val="auto"/>
              </w:rPr>
            </w:pPr>
            <w:r>
              <w:rPr>
                <w:rFonts w:ascii="Arial" w:cs="Arial" w:eastAsia="Arial" w:hAnsi="Arial"/>
                <w:sz w:val="16"/>
                <w:szCs w:val="16"/>
                <w:color w:val="auto"/>
              </w:rPr>
              <w:t>Basic earnings per common share</w:t>
            </w: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2.69</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0.16</w:t>
            </w:r>
          </w:p>
        </w:tc>
        <w:tc>
          <w:tcPr>
            <w:tcW w:w="320" w:type="dxa"/>
            <w:vAlign w:val="bottom"/>
          </w:tcPr>
          <w:p>
            <w:pPr>
              <w:spacing w:after="0"/>
              <w:rPr>
                <w:sz w:val="24"/>
                <w:szCs w:val="24"/>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2.93</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0.77</w:t>
            </w:r>
          </w:p>
        </w:tc>
        <w:tc>
          <w:tcPr>
            <w:tcW w:w="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30"/>
        </w:trPr>
        <w:tc>
          <w:tcPr>
            <w:tcW w:w="2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Arial" w:cs="Arial" w:eastAsia="Arial" w:hAnsi="Arial"/>
                <w:sz w:val="16"/>
                <w:szCs w:val="16"/>
                <w:color w:val="auto"/>
              </w:rPr>
              <w:t>Diluted earnings per common share</w:t>
            </w: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2.67</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0.15</w:t>
            </w:r>
          </w:p>
        </w:tc>
        <w:tc>
          <w:tcPr>
            <w:tcW w:w="320" w:type="dxa"/>
            <w:vAlign w:val="bottom"/>
          </w:tcPr>
          <w:p>
            <w:pPr>
              <w:spacing w:after="0"/>
              <w:rPr>
                <w:sz w:val="19"/>
                <w:szCs w:val="19"/>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2.89</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0.75</w:t>
            </w:r>
          </w:p>
        </w:tc>
        <w:tc>
          <w:tcPr>
            <w:tcW w:w="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59"/>
        </w:trPr>
        <w:tc>
          <w:tcPr>
            <w:tcW w:w="220" w:type="dxa"/>
            <w:vAlign w:val="bottom"/>
          </w:tcPr>
          <w:p>
            <w:pPr>
              <w:spacing w:after="0"/>
              <w:rPr>
                <w:sz w:val="24"/>
                <w:szCs w:val="24"/>
                <w:color w:val="auto"/>
              </w:rPr>
            </w:pPr>
          </w:p>
        </w:tc>
        <w:tc>
          <w:tcPr>
            <w:tcW w:w="3380" w:type="dxa"/>
            <w:vAlign w:val="bottom"/>
            <w:gridSpan w:val="2"/>
          </w:tcPr>
          <w:p>
            <w:pPr>
              <w:spacing w:after="0"/>
              <w:rPr>
                <w:sz w:val="20"/>
                <w:szCs w:val="20"/>
                <w:color w:val="auto"/>
              </w:rPr>
            </w:pPr>
            <w:r>
              <w:rPr>
                <w:rFonts w:ascii="Arial" w:cs="Arial" w:eastAsia="Arial" w:hAnsi="Arial"/>
                <w:sz w:val="16"/>
                <w:szCs w:val="16"/>
                <w:color w:val="auto"/>
              </w:rPr>
              <w:t>Basic weighted average shares outstanding</w:t>
            </w:r>
          </w:p>
        </w:tc>
        <w:tc>
          <w:tcPr>
            <w:tcW w:w="400" w:type="dxa"/>
            <w:vAlign w:val="bottom"/>
          </w:tcPr>
          <w:p>
            <w:pPr>
              <w:spacing w:after="0"/>
              <w:rPr>
                <w:sz w:val="24"/>
                <w:szCs w:val="24"/>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9,109,552</w:t>
            </w:r>
          </w:p>
        </w:tc>
        <w:tc>
          <w:tcPr>
            <w:tcW w:w="380" w:type="dxa"/>
            <w:vAlign w:val="bottom"/>
          </w:tcPr>
          <w:p>
            <w:pPr>
              <w:spacing w:after="0"/>
              <w:rPr>
                <w:sz w:val="24"/>
                <w:szCs w:val="24"/>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9,095,333</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9,107,234</w:t>
            </w:r>
          </w:p>
        </w:tc>
        <w:tc>
          <w:tcPr>
            <w:tcW w:w="380" w:type="dxa"/>
            <w:vAlign w:val="bottom"/>
          </w:tcPr>
          <w:p>
            <w:pPr>
              <w:spacing w:after="0"/>
              <w:rPr>
                <w:sz w:val="24"/>
                <w:szCs w:val="24"/>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9,027,934</w:t>
            </w:r>
          </w:p>
        </w:tc>
        <w:tc>
          <w:tcPr>
            <w:tcW w:w="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16"/>
        </w:trPr>
        <w:tc>
          <w:tcPr>
            <w:tcW w:w="2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6"/>
                <w:szCs w:val="16"/>
                <w:color w:val="auto"/>
              </w:rPr>
              <w:t>Diluted weighted average shares outstanding</w:t>
            </w:r>
          </w:p>
        </w:tc>
        <w:tc>
          <w:tcPr>
            <w:tcW w:w="4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9,192,714</w:t>
            </w:r>
          </w:p>
        </w:tc>
        <w:tc>
          <w:tcPr>
            <w:tcW w:w="38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9,237,214</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9,214,685</w:t>
            </w:r>
          </w:p>
        </w:tc>
        <w:tc>
          <w:tcPr>
            <w:tcW w:w="38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9,271,811</w:t>
            </w:r>
          </w:p>
        </w:tc>
        <w:tc>
          <w:tcPr>
            <w:tcW w:w="4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432"/>
        </w:trPr>
        <w:tc>
          <w:tcPr>
            <w:tcW w:w="2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wp:posOffset>
            </wp:positionV>
            <wp:extent cx="7272020" cy="53124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312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640"/>
        <w:spacing w:after="0"/>
        <w:rPr>
          <w:sz w:val="20"/>
          <w:szCs w:val="20"/>
          <w:color w:val="auto"/>
        </w:rPr>
      </w:pPr>
      <w:r>
        <w:rPr>
          <w:rFonts w:ascii="Arial" w:cs="Arial" w:eastAsia="Arial" w:hAnsi="Arial"/>
          <w:sz w:val="16"/>
          <w:szCs w:val="16"/>
          <w:b w:val="1"/>
          <w:bCs w:val="1"/>
          <w:color w:val="auto"/>
        </w:rPr>
        <w:t>CLEARONE INC.</w:t>
      </w:r>
    </w:p>
    <w:p>
      <w:pPr>
        <w:spacing w:after="0" w:line="46" w:lineRule="exact"/>
        <w:rPr>
          <w:sz w:val="20"/>
          <w:szCs w:val="20"/>
          <w:color w:val="auto"/>
        </w:rPr>
      </w:pPr>
    </w:p>
    <w:p>
      <w:pPr>
        <w:jc w:val="center"/>
        <w:ind w:right="1640"/>
        <w:spacing w:after="0"/>
        <w:rPr>
          <w:sz w:val="20"/>
          <w:szCs w:val="20"/>
          <w:color w:val="auto"/>
        </w:rPr>
      </w:pPr>
      <w:r>
        <w:rPr>
          <w:rFonts w:ascii="Arial" w:cs="Arial" w:eastAsia="Arial" w:hAnsi="Arial"/>
          <w:sz w:val="16"/>
          <w:szCs w:val="16"/>
          <w:b w:val="1"/>
          <w:bCs w:val="1"/>
          <w:color w:val="auto"/>
        </w:rPr>
        <w:t>UNAUDITED RECONCILIATION OF GAAP TO NON-GAAP NET INCOME</w:t>
      </w:r>
    </w:p>
    <w:p>
      <w:pPr>
        <w:spacing w:after="0" w:line="46" w:lineRule="exact"/>
        <w:rPr>
          <w:sz w:val="20"/>
          <w:szCs w:val="20"/>
          <w:color w:val="auto"/>
        </w:rPr>
      </w:pPr>
    </w:p>
    <w:p>
      <w:pPr>
        <w:jc w:val="center"/>
        <w:ind w:right="1640"/>
        <w:spacing w:after="0"/>
        <w:rPr>
          <w:sz w:val="20"/>
          <w:szCs w:val="20"/>
          <w:color w:val="auto"/>
        </w:rPr>
      </w:pPr>
      <w:r>
        <w:rPr>
          <w:rFonts w:ascii="Arial" w:cs="Arial" w:eastAsia="Arial" w:hAnsi="Arial"/>
          <w:sz w:val="16"/>
          <w:szCs w:val="16"/>
          <w:b w:val="1"/>
          <w:bCs w:val="1"/>
          <w:color w:val="auto"/>
        </w:rPr>
        <w:t>(Dollars in thousands, except per share value)</w:t>
      </w:r>
    </w:p>
    <w:p>
      <w:pPr>
        <w:sectPr>
          <w:pgSz w:w="11900" w:h="16838" w:orient="portrait"/>
          <w:cols w:equalWidth="0" w:num="1">
            <w:col w:w="11420"/>
          </w:cols>
          <w:pgMar w:left="240" w:top="1179" w:right="239" w:bottom="130" w:gutter="0" w:footer="0" w:header="0"/>
          <w:type w:val="continuous"/>
        </w:sectPr>
      </w:pPr>
    </w:p>
    <w:p>
      <w:pPr>
        <w:spacing w:after="0" w:line="320" w:lineRule="exact"/>
        <w:rPr>
          <w:sz w:val="20"/>
          <w:szCs w:val="20"/>
          <w:color w:val="auto"/>
        </w:rPr>
      </w:pPr>
    </w:p>
    <w:p>
      <w:pPr>
        <w:ind w:left="3640"/>
        <w:spacing w:after="0"/>
        <w:rPr>
          <w:sz w:val="20"/>
          <w:szCs w:val="20"/>
          <w:color w:val="auto"/>
        </w:rPr>
      </w:pPr>
      <w:r>
        <w:rPr>
          <w:rFonts w:ascii="Arial" w:cs="Arial" w:eastAsia="Arial" w:hAnsi="Arial"/>
          <w:sz w:val="14"/>
          <w:szCs w:val="14"/>
          <w:b w:val="1"/>
          <w:bCs w:val="1"/>
          <w:color w:val="auto"/>
        </w:rPr>
        <w:t>Quarter ended December 31, 2012</w:t>
      </w:r>
    </w:p>
    <w:p>
      <w:pPr>
        <w:spacing w:after="0" w:line="69" w:lineRule="exact"/>
        <w:rPr>
          <w:sz w:val="20"/>
          <w:szCs w:val="20"/>
          <w:color w:val="auto"/>
        </w:rPr>
      </w:pPr>
    </w:p>
    <w:p>
      <w:pPr>
        <w:ind w:left="3400"/>
        <w:spacing w:after="0"/>
        <w:tabs>
          <w:tab w:leader="none" w:pos="4240" w:val="left"/>
          <w:tab w:leader="none" w:pos="5360" w:val="left"/>
        </w:tabs>
        <w:rPr>
          <w:sz w:val="20"/>
          <w:szCs w:val="20"/>
          <w:color w:val="auto"/>
        </w:rPr>
      </w:pPr>
      <w:r>
        <w:rPr>
          <w:rFonts w:ascii="Arial" w:cs="Arial" w:eastAsia="Arial" w:hAnsi="Arial"/>
          <w:sz w:val="14"/>
          <w:szCs w:val="14"/>
          <w:b w:val="1"/>
          <w:bCs w:val="1"/>
          <w:color w:val="auto"/>
        </w:rPr>
        <w:t>GAAP</w:t>
      </w:r>
      <w:r>
        <w:rPr>
          <w:sz w:val="20"/>
          <w:szCs w:val="20"/>
          <w:color w:val="auto"/>
        </w:rPr>
        <w:tab/>
      </w:r>
      <w:r>
        <w:rPr>
          <w:rFonts w:ascii="Arial" w:cs="Arial" w:eastAsia="Arial" w:hAnsi="Arial"/>
          <w:sz w:val="14"/>
          <w:szCs w:val="14"/>
          <w:b w:val="1"/>
          <w:bCs w:val="1"/>
          <w:color w:val="auto"/>
        </w:rPr>
        <w:t>Adjustments</w:t>
      </w:r>
      <w:r>
        <w:rPr>
          <w:sz w:val="20"/>
          <w:szCs w:val="20"/>
          <w:color w:val="auto"/>
        </w:rPr>
        <w:tab/>
      </w:r>
      <w:r>
        <w:rPr>
          <w:rFonts w:ascii="Arial" w:cs="Arial" w:eastAsia="Arial" w:hAnsi="Arial"/>
          <w:sz w:val="13"/>
          <w:szCs w:val="13"/>
          <w:b w:val="1"/>
          <w:bCs w:val="1"/>
          <w:color w:val="auto"/>
        </w:rPr>
        <w:t>Non-GAAP</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Quarter ended December 31, 2011</w:t>
      </w:r>
    </w:p>
    <w:p>
      <w:pPr>
        <w:spacing w:after="0" w:line="69" w:lineRule="exact"/>
        <w:rPr>
          <w:sz w:val="20"/>
          <w:szCs w:val="20"/>
          <w:color w:val="auto"/>
        </w:rPr>
      </w:pPr>
    </w:p>
    <w:p>
      <w:pPr>
        <w:spacing w:after="0"/>
        <w:tabs>
          <w:tab w:leader="none" w:pos="840" w:val="left"/>
          <w:tab w:leader="none" w:pos="1940" w:val="left"/>
        </w:tabs>
        <w:rPr>
          <w:sz w:val="20"/>
          <w:szCs w:val="20"/>
          <w:color w:val="auto"/>
        </w:rPr>
      </w:pPr>
      <w:r>
        <w:rPr>
          <w:rFonts w:ascii="Arial" w:cs="Arial" w:eastAsia="Arial" w:hAnsi="Arial"/>
          <w:sz w:val="14"/>
          <w:szCs w:val="14"/>
          <w:b w:val="1"/>
          <w:bCs w:val="1"/>
          <w:color w:val="auto"/>
        </w:rPr>
        <w:t>GAAP</w:t>
      </w:r>
      <w:r>
        <w:rPr>
          <w:sz w:val="20"/>
          <w:szCs w:val="20"/>
          <w:color w:val="auto"/>
        </w:rPr>
        <w:tab/>
      </w:r>
      <w:r>
        <w:rPr>
          <w:rFonts w:ascii="Arial" w:cs="Arial" w:eastAsia="Arial" w:hAnsi="Arial"/>
          <w:sz w:val="14"/>
          <w:szCs w:val="14"/>
          <w:b w:val="1"/>
          <w:bCs w:val="1"/>
          <w:color w:val="auto"/>
        </w:rPr>
        <w:t>Adjustments</w:t>
      </w:r>
      <w:r>
        <w:rPr>
          <w:sz w:val="20"/>
          <w:szCs w:val="20"/>
          <w:color w:val="auto"/>
        </w:rPr>
        <w:tab/>
      </w:r>
      <w:r>
        <w:rPr>
          <w:rFonts w:ascii="Arial" w:cs="Arial" w:eastAsia="Arial" w:hAnsi="Arial"/>
          <w:sz w:val="13"/>
          <w:szCs w:val="13"/>
          <w:b w:val="1"/>
          <w:bCs w:val="1"/>
          <w:color w:val="auto"/>
        </w:rPr>
        <w:t>Non-GAAP</w:t>
      </w:r>
    </w:p>
    <w:p>
      <w:pPr>
        <w:spacing w:after="0" w:line="10" w:lineRule="exact"/>
        <w:rPr>
          <w:sz w:val="20"/>
          <w:szCs w:val="20"/>
          <w:color w:val="auto"/>
        </w:rPr>
      </w:pPr>
    </w:p>
    <w:p>
      <w:pPr>
        <w:sectPr>
          <w:pgSz w:w="11900" w:h="16838" w:orient="portrait"/>
          <w:cols w:equalWidth="0" w:num="2">
            <w:col w:w="6120" w:space="720"/>
            <w:col w:w="4580"/>
          </w:cols>
          <w:pgMar w:left="240" w:top="1179" w:right="239" w:bottom="130" w:gutter="0" w:footer="0" w:header="0"/>
          <w:type w:val="continuous"/>
        </w:sectPr>
      </w:pPr>
    </w:p>
    <w:tbl>
      <w:tblPr>
        <w:tblLayout w:type="fixed"/>
        <w:tblInd w:w="220" w:type="dxa"/>
        <w:tblCellMar>
          <w:top w:w="0" w:type="dxa"/>
          <w:left w:w="0" w:type="dxa"/>
          <w:bottom w:w="0" w:type="dxa"/>
          <w:right w:w="0" w:type="dxa"/>
        </w:tblCellMar>
      </w:tblPr>
      <w:tr>
        <w:trPr>
          <w:trHeight w:val="186"/>
        </w:trPr>
        <w:tc>
          <w:tcPr>
            <w:tcW w:w="2900" w:type="dxa"/>
            <w:vAlign w:val="bottom"/>
          </w:tcPr>
          <w:p>
            <w:pPr>
              <w:spacing w:after="0"/>
              <w:rPr>
                <w:sz w:val="16"/>
                <w:szCs w:val="16"/>
                <w:color w:val="auto"/>
              </w:rPr>
            </w:pPr>
          </w:p>
        </w:tc>
        <w:tc>
          <w:tcPr>
            <w:tcW w:w="100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r>
      <w:tr>
        <w:trPr>
          <w:trHeight w:val="206"/>
        </w:trPr>
        <w:tc>
          <w:tcPr>
            <w:tcW w:w="2900" w:type="dxa"/>
            <w:vAlign w:val="bottom"/>
          </w:tcPr>
          <w:p>
            <w:pPr>
              <w:spacing w:after="0"/>
              <w:rPr>
                <w:sz w:val="20"/>
                <w:szCs w:val="20"/>
                <w:color w:val="auto"/>
              </w:rPr>
            </w:pPr>
            <w:r>
              <w:rPr>
                <w:rFonts w:ascii="Arial" w:cs="Arial" w:eastAsia="Arial" w:hAnsi="Arial"/>
                <w:sz w:val="16"/>
                <w:szCs w:val="16"/>
                <w:color w:val="auto"/>
              </w:rPr>
              <w:t>Revenue</w:t>
            </w:r>
          </w:p>
        </w:tc>
        <w:tc>
          <w:tcPr>
            <w:tcW w:w="1000" w:type="dxa"/>
            <w:vAlign w:val="bottom"/>
          </w:tcPr>
          <w:p>
            <w:pPr>
              <w:ind w:left="100"/>
              <w:spacing w:after="0"/>
              <w:rPr>
                <w:sz w:val="20"/>
                <w:szCs w:val="20"/>
                <w:color w:val="auto"/>
              </w:rPr>
            </w:pPr>
            <w:r>
              <w:rPr>
                <w:rFonts w:ascii="Arial" w:cs="Arial" w:eastAsia="Arial" w:hAnsi="Arial"/>
                <w:sz w:val="16"/>
                <w:szCs w:val="16"/>
                <w:color w:val="auto"/>
              </w:rPr>
              <w:t>13,036</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Pr>
          <w:p>
            <w:pPr>
              <w:ind w:left="120"/>
              <w:spacing w:after="0"/>
              <w:rPr>
                <w:sz w:val="20"/>
                <w:szCs w:val="20"/>
                <w:color w:val="auto"/>
              </w:rPr>
            </w:pPr>
            <w:r>
              <w:rPr>
                <w:rFonts w:ascii="Arial" w:cs="Arial" w:eastAsia="Arial" w:hAnsi="Arial"/>
                <w:sz w:val="16"/>
                <w:szCs w:val="16"/>
                <w:color w:val="auto"/>
              </w:rPr>
              <w:t>13,036</w:t>
            </w:r>
          </w:p>
        </w:tc>
        <w:tc>
          <w:tcPr>
            <w:tcW w:w="380" w:type="dxa"/>
            <w:vAlign w:val="bottom"/>
          </w:tcPr>
          <w:p>
            <w:pPr>
              <w:spacing w:after="0"/>
              <w:rPr>
                <w:sz w:val="17"/>
                <w:szCs w:val="17"/>
                <w:color w:val="auto"/>
              </w:rPr>
            </w:pPr>
          </w:p>
        </w:tc>
        <w:tc>
          <w:tcPr>
            <w:tcW w:w="6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11,965</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520" w:type="dxa"/>
            <w:vAlign w:val="bottom"/>
          </w:tcPr>
          <w:p>
            <w:pPr>
              <w:ind w:left="16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w w:val="85"/>
              </w:rPr>
              <w:t>11,965</w:t>
            </w:r>
          </w:p>
        </w:tc>
      </w:tr>
      <w:tr>
        <w:trPr>
          <w:trHeight w:val="408"/>
        </w:trPr>
        <w:tc>
          <w:tcPr>
            <w:tcW w:w="2900" w:type="dxa"/>
            <w:vAlign w:val="bottom"/>
          </w:tcPr>
          <w:p>
            <w:pPr>
              <w:spacing w:after="0"/>
              <w:rPr>
                <w:sz w:val="20"/>
                <w:szCs w:val="20"/>
                <w:color w:val="auto"/>
              </w:rPr>
            </w:pPr>
            <w:r>
              <w:rPr>
                <w:rFonts w:ascii="Arial" w:cs="Arial" w:eastAsia="Arial" w:hAnsi="Arial"/>
                <w:sz w:val="16"/>
                <w:szCs w:val="16"/>
                <w:color w:val="auto"/>
              </w:rPr>
              <w:t>Cost of goods sold</w:t>
            </w:r>
          </w:p>
        </w:tc>
        <w:tc>
          <w:tcPr>
            <w:tcW w:w="1000" w:type="dxa"/>
            <w:vAlign w:val="bottom"/>
          </w:tcPr>
          <w:p>
            <w:pPr>
              <w:ind w:left="100"/>
              <w:spacing w:after="0"/>
              <w:rPr>
                <w:sz w:val="20"/>
                <w:szCs w:val="20"/>
                <w:color w:val="auto"/>
              </w:rPr>
            </w:pPr>
            <w:r>
              <w:rPr>
                <w:rFonts w:ascii="Arial" w:cs="Arial" w:eastAsia="Arial" w:hAnsi="Arial"/>
                <w:sz w:val="16"/>
                <w:szCs w:val="16"/>
                <w:color w:val="auto"/>
              </w:rPr>
              <w:t>5,625</w:t>
            </w:r>
          </w:p>
        </w:tc>
        <w:tc>
          <w:tcPr>
            <w:tcW w:w="300" w:type="dxa"/>
            <w:vAlign w:val="bottom"/>
          </w:tcPr>
          <w:p>
            <w:pPr>
              <w:spacing w:after="0"/>
              <w:rPr>
                <w:sz w:val="24"/>
                <w:szCs w:val="24"/>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680" w:type="dxa"/>
            <w:vAlign w:val="bottom"/>
          </w:tcPr>
          <w:p>
            <w:pPr>
              <w:ind w:left="120"/>
              <w:spacing w:after="0"/>
              <w:rPr>
                <w:sz w:val="20"/>
                <w:szCs w:val="20"/>
                <w:color w:val="auto"/>
              </w:rPr>
            </w:pPr>
            <w:r>
              <w:rPr>
                <w:rFonts w:ascii="Arial" w:cs="Arial" w:eastAsia="Arial" w:hAnsi="Arial"/>
                <w:sz w:val="16"/>
                <w:szCs w:val="16"/>
                <w:color w:val="auto"/>
              </w:rPr>
              <w:t>5,622</w:t>
            </w:r>
          </w:p>
        </w:tc>
        <w:tc>
          <w:tcPr>
            <w:tcW w:w="380" w:type="dxa"/>
            <w:vAlign w:val="bottom"/>
          </w:tcPr>
          <w:p>
            <w:pPr>
              <w:spacing w:after="0"/>
              <w:rPr>
                <w:sz w:val="24"/>
                <w:szCs w:val="24"/>
                <w:color w:val="auto"/>
              </w:rPr>
            </w:pPr>
          </w:p>
        </w:tc>
        <w:tc>
          <w:tcPr>
            <w:tcW w:w="1340" w:type="dxa"/>
            <w:vAlign w:val="bottom"/>
            <w:gridSpan w:val="3"/>
          </w:tcPr>
          <w:p>
            <w:pPr>
              <w:ind w:left="420"/>
              <w:spacing w:after="0"/>
              <w:rPr>
                <w:sz w:val="20"/>
                <w:szCs w:val="20"/>
                <w:color w:val="auto"/>
              </w:rPr>
            </w:pPr>
            <w:r>
              <w:rPr>
                <w:rFonts w:ascii="Arial" w:cs="Arial" w:eastAsia="Arial" w:hAnsi="Arial"/>
                <w:sz w:val="16"/>
                <w:szCs w:val="16"/>
                <w:color w:val="auto"/>
              </w:rPr>
              <w:t>4,855</w:t>
            </w:r>
          </w:p>
        </w:tc>
        <w:tc>
          <w:tcPr>
            <w:tcW w:w="380" w:type="dxa"/>
            <w:vAlign w:val="bottom"/>
          </w:tcPr>
          <w:p>
            <w:pPr>
              <w:spacing w:after="0"/>
              <w:rPr>
                <w:sz w:val="24"/>
                <w:szCs w:val="24"/>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(43)</w:t>
            </w:r>
          </w:p>
        </w:tc>
        <w:tc>
          <w:tcPr>
            <w:tcW w:w="520" w:type="dxa"/>
            <w:vAlign w:val="bottom"/>
          </w:tcPr>
          <w:p>
            <w:pPr>
              <w:ind w:left="160"/>
              <w:spacing w:after="0"/>
              <w:rPr>
                <w:sz w:val="20"/>
                <w:szCs w:val="20"/>
                <w:color w:val="auto"/>
              </w:rPr>
            </w:pPr>
            <w:r>
              <w:rPr>
                <w:rFonts w:ascii="Arial" w:cs="Arial" w:eastAsia="Arial" w:hAnsi="Arial"/>
                <w:sz w:val="16"/>
                <w:szCs w:val="16"/>
                <w:color w:val="auto"/>
                <w:w w:val="84"/>
              </w:rPr>
              <w:t>4,812</w:t>
            </w:r>
          </w:p>
        </w:tc>
        <w:tc>
          <w:tcPr>
            <w:tcW w:w="540" w:type="dxa"/>
            <w:vAlign w:val="bottom"/>
          </w:tcPr>
          <w:p>
            <w:pPr>
              <w:spacing w:after="0"/>
              <w:rPr>
                <w:sz w:val="24"/>
                <w:szCs w:val="24"/>
                <w:color w:val="auto"/>
              </w:rPr>
            </w:pPr>
          </w:p>
        </w:tc>
      </w:tr>
      <w:tr>
        <w:trPr>
          <w:trHeight w:val="396"/>
        </w:trPr>
        <w:tc>
          <w:tcPr>
            <w:tcW w:w="2900" w:type="dxa"/>
            <w:vAlign w:val="bottom"/>
          </w:tcPr>
          <w:p>
            <w:pPr>
              <w:spacing w:after="0"/>
              <w:rPr>
                <w:sz w:val="20"/>
                <w:szCs w:val="20"/>
                <w:color w:val="auto"/>
              </w:rPr>
            </w:pPr>
            <w:r>
              <w:rPr>
                <w:rFonts w:ascii="Arial" w:cs="Arial" w:eastAsia="Arial" w:hAnsi="Arial"/>
                <w:sz w:val="16"/>
                <w:szCs w:val="16"/>
                <w:color w:val="auto"/>
              </w:rPr>
              <w:t>Gross profit</w:t>
            </w:r>
          </w:p>
        </w:tc>
        <w:tc>
          <w:tcPr>
            <w:tcW w:w="10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7,411</w:t>
            </w:r>
          </w:p>
        </w:tc>
        <w:tc>
          <w:tcPr>
            <w:tcW w:w="30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3</w:t>
            </w:r>
          </w:p>
        </w:tc>
        <w:tc>
          <w:tcPr>
            <w:tcW w:w="6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6"/>
                <w:szCs w:val="16"/>
                <w:color w:val="auto"/>
              </w:rPr>
              <w:t>7,414</w:t>
            </w:r>
          </w:p>
        </w:tc>
        <w:tc>
          <w:tcPr>
            <w:tcW w:w="380" w:type="dxa"/>
            <w:vAlign w:val="bottom"/>
            <w:tcBorders>
              <w:top w:val="single" w:sz="8" w:color="auto"/>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7,110</w:t>
            </w:r>
          </w:p>
        </w:tc>
        <w:tc>
          <w:tcPr>
            <w:tcW w:w="38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43</w:t>
            </w:r>
          </w:p>
        </w:tc>
        <w:tc>
          <w:tcPr>
            <w:tcW w:w="5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6"/>
                <w:szCs w:val="16"/>
                <w:color w:val="auto"/>
                <w:w w:val="84"/>
              </w:rPr>
              <w:t>7,153</w:t>
            </w:r>
          </w:p>
        </w:tc>
        <w:tc>
          <w:tcPr>
            <w:tcW w:w="540" w:type="dxa"/>
            <w:vAlign w:val="bottom"/>
            <w:tcBorders>
              <w:top w:val="single" w:sz="8" w:color="auto"/>
              <w:bottom w:val="single" w:sz="8" w:color="auto"/>
            </w:tcBorders>
          </w:tcPr>
          <w:p>
            <w:pPr>
              <w:spacing w:after="0"/>
              <w:rPr>
                <w:sz w:val="24"/>
                <w:szCs w:val="24"/>
                <w:color w:val="auto"/>
              </w:rPr>
            </w:pPr>
          </w:p>
        </w:tc>
      </w:tr>
      <w:tr>
        <w:trPr>
          <w:trHeight w:val="439"/>
        </w:trPr>
        <w:tc>
          <w:tcPr>
            <w:tcW w:w="2900" w:type="dxa"/>
            <w:vAlign w:val="bottom"/>
          </w:tcPr>
          <w:p>
            <w:pPr>
              <w:spacing w:after="0"/>
              <w:rPr>
                <w:sz w:val="20"/>
                <w:szCs w:val="20"/>
                <w:color w:val="auto"/>
              </w:rPr>
            </w:pPr>
            <w:r>
              <w:rPr>
                <w:rFonts w:ascii="Arial" w:cs="Arial" w:eastAsia="Arial" w:hAnsi="Arial"/>
                <w:sz w:val="16"/>
                <w:szCs w:val="16"/>
                <w:color w:val="auto"/>
              </w:rPr>
              <w:t>Operating expenses:</w:t>
            </w: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05"/>
        </w:trPr>
        <w:tc>
          <w:tcPr>
            <w:tcW w:w="2900" w:type="dxa"/>
            <w:vAlign w:val="bottom"/>
          </w:tcPr>
          <w:p>
            <w:pPr>
              <w:spacing w:after="0"/>
              <w:rPr>
                <w:sz w:val="20"/>
                <w:szCs w:val="20"/>
                <w:color w:val="auto"/>
              </w:rPr>
            </w:pPr>
            <w:r>
              <w:rPr>
                <w:rFonts w:ascii="Arial" w:cs="Arial" w:eastAsia="Arial" w:hAnsi="Arial"/>
                <w:sz w:val="16"/>
                <w:szCs w:val="16"/>
                <w:color w:val="auto"/>
              </w:rPr>
              <w:t>Sales and marketing</w:t>
            </w:r>
          </w:p>
        </w:tc>
        <w:tc>
          <w:tcPr>
            <w:tcW w:w="1000" w:type="dxa"/>
            <w:vAlign w:val="bottom"/>
          </w:tcPr>
          <w:p>
            <w:pPr>
              <w:ind w:left="100"/>
              <w:spacing w:after="0"/>
              <w:rPr>
                <w:sz w:val="20"/>
                <w:szCs w:val="20"/>
                <w:color w:val="auto"/>
              </w:rPr>
            </w:pPr>
            <w:r>
              <w:rPr>
                <w:rFonts w:ascii="Arial" w:cs="Arial" w:eastAsia="Arial" w:hAnsi="Arial"/>
                <w:sz w:val="16"/>
                <w:szCs w:val="16"/>
                <w:color w:val="auto"/>
              </w:rPr>
              <w:t>1,903</w:t>
            </w:r>
          </w:p>
        </w:tc>
        <w:tc>
          <w:tcPr>
            <w:tcW w:w="300" w:type="dxa"/>
            <w:vAlign w:val="bottom"/>
          </w:tcPr>
          <w:p>
            <w:pPr>
              <w:spacing w:after="0"/>
              <w:rPr>
                <w:sz w:val="24"/>
                <w:szCs w:val="24"/>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680" w:type="dxa"/>
            <w:vAlign w:val="bottom"/>
          </w:tcPr>
          <w:p>
            <w:pPr>
              <w:ind w:left="120"/>
              <w:spacing w:after="0"/>
              <w:rPr>
                <w:sz w:val="20"/>
                <w:szCs w:val="20"/>
                <w:color w:val="auto"/>
              </w:rPr>
            </w:pPr>
            <w:r>
              <w:rPr>
                <w:rFonts w:ascii="Arial" w:cs="Arial" w:eastAsia="Arial" w:hAnsi="Arial"/>
                <w:sz w:val="16"/>
                <w:szCs w:val="16"/>
                <w:color w:val="auto"/>
              </w:rPr>
              <w:t>1,890</w:t>
            </w:r>
          </w:p>
        </w:tc>
        <w:tc>
          <w:tcPr>
            <w:tcW w:w="380" w:type="dxa"/>
            <w:vAlign w:val="bottom"/>
          </w:tcPr>
          <w:p>
            <w:pPr>
              <w:spacing w:after="0"/>
              <w:rPr>
                <w:sz w:val="24"/>
                <w:szCs w:val="24"/>
                <w:color w:val="auto"/>
              </w:rPr>
            </w:pPr>
          </w:p>
        </w:tc>
        <w:tc>
          <w:tcPr>
            <w:tcW w:w="1340" w:type="dxa"/>
            <w:vAlign w:val="bottom"/>
            <w:gridSpan w:val="3"/>
          </w:tcPr>
          <w:p>
            <w:pPr>
              <w:ind w:left="420"/>
              <w:spacing w:after="0"/>
              <w:rPr>
                <w:sz w:val="20"/>
                <w:szCs w:val="20"/>
                <w:color w:val="auto"/>
              </w:rPr>
            </w:pPr>
            <w:r>
              <w:rPr>
                <w:rFonts w:ascii="Arial" w:cs="Arial" w:eastAsia="Arial" w:hAnsi="Arial"/>
                <w:sz w:val="16"/>
                <w:szCs w:val="16"/>
                <w:color w:val="auto"/>
              </w:rPr>
              <w:t>1,846</w:t>
            </w:r>
          </w:p>
        </w:tc>
        <w:tc>
          <w:tcPr>
            <w:tcW w:w="380" w:type="dxa"/>
            <w:vAlign w:val="bottom"/>
          </w:tcPr>
          <w:p>
            <w:pPr>
              <w:spacing w:after="0"/>
              <w:rPr>
                <w:sz w:val="24"/>
                <w:szCs w:val="24"/>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(12)</w:t>
            </w:r>
          </w:p>
        </w:tc>
        <w:tc>
          <w:tcPr>
            <w:tcW w:w="520" w:type="dxa"/>
            <w:vAlign w:val="bottom"/>
          </w:tcPr>
          <w:p>
            <w:pPr>
              <w:ind w:left="160"/>
              <w:spacing w:after="0"/>
              <w:rPr>
                <w:sz w:val="20"/>
                <w:szCs w:val="20"/>
                <w:color w:val="auto"/>
              </w:rPr>
            </w:pPr>
            <w:r>
              <w:rPr>
                <w:rFonts w:ascii="Arial" w:cs="Arial" w:eastAsia="Arial" w:hAnsi="Arial"/>
                <w:sz w:val="16"/>
                <w:szCs w:val="16"/>
                <w:color w:val="auto"/>
                <w:w w:val="84"/>
              </w:rPr>
              <w:t>1,834</w:t>
            </w:r>
          </w:p>
        </w:tc>
        <w:tc>
          <w:tcPr>
            <w:tcW w:w="540" w:type="dxa"/>
            <w:vAlign w:val="bottom"/>
          </w:tcPr>
          <w:p>
            <w:pPr>
              <w:spacing w:after="0"/>
              <w:rPr>
                <w:sz w:val="24"/>
                <w:szCs w:val="24"/>
                <w:color w:val="auto"/>
              </w:rPr>
            </w:pPr>
          </w:p>
        </w:tc>
      </w:tr>
      <w:tr>
        <w:trPr>
          <w:trHeight w:val="405"/>
        </w:trPr>
        <w:tc>
          <w:tcPr>
            <w:tcW w:w="2900" w:type="dxa"/>
            <w:vAlign w:val="bottom"/>
          </w:tcPr>
          <w:p>
            <w:pPr>
              <w:spacing w:after="0"/>
              <w:rPr>
                <w:sz w:val="20"/>
                <w:szCs w:val="20"/>
                <w:color w:val="auto"/>
              </w:rPr>
            </w:pPr>
            <w:r>
              <w:rPr>
                <w:rFonts w:ascii="Arial" w:cs="Arial" w:eastAsia="Arial" w:hAnsi="Arial"/>
                <w:sz w:val="16"/>
                <w:szCs w:val="16"/>
                <w:color w:val="auto"/>
              </w:rPr>
              <w:t>Research and product development</w:t>
            </w:r>
          </w:p>
        </w:tc>
        <w:tc>
          <w:tcPr>
            <w:tcW w:w="1000" w:type="dxa"/>
            <w:vAlign w:val="bottom"/>
          </w:tcPr>
          <w:p>
            <w:pPr>
              <w:ind w:left="100"/>
              <w:spacing w:after="0"/>
              <w:rPr>
                <w:sz w:val="20"/>
                <w:szCs w:val="20"/>
                <w:color w:val="auto"/>
              </w:rPr>
            </w:pPr>
            <w:r>
              <w:rPr>
                <w:rFonts w:ascii="Arial" w:cs="Arial" w:eastAsia="Arial" w:hAnsi="Arial"/>
                <w:sz w:val="16"/>
                <w:szCs w:val="16"/>
                <w:color w:val="auto"/>
              </w:rPr>
              <w:t>2,265</w:t>
            </w:r>
          </w:p>
        </w:tc>
        <w:tc>
          <w:tcPr>
            <w:tcW w:w="300" w:type="dxa"/>
            <w:vAlign w:val="bottom"/>
          </w:tcPr>
          <w:p>
            <w:pPr>
              <w:spacing w:after="0"/>
              <w:rPr>
                <w:sz w:val="24"/>
                <w:szCs w:val="24"/>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(11)</w:t>
            </w:r>
          </w:p>
        </w:tc>
        <w:tc>
          <w:tcPr>
            <w:tcW w:w="680" w:type="dxa"/>
            <w:vAlign w:val="bottom"/>
          </w:tcPr>
          <w:p>
            <w:pPr>
              <w:ind w:left="120"/>
              <w:spacing w:after="0"/>
              <w:rPr>
                <w:sz w:val="20"/>
                <w:szCs w:val="20"/>
                <w:color w:val="auto"/>
              </w:rPr>
            </w:pPr>
            <w:r>
              <w:rPr>
                <w:rFonts w:ascii="Arial" w:cs="Arial" w:eastAsia="Arial" w:hAnsi="Arial"/>
                <w:sz w:val="16"/>
                <w:szCs w:val="16"/>
                <w:color w:val="auto"/>
              </w:rPr>
              <w:t>2,254</w:t>
            </w:r>
          </w:p>
        </w:tc>
        <w:tc>
          <w:tcPr>
            <w:tcW w:w="380" w:type="dxa"/>
            <w:vAlign w:val="bottom"/>
          </w:tcPr>
          <w:p>
            <w:pPr>
              <w:spacing w:after="0"/>
              <w:rPr>
                <w:sz w:val="24"/>
                <w:szCs w:val="24"/>
                <w:color w:val="auto"/>
              </w:rPr>
            </w:pPr>
          </w:p>
        </w:tc>
        <w:tc>
          <w:tcPr>
            <w:tcW w:w="1340" w:type="dxa"/>
            <w:vAlign w:val="bottom"/>
            <w:gridSpan w:val="3"/>
          </w:tcPr>
          <w:p>
            <w:pPr>
              <w:ind w:left="420"/>
              <w:spacing w:after="0"/>
              <w:rPr>
                <w:sz w:val="20"/>
                <w:szCs w:val="20"/>
                <w:color w:val="auto"/>
              </w:rPr>
            </w:pPr>
            <w:r>
              <w:rPr>
                <w:rFonts w:ascii="Arial" w:cs="Arial" w:eastAsia="Arial" w:hAnsi="Arial"/>
                <w:sz w:val="16"/>
                <w:szCs w:val="16"/>
                <w:color w:val="auto"/>
              </w:rPr>
              <w:t>1,880</w:t>
            </w:r>
          </w:p>
        </w:tc>
        <w:tc>
          <w:tcPr>
            <w:tcW w:w="380" w:type="dxa"/>
            <w:vAlign w:val="bottom"/>
          </w:tcPr>
          <w:p>
            <w:pPr>
              <w:spacing w:after="0"/>
              <w:rPr>
                <w:sz w:val="24"/>
                <w:szCs w:val="24"/>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(6)</w:t>
            </w:r>
          </w:p>
        </w:tc>
        <w:tc>
          <w:tcPr>
            <w:tcW w:w="520" w:type="dxa"/>
            <w:vAlign w:val="bottom"/>
          </w:tcPr>
          <w:p>
            <w:pPr>
              <w:ind w:left="160"/>
              <w:spacing w:after="0"/>
              <w:rPr>
                <w:sz w:val="20"/>
                <w:szCs w:val="20"/>
                <w:color w:val="auto"/>
              </w:rPr>
            </w:pPr>
            <w:r>
              <w:rPr>
                <w:rFonts w:ascii="Arial" w:cs="Arial" w:eastAsia="Arial" w:hAnsi="Arial"/>
                <w:sz w:val="16"/>
                <w:szCs w:val="16"/>
                <w:color w:val="auto"/>
                <w:w w:val="84"/>
              </w:rPr>
              <w:t>1,874</w:t>
            </w:r>
          </w:p>
        </w:tc>
        <w:tc>
          <w:tcPr>
            <w:tcW w:w="540" w:type="dxa"/>
            <w:vAlign w:val="bottom"/>
          </w:tcPr>
          <w:p>
            <w:pPr>
              <w:spacing w:after="0"/>
              <w:rPr>
                <w:sz w:val="24"/>
                <w:szCs w:val="24"/>
                <w:color w:val="auto"/>
              </w:rPr>
            </w:pPr>
          </w:p>
        </w:tc>
      </w:tr>
      <w:tr>
        <w:trPr>
          <w:trHeight w:val="405"/>
        </w:trPr>
        <w:tc>
          <w:tcPr>
            <w:tcW w:w="290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1000" w:type="dxa"/>
            <w:vAlign w:val="bottom"/>
          </w:tcPr>
          <w:p>
            <w:pPr>
              <w:ind w:left="100"/>
              <w:spacing w:after="0"/>
              <w:rPr>
                <w:sz w:val="20"/>
                <w:szCs w:val="20"/>
                <w:color w:val="auto"/>
              </w:rPr>
            </w:pPr>
            <w:r>
              <w:rPr>
                <w:rFonts w:ascii="Arial" w:cs="Arial" w:eastAsia="Arial" w:hAnsi="Arial"/>
                <w:sz w:val="16"/>
                <w:szCs w:val="16"/>
                <w:color w:val="auto"/>
              </w:rPr>
              <w:t>2,374</w:t>
            </w:r>
          </w:p>
        </w:tc>
        <w:tc>
          <w:tcPr>
            <w:tcW w:w="300" w:type="dxa"/>
            <w:vAlign w:val="bottom"/>
          </w:tcPr>
          <w:p>
            <w:pPr>
              <w:spacing w:after="0"/>
              <w:rPr>
                <w:sz w:val="24"/>
                <w:szCs w:val="24"/>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(1,394)</w:t>
            </w:r>
          </w:p>
        </w:tc>
        <w:tc>
          <w:tcPr>
            <w:tcW w:w="680" w:type="dxa"/>
            <w:vAlign w:val="bottom"/>
          </w:tcPr>
          <w:p>
            <w:pPr>
              <w:ind w:left="120"/>
              <w:spacing w:after="0"/>
              <w:rPr>
                <w:sz w:val="20"/>
                <w:szCs w:val="20"/>
                <w:color w:val="auto"/>
              </w:rPr>
            </w:pPr>
            <w:r>
              <w:rPr>
                <w:rFonts w:ascii="Arial" w:cs="Arial" w:eastAsia="Arial" w:hAnsi="Arial"/>
                <w:sz w:val="16"/>
                <w:szCs w:val="16"/>
                <w:color w:val="auto"/>
              </w:rPr>
              <w:t>980</w:t>
            </w:r>
          </w:p>
        </w:tc>
        <w:tc>
          <w:tcPr>
            <w:tcW w:w="380" w:type="dxa"/>
            <w:vAlign w:val="bottom"/>
          </w:tcPr>
          <w:p>
            <w:pPr>
              <w:spacing w:after="0"/>
              <w:rPr>
                <w:sz w:val="24"/>
                <w:szCs w:val="24"/>
                <w:color w:val="auto"/>
              </w:rPr>
            </w:pPr>
          </w:p>
        </w:tc>
        <w:tc>
          <w:tcPr>
            <w:tcW w:w="1340" w:type="dxa"/>
            <w:vAlign w:val="bottom"/>
            <w:gridSpan w:val="3"/>
          </w:tcPr>
          <w:p>
            <w:pPr>
              <w:ind w:left="420"/>
              <w:spacing w:after="0"/>
              <w:rPr>
                <w:sz w:val="20"/>
                <w:szCs w:val="20"/>
                <w:color w:val="auto"/>
              </w:rPr>
            </w:pPr>
            <w:r>
              <w:rPr>
                <w:rFonts w:ascii="Arial" w:cs="Arial" w:eastAsia="Arial" w:hAnsi="Arial"/>
                <w:sz w:val="16"/>
                <w:szCs w:val="16"/>
                <w:color w:val="auto"/>
              </w:rPr>
              <w:t>1,262</w:t>
            </w:r>
          </w:p>
        </w:tc>
        <w:tc>
          <w:tcPr>
            <w:tcW w:w="380" w:type="dxa"/>
            <w:vAlign w:val="bottom"/>
          </w:tcPr>
          <w:p>
            <w:pPr>
              <w:spacing w:after="0"/>
              <w:rPr>
                <w:sz w:val="24"/>
                <w:szCs w:val="24"/>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(156)</w:t>
            </w:r>
          </w:p>
        </w:tc>
        <w:tc>
          <w:tcPr>
            <w:tcW w:w="520" w:type="dxa"/>
            <w:vAlign w:val="bottom"/>
          </w:tcPr>
          <w:p>
            <w:pPr>
              <w:ind w:left="160"/>
              <w:spacing w:after="0"/>
              <w:rPr>
                <w:sz w:val="20"/>
                <w:szCs w:val="20"/>
                <w:color w:val="auto"/>
              </w:rPr>
            </w:pPr>
            <w:r>
              <w:rPr>
                <w:rFonts w:ascii="Arial" w:cs="Arial" w:eastAsia="Arial" w:hAnsi="Arial"/>
                <w:sz w:val="16"/>
                <w:szCs w:val="16"/>
                <w:color w:val="auto"/>
                <w:w w:val="84"/>
              </w:rPr>
              <w:t>1,106</w:t>
            </w:r>
          </w:p>
        </w:tc>
        <w:tc>
          <w:tcPr>
            <w:tcW w:w="540" w:type="dxa"/>
            <w:vAlign w:val="bottom"/>
          </w:tcPr>
          <w:p>
            <w:pPr>
              <w:spacing w:after="0"/>
              <w:rPr>
                <w:sz w:val="24"/>
                <w:szCs w:val="24"/>
                <w:color w:val="auto"/>
              </w:rPr>
            </w:pPr>
          </w:p>
        </w:tc>
      </w:tr>
      <w:tr>
        <w:trPr>
          <w:trHeight w:val="408"/>
        </w:trPr>
        <w:tc>
          <w:tcPr>
            <w:tcW w:w="2900" w:type="dxa"/>
            <w:vAlign w:val="bottom"/>
          </w:tcPr>
          <w:p>
            <w:pPr>
              <w:spacing w:after="0"/>
              <w:rPr>
                <w:sz w:val="20"/>
                <w:szCs w:val="20"/>
                <w:color w:val="auto"/>
              </w:rPr>
            </w:pPr>
            <w:r>
              <w:rPr>
                <w:rFonts w:ascii="Arial" w:cs="Arial" w:eastAsia="Arial" w:hAnsi="Arial"/>
                <w:sz w:val="16"/>
                <w:szCs w:val="16"/>
                <w:color w:val="auto"/>
              </w:rPr>
              <w:t>Proceeds from litigation</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(38,250)</w:t>
            </w: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38,250</w:t>
            </w:r>
          </w:p>
        </w:tc>
        <w:tc>
          <w:tcPr>
            <w:tcW w:w="6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24"/>
                <w:szCs w:val="24"/>
                <w:color w:val="auto"/>
              </w:rPr>
            </w:pPr>
          </w:p>
        </w:tc>
      </w:tr>
      <w:tr>
        <w:trPr>
          <w:trHeight w:val="399"/>
        </w:trPr>
        <w:tc>
          <w:tcPr>
            <w:tcW w:w="2900" w:type="dxa"/>
            <w:vAlign w:val="bottom"/>
          </w:tcPr>
          <w:p>
            <w:pPr>
              <w:spacing w:after="0"/>
              <w:rPr>
                <w:sz w:val="20"/>
                <w:szCs w:val="20"/>
                <w:color w:val="auto"/>
              </w:rPr>
            </w:pPr>
            <w:r>
              <w:rPr>
                <w:rFonts w:ascii="Arial" w:cs="Arial" w:eastAsia="Arial" w:hAnsi="Arial"/>
                <w:sz w:val="16"/>
                <w:szCs w:val="16"/>
                <w:color w:val="auto"/>
              </w:rPr>
              <w:t>Total operating expenses</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(31,708)</w:t>
            </w: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36,832</w:t>
            </w: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5,124</w:t>
            </w:r>
          </w:p>
        </w:tc>
        <w:tc>
          <w:tcPr>
            <w:tcW w:w="3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rPr>
              <w:t>4,988</w:t>
            </w: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(174)</w:t>
            </w:r>
          </w:p>
        </w:tc>
        <w:tc>
          <w:tcPr>
            <w:tcW w:w="5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w w:val="84"/>
              </w:rPr>
              <w:t>4,814</w:t>
            </w:r>
          </w:p>
        </w:tc>
        <w:tc>
          <w:tcPr>
            <w:tcW w:w="540" w:type="dxa"/>
            <w:vAlign w:val="bottom"/>
            <w:tcBorders>
              <w:bottom w:val="single" w:sz="8" w:color="auto"/>
            </w:tcBorders>
          </w:tcPr>
          <w:p>
            <w:pPr>
              <w:spacing w:after="0"/>
              <w:rPr>
                <w:sz w:val="24"/>
                <w:szCs w:val="24"/>
                <w:color w:val="auto"/>
              </w:rPr>
            </w:pPr>
          </w:p>
        </w:tc>
      </w:tr>
      <w:tr>
        <w:trPr>
          <w:trHeight w:val="612"/>
        </w:trPr>
        <w:tc>
          <w:tcPr>
            <w:tcW w:w="2900" w:type="dxa"/>
            <w:vAlign w:val="bottom"/>
          </w:tcPr>
          <w:p>
            <w:pPr>
              <w:spacing w:after="0"/>
              <w:rPr>
                <w:sz w:val="20"/>
                <w:szCs w:val="20"/>
                <w:color w:val="auto"/>
              </w:rPr>
            </w:pPr>
            <w:r>
              <w:rPr>
                <w:rFonts w:ascii="Arial" w:cs="Arial" w:eastAsia="Arial" w:hAnsi="Arial"/>
                <w:sz w:val="16"/>
                <w:szCs w:val="16"/>
                <w:color w:val="auto"/>
              </w:rPr>
              <w:t>Operating income</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39,119</w:t>
            </w:r>
          </w:p>
        </w:tc>
        <w:tc>
          <w:tcPr>
            <w:tcW w:w="300" w:type="dxa"/>
            <w:vAlign w:val="bottom"/>
          </w:tcPr>
          <w:p>
            <w:pPr>
              <w:spacing w:after="0"/>
              <w:rPr>
                <w:sz w:val="24"/>
                <w:szCs w:val="24"/>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(36,829)</w:t>
            </w:r>
          </w:p>
        </w:tc>
        <w:tc>
          <w:tcPr>
            <w:tcW w:w="680" w:type="dxa"/>
            <w:vAlign w:val="bottom"/>
          </w:tcPr>
          <w:p>
            <w:pPr>
              <w:ind w:left="120"/>
              <w:spacing w:after="0"/>
              <w:rPr>
                <w:sz w:val="20"/>
                <w:szCs w:val="20"/>
                <w:color w:val="auto"/>
              </w:rPr>
            </w:pPr>
            <w:r>
              <w:rPr>
                <w:rFonts w:ascii="Arial" w:cs="Arial" w:eastAsia="Arial" w:hAnsi="Arial"/>
                <w:sz w:val="16"/>
                <w:szCs w:val="16"/>
                <w:color w:val="auto"/>
              </w:rPr>
              <w:t>2,290</w:t>
            </w:r>
          </w:p>
        </w:tc>
        <w:tc>
          <w:tcPr>
            <w:tcW w:w="380" w:type="dxa"/>
            <w:vAlign w:val="bottom"/>
          </w:tcPr>
          <w:p>
            <w:pPr>
              <w:spacing w:after="0"/>
              <w:rPr>
                <w:sz w:val="24"/>
                <w:szCs w:val="24"/>
                <w:color w:val="auto"/>
              </w:rPr>
            </w:pPr>
          </w:p>
        </w:tc>
        <w:tc>
          <w:tcPr>
            <w:tcW w:w="1340" w:type="dxa"/>
            <w:vAlign w:val="bottom"/>
            <w:gridSpan w:val="3"/>
          </w:tcPr>
          <w:p>
            <w:pPr>
              <w:ind w:left="420"/>
              <w:spacing w:after="0"/>
              <w:rPr>
                <w:sz w:val="20"/>
                <w:szCs w:val="20"/>
                <w:color w:val="auto"/>
              </w:rPr>
            </w:pPr>
            <w:r>
              <w:rPr>
                <w:rFonts w:ascii="Arial" w:cs="Arial" w:eastAsia="Arial" w:hAnsi="Arial"/>
                <w:sz w:val="16"/>
                <w:szCs w:val="16"/>
                <w:color w:val="auto"/>
              </w:rPr>
              <w:t>2,122</w:t>
            </w:r>
          </w:p>
        </w:tc>
        <w:tc>
          <w:tcPr>
            <w:tcW w:w="380" w:type="dxa"/>
            <w:vAlign w:val="bottom"/>
          </w:tcPr>
          <w:p>
            <w:pPr>
              <w:spacing w:after="0"/>
              <w:rPr>
                <w:sz w:val="24"/>
                <w:szCs w:val="24"/>
                <w:color w:val="auto"/>
              </w:rPr>
            </w:pPr>
          </w:p>
        </w:tc>
        <w:tc>
          <w:tcPr>
            <w:tcW w:w="640" w:type="dxa"/>
            <w:vAlign w:val="bottom"/>
          </w:tcPr>
          <w:p>
            <w:pPr>
              <w:jc w:val="right"/>
              <w:ind w:right="139"/>
              <w:spacing w:after="0"/>
              <w:rPr>
                <w:sz w:val="20"/>
                <w:szCs w:val="20"/>
                <w:color w:val="auto"/>
              </w:rPr>
            </w:pPr>
            <w:r>
              <w:rPr>
                <w:rFonts w:ascii="Arial" w:cs="Arial" w:eastAsia="Arial" w:hAnsi="Arial"/>
                <w:sz w:val="16"/>
                <w:szCs w:val="16"/>
                <w:color w:val="auto"/>
              </w:rPr>
              <w:t>217</w:t>
            </w:r>
          </w:p>
        </w:tc>
        <w:tc>
          <w:tcPr>
            <w:tcW w:w="520" w:type="dxa"/>
            <w:vAlign w:val="bottom"/>
          </w:tcPr>
          <w:p>
            <w:pPr>
              <w:ind w:left="160"/>
              <w:spacing w:after="0"/>
              <w:rPr>
                <w:sz w:val="20"/>
                <w:szCs w:val="20"/>
                <w:color w:val="auto"/>
              </w:rPr>
            </w:pPr>
            <w:r>
              <w:rPr>
                <w:rFonts w:ascii="Arial" w:cs="Arial" w:eastAsia="Arial" w:hAnsi="Arial"/>
                <w:sz w:val="16"/>
                <w:szCs w:val="16"/>
                <w:color w:val="auto"/>
                <w:w w:val="84"/>
              </w:rPr>
              <w:t>2,339</w:t>
            </w:r>
          </w:p>
        </w:tc>
        <w:tc>
          <w:tcPr>
            <w:tcW w:w="540" w:type="dxa"/>
            <w:vAlign w:val="bottom"/>
          </w:tcPr>
          <w:p>
            <w:pPr>
              <w:spacing w:after="0"/>
              <w:rPr>
                <w:sz w:val="24"/>
                <w:szCs w:val="24"/>
                <w:color w:val="auto"/>
              </w:rPr>
            </w:pPr>
          </w:p>
        </w:tc>
      </w:tr>
      <w:tr>
        <w:trPr>
          <w:trHeight w:val="408"/>
        </w:trPr>
        <w:tc>
          <w:tcPr>
            <w:tcW w:w="290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w:t>
            </w: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c>
          <w:tcPr>
            <w:tcW w:w="320" w:type="dxa"/>
            <w:vAlign w:val="bottom"/>
          </w:tcPr>
          <w:p>
            <w:pPr>
              <w:spacing w:after="0"/>
              <w:rPr>
                <w:sz w:val="24"/>
                <w:szCs w:val="24"/>
                <w:color w:val="auto"/>
              </w:rPr>
            </w:pP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10</w:t>
            </w:r>
          </w:p>
        </w:tc>
        <w:tc>
          <w:tcPr>
            <w:tcW w:w="6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10</w:t>
            </w:r>
          </w:p>
        </w:tc>
        <w:tc>
          <w:tcPr>
            <w:tcW w:w="540" w:type="dxa"/>
            <w:vAlign w:val="bottom"/>
            <w:tcBorders>
              <w:bottom w:val="single" w:sz="8" w:color="auto"/>
            </w:tcBorders>
          </w:tcPr>
          <w:p>
            <w:pPr>
              <w:spacing w:after="0"/>
              <w:rPr>
                <w:sz w:val="24"/>
                <w:szCs w:val="24"/>
                <w:color w:val="auto"/>
              </w:rPr>
            </w:pPr>
          </w:p>
        </w:tc>
      </w:tr>
      <w:tr>
        <w:trPr>
          <w:trHeight w:val="396"/>
        </w:trPr>
        <w:tc>
          <w:tcPr>
            <w:tcW w:w="290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39,112</w:t>
            </w:r>
          </w:p>
        </w:tc>
        <w:tc>
          <w:tcPr>
            <w:tcW w:w="300" w:type="dxa"/>
            <w:vAlign w:val="bottom"/>
          </w:tcPr>
          <w:p>
            <w:pPr>
              <w:spacing w:after="0"/>
              <w:rPr>
                <w:sz w:val="24"/>
                <w:szCs w:val="24"/>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(36,829)</w:t>
            </w:r>
          </w:p>
        </w:tc>
        <w:tc>
          <w:tcPr>
            <w:tcW w:w="680" w:type="dxa"/>
            <w:vAlign w:val="bottom"/>
          </w:tcPr>
          <w:p>
            <w:pPr>
              <w:ind w:left="120"/>
              <w:spacing w:after="0"/>
              <w:rPr>
                <w:sz w:val="20"/>
                <w:szCs w:val="20"/>
                <w:color w:val="auto"/>
              </w:rPr>
            </w:pPr>
            <w:r>
              <w:rPr>
                <w:rFonts w:ascii="Arial" w:cs="Arial" w:eastAsia="Arial" w:hAnsi="Arial"/>
                <w:sz w:val="16"/>
                <w:szCs w:val="16"/>
                <w:color w:val="auto"/>
              </w:rPr>
              <w:t>2,283</w:t>
            </w:r>
          </w:p>
        </w:tc>
        <w:tc>
          <w:tcPr>
            <w:tcW w:w="380" w:type="dxa"/>
            <w:vAlign w:val="bottom"/>
          </w:tcPr>
          <w:p>
            <w:pPr>
              <w:spacing w:after="0"/>
              <w:rPr>
                <w:sz w:val="24"/>
                <w:szCs w:val="24"/>
                <w:color w:val="auto"/>
              </w:rPr>
            </w:pPr>
          </w:p>
        </w:tc>
        <w:tc>
          <w:tcPr>
            <w:tcW w:w="1340" w:type="dxa"/>
            <w:vAlign w:val="bottom"/>
            <w:gridSpan w:val="3"/>
          </w:tcPr>
          <w:p>
            <w:pPr>
              <w:ind w:left="420"/>
              <w:spacing w:after="0"/>
              <w:rPr>
                <w:sz w:val="20"/>
                <w:szCs w:val="20"/>
                <w:color w:val="auto"/>
              </w:rPr>
            </w:pPr>
            <w:r>
              <w:rPr>
                <w:rFonts w:ascii="Arial" w:cs="Arial" w:eastAsia="Arial" w:hAnsi="Arial"/>
                <w:sz w:val="16"/>
                <w:szCs w:val="16"/>
                <w:color w:val="auto"/>
              </w:rPr>
              <w:t>2,132</w:t>
            </w:r>
          </w:p>
        </w:tc>
        <w:tc>
          <w:tcPr>
            <w:tcW w:w="380" w:type="dxa"/>
            <w:vAlign w:val="bottom"/>
          </w:tcPr>
          <w:p>
            <w:pPr>
              <w:spacing w:after="0"/>
              <w:rPr>
                <w:sz w:val="24"/>
                <w:szCs w:val="24"/>
                <w:color w:val="auto"/>
              </w:rPr>
            </w:pPr>
          </w:p>
        </w:tc>
        <w:tc>
          <w:tcPr>
            <w:tcW w:w="640" w:type="dxa"/>
            <w:vAlign w:val="bottom"/>
          </w:tcPr>
          <w:p>
            <w:pPr>
              <w:jc w:val="right"/>
              <w:ind w:right="139"/>
              <w:spacing w:after="0"/>
              <w:rPr>
                <w:sz w:val="20"/>
                <w:szCs w:val="20"/>
                <w:color w:val="auto"/>
              </w:rPr>
            </w:pPr>
            <w:r>
              <w:rPr>
                <w:rFonts w:ascii="Arial" w:cs="Arial" w:eastAsia="Arial" w:hAnsi="Arial"/>
                <w:sz w:val="16"/>
                <w:szCs w:val="16"/>
                <w:color w:val="auto"/>
              </w:rPr>
              <w:t>217</w:t>
            </w:r>
          </w:p>
        </w:tc>
        <w:tc>
          <w:tcPr>
            <w:tcW w:w="520" w:type="dxa"/>
            <w:vAlign w:val="bottom"/>
          </w:tcPr>
          <w:p>
            <w:pPr>
              <w:ind w:left="160"/>
              <w:spacing w:after="0"/>
              <w:rPr>
                <w:sz w:val="20"/>
                <w:szCs w:val="20"/>
                <w:color w:val="auto"/>
              </w:rPr>
            </w:pPr>
            <w:r>
              <w:rPr>
                <w:rFonts w:ascii="Arial" w:cs="Arial" w:eastAsia="Arial" w:hAnsi="Arial"/>
                <w:sz w:val="16"/>
                <w:szCs w:val="16"/>
                <w:color w:val="auto"/>
                <w:w w:val="84"/>
              </w:rPr>
              <w:t>2,349</w:t>
            </w:r>
          </w:p>
        </w:tc>
        <w:tc>
          <w:tcPr>
            <w:tcW w:w="540" w:type="dxa"/>
            <w:vAlign w:val="bottom"/>
          </w:tcPr>
          <w:p>
            <w:pPr>
              <w:spacing w:after="0"/>
              <w:rPr>
                <w:sz w:val="24"/>
                <w:szCs w:val="24"/>
                <w:color w:val="auto"/>
              </w:rPr>
            </w:pPr>
          </w:p>
        </w:tc>
      </w:tr>
      <w:tr>
        <w:trPr>
          <w:trHeight w:val="408"/>
        </w:trPr>
        <w:tc>
          <w:tcPr>
            <w:tcW w:w="290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10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14,598</w:t>
            </w: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(13,540)</w:t>
            </w: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1,058</w:t>
            </w:r>
          </w:p>
        </w:tc>
        <w:tc>
          <w:tcPr>
            <w:tcW w:w="3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711</w:t>
            </w: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110</w:t>
            </w:r>
          </w:p>
        </w:tc>
        <w:tc>
          <w:tcPr>
            <w:tcW w:w="5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821</w:t>
            </w:r>
          </w:p>
        </w:tc>
        <w:tc>
          <w:tcPr>
            <w:tcW w:w="540" w:type="dxa"/>
            <w:vAlign w:val="bottom"/>
            <w:tcBorders>
              <w:bottom w:val="single" w:sz="8" w:color="auto"/>
            </w:tcBorders>
          </w:tcPr>
          <w:p>
            <w:pPr>
              <w:spacing w:after="0"/>
              <w:rPr>
                <w:sz w:val="24"/>
                <w:szCs w:val="24"/>
                <w:color w:val="auto"/>
              </w:rPr>
            </w:pPr>
          </w:p>
        </w:tc>
      </w:tr>
      <w:tr>
        <w:trPr>
          <w:trHeight w:val="189"/>
        </w:trPr>
        <w:tc>
          <w:tcPr>
            <w:tcW w:w="2900" w:type="dxa"/>
            <w:vAlign w:val="bottom"/>
          </w:tcPr>
          <w:p>
            <w:pPr>
              <w:spacing w:after="0"/>
              <w:rPr>
                <w:sz w:val="16"/>
                <w:szCs w:val="16"/>
                <w:color w:val="auto"/>
              </w:rPr>
            </w:pPr>
          </w:p>
        </w:tc>
        <w:tc>
          <w:tcPr>
            <w:tcW w:w="1000" w:type="dxa"/>
            <w:vAlign w:val="bottom"/>
          </w:tcPr>
          <w:p>
            <w:pPr>
              <w:ind w:left="1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ind w:left="1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ind w:lef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6"/>
                <w:szCs w:val="16"/>
                <w:color w:val="auto"/>
              </w:rPr>
            </w:pPr>
          </w:p>
        </w:tc>
      </w:tr>
      <w:tr>
        <w:trPr>
          <w:trHeight w:val="212"/>
        </w:trPr>
        <w:tc>
          <w:tcPr>
            <w:tcW w:w="2900" w:type="dxa"/>
            <w:vAlign w:val="bottom"/>
          </w:tcPr>
          <w:p>
            <w:pPr>
              <w:spacing w:after="0"/>
              <w:rPr>
                <w:sz w:val="20"/>
                <w:szCs w:val="20"/>
                <w:color w:val="auto"/>
              </w:rPr>
            </w:pPr>
            <w:r>
              <w:rPr>
                <w:rFonts w:ascii="Arial" w:cs="Arial" w:eastAsia="Arial" w:hAnsi="Arial"/>
                <w:sz w:val="16"/>
                <w:szCs w:val="16"/>
                <w:color w:val="auto"/>
              </w:rPr>
              <w:t>Net income</w:t>
            </w:r>
          </w:p>
        </w:tc>
        <w:tc>
          <w:tcPr>
            <w:tcW w:w="10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24,514</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(23,289)</w:t>
            </w: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1,225</w:t>
            </w:r>
          </w:p>
        </w:tc>
        <w:tc>
          <w:tcPr>
            <w:tcW w:w="380" w:type="dxa"/>
            <w:vAlign w:val="bottom"/>
            <w:tcBorders>
              <w:bottom w:val="single" w:sz="8" w:color="auto"/>
            </w:tcBorders>
          </w:tcPr>
          <w:p>
            <w:pPr>
              <w:spacing w:after="0"/>
              <w:rPr>
                <w:sz w:val="18"/>
                <w:szCs w:val="18"/>
                <w:color w:val="auto"/>
              </w:rPr>
            </w:pPr>
          </w:p>
        </w:tc>
        <w:tc>
          <w:tcPr>
            <w:tcW w:w="1340" w:type="dxa"/>
            <w:vAlign w:val="bottom"/>
            <w:gridSpan w:val="3"/>
          </w:tcPr>
          <w:p>
            <w:pPr>
              <w:ind w:left="420"/>
              <w:spacing w:after="0"/>
              <w:rPr>
                <w:sz w:val="20"/>
                <w:szCs w:val="20"/>
                <w:color w:val="auto"/>
              </w:rPr>
            </w:pPr>
            <w:r>
              <w:rPr>
                <w:rFonts w:ascii="Arial" w:cs="Arial" w:eastAsia="Arial" w:hAnsi="Arial"/>
                <w:sz w:val="16"/>
                <w:szCs w:val="16"/>
                <w:color w:val="auto"/>
              </w:rPr>
              <w:t>1,421</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39"/>
              <w:spacing w:after="0"/>
              <w:rPr>
                <w:sz w:val="20"/>
                <w:szCs w:val="20"/>
                <w:color w:val="auto"/>
              </w:rPr>
            </w:pPr>
            <w:r>
              <w:rPr>
                <w:rFonts w:ascii="Arial" w:cs="Arial" w:eastAsia="Arial" w:hAnsi="Arial"/>
                <w:sz w:val="16"/>
                <w:szCs w:val="16"/>
                <w:color w:val="auto"/>
              </w:rPr>
              <w:t>107</w:t>
            </w:r>
          </w:p>
        </w:tc>
        <w:tc>
          <w:tcPr>
            <w:tcW w:w="520" w:type="dxa"/>
            <w:vAlign w:val="bottom"/>
          </w:tcPr>
          <w:p>
            <w:pPr>
              <w:ind w:left="160"/>
              <w:spacing w:after="0"/>
              <w:rPr>
                <w:sz w:val="20"/>
                <w:szCs w:val="20"/>
                <w:color w:val="auto"/>
              </w:rPr>
            </w:pPr>
            <w:r>
              <w:rPr>
                <w:rFonts w:ascii="Arial" w:cs="Arial" w:eastAsia="Arial" w:hAnsi="Arial"/>
                <w:sz w:val="16"/>
                <w:szCs w:val="16"/>
                <w:color w:val="auto"/>
                <w:w w:val="84"/>
              </w:rPr>
              <w:t>1,528</w:t>
            </w:r>
          </w:p>
        </w:tc>
        <w:tc>
          <w:tcPr>
            <w:tcW w:w="540" w:type="dxa"/>
            <w:vAlign w:val="bottom"/>
          </w:tcPr>
          <w:p>
            <w:pPr>
              <w:spacing w:after="0"/>
              <w:rPr>
                <w:sz w:val="18"/>
                <w:szCs w:val="18"/>
                <w:color w:val="auto"/>
              </w:rPr>
            </w:pPr>
          </w:p>
        </w:tc>
      </w:tr>
      <w:tr>
        <w:trPr>
          <w:trHeight w:val="20"/>
        </w:trPr>
        <w:tc>
          <w:tcPr>
            <w:tcW w:w="29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ectPr>
          <w:pgSz w:w="11900" w:h="16838" w:orient="portrait"/>
          <w:cols w:equalWidth="0" w:num="1">
            <w:col w:w="11420"/>
          </w:cols>
          <w:pgMar w:left="240" w:top="1179" w:right="239" w:bottom="130" w:gutter="0" w:footer="0" w:header="0"/>
          <w:type w:val="continuous"/>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140" w:type="dxa"/>
            <w:vAlign w:val="bottom"/>
            <w:tcBorders>
              <w:left w:val="single" w:sz="8" w:color="808080"/>
            </w:tcBorders>
          </w:tcPr>
          <w:p>
            <w:pPr>
              <w:spacing w:after="0"/>
              <w:rPr>
                <w:sz w:val="16"/>
                <w:szCs w:val="16"/>
                <w:color w:val="auto"/>
              </w:rPr>
            </w:pPr>
          </w:p>
        </w:tc>
        <w:tc>
          <w:tcPr>
            <w:tcW w:w="2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ind w:left="1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88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1220" w:type="dxa"/>
            <w:vAlign w:val="bottom"/>
          </w:tcPr>
          <w:p>
            <w:pPr>
              <w:ind w:left="3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6"/>
                <w:szCs w:val="16"/>
                <w:color w:val="auto"/>
              </w:rPr>
            </w:pPr>
          </w:p>
        </w:tc>
        <w:tc>
          <w:tcPr>
            <w:tcW w:w="1720" w:type="dxa"/>
            <w:vAlign w:val="bottom"/>
            <w:tcBorders>
              <w:right w:val="single" w:sz="8" w:color="808080"/>
            </w:tcBorders>
            <w:gridSpan w:val="2"/>
          </w:tcPr>
          <w:p>
            <w:pPr>
              <w:ind w:left="780"/>
              <w:spacing w:after="0"/>
              <w:rPr>
                <w:sz w:val="20"/>
                <w:szCs w:val="20"/>
                <w:color w:val="auto"/>
              </w:rPr>
            </w:pPr>
            <w:r>
              <w:rPr>
                <w:rFonts w:ascii="Arial" w:cs="Arial" w:eastAsia="Arial" w:hAnsi="Arial"/>
                <w:sz w:val="16"/>
                <w:szCs w:val="16"/>
                <w:color w:val="auto"/>
              </w:rPr>
              <w:t>$</w:t>
            </w:r>
          </w:p>
        </w:tc>
      </w:tr>
      <w:tr>
        <w:trPr>
          <w:trHeight w:val="203"/>
        </w:trPr>
        <w:tc>
          <w:tcPr>
            <w:tcW w:w="140" w:type="dxa"/>
            <w:vAlign w:val="bottom"/>
            <w:tcBorders>
              <w:left w:val="single" w:sz="8" w:color="808080"/>
            </w:tcBorders>
          </w:tcPr>
          <w:p>
            <w:pPr>
              <w:spacing w:after="0"/>
              <w:rPr>
                <w:sz w:val="17"/>
                <w:szCs w:val="17"/>
                <w:color w:val="auto"/>
              </w:rPr>
            </w:pPr>
          </w:p>
        </w:tc>
        <w:tc>
          <w:tcPr>
            <w:tcW w:w="2900" w:type="dxa"/>
            <w:vAlign w:val="bottom"/>
            <w:gridSpan w:val="2"/>
          </w:tcPr>
          <w:p>
            <w:pPr>
              <w:spacing w:after="0"/>
              <w:rPr>
                <w:sz w:val="20"/>
                <w:szCs w:val="20"/>
                <w:color w:val="auto"/>
              </w:rPr>
            </w:pPr>
            <w:r>
              <w:rPr>
                <w:rFonts w:ascii="Arial" w:cs="Arial" w:eastAsia="Arial" w:hAnsi="Arial"/>
                <w:sz w:val="16"/>
                <w:szCs w:val="16"/>
                <w:color w:val="auto"/>
              </w:rPr>
              <w:t>Basic earnings per common share</w:t>
            </w:r>
          </w:p>
        </w:tc>
        <w:tc>
          <w:tcPr>
            <w:tcW w:w="960" w:type="dxa"/>
            <w:vAlign w:val="bottom"/>
          </w:tcPr>
          <w:p>
            <w:pPr>
              <w:ind w:left="100"/>
              <w:spacing w:after="0"/>
              <w:rPr>
                <w:sz w:val="20"/>
                <w:szCs w:val="20"/>
                <w:color w:val="auto"/>
              </w:rPr>
            </w:pPr>
            <w:r>
              <w:rPr>
                <w:rFonts w:ascii="Arial" w:cs="Arial" w:eastAsia="Arial" w:hAnsi="Arial"/>
                <w:sz w:val="16"/>
                <w:szCs w:val="16"/>
                <w:color w:val="auto"/>
              </w:rPr>
              <w:t>2.69</w:t>
            </w:r>
          </w:p>
        </w:tc>
        <w:tc>
          <w:tcPr>
            <w:tcW w:w="340" w:type="dxa"/>
            <w:vAlign w:val="bottom"/>
          </w:tcPr>
          <w:p>
            <w:pPr>
              <w:spacing w:after="0"/>
              <w:rPr>
                <w:sz w:val="17"/>
                <w:szCs w:val="17"/>
                <w:color w:val="auto"/>
              </w:rPr>
            </w:pPr>
          </w:p>
        </w:tc>
        <w:tc>
          <w:tcPr>
            <w:tcW w:w="1880" w:type="dxa"/>
            <w:vAlign w:val="bottom"/>
            <w:gridSpan w:val="2"/>
          </w:tcPr>
          <w:p>
            <w:pPr>
              <w:ind w:left="880"/>
              <w:spacing w:after="0"/>
              <w:rPr>
                <w:sz w:val="20"/>
                <w:szCs w:val="20"/>
                <w:color w:val="auto"/>
              </w:rPr>
            </w:pPr>
            <w:r>
              <w:rPr>
                <w:rFonts w:ascii="Arial" w:cs="Arial" w:eastAsia="Arial" w:hAnsi="Arial"/>
                <w:sz w:val="16"/>
                <w:szCs w:val="16"/>
                <w:color w:val="auto"/>
              </w:rPr>
              <w:t>0.13</w:t>
            </w:r>
          </w:p>
        </w:tc>
        <w:tc>
          <w:tcPr>
            <w:tcW w:w="1220" w:type="dxa"/>
            <w:vAlign w:val="bottom"/>
          </w:tcPr>
          <w:p>
            <w:pPr>
              <w:ind w:left="360"/>
              <w:spacing w:after="0"/>
              <w:rPr>
                <w:sz w:val="20"/>
                <w:szCs w:val="20"/>
                <w:color w:val="auto"/>
              </w:rPr>
            </w:pPr>
            <w:r>
              <w:rPr>
                <w:rFonts w:ascii="Arial" w:cs="Arial" w:eastAsia="Arial" w:hAnsi="Arial"/>
                <w:sz w:val="16"/>
                <w:szCs w:val="16"/>
                <w:color w:val="auto"/>
              </w:rPr>
              <w:t>0.16</w:t>
            </w:r>
          </w:p>
        </w:tc>
        <w:tc>
          <w:tcPr>
            <w:tcW w:w="460" w:type="dxa"/>
            <w:vAlign w:val="bottom"/>
          </w:tcPr>
          <w:p>
            <w:pPr>
              <w:spacing w:after="0"/>
              <w:rPr>
                <w:sz w:val="17"/>
                <w:szCs w:val="17"/>
                <w:color w:val="auto"/>
              </w:rPr>
            </w:pPr>
          </w:p>
        </w:tc>
        <w:tc>
          <w:tcPr>
            <w:tcW w:w="1720" w:type="dxa"/>
            <w:vAlign w:val="bottom"/>
            <w:tcBorders>
              <w:right w:val="single" w:sz="8" w:color="808080"/>
            </w:tcBorders>
            <w:gridSpan w:val="2"/>
          </w:tcPr>
          <w:p>
            <w:pPr>
              <w:ind w:left="780"/>
              <w:spacing w:after="0"/>
              <w:rPr>
                <w:sz w:val="20"/>
                <w:szCs w:val="20"/>
                <w:color w:val="auto"/>
              </w:rPr>
            </w:pPr>
            <w:r>
              <w:rPr>
                <w:rFonts w:ascii="Arial" w:cs="Arial" w:eastAsia="Arial" w:hAnsi="Arial"/>
                <w:sz w:val="16"/>
                <w:szCs w:val="16"/>
                <w:color w:val="auto"/>
              </w:rPr>
              <w:t>0.17</w:t>
            </w:r>
          </w:p>
        </w:tc>
      </w:tr>
      <w:tr>
        <w:trPr>
          <w:trHeight w:val="203"/>
        </w:trPr>
        <w:tc>
          <w:tcPr>
            <w:tcW w:w="140" w:type="dxa"/>
            <w:vAlign w:val="bottom"/>
            <w:tcBorders>
              <w:left w:val="single" w:sz="8" w:color="808080"/>
            </w:tcBorders>
          </w:tcPr>
          <w:p>
            <w:pPr>
              <w:spacing w:after="0"/>
              <w:rPr>
                <w:sz w:val="17"/>
                <w:szCs w:val="17"/>
                <w:color w:val="auto"/>
              </w:rPr>
            </w:pPr>
          </w:p>
        </w:tc>
        <w:tc>
          <w:tcPr>
            <w:tcW w:w="2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ind w:left="1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88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1220" w:type="dxa"/>
            <w:vAlign w:val="bottom"/>
          </w:tcPr>
          <w:p>
            <w:pPr>
              <w:ind w:left="3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720" w:type="dxa"/>
            <w:vAlign w:val="bottom"/>
            <w:tcBorders>
              <w:right w:val="single" w:sz="8" w:color="808080"/>
            </w:tcBorders>
            <w:gridSpan w:val="2"/>
          </w:tcPr>
          <w:p>
            <w:pPr>
              <w:ind w:left="780"/>
              <w:spacing w:after="0"/>
              <w:rPr>
                <w:sz w:val="20"/>
                <w:szCs w:val="20"/>
                <w:color w:val="auto"/>
              </w:rPr>
            </w:pPr>
            <w:r>
              <w:rPr>
                <w:rFonts w:ascii="Arial" w:cs="Arial" w:eastAsia="Arial" w:hAnsi="Arial"/>
                <w:sz w:val="16"/>
                <w:szCs w:val="16"/>
                <w:color w:val="auto"/>
              </w:rPr>
              <w:t>$</w:t>
            </w:r>
          </w:p>
        </w:tc>
      </w:tr>
      <w:tr>
        <w:trPr>
          <w:trHeight w:val="206"/>
        </w:trPr>
        <w:tc>
          <w:tcPr>
            <w:tcW w:w="140" w:type="dxa"/>
            <w:vAlign w:val="bottom"/>
            <w:tcBorders>
              <w:left w:val="single" w:sz="8" w:color="808080"/>
            </w:tcBorders>
          </w:tcPr>
          <w:p>
            <w:pPr>
              <w:spacing w:after="0"/>
              <w:rPr>
                <w:sz w:val="17"/>
                <w:szCs w:val="17"/>
                <w:color w:val="auto"/>
              </w:rPr>
            </w:pPr>
          </w:p>
        </w:tc>
        <w:tc>
          <w:tcPr>
            <w:tcW w:w="2900" w:type="dxa"/>
            <w:vAlign w:val="bottom"/>
            <w:gridSpan w:val="2"/>
          </w:tcPr>
          <w:p>
            <w:pPr>
              <w:spacing w:after="0"/>
              <w:rPr>
                <w:sz w:val="20"/>
                <w:szCs w:val="20"/>
                <w:color w:val="auto"/>
              </w:rPr>
            </w:pPr>
            <w:r>
              <w:rPr>
                <w:rFonts w:ascii="Arial" w:cs="Arial" w:eastAsia="Arial" w:hAnsi="Arial"/>
                <w:sz w:val="16"/>
                <w:szCs w:val="16"/>
                <w:color w:val="auto"/>
              </w:rPr>
              <w:t>Diluted earnings per common share</w:t>
            </w:r>
          </w:p>
        </w:tc>
        <w:tc>
          <w:tcPr>
            <w:tcW w:w="960" w:type="dxa"/>
            <w:vAlign w:val="bottom"/>
          </w:tcPr>
          <w:p>
            <w:pPr>
              <w:ind w:left="100"/>
              <w:spacing w:after="0"/>
              <w:rPr>
                <w:sz w:val="20"/>
                <w:szCs w:val="20"/>
                <w:color w:val="auto"/>
              </w:rPr>
            </w:pPr>
            <w:r>
              <w:rPr>
                <w:rFonts w:ascii="Arial" w:cs="Arial" w:eastAsia="Arial" w:hAnsi="Arial"/>
                <w:sz w:val="16"/>
                <w:szCs w:val="16"/>
                <w:color w:val="auto"/>
              </w:rPr>
              <w:t>2.67</w:t>
            </w:r>
          </w:p>
        </w:tc>
        <w:tc>
          <w:tcPr>
            <w:tcW w:w="340" w:type="dxa"/>
            <w:vAlign w:val="bottom"/>
          </w:tcPr>
          <w:p>
            <w:pPr>
              <w:spacing w:after="0"/>
              <w:rPr>
                <w:sz w:val="17"/>
                <w:szCs w:val="17"/>
                <w:color w:val="auto"/>
              </w:rPr>
            </w:pPr>
          </w:p>
        </w:tc>
        <w:tc>
          <w:tcPr>
            <w:tcW w:w="1880" w:type="dxa"/>
            <w:vAlign w:val="bottom"/>
            <w:gridSpan w:val="2"/>
          </w:tcPr>
          <w:p>
            <w:pPr>
              <w:ind w:left="880"/>
              <w:spacing w:after="0"/>
              <w:rPr>
                <w:sz w:val="20"/>
                <w:szCs w:val="20"/>
                <w:color w:val="auto"/>
              </w:rPr>
            </w:pPr>
            <w:r>
              <w:rPr>
                <w:rFonts w:ascii="Arial" w:cs="Arial" w:eastAsia="Arial" w:hAnsi="Arial"/>
                <w:sz w:val="16"/>
                <w:szCs w:val="16"/>
                <w:color w:val="auto"/>
              </w:rPr>
              <w:t>0.13</w:t>
            </w:r>
          </w:p>
        </w:tc>
        <w:tc>
          <w:tcPr>
            <w:tcW w:w="1220" w:type="dxa"/>
            <w:vAlign w:val="bottom"/>
          </w:tcPr>
          <w:p>
            <w:pPr>
              <w:ind w:left="360"/>
              <w:spacing w:after="0"/>
              <w:rPr>
                <w:sz w:val="20"/>
                <w:szCs w:val="20"/>
                <w:color w:val="auto"/>
              </w:rPr>
            </w:pPr>
            <w:r>
              <w:rPr>
                <w:rFonts w:ascii="Arial" w:cs="Arial" w:eastAsia="Arial" w:hAnsi="Arial"/>
                <w:sz w:val="16"/>
                <w:szCs w:val="16"/>
                <w:color w:val="auto"/>
              </w:rPr>
              <w:t>0.15</w:t>
            </w:r>
          </w:p>
        </w:tc>
        <w:tc>
          <w:tcPr>
            <w:tcW w:w="460" w:type="dxa"/>
            <w:vAlign w:val="bottom"/>
          </w:tcPr>
          <w:p>
            <w:pPr>
              <w:spacing w:after="0"/>
              <w:rPr>
                <w:sz w:val="17"/>
                <w:szCs w:val="17"/>
                <w:color w:val="auto"/>
              </w:rPr>
            </w:pPr>
          </w:p>
        </w:tc>
        <w:tc>
          <w:tcPr>
            <w:tcW w:w="1720" w:type="dxa"/>
            <w:vAlign w:val="bottom"/>
            <w:tcBorders>
              <w:right w:val="single" w:sz="8" w:color="808080"/>
            </w:tcBorders>
            <w:gridSpan w:val="2"/>
          </w:tcPr>
          <w:p>
            <w:pPr>
              <w:ind w:left="780"/>
              <w:spacing w:after="0"/>
              <w:rPr>
                <w:sz w:val="20"/>
                <w:szCs w:val="20"/>
                <w:color w:val="auto"/>
              </w:rPr>
            </w:pPr>
            <w:r>
              <w:rPr>
                <w:rFonts w:ascii="Arial" w:cs="Arial" w:eastAsia="Arial" w:hAnsi="Arial"/>
                <w:sz w:val="16"/>
                <w:szCs w:val="16"/>
                <w:color w:val="auto"/>
              </w:rPr>
              <w:t>0.17</w:t>
            </w:r>
          </w:p>
        </w:tc>
      </w:tr>
      <w:tr>
        <w:trPr>
          <w:trHeight w:val="631"/>
        </w:trPr>
        <w:tc>
          <w:tcPr>
            <w:tcW w:w="140" w:type="dxa"/>
            <w:vAlign w:val="bottom"/>
            <w:tcBorders>
              <w:left w:val="single" w:sz="8" w:color="808080"/>
            </w:tcBorders>
          </w:tcPr>
          <w:p>
            <w:pPr>
              <w:spacing w:after="0"/>
              <w:rPr>
                <w:sz w:val="24"/>
                <w:szCs w:val="24"/>
                <w:color w:val="auto"/>
              </w:rPr>
            </w:pPr>
          </w:p>
        </w:tc>
        <w:tc>
          <w:tcPr>
            <w:tcW w:w="2900" w:type="dxa"/>
            <w:vAlign w:val="bottom"/>
            <w:gridSpan w:val="2"/>
          </w:tcPr>
          <w:p>
            <w:pPr>
              <w:spacing w:after="0"/>
              <w:rPr>
                <w:sz w:val="20"/>
                <w:szCs w:val="20"/>
                <w:color w:val="auto"/>
              </w:rPr>
            </w:pPr>
            <w:r>
              <w:rPr>
                <w:rFonts w:ascii="Arial" w:cs="Arial" w:eastAsia="Arial" w:hAnsi="Arial"/>
                <w:sz w:val="16"/>
                <w:szCs w:val="16"/>
                <w:color w:val="auto"/>
                <w:w w:val="93"/>
              </w:rPr>
              <w:t>Basic weighted average shares outstanding</w:t>
            </w:r>
          </w:p>
        </w:tc>
        <w:tc>
          <w:tcPr>
            <w:tcW w:w="960" w:type="dxa"/>
            <w:vAlign w:val="bottom"/>
          </w:tcPr>
          <w:p>
            <w:pPr>
              <w:ind w:left="100"/>
              <w:spacing w:after="0"/>
              <w:rPr>
                <w:sz w:val="20"/>
                <w:szCs w:val="20"/>
                <w:color w:val="auto"/>
              </w:rPr>
            </w:pPr>
            <w:r>
              <w:rPr>
                <w:rFonts w:ascii="Arial" w:cs="Arial" w:eastAsia="Arial" w:hAnsi="Arial"/>
                <w:sz w:val="16"/>
                <w:szCs w:val="16"/>
                <w:color w:val="auto"/>
              </w:rPr>
              <w:t>9,109,552</w:t>
            </w:r>
          </w:p>
        </w:tc>
        <w:tc>
          <w:tcPr>
            <w:tcW w:w="340" w:type="dxa"/>
            <w:vAlign w:val="bottom"/>
          </w:tcPr>
          <w:p>
            <w:pPr>
              <w:spacing w:after="0"/>
              <w:rPr>
                <w:sz w:val="24"/>
                <w:szCs w:val="24"/>
                <w:color w:val="auto"/>
              </w:rPr>
            </w:pPr>
          </w:p>
        </w:tc>
        <w:tc>
          <w:tcPr>
            <w:tcW w:w="1880" w:type="dxa"/>
            <w:vAlign w:val="bottom"/>
            <w:gridSpan w:val="2"/>
          </w:tcPr>
          <w:p>
            <w:pPr>
              <w:ind w:left="880"/>
              <w:spacing w:after="0"/>
              <w:rPr>
                <w:sz w:val="20"/>
                <w:szCs w:val="20"/>
                <w:color w:val="auto"/>
              </w:rPr>
            </w:pPr>
            <w:r>
              <w:rPr>
                <w:rFonts w:ascii="Arial" w:cs="Arial" w:eastAsia="Arial" w:hAnsi="Arial"/>
                <w:sz w:val="16"/>
                <w:szCs w:val="16"/>
                <w:color w:val="auto"/>
              </w:rPr>
              <w:t>9,109,552</w:t>
            </w:r>
          </w:p>
        </w:tc>
        <w:tc>
          <w:tcPr>
            <w:tcW w:w="1220" w:type="dxa"/>
            <w:vAlign w:val="bottom"/>
          </w:tcPr>
          <w:p>
            <w:pPr>
              <w:ind w:left="360"/>
              <w:spacing w:after="0"/>
              <w:rPr>
                <w:sz w:val="20"/>
                <w:szCs w:val="20"/>
                <w:color w:val="auto"/>
              </w:rPr>
            </w:pPr>
            <w:r>
              <w:rPr>
                <w:rFonts w:ascii="Arial" w:cs="Arial" w:eastAsia="Arial" w:hAnsi="Arial"/>
                <w:sz w:val="16"/>
                <w:szCs w:val="16"/>
                <w:color w:val="auto"/>
              </w:rPr>
              <w:t>9,095,333</w:t>
            </w:r>
          </w:p>
        </w:tc>
        <w:tc>
          <w:tcPr>
            <w:tcW w:w="460" w:type="dxa"/>
            <w:vAlign w:val="bottom"/>
          </w:tcPr>
          <w:p>
            <w:pPr>
              <w:spacing w:after="0"/>
              <w:rPr>
                <w:sz w:val="24"/>
                <w:szCs w:val="24"/>
                <w:color w:val="auto"/>
              </w:rPr>
            </w:pPr>
          </w:p>
        </w:tc>
        <w:tc>
          <w:tcPr>
            <w:tcW w:w="1720" w:type="dxa"/>
            <w:vAlign w:val="bottom"/>
            <w:tcBorders>
              <w:right w:val="single" w:sz="8" w:color="808080"/>
            </w:tcBorders>
            <w:gridSpan w:val="2"/>
          </w:tcPr>
          <w:p>
            <w:pPr>
              <w:ind w:left="780"/>
              <w:spacing w:after="0"/>
              <w:rPr>
                <w:sz w:val="20"/>
                <w:szCs w:val="20"/>
                <w:color w:val="auto"/>
              </w:rPr>
            </w:pPr>
            <w:r>
              <w:rPr>
                <w:rFonts w:ascii="Arial" w:cs="Arial" w:eastAsia="Arial" w:hAnsi="Arial"/>
                <w:sz w:val="16"/>
                <w:szCs w:val="16"/>
                <w:color w:val="auto"/>
              </w:rPr>
              <w:t>9,095,333</w:t>
            </w:r>
          </w:p>
        </w:tc>
      </w:tr>
      <w:tr>
        <w:trPr>
          <w:trHeight w:val="203"/>
        </w:trPr>
        <w:tc>
          <w:tcPr>
            <w:tcW w:w="140" w:type="dxa"/>
            <w:vAlign w:val="bottom"/>
            <w:tcBorders>
              <w:left w:val="single" w:sz="8" w:color="808080"/>
            </w:tcBorders>
          </w:tcPr>
          <w:p>
            <w:pPr>
              <w:spacing w:after="0"/>
              <w:rPr>
                <w:sz w:val="17"/>
                <w:szCs w:val="17"/>
                <w:color w:val="auto"/>
              </w:rPr>
            </w:pPr>
          </w:p>
        </w:tc>
        <w:tc>
          <w:tcPr>
            <w:tcW w:w="2900" w:type="dxa"/>
            <w:vAlign w:val="bottom"/>
            <w:gridSpan w:val="2"/>
          </w:tcPr>
          <w:p>
            <w:pPr>
              <w:spacing w:after="0"/>
              <w:rPr>
                <w:sz w:val="20"/>
                <w:szCs w:val="20"/>
                <w:color w:val="auto"/>
              </w:rPr>
            </w:pPr>
            <w:r>
              <w:rPr>
                <w:rFonts w:ascii="Arial" w:cs="Arial" w:eastAsia="Arial" w:hAnsi="Arial"/>
                <w:sz w:val="16"/>
                <w:szCs w:val="16"/>
                <w:color w:val="auto"/>
              </w:rPr>
              <w:t>Diluted weighted average shares</w:t>
            </w: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Borders>
              <w:right w:val="single" w:sz="8" w:color="808080"/>
            </w:tcBorders>
          </w:tcPr>
          <w:p>
            <w:pPr>
              <w:spacing w:after="0"/>
              <w:rPr>
                <w:sz w:val="17"/>
                <w:szCs w:val="17"/>
                <w:color w:val="auto"/>
              </w:rPr>
            </w:pPr>
          </w:p>
        </w:tc>
      </w:tr>
      <w:tr>
        <w:trPr>
          <w:trHeight w:val="206"/>
        </w:trPr>
        <w:tc>
          <w:tcPr>
            <w:tcW w:w="140" w:type="dxa"/>
            <w:vAlign w:val="bottom"/>
            <w:tcBorders>
              <w:left w:val="single" w:sz="8" w:color="808080"/>
            </w:tcBorders>
          </w:tcPr>
          <w:p>
            <w:pPr>
              <w:spacing w:after="0"/>
              <w:rPr>
                <w:sz w:val="17"/>
                <w:szCs w:val="17"/>
                <w:color w:val="auto"/>
              </w:rPr>
            </w:pPr>
          </w:p>
        </w:tc>
        <w:tc>
          <w:tcPr>
            <w:tcW w:w="2900" w:type="dxa"/>
            <w:vAlign w:val="bottom"/>
            <w:gridSpan w:val="2"/>
          </w:tcPr>
          <w:p>
            <w:pPr>
              <w:spacing w:after="0"/>
              <w:rPr>
                <w:sz w:val="20"/>
                <w:szCs w:val="20"/>
                <w:color w:val="auto"/>
              </w:rPr>
            </w:pPr>
            <w:r>
              <w:rPr>
                <w:rFonts w:ascii="Arial" w:cs="Arial" w:eastAsia="Arial" w:hAnsi="Arial"/>
                <w:sz w:val="16"/>
                <w:szCs w:val="16"/>
                <w:color w:val="auto"/>
              </w:rPr>
              <w:t>outstanding</w:t>
            </w:r>
          </w:p>
        </w:tc>
        <w:tc>
          <w:tcPr>
            <w:tcW w:w="960" w:type="dxa"/>
            <w:vAlign w:val="bottom"/>
          </w:tcPr>
          <w:p>
            <w:pPr>
              <w:ind w:left="100"/>
              <w:spacing w:after="0"/>
              <w:rPr>
                <w:sz w:val="20"/>
                <w:szCs w:val="20"/>
                <w:color w:val="auto"/>
              </w:rPr>
            </w:pPr>
            <w:r>
              <w:rPr>
                <w:rFonts w:ascii="Arial" w:cs="Arial" w:eastAsia="Arial" w:hAnsi="Arial"/>
                <w:sz w:val="16"/>
                <w:szCs w:val="16"/>
                <w:color w:val="auto"/>
              </w:rPr>
              <w:t>9,192,714</w:t>
            </w:r>
          </w:p>
        </w:tc>
        <w:tc>
          <w:tcPr>
            <w:tcW w:w="340" w:type="dxa"/>
            <w:vAlign w:val="bottom"/>
          </w:tcPr>
          <w:p>
            <w:pPr>
              <w:spacing w:after="0"/>
              <w:rPr>
                <w:sz w:val="17"/>
                <w:szCs w:val="17"/>
                <w:color w:val="auto"/>
              </w:rPr>
            </w:pPr>
          </w:p>
        </w:tc>
        <w:tc>
          <w:tcPr>
            <w:tcW w:w="1880" w:type="dxa"/>
            <w:vAlign w:val="bottom"/>
            <w:gridSpan w:val="2"/>
          </w:tcPr>
          <w:p>
            <w:pPr>
              <w:ind w:left="880"/>
              <w:spacing w:after="0"/>
              <w:rPr>
                <w:sz w:val="20"/>
                <w:szCs w:val="20"/>
                <w:color w:val="auto"/>
              </w:rPr>
            </w:pPr>
            <w:r>
              <w:rPr>
                <w:rFonts w:ascii="Arial" w:cs="Arial" w:eastAsia="Arial" w:hAnsi="Arial"/>
                <w:sz w:val="16"/>
                <w:szCs w:val="16"/>
                <w:color w:val="auto"/>
              </w:rPr>
              <w:t>9,192,714</w:t>
            </w:r>
          </w:p>
        </w:tc>
        <w:tc>
          <w:tcPr>
            <w:tcW w:w="1220" w:type="dxa"/>
            <w:vAlign w:val="bottom"/>
          </w:tcPr>
          <w:p>
            <w:pPr>
              <w:ind w:left="360"/>
              <w:spacing w:after="0"/>
              <w:rPr>
                <w:sz w:val="20"/>
                <w:szCs w:val="20"/>
                <w:color w:val="auto"/>
              </w:rPr>
            </w:pPr>
            <w:r>
              <w:rPr>
                <w:rFonts w:ascii="Arial" w:cs="Arial" w:eastAsia="Arial" w:hAnsi="Arial"/>
                <w:sz w:val="16"/>
                <w:szCs w:val="16"/>
                <w:color w:val="auto"/>
              </w:rPr>
              <w:t>9,237,214</w:t>
            </w:r>
          </w:p>
        </w:tc>
        <w:tc>
          <w:tcPr>
            <w:tcW w:w="460" w:type="dxa"/>
            <w:vAlign w:val="bottom"/>
          </w:tcPr>
          <w:p>
            <w:pPr>
              <w:spacing w:after="0"/>
              <w:rPr>
                <w:sz w:val="17"/>
                <w:szCs w:val="17"/>
                <w:color w:val="auto"/>
              </w:rPr>
            </w:pPr>
          </w:p>
        </w:tc>
        <w:tc>
          <w:tcPr>
            <w:tcW w:w="1720" w:type="dxa"/>
            <w:vAlign w:val="bottom"/>
            <w:tcBorders>
              <w:right w:val="single" w:sz="8" w:color="808080"/>
            </w:tcBorders>
            <w:gridSpan w:val="2"/>
          </w:tcPr>
          <w:p>
            <w:pPr>
              <w:ind w:left="780"/>
              <w:spacing w:after="0"/>
              <w:rPr>
                <w:sz w:val="20"/>
                <w:szCs w:val="20"/>
                <w:color w:val="auto"/>
              </w:rPr>
            </w:pPr>
            <w:r>
              <w:rPr>
                <w:rFonts w:ascii="Arial" w:cs="Arial" w:eastAsia="Arial" w:hAnsi="Arial"/>
                <w:sz w:val="16"/>
                <w:szCs w:val="16"/>
                <w:color w:val="auto"/>
              </w:rPr>
              <w:t>9,237,214</w:t>
            </w:r>
          </w:p>
        </w:tc>
      </w:tr>
      <w:tr>
        <w:trPr>
          <w:trHeight w:val="654"/>
        </w:trPr>
        <w:tc>
          <w:tcPr>
            <w:tcW w:w="140" w:type="dxa"/>
            <w:vAlign w:val="bottom"/>
            <w:tcBorders>
              <w:left w:val="single" w:sz="8" w:color="808080"/>
            </w:tcBorders>
          </w:tcPr>
          <w:p>
            <w:pPr>
              <w:spacing w:after="0"/>
              <w:rPr>
                <w:sz w:val="24"/>
                <w:szCs w:val="24"/>
                <w:color w:val="auto"/>
              </w:rPr>
            </w:pPr>
          </w:p>
        </w:tc>
        <w:tc>
          <w:tcPr>
            <w:tcW w:w="27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2"/>
              </w:rPr>
              <w:t>The adjustments consist of the following:</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Borders>
              <w:right w:val="single" w:sz="8" w:color="808080"/>
            </w:tcBorders>
          </w:tcPr>
          <w:p>
            <w:pPr>
              <w:spacing w:after="0"/>
              <w:rPr>
                <w:sz w:val="24"/>
                <w:szCs w:val="24"/>
                <w:color w:val="auto"/>
              </w:rPr>
            </w:pPr>
          </w:p>
        </w:tc>
      </w:tr>
      <w:tr>
        <w:trPr>
          <w:trHeight w:val="244"/>
        </w:trPr>
        <w:tc>
          <w:tcPr>
            <w:tcW w:w="140" w:type="dxa"/>
            <w:vAlign w:val="bottom"/>
            <w:tcBorders>
              <w:left w:val="single" w:sz="8" w:color="808080"/>
            </w:tcBorders>
          </w:tcPr>
          <w:p>
            <w:pPr>
              <w:spacing w:after="0"/>
              <w:rPr>
                <w:sz w:val="21"/>
                <w:szCs w:val="21"/>
                <w:color w:val="auto"/>
              </w:rPr>
            </w:pPr>
          </w:p>
        </w:tc>
        <w:tc>
          <w:tcPr>
            <w:tcW w:w="2900" w:type="dxa"/>
            <w:vAlign w:val="bottom"/>
            <w:gridSpan w:val="2"/>
          </w:tcPr>
          <w:p>
            <w:pPr>
              <w:spacing w:after="0"/>
              <w:rPr>
                <w:sz w:val="20"/>
                <w:szCs w:val="20"/>
                <w:color w:val="auto"/>
              </w:rPr>
            </w:pPr>
            <w:r>
              <w:rPr>
                <w:rFonts w:ascii="Arial" w:cs="Arial" w:eastAsia="Arial" w:hAnsi="Arial"/>
                <w:sz w:val="16"/>
                <w:szCs w:val="16"/>
                <w:color w:val="auto"/>
              </w:rPr>
              <w:t>Share-based compensation</w:t>
            </w:r>
          </w:p>
        </w:tc>
        <w:tc>
          <w:tcPr>
            <w:tcW w:w="9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65</w:t>
            </w:r>
          </w:p>
        </w:tc>
        <w:tc>
          <w:tcPr>
            <w:tcW w:w="1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9"/>
              <w:spacing w:after="0"/>
              <w:rPr>
                <w:sz w:val="20"/>
                <w:szCs w:val="20"/>
                <w:color w:val="auto"/>
              </w:rPr>
            </w:pPr>
            <w:r>
              <w:rPr>
                <w:rFonts w:ascii="Arial" w:cs="Arial" w:eastAsia="Arial" w:hAnsi="Arial"/>
                <w:sz w:val="16"/>
                <w:szCs w:val="16"/>
                <w:color w:val="auto"/>
              </w:rPr>
              <w:t>56</w:t>
            </w:r>
          </w:p>
        </w:tc>
        <w:tc>
          <w:tcPr>
            <w:tcW w:w="1040" w:type="dxa"/>
            <w:vAlign w:val="bottom"/>
            <w:tcBorders>
              <w:right w:val="single" w:sz="8" w:color="808080"/>
            </w:tcBorders>
          </w:tcPr>
          <w:p>
            <w:pPr>
              <w:spacing w:after="0"/>
              <w:rPr>
                <w:sz w:val="21"/>
                <w:szCs w:val="21"/>
                <w:color w:val="auto"/>
              </w:rPr>
            </w:pPr>
          </w:p>
        </w:tc>
      </w:tr>
      <w:tr>
        <w:trPr>
          <w:trHeight w:val="226"/>
        </w:trPr>
        <w:tc>
          <w:tcPr>
            <w:tcW w:w="140" w:type="dxa"/>
            <w:vAlign w:val="bottom"/>
            <w:tcBorders>
              <w:left w:val="single" w:sz="8" w:color="808080"/>
            </w:tcBorders>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6"/>
                <w:szCs w:val="16"/>
                <w:color w:val="auto"/>
              </w:rPr>
              <w:t>Amortization of purchased intangibles</w:t>
            </w: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301</w:t>
            </w:r>
          </w:p>
        </w:tc>
        <w:tc>
          <w:tcPr>
            <w:tcW w:w="1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jc w:val="right"/>
              <w:ind w:right="199"/>
              <w:spacing w:after="0"/>
              <w:rPr>
                <w:sz w:val="20"/>
                <w:szCs w:val="20"/>
                <w:color w:val="auto"/>
              </w:rPr>
            </w:pPr>
            <w:r>
              <w:rPr>
                <w:rFonts w:ascii="Arial" w:cs="Arial" w:eastAsia="Arial" w:hAnsi="Arial"/>
                <w:sz w:val="16"/>
                <w:szCs w:val="16"/>
                <w:color w:val="auto"/>
              </w:rPr>
              <w:t>130</w:t>
            </w:r>
          </w:p>
        </w:tc>
        <w:tc>
          <w:tcPr>
            <w:tcW w:w="1040" w:type="dxa"/>
            <w:vAlign w:val="bottom"/>
            <w:tcBorders>
              <w:right w:val="single" w:sz="8" w:color="808080"/>
            </w:tcBorders>
          </w:tcPr>
          <w:p>
            <w:pPr>
              <w:spacing w:after="0"/>
              <w:rPr>
                <w:sz w:val="19"/>
                <w:szCs w:val="19"/>
                <w:color w:val="auto"/>
              </w:rPr>
            </w:pPr>
          </w:p>
        </w:tc>
      </w:tr>
      <w:tr>
        <w:trPr>
          <w:trHeight w:val="203"/>
        </w:trPr>
        <w:tc>
          <w:tcPr>
            <w:tcW w:w="140" w:type="dxa"/>
            <w:vAlign w:val="bottom"/>
            <w:tcBorders>
              <w:left w:val="single" w:sz="8" w:color="808080"/>
            </w:tcBorders>
          </w:tcPr>
          <w:p>
            <w:pPr>
              <w:spacing w:after="0"/>
              <w:rPr>
                <w:sz w:val="17"/>
                <w:szCs w:val="17"/>
                <w:color w:val="auto"/>
              </w:rPr>
            </w:pPr>
          </w:p>
        </w:tc>
        <w:tc>
          <w:tcPr>
            <w:tcW w:w="3860" w:type="dxa"/>
            <w:vAlign w:val="bottom"/>
            <w:gridSpan w:val="3"/>
          </w:tcPr>
          <w:p>
            <w:pPr>
              <w:spacing w:after="0"/>
              <w:rPr>
                <w:sz w:val="20"/>
                <w:szCs w:val="20"/>
                <w:color w:val="auto"/>
              </w:rPr>
            </w:pPr>
            <w:r>
              <w:rPr>
                <w:rFonts w:ascii="Arial" w:cs="Arial" w:eastAsia="Arial" w:hAnsi="Arial"/>
                <w:sz w:val="16"/>
                <w:szCs w:val="16"/>
                <w:color w:val="auto"/>
                <w:w w:val="99"/>
              </w:rPr>
              <w:t>Legal expenses for litigation relating to indemnification</w:t>
            </w: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Borders>
              <w:right w:val="single" w:sz="8" w:color="808080"/>
            </w:tcBorders>
          </w:tcPr>
          <w:p>
            <w:pPr>
              <w:spacing w:after="0"/>
              <w:rPr>
                <w:sz w:val="17"/>
                <w:szCs w:val="17"/>
                <w:color w:val="auto"/>
              </w:rPr>
            </w:pPr>
          </w:p>
        </w:tc>
      </w:tr>
      <w:tr>
        <w:trPr>
          <w:trHeight w:val="203"/>
        </w:trPr>
        <w:tc>
          <w:tcPr>
            <w:tcW w:w="140" w:type="dxa"/>
            <w:vAlign w:val="bottom"/>
            <w:tcBorders>
              <w:left w:val="single" w:sz="8" w:color="808080"/>
            </w:tcBorders>
          </w:tcPr>
          <w:p>
            <w:pPr>
              <w:spacing w:after="0"/>
              <w:rPr>
                <w:sz w:val="17"/>
                <w:szCs w:val="17"/>
                <w:color w:val="auto"/>
              </w:rPr>
            </w:pPr>
          </w:p>
        </w:tc>
        <w:tc>
          <w:tcPr>
            <w:tcW w:w="3860" w:type="dxa"/>
            <w:vAlign w:val="bottom"/>
            <w:gridSpan w:val="3"/>
          </w:tcPr>
          <w:p>
            <w:pPr>
              <w:spacing w:after="0"/>
              <w:rPr>
                <w:sz w:val="20"/>
                <w:szCs w:val="20"/>
                <w:color w:val="auto"/>
              </w:rPr>
            </w:pPr>
            <w:r>
              <w:rPr>
                <w:rFonts w:ascii="Arial" w:cs="Arial" w:eastAsia="Arial" w:hAnsi="Arial"/>
                <w:sz w:val="16"/>
                <w:szCs w:val="16"/>
                <w:color w:val="auto"/>
              </w:rPr>
              <w:t>of former officers, intellectual property claims and our</w:t>
            </w: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Borders>
              <w:right w:val="single" w:sz="8" w:color="808080"/>
            </w:tcBorders>
          </w:tcPr>
          <w:p>
            <w:pPr>
              <w:spacing w:after="0"/>
              <w:rPr>
                <w:sz w:val="17"/>
                <w:szCs w:val="17"/>
                <w:color w:val="auto"/>
              </w:rPr>
            </w:pPr>
          </w:p>
        </w:tc>
      </w:tr>
      <w:tr>
        <w:trPr>
          <w:trHeight w:val="203"/>
        </w:trPr>
        <w:tc>
          <w:tcPr>
            <w:tcW w:w="140" w:type="dxa"/>
            <w:vAlign w:val="bottom"/>
            <w:tcBorders>
              <w:left w:val="single" w:sz="8" w:color="808080"/>
            </w:tcBorders>
          </w:tcPr>
          <w:p>
            <w:pPr>
              <w:spacing w:after="0"/>
              <w:rPr>
                <w:sz w:val="17"/>
                <w:szCs w:val="17"/>
                <w:color w:val="auto"/>
              </w:rPr>
            </w:pPr>
          </w:p>
        </w:tc>
        <w:tc>
          <w:tcPr>
            <w:tcW w:w="2900" w:type="dxa"/>
            <w:vAlign w:val="bottom"/>
            <w:gridSpan w:val="2"/>
          </w:tcPr>
          <w:p>
            <w:pPr>
              <w:spacing w:after="0"/>
              <w:rPr>
                <w:sz w:val="20"/>
                <w:szCs w:val="20"/>
                <w:color w:val="auto"/>
              </w:rPr>
            </w:pPr>
            <w:r>
              <w:rPr>
                <w:rFonts w:ascii="Arial" w:cs="Arial" w:eastAsia="Arial" w:hAnsi="Arial"/>
                <w:sz w:val="16"/>
                <w:szCs w:val="16"/>
                <w:color w:val="auto"/>
              </w:rPr>
              <w:t>claim for damages</w:t>
            </w: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376</w:t>
            </w: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jc w:val="right"/>
              <w:ind w:right="199"/>
              <w:spacing w:after="0"/>
              <w:rPr>
                <w:sz w:val="20"/>
                <w:szCs w:val="20"/>
                <w:color w:val="auto"/>
              </w:rPr>
            </w:pPr>
            <w:r>
              <w:rPr>
                <w:rFonts w:ascii="Arial" w:cs="Arial" w:eastAsia="Arial" w:hAnsi="Arial"/>
                <w:sz w:val="16"/>
                <w:szCs w:val="16"/>
                <w:color w:val="auto"/>
              </w:rPr>
              <w:t>31</w:t>
            </w:r>
          </w:p>
        </w:tc>
        <w:tc>
          <w:tcPr>
            <w:tcW w:w="1040" w:type="dxa"/>
            <w:vAlign w:val="bottom"/>
            <w:tcBorders>
              <w:right w:val="single" w:sz="8" w:color="808080"/>
            </w:tcBorders>
          </w:tcPr>
          <w:p>
            <w:pPr>
              <w:spacing w:after="0"/>
              <w:rPr>
                <w:sz w:val="17"/>
                <w:szCs w:val="17"/>
                <w:color w:val="auto"/>
              </w:rPr>
            </w:pPr>
          </w:p>
        </w:tc>
      </w:tr>
      <w:tr>
        <w:trPr>
          <w:trHeight w:val="230"/>
        </w:trPr>
        <w:tc>
          <w:tcPr>
            <w:tcW w:w="140" w:type="dxa"/>
            <w:vAlign w:val="bottom"/>
            <w:tcBorders>
              <w:left w:val="single" w:sz="8" w:color="808080"/>
            </w:tcBorders>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6"/>
                <w:szCs w:val="16"/>
                <w:color w:val="auto"/>
              </w:rPr>
              <w:t>Acquisition related expenses</w:t>
            </w: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57</w:t>
            </w:r>
          </w:p>
        </w:tc>
        <w:tc>
          <w:tcPr>
            <w:tcW w:w="1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Borders>
              <w:right w:val="single" w:sz="8" w:color="808080"/>
            </w:tcBorders>
          </w:tcPr>
          <w:p>
            <w:pPr>
              <w:spacing w:after="0"/>
              <w:rPr>
                <w:sz w:val="19"/>
                <w:szCs w:val="19"/>
                <w:color w:val="auto"/>
              </w:rPr>
            </w:pPr>
          </w:p>
        </w:tc>
      </w:tr>
      <w:tr>
        <w:trPr>
          <w:trHeight w:val="203"/>
        </w:trPr>
        <w:tc>
          <w:tcPr>
            <w:tcW w:w="140" w:type="dxa"/>
            <w:vAlign w:val="bottom"/>
            <w:tcBorders>
              <w:left w:val="single" w:sz="8" w:color="808080"/>
            </w:tcBorders>
          </w:tcPr>
          <w:p>
            <w:pPr>
              <w:spacing w:after="0"/>
              <w:rPr>
                <w:sz w:val="17"/>
                <w:szCs w:val="17"/>
                <w:color w:val="auto"/>
              </w:rPr>
            </w:pPr>
          </w:p>
        </w:tc>
        <w:tc>
          <w:tcPr>
            <w:tcW w:w="2900" w:type="dxa"/>
            <w:vAlign w:val="bottom"/>
            <w:gridSpan w:val="2"/>
          </w:tcPr>
          <w:p>
            <w:pPr>
              <w:spacing w:after="0"/>
              <w:rPr>
                <w:sz w:val="20"/>
                <w:szCs w:val="20"/>
                <w:color w:val="auto"/>
              </w:rPr>
            </w:pPr>
            <w:r>
              <w:rPr>
                <w:rFonts w:ascii="Arial" w:cs="Arial" w:eastAsia="Arial" w:hAnsi="Arial"/>
                <w:sz w:val="16"/>
                <w:szCs w:val="16"/>
                <w:color w:val="auto"/>
              </w:rPr>
              <w:t>Proceeds from litigation, net of legal</w:t>
            </w: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Borders>
              <w:right w:val="single" w:sz="8" w:color="808080"/>
            </w:tcBorders>
          </w:tcPr>
          <w:p>
            <w:pPr>
              <w:spacing w:after="0"/>
              <w:rPr>
                <w:sz w:val="17"/>
                <w:szCs w:val="17"/>
                <w:color w:val="auto"/>
              </w:rPr>
            </w:pPr>
          </w:p>
        </w:tc>
      </w:tr>
      <w:tr>
        <w:trPr>
          <w:trHeight w:val="203"/>
        </w:trPr>
        <w:tc>
          <w:tcPr>
            <w:tcW w:w="140" w:type="dxa"/>
            <w:vAlign w:val="bottom"/>
            <w:tcBorders>
              <w:left w:val="single" w:sz="8" w:color="808080"/>
            </w:tcBorders>
          </w:tcPr>
          <w:p>
            <w:pPr>
              <w:spacing w:after="0"/>
              <w:rPr>
                <w:sz w:val="17"/>
                <w:szCs w:val="17"/>
                <w:color w:val="auto"/>
              </w:rPr>
            </w:pPr>
          </w:p>
        </w:tc>
        <w:tc>
          <w:tcPr>
            <w:tcW w:w="2900" w:type="dxa"/>
            <w:vAlign w:val="bottom"/>
            <w:gridSpan w:val="2"/>
          </w:tcPr>
          <w:p>
            <w:pPr>
              <w:spacing w:after="0"/>
              <w:rPr>
                <w:sz w:val="20"/>
                <w:szCs w:val="20"/>
                <w:color w:val="auto"/>
              </w:rPr>
            </w:pPr>
            <w:r>
              <w:rPr>
                <w:rFonts w:ascii="Arial" w:cs="Arial" w:eastAsia="Arial" w:hAnsi="Arial"/>
                <w:sz w:val="16"/>
                <w:szCs w:val="16"/>
                <w:color w:val="auto"/>
              </w:rPr>
              <w:t>expenses and special bonus to key</w:t>
            </w: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Borders>
              <w:right w:val="single" w:sz="8" w:color="808080"/>
            </w:tcBorders>
          </w:tcPr>
          <w:p>
            <w:pPr>
              <w:spacing w:after="0"/>
              <w:rPr>
                <w:sz w:val="17"/>
                <w:szCs w:val="17"/>
                <w:color w:val="auto"/>
              </w:rPr>
            </w:pPr>
          </w:p>
        </w:tc>
      </w:tr>
      <w:tr>
        <w:trPr>
          <w:trHeight w:val="206"/>
        </w:trPr>
        <w:tc>
          <w:tcPr>
            <w:tcW w:w="140" w:type="dxa"/>
            <w:vAlign w:val="bottom"/>
            <w:tcBorders>
              <w:left w:val="single" w:sz="8" w:color="808080"/>
            </w:tcBorders>
          </w:tcPr>
          <w:p>
            <w:pPr>
              <w:spacing w:after="0"/>
              <w:rPr>
                <w:sz w:val="17"/>
                <w:szCs w:val="17"/>
                <w:color w:val="auto"/>
              </w:rPr>
            </w:pPr>
          </w:p>
        </w:tc>
        <w:tc>
          <w:tcPr>
            <w:tcW w:w="2900" w:type="dxa"/>
            <w:vAlign w:val="bottom"/>
            <w:gridSpan w:val="2"/>
          </w:tcPr>
          <w:p>
            <w:pPr>
              <w:spacing w:after="0"/>
              <w:rPr>
                <w:sz w:val="20"/>
                <w:szCs w:val="20"/>
                <w:color w:val="auto"/>
              </w:rPr>
            </w:pPr>
            <w:r>
              <w:rPr>
                <w:rFonts w:ascii="Arial" w:cs="Arial" w:eastAsia="Arial" w:hAnsi="Arial"/>
                <w:sz w:val="16"/>
                <w:szCs w:val="16"/>
                <w:color w:val="auto"/>
              </w:rPr>
              <w:t>litigation participants</w:t>
            </w:r>
          </w:p>
        </w:tc>
        <w:tc>
          <w:tcPr>
            <w:tcW w:w="9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(37,628)</w:t>
            </w: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Borders>
              <w:right w:val="single" w:sz="8" w:color="808080"/>
            </w:tcBorders>
          </w:tcPr>
          <w:p>
            <w:pPr>
              <w:spacing w:after="0"/>
              <w:rPr>
                <w:sz w:val="17"/>
                <w:szCs w:val="17"/>
                <w:color w:val="auto"/>
              </w:rPr>
            </w:pPr>
          </w:p>
        </w:tc>
      </w:tr>
      <w:tr>
        <w:trPr>
          <w:trHeight w:val="206"/>
        </w:trPr>
        <w:tc>
          <w:tcPr>
            <w:tcW w:w="140" w:type="dxa"/>
            <w:vAlign w:val="bottom"/>
            <w:tcBorders>
              <w:left w:val="single" w:sz="8" w:color="808080"/>
            </w:tcBorders>
          </w:tcPr>
          <w:p>
            <w:pPr>
              <w:spacing w:after="0"/>
              <w:rPr>
                <w:sz w:val="17"/>
                <w:szCs w:val="17"/>
                <w:color w:val="auto"/>
              </w:rPr>
            </w:pPr>
          </w:p>
        </w:tc>
        <w:tc>
          <w:tcPr>
            <w:tcW w:w="2900" w:type="dxa"/>
            <w:vAlign w:val="bottom"/>
            <w:gridSpan w:val="2"/>
          </w:tcPr>
          <w:p>
            <w:pPr>
              <w:spacing w:after="0"/>
              <w:rPr>
                <w:sz w:val="20"/>
                <w:szCs w:val="20"/>
                <w:color w:val="auto"/>
              </w:rPr>
            </w:pPr>
            <w:r>
              <w:rPr>
                <w:rFonts w:ascii="Arial" w:cs="Arial" w:eastAsia="Arial" w:hAnsi="Arial"/>
                <w:sz w:val="16"/>
                <w:szCs w:val="16"/>
                <w:color w:val="auto"/>
              </w:rPr>
              <w:t>Total of adjustments before taxes</w:t>
            </w: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(36,829)</w:t>
            </w: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jc w:val="right"/>
              <w:ind w:right="199"/>
              <w:spacing w:after="0"/>
              <w:rPr>
                <w:sz w:val="20"/>
                <w:szCs w:val="20"/>
                <w:color w:val="auto"/>
              </w:rPr>
            </w:pPr>
            <w:r>
              <w:rPr>
                <w:rFonts w:ascii="Arial" w:cs="Arial" w:eastAsia="Arial" w:hAnsi="Arial"/>
                <w:sz w:val="16"/>
                <w:szCs w:val="16"/>
                <w:color w:val="auto"/>
              </w:rPr>
              <w:t>217</w:t>
            </w:r>
          </w:p>
        </w:tc>
        <w:tc>
          <w:tcPr>
            <w:tcW w:w="1040" w:type="dxa"/>
            <w:vAlign w:val="bottom"/>
            <w:tcBorders>
              <w:right w:val="single" w:sz="8" w:color="808080"/>
            </w:tcBorders>
          </w:tcPr>
          <w:p>
            <w:pPr>
              <w:spacing w:after="0"/>
              <w:rPr>
                <w:sz w:val="17"/>
                <w:szCs w:val="17"/>
                <w:color w:val="auto"/>
              </w:rPr>
            </w:pPr>
          </w:p>
        </w:tc>
      </w:tr>
      <w:tr>
        <w:trPr>
          <w:trHeight w:val="203"/>
        </w:trPr>
        <w:tc>
          <w:tcPr>
            <w:tcW w:w="140" w:type="dxa"/>
            <w:vAlign w:val="bottom"/>
            <w:tcBorders>
              <w:left w:val="single" w:sz="8" w:color="808080"/>
            </w:tcBorders>
          </w:tcPr>
          <w:p>
            <w:pPr>
              <w:spacing w:after="0"/>
              <w:rPr>
                <w:sz w:val="17"/>
                <w:szCs w:val="17"/>
                <w:color w:val="auto"/>
              </w:rPr>
            </w:pPr>
          </w:p>
        </w:tc>
        <w:tc>
          <w:tcPr>
            <w:tcW w:w="2900" w:type="dxa"/>
            <w:vAlign w:val="bottom"/>
            <w:gridSpan w:val="2"/>
          </w:tcPr>
          <w:p>
            <w:pPr>
              <w:ind w:left="180"/>
              <w:spacing w:after="0"/>
              <w:rPr>
                <w:sz w:val="20"/>
                <w:szCs w:val="20"/>
                <w:color w:val="auto"/>
              </w:rPr>
            </w:pPr>
            <w:r>
              <w:rPr>
                <w:rFonts w:ascii="Arial" w:cs="Arial" w:eastAsia="Arial" w:hAnsi="Arial"/>
                <w:sz w:val="16"/>
                <w:szCs w:val="16"/>
                <w:color w:val="auto"/>
              </w:rPr>
              <w:t>Income taxes affected by the above</w:t>
            </w: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Borders>
              <w:right w:val="single" w:sz="8" w:color="808080"/>
            </w:tcBorders>
          </w:tcPr>
          <w:p>
            <w:pPr>
              <w:spacing w:after="0"/>
              <w:rPr>
                <w:sz w:val="17"/>
                <w:szCs w:val="17"/>
                <w:color w:val="auto"/>
              </w:rPr>
            </w:pPr>
          </w:p>
        </w:tc>
      </w:tr>
      <w:tr>
        <w:trPr>
          <w:trHeight w:val="206"/>
        </w:trPr>
        <w:tc>
          <w:tcPr>
            <w:tcW w:w="140" w:type="dxa"/>
            <w:vAlign w:val="bottom"/>
            <w:tcBorders>
              <w:left w:val="single" w:sz="8" w:color="808080"/>
            </w:tcBorders>
          </w:tcPr>
          <w:p>
            <w:pPr>
              <w:spacing w:after="0"/>
              <w:rPr>
                <w:sz w:val="17"/>
                <w:szCs w:val="17"/>
                <w:color w:val="auto"/>
              </w:rPr>
            </w:pPr>
          </w:p>
        </w:tc>
        <w:tc>
          <w:tcPr>
            <w:tcW w:w="2900" w:type="dxa"/>
            <w:vAlign w:val="bottom"/>
            <w:gridSpan w:val="2"/>
          </w:tcPr>
          <w:p>
            <w:pPr>
              <w:spacing w:after="0"/>
              <w:rPr>
                <w:sz w:val="20"/>
                <w:szCs w:val="20"/>
                <w:color w:val="auto"/>
              </w:rPr>
            </w:pPr>
            <w:r>
              <w:rPr>
                <w:rFonts w:ascii="Arial" w:cs="Arial" w:eastAsia="Arial" w:hAnsi="Arial"/>
                <w:sz w:val="16"/>
                <w:szCs w:val="16"/>
                <w:color w:val="auto"/>
              </w:rPr>
              <w:t>adjustments</w:t>
            </w:r>
          </w:p>
        </w:tc>
        <w:tc>
          <w:tcPr>
            <w:tcW w:w="9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(13,540)</w:t>
            </w: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110</w:t>
            </w:r>
          </w:p>
        </w:tc>
        <w:tc>
          <w:tcPr>
            <w:tcW w:w="1040" w:type="dxa"/>
            <w:vAlign w:val="bottom"/>
            <w:tcBorders>
              <w:right w:val="single" w:sz="8" w:color="808080"/>
            </w:tcBorders>
          </w:tcPr>
          <w:p>
            <w:pPr>
              <w:spacing w:after="0"/>
              <w:rPr>
                <w:sz w:val="17"/>
                <w:szCs w:val="17"/>
                <w:color w:val="auto"/>
              </w:rPr>
            </w:pPr>
          </w:p>
        </w:tc>
      </w:tr>
      <w:tr>
        <w:trPr>
          <w:trHeight w:val="223"/>
        </w:trPr>
        <w:tc>
          <w:tcPr>
            <w:tcW w:w="140" w:type="dxa"/>
            <w:vAlign w:val="bottom"/>
            <w:tcBorders>
              <w:left w:val="single" w:sz="8" w:color="808080"/>
              <w:bottom w:val="single" w:sz="8" w:color="808080"/>
            </w:tcBorders>
          </w:tcPr>
          <w:p>
            <w:pPr>
              <w:spacing w:after="0"/>
              <w:rPr>
                <w:sz w:val="19"/>
                <w:szCs w:val="19"/>
                <w:color w:val="auto"/>
              </w:rPr>
            </w:pPr>
          </w:p>
        </w:tc>
        <w:tc>
          <w:tcPr>
            <w:tcW w:w="2900" w:type="dxa"/>
            <w:vAlign w:val="bottom"/>
            <w:tcBorders>
              <w:bottom w:val="single" w:sz="8" w:color="808080"/>
            </w:tcBorders>
            <w:gridSpan w:val="2"/>
          </w:tcPr>
          <w:p>
            <w:pPr>
              <w:ind w:left="180"/>
              <w:spacing w:after="0"/>
              <w:rPr>
                <w:sz w:val="20"/>
                <w:szCs w:val="20"/>
                <w:color w:val="auto"/>
              </w:rPr>
            </w:pPr>
            <w:r>
              <w:rPr>
                <w:rFonts w:ascii="Arial" w:cs="Arial" w:eastAsia="Arial" w:hAnsi="Arial"/>
                <w:sz w:val="16"/>
                <w:szCs w:val="16"/>
                <w:color w:val="auto"/>
              </w:rPr>
              <w:t>Total adjustments</w:t>
            </w:r>
          </w:p>
        </w:tc>
        <w:tc>
          <w:tcPr>
            <w:tcW w:w="9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808080"/>
            </w:tcBorders>
          </w:tcPr>
          <w:p>
            <w:pPr>
              <w:jc w:val="right"/>
              <w:ind w:right="59"/>
              <w:spacing w:after="0"/>
              <w:rPr>
                <w:sz w:val="20"/>
                <w:szCs w:val="20"/>
                <w:color w:val="auto"/>
              </w:rPr>
            </w:pPr>
            <w:r>
              <w:rPr>
                <w:rFonts w:ascii="Arial" w:cs="Arial" w:eastAsia="Arial" w:hAnsi="Arial"/>
                <w:sz w:val="16"/>
                <w:szCs w:val="16"/>
                <w:color w:val="auto"/>
              </w:rPr>
              <w:t>(23,289)</w:t>
            </w:r>
          </w:p>
        </w:tc>
        <w:tc>
          <w:tcPr>
            <w:tcW w:w="110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jc w:val="right"/>
              <w:ind w:right="7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808080"/>
            </w:tcBorders>
          </w:tcPr>
          <w:p>
            <w:pPr>
              <w:jc w:val="right"/>
              <w:ind w:right="199"/>
              <w:spacing w:after="0"/>
              <w:rPr>
                <w:sz w:val="20"/>
                <w:szCs w:val="20"/>
                <w:color w:val="auto"/>
              </w:rPr>
            </w:pPr>
            <w:r>
              <w:rPr>
                <w:rFonts w:ascii="Arial" w:cs="Arial" w:eastAsia="Arial" w:hAnsi="Arial"/>
                <w:sz w:val="16"/>
                <w:szCs w:val="16"/>
                <w:color w:val="auto"/>
              </w:rPr>
              <w:t>107</w:t>
            </w:r>
          </w:p>
        </w:tc>
        <w:tc>
          <w:tcPr>
            <w:tcW w:w="1040" w:type="dxa"/>
            <w:vAlign w:val="bottom"/>
            <w:tcBorders>
              <w:bottom w:val="single" w:sz="8" w:color="808080"/>
              <w:right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476250</wp:posOffset>
            </wp:positionV>
            <wp:extent cx="7272020" cy="65989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659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CLEARONE INC.</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thousands, except per share value)</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RECONCILIATION OF GAAP TO NON-GAAP NET INCOME</w:t>
      </w:r>
    </w:p>
    <w:p>
      <w:pPr>
        <w:sectPr>
          <w:pgSz w:w="11900" w:h="16838" w:orient="portrait"/>
          <w:cols w:equalWidth="0" w:num="1">
            <w:col w:w="10139"/>
          </w:cols>
          <w:pgMar w:left="320" w:top="153" w:right="1440" w:bottom="0" w:gutter="0" w:footer="0" w:header="0"/>
        </w:sectPr>
      </w:pPr>
    </w:p>
    <w:p>
      <w:pPr>
        <w:spacing w:after="0" w:line="320" w:lineRule="exact"/>
        <w:rPr>
          <w:sz w:val="20"/>
          <w:szCs w:val="20"/>
          <w:color w:val="auto"/>
        </w:rPr>
      </w:pPr>
    </w:p>
    <w:p>
      <w:pPr>
        <w:ind w:left="4320"/>
        <w:spacing w:after="0"/>
        <w:rPr>
          <w:sz w:val="20"/>
          <w:szCs w:val="20"/>
          <w:color w:val="auto"/>
        </w:rPr>
      </w:pPr>
      <w:r>
        <w:rPr>
          <w:rFonts w:ascii="Arial" w:cs="Arial" w:eastAsia="Arial" w:hAnsi="Arial"/>
          <w:sz w:val="14"/>
          <w:szCs w:val="14"/>
          <w:b w:val="1"/>
          <w:bCs w:val="1"/>
          <w:color w:val="auto"/>
        </w:rPr>
        <w:t>Year ended December 31, 2012</w:t>
      </w:r>
    </w:p>
    <w:p>
      <w:pPr>
        <w:spacing w:after="0" w:line="69" w:lineRule="exact"/>
        <w:rPr>
          <w:sz w:val="20"/>
          <w:szCs w:val="20"/>
          <w:color w:val="auto"/>
        </w:rPr>
      </w:pPr>
    </w:p>
    <w:p>
      <w:pPr>
        <w:ind w:left="4040"/>
        <w:spacing w:after="0"/>
        <w:tabs>
          <w:tab w:leader="none" w:pos="4820" w:val="left"/>
          <w:tab w:leader="none" w:pos="5880" w:val="left"/>
        </w:tabs>
        <w:rPr>
          <w:sz w:val="20"/>
          <w:szCs w:val="20"/>
          <w:color w:val="auto"/>
        </w:rPr>
      </w:pPr>
      <w:r>
        <w:rPr>
          <w:rFonts w:ascii="Arial" w:cs="Arial" w:eastAsia="Arial" w:hAnsi="Arial"/>
          <w:sz w:val="14"/>
          <w:szCs w:val="14"/>
          <w:b w:val="1"/>
          <w:bCs w:val="1"/>
          <w:color w:val="auto"/>
        </w:rPr>
        <w:t>GAAP</w:t>
      </w:r>
      <w:r>
        <w:rPr>
          <w:sz w:val="20"/>
          <w:szCs w:val="20"/>
          <w:color w:val="auto"/>
        </w:rPr>
        <w:tab/>
      </w:r>
      <w:r>
        <w:rPr>
          <w:rFonts w:ascii="Arial" w:cs="Arial" w:eastAsia="Arial" w:hAnsi="Arial"/>
          <w:sz w:val="14"/>
          <w:szCs w:val="14"/>
          <w:b w:val="1"/>
          <w:bCs w:val="1"/>
          <w:color w:val="auto"/>
        </w:rPr>
        <w:t>Adjustments</w:t>
      </w:r>
      <w:r>
        <w:rPr>
          <w:sz w:val="20"/>
          <w:szCs w:val="20"/>
          <w:color w:val="auto"/>
        </w:rPr>
        <w:tab/>
      </w:r>
      <w:r>
        <w:rPr>
          <w:rFonts w:ascii="Arial" w:cs="Arial" w:eastAsia="Arial" w:hAnsi="Arial"/>
          <w:sz w:val="13"/>
          <w:szCs w:val="13"/>
          <w:b w:val="1"/>
          <w:bCs w:val="1"/>
          <w:color w:val="auto"/>
        </w:rPr>
        <w:t>Non-GAAP</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Year ended December 31, 2011</w:t>
      </w:r>
    </w:p>
    <w:p>
      <w:pPr>
        <w:spacing w:after="0" w:line="69" w:lineRule="exact"/>
        <w:rPr>
          <w:sz w:val="20"/>
          <w:szCs w:val="20"/>
          <w:color w:val="auto"/>
        </w:rPr>
      </w:pPr>
    </w:p>
    <w:p>
      <w:pPr>
        <w:spacing w:after="0"/>
        <w:tabs>
          <w:tab w:leader="none" w:pos="800" w:val="left"/>
          <w:tab w:leader="none" w:pos="1860" w:val="left"/>
        </w:tabs>
        <w:rPr>
          <w:sz w:val="20"/>
          <w:szCs w:val="20"/>
          <w:color w:val="auto"/>
        </w:rPr>
      </w:pPr>
      <w:r>
        <w:rPr>
          <w:rFonts w:ascii="Arial" w:cs="Arial" w:eastAsia="Arial" w:hAnsi="Arial"/>
          <w:sz w:val="14"/>
          <w:szCs w:val="14"/>
          <w:b w:val="1"/>
          <w:bCs w:val="1"/>
          <w:color w:val="auto"/>
        </w:rPr>
        <w:t>GAAP</w:t>
      </w:r>
      <w:r>
        <w:rPr>
          <w:sz w:val="20"/>
          <w:szCs w:val="20"/>
          <w:color w:val="auto"/>
        </w:rPr>
        <w:tab/>
      </w:r>
      <w:r>
        <w:rPr>
          <w:rFonts w:ascii="Arial" w:cs="Arial" w:eastAsia="Arial" w:hAnsi="Arial"/>
          <w:sz w:val="14"/>
          <w:szCs w:val="14"/>
          <w:b w:val="1"/>
          <w:bCs w:val="1"/>
          <w:color w:val="auto"/>
        </w:rPr>
        <w:t>Adjustments</w:t>
      </w:r>
      <w:r>
        <w:rPr>
          <w:sz w:val="20"/>
          <w:szCs w:val="20"/>
          <w:color w:val="auto"/>
        </w:rPr>
        <w:tab/>
      </w:r>
      <w:r>
        <w:rPr>
          <w:rFonts w:ascii="Arial" w:cs="Arial" w:eastAsia="Arial" w:hAnsi="Arial"/>
          <w:sz w:val="13"/>
          <w:szCs w:val="13"/>
          <w:b w:val="1"/>
          <w:bCs w:val="1"/>
          <w:color w:val="auto"/>
        </w:rPr>
        <w:t>Non-GAAP</w:t>
      </w:r>
    </w:p>
    <w:p>
      <w:pPr>
        <w:spacing w:after="0" w:line="10" w:lineRule="exact"/>
        <w:rPr>
          <w:sz w:val="20"/>
          <w:szCs w:val="20"/>
          <w:color w:val="auto"/>
        </w:rPr>
      </w:pPr>
    </w:p>
    <w:p>
      <w:pPr>
        <w:sectPr>
          <w:pgSz w:w="11900" w:h="16838" w:orient="portrait"/>
          <w:cols w:equalWidth="0" w:num="2">
            <w:col w:w="6620" w:space="720"/>
            <w:col w:w="2799"/>
          </w:cols>
          <w:pgMar w:left="320" w:top="153" w:right="1440" w:bottom="0" w:gutter="0" w:footer="0" w:header="0"/>
          <w:type w:val="continuous"/>
        </w:sectPr>
      </w:pPr>
    </w:p>
    <w:tbl>
      <w:tblPr>
        <w:tblLayout w:type="fixed"/>
        <w:tblInd w:w="140" w:type="dxa"/>
        <w:tblCellMar>
          <w:top w:w="0" w:type="dxa"/>
          <w:left w:w="0" w:type="dxa"/>
          <w:bottom w:w="0" w:type="dxa"/>
          <w:right w:w="0" w:type="dxa"/>
        </w:tblCellMar>
      </w:tblPr>
      <w:tr>
        <w:trPr>
          <w:trHeight w:val="186"/>
        </w:trPr>
        <w:tc>
          <w:tcPr>
            <w:tcW w:w="36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r>
      <w:tr>
        <w:trPr>
          <w:trHeight w:val="206"/>
        </w:trPr>
        <w:tc>
          <w:tcPr>
            <w:tcW w:w="3620" w:type="dxa"/>
            <w:vAlign w:val="bottom"/>
          </w:tcPr>
          <w:p>
            <w:pPr>
              <w:spacing w:after="0"/>
              <w:rPr>
                <w:sz w:val="20"/>
                <w:szCs w:val="20"/>
                <w:color w:val="auto"/>
              </w:rPr>
            </w:pPr>
            <w:r>
              <w:rPr>
                <w:rFonts w:ascii="Arial" w:cs="Arial" w:eastAsia="Arial" w:hAnsi="Arial"/>
                <w:sz w:val="16"/>
                <w:szCs w:val="16"/>
                <w:color w:val="auto"/>
              </w:rPr>
              <w:t>Revenue</w:t>
            </w:r>
          </w:p>
        </w:tc>
        <w:tc>
          <w:tcPr>
            <w:tcW w:w="260" w:type="dxa"/>
            <w:vAlign w:val="bottom"/>
          </w:tcPr>
          <w:p>
            <w:pPr>
              <w:ind w:left="10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46,417</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ind w:left="120"/>
              <w:spacing w:after="0"/>
              <w:rPr>
                <w:sz w:val="20"/>
                <w:szCs w:val="20"/>
                <w:color w:val="auto"/>
              </w:rPr>
            </w:pPr>
            <w:r>
              <w:rPr>
                <w:rFonts w:ascii="Arial" w:cs="Arial" w:eastAsia="Arial" w:hAnsi="Arial"/>
                <w:sz w:val="16"/>
                <w:szCs w:val="16"/>
                <w:color w:val="auto"/>
              </w:rPr>
              <w:t>46,417</w:t>
            </w:r>
          </w:p>
        </w:tc>
        <w:tc>
          <w:tcPr>
            <w:tcW w:w="320" w:type="dxa"/>
            <w:vAlign w:val="bottom"/>
          </w:tcPr>
          <w:p>
            <w:pPr>
              <w:spacing w:after="0"/>
              <w:rPr>
                <w:sz w:val="17"/>
                <w:szCs w:val="17"/>
                <w:color w:val="auto"/>
              </w:rPr>
            </w:pPr>
          </w:p>
        </w:tc>
        <w:tc>
          <w:tcPr>
            <w:tcW w:w="260" w:type="dxa"/>
            <w:vAlign w:val="bottom"/>
          </w:tcPr>
          <w:p>
            <w:pPr>
              <w:ind w:left="10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46,067</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ind w:left="160"/>
              <w:spacing w:after="0"/>
              <w:rPr>
                <w:sz w:val="20"/>
                <w:szCs w:val="20"/>
                <w:color w:val="auto"/>
              </w:rPr>
            </w:pPr>
            <w:r>
              <w:rPr>
                <w:rFonts w:ascii="Arial" w:cs="Arial" w:eastAsia="Arial" w:hAnsi="Arial"/>
                <w:sz w:val="16"/>
                <w:szCs w:val="16"/>
                <w:color w:val="auto"/>
              </w:rPr>
              <w:t>46,067</w:t>
            </w:r>
          </w:p>
        </w:tc>
        <w:tc>
          <w:tcPr>
            <w:tcW w:w="40" w:type="dxa"/>
            <w:vAlign w:val="bottom"/>
          </w:tcPr>
          <w:p>
            <w:pPr>
              <w:spacing w:after="0"/>
              <w:rPr>
                <w:sz w:val="17"/>
                <w:szCs w:val="17"/>
                <w:color w:val="auto"/>
              </w:rPr>
            </w:pPr>
          </w:p>
        </w:tc>
      </w:tr>
      <w:tr>
        <w:trPr>
          <w:trHeight w:val="408"/>
        </w:trPr>
        <w:tc>
          <w:tcPr>
            <w:tcW w:w="3620" w:type="dxa"/>
            <w:vAlign w:val="bottom"/>
          </w:tcPr>
          <w:p>
            <w:pPr>
              <w:spacing w:after="0"/>
              <w:rPr>
                <w:sz w:val="20"/>
                <w:szCs w:val="20"/>
                <w:color w:val="auto"/>
              </w:rPr>
            </w:pPr>
            <w:r>
              <w:rPr>
                <w:rFonts w:ascii="Arial" w:cs="Arial" w:eastAsia="Arial" w:hAnsi="Arial"/>
                <w:sz w:val="16"/>
                <w:szCs w:val="16"/>
                <w:color w:val="auto"/>
              </w:rPr>
              <w:t>Cost of goods sold</w:t>
            </w: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19,089</w:t>
            </w: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w:t>
            </w: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19,083</w:t>
            </w:r>
          </w:p>
        </w:tc>
        <w:tc>
          <w:tcPr>
            <w:tcW w:w="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18,522</w:t>
            </w: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(43)</w:t>
            </w: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18,479</w:t>
            </w:r>
          </w:p>
        </w:tc>
        <w:tc>
          <w:tcPr>
            <w:tcW w:w="40" w:type="dxa"/>
            <w:vAlign w:val="bottom"/>
          </w:tcPr>
          <w:p>
            <w:pPr>
              <w:spacing w:after="0"/>
              <w:rPr>
                <w:sz w:val="24"/>
                <w:szCs w:val="24"/>
                <w:color w:val="auto"/>
              </w:rPr>
            </w:pPr>
          </w:p>
        </w:tc>
      </w:tr>
      <w:tr>
        <w:trPr>
          <w:trHeight w:val="396"/>
        </w:trPr>
        <w:tc>
          <w:tcPr>
            <w:tcW w:w="3620" w:type="dxa"/>
            <w:vAlign w:val="bottom"/>
          </w:tcPr>
          <w:p>
            <w:pPr>
              <w:spacing w:after="0"/>
              <w:rPr>
                <w:sz w:val="20"/>
                <w:szCs w:val="20"/>
                <w:color w:val="auto"/>
              </w:rPr>
            </w:pPr>
            <w:r>
              <w:rPr>
                <w:rFonts w:ascii="Arial" w:cs="Arial" w:eastAsia="Arial" w:hAnsi="Arial"/>
                <w:sz w:val="16"/>
                <w:szCs w:val="16"/>
                <w:color w:val="auto"/>
              </w:rPr>
              <w:t>Gross profit</w:t>
            </w: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27,328</w:t>
            </w: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w:t>
            </w: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27,334</w:t>
            </w:r>
          </w:p>
        </w:tc>
        <w:tc>
          <w:tcPr>
            <w:tcW w:w="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27,545</w:t>
            </w: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43</w:t>
            </w: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27,588</w:t>
            </w:r>
          </w:p>
        </w:tc>
        <w:tc>
          <w:tcPr>
            <w:tcW w:w="40" w:type="dxa"/>
            <w:vAlign w:val="bottom"/>
          </w:tcPr>
          <w:p>
            <w:pPr>
              <w:spacing w:after="0"/>
              <w:rPr>
                <w:sz w:val="24"/>
                <w:szCs w:val="24"/>
                <w:color w:val="auto"/>
              </w:rPr>
            </w:pPr>
          </w:p>
        </w:tc>
      </w:tr>
      <w:tr>
        <w:trPr>
          <w:trHeight w:val="439"/>
        </w:trPr>
        <w:tc>
          <w:tcPr>
            <w:tcW w:w="3620" w:type="dxa"/>
            <w:vAlign w:val="bottom"/>
          </w:tcPr>
          <w:p>
            <w:pPr>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05"/>
        </w:trPr>
        <w:tc>
          <w:tcPr>
            <w:tcW w:w="3620" w:type="dxa"/>
            <w:vAlign w:val="bottom"/>
          </w:tcPr>
          <w:p>
            <w:pPr>
              <w:spacing w:after="0"/>
              <w:rPr>
                <w:sz w:val="20"/>
                <w:szCs w:val="20"/>
                <w:color w:val="auto"/>
              </w:rPr>
            </w:pPr>
            <w:r>
              <w:rPr>
                <w:rFonts w:ascii="Arial" w:cs="Arial" w:eastAsia="Arial" w:hAnsi="Arial"/>
                <w:sz w:val="16"/>
                <w:szCs w:val="16"/>
                <w:color w:val="auto"/>
              </w:rPr>
              <w:t>Sales and marketing</w:t>
            </w:r>
          </w:p>
        </w:tc>
        <w:tc>
          <w:tcPr>
            <w:tcW w:w="260" w:type="dxa"/>
            <w:vAlign w:val="bottom"/>
          </w:tcPr>
          <w:p>
            <w:pPr>
              <w:spacing w:after="0"/>
              <w:rPr>
                <w:sz w:val="24"/>
                <w:szCs w:val="24"/>
                <w:color w:val="auto"/>
              </w:rPr>
            </w:pP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8,112</w:t>
            </w:r>
          </w:p>
        </w:tc>
        <w:tc>
          <w:tcPr>
            <w:tcW w:w="300" w:type="dxa"/>
            <w:vAlign w:val="bottom"/>
          </w:tcPr>
          <w:p>
            <w:pPr>
              <w:spacing w:after="0"/>
              <w:rPr>
                <w:sz w:val="24"/>
                <w:szCs w:val="24"/>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(58)</w:t>
            </w:r>
          </w:p>
        </w:tc>
        <w:tc>
          <w:tcPr>
            <w:tcW w:w="1020" w:type="dxa"/>
            <w:vAlign w:val="bottom"/>
          </w:tcPr>
          <w:p>
            <w:pPr>
              <w:ind w:left="120"/>
              <w:spacing w:after="0"/>
              <w:rPr>
                <w:sz w:val="20"/>
                <w:szCs w:val="20"/>
                <w:color w:val="auto"/>
              </w:rPr>
            </w:pPr>
            <w:r>
              <w:rPr>
                <w:rFonts w:ascii="Arial" w:cs="Arial" w:eastAsia="Arial" w:hAnsi="Arial"/>
                <w:sz w:val="16"/>
                <w:szCs w:val="16"/>
                <w:color w:val="auto"/>
              </w:rPr>
              <w:t>8,054</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8,120</w:t>
            </w:r>
          </w:p>
        </w:tc>
        <w:tc>
          <w:tcPr>
            <w:tcW w:w="320" w:type="dxa"/>
            <w:vAlign w:val="bottom"/>
          </w:tcPr>
          <w:p>
            <w:pPr>
              <w:spacing w:after="0"/>
              <w:rPr>
                <w:sz w:val="24"/>
                <w:szCs w:val="24"/>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(25)</w:t>
            </w:r>
          </w:p>
        </w:tc>
        <w:tc>
          <w:tcPr>
            <w:tcW w:w="1040" w:type="dxa"/>
            <w:vAlign w:val="bottom"/>
          </w:tcPr>
          <w:p>
            <w:pPr>
              <w:ind w:left="160"/>
              <w:spacing w:after="0"/>
              <w:rPr>
                <w:sz w:val="20"/>
                <w:szCs w:val="20"/>
                <w:color w:val="auto"/>
              </w:rPr>
            </w:pPr>
            <w:r>
              <w:rPr>
                <w:rFonts w:ascii="Arial" w:cs="Arial" w:eastAsia="Arial" w:hAnsi="Arial"/>
                <w:sz w:val="16"/>
                <w:szCs w:val="16"/>
                <w:color w:val="auto"/>
              </w:rPr>
              <w:t>8,095</w:t>
            </w:r>
          </w:p>
        </w:tc>
        <w:tc>
          <w:tcPr>
            <w:tcW w:w="40" w:type="dxa"/>
            <w:vAlign w:val="bottom"/>
          </w:tcPr>
          <w:p>
            <w:pPr>
              <w:spacing w:after="0"/>
              <w:rPr>
                <w:sz w:val="24"/>
                <w:szCs w:val="24"/>
                <w:color w:val="auto"/>
              </w:rPr>
            </w:pPr>
          </w:p>
        </w:tc>
      </w:tr>
      <w:tr>
        <w:trPr>
          <w:trHeight w:val="405"/>
        </w:trPr>
        <w:tc>
          <w:tcPr>
            <w:tcW w:w="3620" w:type="dxa"/>
            <w:vAlign w:val="bottom"/>
          </w:tcPr>
          <w:p>
            <w:pPr>
              <w:spacing w:after="0"/>
              <w:rPr>
                <w:sz w:val="20"/>
                <w:szCs w:val="20"/>
                <w:color w:val="auto"/>
              </w:rPr>
            </w:pPr>
            <w:r>
              <w:rPr>
                <w:rFonts w:ascii="Arial" w:cs="Arial" w:eastAsia="Arial" w:hAnsi="Arial"/>
                <w:sz w:val="16"/>
                <w:szCs w:val="16"/>
                <w:color w:val="auto"/>
              </w:rPr>
              <w:t>Research and product development</w:t>
            </w:r>
          </w:p>
        </w:tc>
        <w:tc>
          <w:tcPr>
            <w:tcW w:w="260" w:type="dxa"/>
            <w:vAlign w:val="bottom"/>
          </w:tcPr>
          <w:p>
            <w:pPr>
              <w:spacing w:after="0"/>
              <w:rPr>
                <w:sz w:val="24"/>
                <w:szCs w:val="24"/>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8,261</w:t>
            </w:r>
          </w:p>
        </w:tc>
        <w:tc>
          <w:tcPr>
            <w:tcW w:w="300" w:type="dxa"/>
            <w:vAlign w:val="bottom"/>
          </w:tcPr>
          <w:p>
            <w:pPr>
              <w:spacing w:after="0"/>
              <w:rPr>
                <w:sz w:val="24"/>
                <w:szCs w:val="24"/>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(37)</w:t>
            </w:r>
          </w:p>
        </w:tc>
        <w:tc>
          <w:tcPr>
            <w:tcW w:w="1020" w:type="dxa"/>
            <w:vAlign w:val="bottom"/>
          </w:tcPr>
          <w:p>
            <w:pPr>
              <w:ind w:left="120"/>
              <w:spacing w:after="0"/>
              <w:rPr>
                <w:sz w:val="20"/>
                <w:szCs w:val="20"/>
                <w:color w:val="auto"/>
              </w:rPr>
            </w:pPr>
            <w:r>
              <w:rPr>
                <w:rFonts w:ascii="Arial" w:cs="Arial" w:eastAsia="Arial" w:hAnsi="Arial"/>
                <w:sz w:val="16"/>
                <w:szCs w:val="16"/>
                <w:color w:val="auto"/>
              </w:rPr>
              <w:t>8,224</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7,128</w:t>
            </w:r>
          </w:p>
        </w:tc>
        <w:tc>
          <w:tcPr>
            <w:tcW w:w="320" w:type="dxa"/>
            <w:vAlign w:val="bottom"/>
          </w:tcPr>
          <w:p>
            <w:pPr>
              <w:spacing w:after="0"/>
              <w:rPr>
                <w:sz w:val="24"/>
                <w:szCs w:val="24"/>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(18)</w:t>
            </w:r>
          </w:p>
        </w:tc>
        <w:tc>
          <w:tcPr>
            <w:tcW w:w="1040" w:type="dxa"/>
            <w:vAlign w:val="bottom"/>
          </w:tcPr>
          <w:p>
            <w:pPr>
              <w:ind w:left="160"/>
              <w:spacing w:after="0"/>
              <w:rPr>
                <w:sz w:val="20"/>
                <w:szCs w:val="20"/>
                <w:color w:val="auto"/>
              </w:rPr>
            </w:pPr>
            <w:r>
              <w:rPr>
                <w:rFonts w:ascii="Arial" w:cs="Arial" w:eastAsia="Arial" w:hAnsi="Arial"/>
                <w:sz w:val="16"/>
                <w:szCs w:val="16"/>
                <w:color w:val="auto"/>
              </w:rPr>
              <w:t>7,110</w:t>
            </w:r>
          </w:p>
        </w:tc>
        <w:tc>
          <w:tcPr>
            <w:tcW w:w="40" w:type="dxa"/>
            <w:vAlign w:val="bottom"/>
          </w:tcPr>
          <w:p>
            <w:pPr>
              <w:spacing w:after="0"/>
              <w:rPr>
                <w:sz w:val="24"/>
                <w:szCs w:val="24"/>
                <w:color w:val="auto"/>
              </w:rPr>
            </w:pPr>
          </w:p>
        </w:tc>
      </w:tr>
      <w:tr>
        <w:trPr>
          <w:trHeight w:val="405"/>
        </w:trPr>
        <w:tc>
          <w:tcPr>
            <w:tcW w:w="362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260" w:type="dxa"/>
            <w:vAlign w:val="bottom"/>
          </w:tcPr>
          <w:p>
            <w:pPr>
              <w:spacing w:after="0"/>
              <w:rPr>
                <w:sz w:val="24"/>
                <w:szCs w:val="24"/>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6,934</w:t>
            </w:r>
          </w:p>
        </w:tc>
        <w:tc>
          <w:tcPr>
            <w:tcW w:w="300" w:type="dxa"/>
            <w:vAlign w:val="bottom"/>
          </w:tcPr>
          <w:p>
            <w:pPr>
              <w:spacing w:after="0"/>
              <w:rPr>
                <w:sz w:val="24"/>
                <w:szCs w:val="24"/>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(2,670)</w:t>
            </w:r>
          </w:p>
        </w:tc>
        <w:tc>
          <w:tcPr>
            <w:tcW w:w="1020" w:type="dxa"/>
            <w:vAlign w:val="bottom"/>
          </w:tcPr>
          <w:p>
            <w:pPr>
              <w:ind w:left="120"/>
              <w:spacing w:after="0"/>
              <w:rPr>
                <w:sz w:val="20"/>
                <w:szCs w:val="20"/>
                <w:color w:val="auto"/>
              </w:rPr>
            </w:pPr>
            <w:r>
              <w:rPr>
                <w:rFonts w:ascii="Arial" w:cs="Arial" w:eastAsia="Arial" w:hAnsi="Arial"/>
                <w:sz w:val="16"/>
                <w:szCs w:val="16"/>
                <w:color w:val="auto"/>
              </w:rPr>
              <w:t>4,264</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5,427</w:t>
            </w:r>
          </w:p>
        </w:tc>
        <w:tc>
          <w:tcPr>
            <w:tcW w:w="320" w:type="dxa"/>
            <w:vAlign w:val="bottom"/>
          </w:tcPr>
          <w:p>
            <w:pPr>
              <w:spacing w:after="0"/>
              <w:rPr>
                <w:sz w:val="24"/>
                <w:szCs w:val="24"/>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w w:val="98"/>
              </w:rPr>
              <w:t>(1,207)</w:t>
            </w:r>
          </w:p>
        </w:tc>
        <w:tc>
          <w:tcPr>
            <w:tcW w:w="1040" w:type="dxa"/>
            <w:vAlign w:val="bottom"/>
          </w:tcPr>
          <w:p>
            <w:pPr>
              <w:ind w:left="160"/>
              <w:spacing w:after="0"/>
              <w:rPr>
                <w:sz w:val="20"/>
                <w:szCs w:val="20"/>
                <w:color w:val="auto"/>
              </w:rPr>
            </w:pPr>
            <w:r>
              <w:rPr>
                <w:rFonts w:ascii="Arial" w:cs="Arial" w:eastAsia="Arial" w:hAnsi="Arial"/>
                <w:sz w:val="16"/>
                <w:szCs w:val="16"/>
                <w:color w:val="auto"/>
              </w:rPr>
              <w:t>4,220</w:t>
            </w:r>
          </w:p>
        </w:tc>
        <w:tc>
          <w:tcPr>
            <w:tcW w:w="40" w:type="dxa"/>
            <w:vAlign w:val="bottom"/>
          </w:tcPr>
          <w:p>
            <w:pPr>
              <w:spacing w:after="0"/>
              <w:rPr>
                <w:sz w:val="24"/>
                <w:szCs w:val="24"/>
                <w:color w:val="auto"/>
              </w:rPr>
            </w:pPr>
          </w:p>
        </w:tc>
      </w:tr>
      <w:tr>
        <w:trPr>
          <w:trHeight w:val="408"/>
        </w:trPr>
        <w:tc>
          <w:tcPr>
            <w:tcW w:w="3620" w:type="dxa"/>
            <w:vAlign w:val="bottom"/>
          </w:tcPr>
          <w:p>
            <w:pPr>
              <w:spacing w:after="0"/>
              <w:rPr>
                <w:sz w:val="20"/>
                <w:szCs w:val="20"/>
                <w:color w:val="auto"/>
              </w:rPr>
            </w:pPr>
            <w:r>
              <w:rPr>
                <w:rFonts w:ascii="Arial" w:cs="Arial" w:eastAsia="Arial" w:hAnsi="Arial"/>
                <w:sz w:val="16"/>
                <w:szCs w:val="16"/>
                <w:color w:val="auto"/>
              </w:rPr>
              <w:t>Proceeds from litigation</w:t>
            </w: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rPr>
              <w:t>(38,500)</w:t>
            </w: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38,500</w:t>
            </w:r>
          </w:p>
        </w:tc>
        <w:tc>
          <w:tcPr>
            <w:tcW w:w="1020" w:type="dxa"/>
            <w:vAlign w:val="bottom"/>
            <w:tcBorders>
              <w:bottom w:val="single" w:sz="8" w:color="auto"/>
            </w:tcBorders>
          </w:tcPr>
          <w:p>
            <w:pPr>
              <w:ind w:left="8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rPr>
              <w:t>(3,702)</w:t>
            </w: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3,702</w:t>
            </w:r>
          </w:p>
        </w:tc>
        <w:tc>
          <w:tcPr>
            <w:tcW w:w="1040" w:type="dxa"/>
            <w:vAlign w:val="bottom"/>
            <w:tcBorders>
              <w:bottom w:val="single" w:sz="8" w:color="auto"/>
            </w:tcBorders>
          </w:tcPr>
          <w:p>
            <w:pPr>
              <w:ind w:left="8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4"/>
                <w:szCs w:val="24"/>
                <w:color w:val="auto"/>
              </w:rPr>
            </w:pPr>
          </w:p>
        </w:tc>
      </w:tr>
      <w:tr>
        <w:trPr>
          <w:trHeight w:val="399"/>
        </w:trPr>
        <w:tc>
          <w:tcPr>
            <w:tcW w:w="3620" w:type="dxa"/>
            <w:vAlign w:val="bottom"/>
          </w:tcPr>
          <w:p>
            <w:pPr>
              <w:spacing w:after="0"/>
              <w:rPr>
                <w:sz w:val="20"/>
                <w:szCs w:val="20"/>
                <w:color w:val="auto"/>
              </w:rPr>
            </w:pPr>
            <w:r>
              <w:rPr>
                <w:rFonts w:ascii="Arial" w:cs="Arial" w:eastAsia="Arial" w:hAnsi="Arial"/>
                <w:sz w:val="16"/>
                <w:szCs w:val="16"/>
                <w:color w:val="auto"/>
              </w:rPr>
              <w:t>Total operating expenses</w:t>
            </w: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rPr>
              <w:t>(15,193)</w:t>
            </w: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35,735</w:t>
            </w: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20,542</w:t>
            </w:r>
          </w:p>
        </w:tc>
        <w:tc>
          <w:tcPr>
            <w:tcW w:w="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16,973</w:t>
            </w: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2,452</w:t>
            </w: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19,425</w:t>
            </w:r>
          </w:p>
        </w:tc>
        <w:tc>
          <w:tcPr>
            <w:tcW w:w="40" w:type="dxa"/>
            <w:vAlign w:val="bottom"/>
          </w:tcPr>
          <w:p>
            <w:pPr>
              <w:spacing w:after="0"/>
              <w:rPr>
                <w:sz w:val="24"/>
                <w:szCs w:val="24"/>
                <w:color w:val="auto"/>
              </w:rPr>
            </w:pPr>
          </w:p>
        </w:tc>
      </w:tr>
      <w:tr>
        <w:trPr>
          <w:trHeight w:val="612"/>
        </w:trPr>
        <w:tc>
          <w:tcPr>
            <w:tcW w:w="3620" w:type="dxa"/>
            <w:vAlign w:val="bottom"/>
          </w:tcPr>
          <w:p>
            <w:pPr>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24"/>
                <w:szCs w:val="24"/>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42,521</w:t>
            </w:r>
          </w:p>
        </w:tc>
        <w:tc>
          <w:tcPr>
            <w:tcW w:w="300" w:type="dxa"/>
            <w:vAlign w:val="bottom"/>
          </w:tcPr>
          <w:p>
            <w:pPr>
              <w:spacing w:after="0"/>
              <w:rPr>
                <w:sz w:val="24"/>
                <w:szCs w:val="24"/>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w w:val="93"/>
              </w:rPr>
              <w:t>(35,729)</w:t>
            </w:r>
          </w:p>
        </w:tc>
        <w:tc>
          <w:tcPr>
            <w:tcW w:w="1020" w:type="dxa"/>
            <w:vAlign w:val="bottom"/>
          </w:tcPr>
          <w:p>
            <w:pPr>
              <w:ind w:left="120"/>
              <w:spacing w:after="0"/>
              <w:rPr>
                <w:sz w:val="20"/>
                <w:szCs w:val="20"/>
                <w:color w:val="auto"/>
              </w:rPr>
            </w:pPr>
            <w:r>
              <w:rPr>
                <w:rFonts w:ascii="Arial" w:cs="Arial" w:eastAsia="Arial" w:hAnsi="Arial"/>
                <w:sz w:val="16"/>
                <w:szCs w:val="16"/>
                <w:color w:val="auto"/>
              </w:rPr>
              <w:t>6,792</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10,572</w:t>
            </w:r>
          </w:p>
        </w:tc>
        <w:tc>
          <w:tcPr>
            <w:tcW w:w="320" w:type="dxa"/>
            <w:vAlign w:val="bottom"/>
          </w:tcPr>
          <w:p>
            <w:pPr>
              <w:spacing w:after="0"/>
              <w:rPr>
                <w:sz w:val="24"/>
                <w:szCs w:val="24"/>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w w:val="98"/>
              </w:rPr>
              <w:t>(2,409)</w:t>
            </w:r>
          </w:p>
        </w:tc>
        <w:tc>
          <w:tcPr>
            <w:tcW w:w="1040" w:type="dxa"/>
            <w:vAlign w:val="bottom"/>
          </w:tcPr>
          <w:p>
            <w:pPr>
              <w:ind w:left="160"/>
              <w:spacing w:after="0"/>
              <w:rPr>
                <w:sz w:val="20"/>
                <w:szCs w:val="20"/>
                <w:color w:val="auto"/>
              </w:rPr>
            </w:pPr>
            <w:r>
              <w:rPr>
                <w:rFonts w:ascii="Arial" w:cs="Arial" w:eastAsia="Arial" w:hAnsi="Arial"/>
                <w:sz w:val="16"/>
                <w:szCs w:val="16"/>
                <w:color w:val="auto"/>
              </w:rPr>
              <w:t>8,163</w:t>
            </w:r>
          </w:p>
        </w:tc>
        <w:tc>
          <w:tcPr>
            <w:tcW w:w="40" w:type="dxa"/>
            <w:vAlign w:val="bottom"/>
          </w:tcPr>
          <w:p>
            <w:pPr>
              <w:spacing w:after="0"/>
              <w:rPr>
                <w:sz w:val="24"/>
                <w:szCs w:val="24"/>
                <w:color w:val="auto"/>
              </w:rPr>
            </w:pPr>
          </w:p>
        </w:tc>
      </w:tr>
      <w:tr>
        <w:trPr>
          <w:trHeight w:val="408"/>
        </w:trPr>
        <w:tc>
          <w:tcPr>
            <w:tcW w:w="362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34</w:t>
            </w: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34</w:t>
            </w:r>
          </w:p>
        </w:tc>
        <w:tc>
          <w:tcPr>
            <w:tcW w:w="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24</w:t>
            </w: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24</w:t>
            </w:r>
          </w:p>
        </w:tc>
        <w:tc>
          <w:tcPr>
            <w:tcW w:w="40" w:type="dxa"/>
            <w:vAlign w:val="bottom"/>
          </w:tcPr>
          <w:p>
            <w:pPr>
              <w:spacing w:after="0"/>
              <w:rPr>
                <w:sz w:val="24"/>
                <w:szCs w:val="24"/>
                <w:color w:val="auto"/>
              </w:rPr>
            </w:pPr>
          </w:p>
        </w:tc>
      </w:tr>
      <w:tr>
        <w:trPr>
          <w:trHeight w:val="396"/>
        </w:trPr>
        <w:tc>
          <w:tcPr>
            <w:tcW w:w="362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260" w:type="dxa"/>
            <w:vAlign w:val="bottom"/>
          </w:tcPr>
          <w:p>
            <w:pPr>
              <w:spacing w:after="0"/>
              <w:rPr>
                <w:sz w:val="24"/>
                <w:szCs w:val="24"/>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42,555</w:t>
            </w:r>
          </w:p>
        </w:tc>
        <w:tc>
          <w:tcPr>
            <w:tcW w:w="300" w:type="dxa"/>
            <w:vAlign w:val="bottom"/>
          </w:tcPr>
          <w:p>
            <w:pPr>
              <w:spacing w:after="0"/>
              <w:rPr>
                <w:sz w:val="24"/>
                <w:szCs w:val="24"/>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w w:val="93"/>
              </w:rPr>
              <w:t>(35,729)</w:t>
            </w:r>
          </w:p>
        </w:tc>
        <w:tc>
          <w:tcPr>
            <w:tcW w:w="1020" w:type="dxa"/>
            <w:vAlign w:val="bottom"/>
          </w:tcPr>
          <w:p>
            <w:pPr>
              <w:ind w:left="120"/>
              <w:spacing w:after="0"/>
              <w:rPr>
                <w:sz w:val="20"/>
                <w:szCs w:val="20"/>
                <w:color w:val="auto"/>
              </w:rPr>
            </w:pPr>
            <w:r>
              <w:rPr>
                <w:rFonts w:ascii="Arial" w:cs="Arial" w:eastAsia="Arial" w:hAnsi="Arial"/>
                <w:sz w:val="16"/>
                <w:szCs w:val="16"/>
                <w:color w:val="auto"/>
              </w:rPr>
              <w:t>6,826</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10,596</w:t>
            </w:r>
          </w:p>
        </w:tc>
        <w:tc>
          <w:tcPr>
            <w:tcW w:w="320" w:type="dxa"/>
            <w:vAlign w:val="bottom"/>
          </w:tcPr>
          <w:p>
            <w:pPr>
              <w:spacing w:after="0"/>
              <w:rPr>
                <w:sz w:val="24"/>
                <w:szCs w:val="24"/>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w w:val="98"/>
              </w:rPr>
              <w:t>(2,409)</w:t>
            </w:r>
          </w:p>
        </w:tc>
        <w:tc>
          <w:tcPr>
            <w:tcW w:w="1040" w:type="dxa"/>
            <w:vAlign w:val="bottom"/>
          </w:tcPr>
          <w:p>
            <w:pPr>
              <w:ind w:left="160"/>
              <w:spacing w:after="0"/>
              <w:rPr>
                <w:sz w:val="20"/>
                <w:szCs w:val="20"/>
                <w:color w:val="auto"/>
              </w:rPr>
            </w:pPr>
            <w:r>
              <w:rPr>
                <w:rFonts w:ascii="Arial" w:cs="Arial" w:eastAsia="Arial" w:hAnsi="Arial"/>
                <w:sz w:val="16"/>
                <w:szCs w:val="16"/>
                <w:color w:val="auto"/>
              </w:rPr>
              <w:t>8,187</w:t>
            </w:r>
          </w:p>
        </w:tc>
        <w:tc>
          <w:tcPr>
            <w:tcW w:w="40" w:type="dxa"/>
            <w:vAlign w:val="bottom"/>
          </w:tcPr>
          <w:p>
            <w:pPr>
              <w:spacing w:after="0"/>
              <w:rPr>
                <w:sz w:val="24"/>
                <w:szCs w:val="24"/>
                <w:color w:val="auto"/>
              </w:rPr>
            </w:pPr>
          </w:p>
        </w:tc>
      </w:tr>
      <w:tr>
        <w:trPr>
          <w:trHeight w:val="408"/>
        </w:trPr>
        <w:tc>
          <w:tcPr>
            <w:tcW w:w="362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15,908</w:t>
            </w: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3"/>
              </w:rPr>
              <w:t>(13,059)</w:t>
            </w: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2,849</w:t>
            </w:r>
          </w:p>
        </w:tc>
        <w:tc>
          <w:tcPr>
            <w:tcW w:w="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3,667</w:t>
            </w: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(805)</w:t>
            </w: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2,862</w:t>
            </w:r>
          </w:p>
        </w:tc>
        <w:tc>
          <w:tcPr>
            <w:tcW w:w="40" w:type="dxa"/>
            <w:vAlign w:val="bottom"/>
          </w:tcPr>
          <w:p>
            <w:pPr>
              <w:spacing w:after="0"/>
              <w:rPr>
                <w:sz w:val="24"/>
                <w:szCs w:val="24"/>
                <w:color w:val="auto"/>
              </w:rPr>
            </w:pPr>
          </w:p>
        </w:tc>
      </w:tr>
      <w:tr>
        <w:trPr>
          <w:trHeight w:val="189"/>
        </w:trPr>
        <w:tc>
          <w:tcPr>
            <w:tcW w:w="3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Pr>
          <w:p>
            <w:pPr>
              <w:ind w:left="1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40" w:type="dxa"/>
            <w:vAlign w:val="bottom"/>
          </w:tcPr>
          <w:p>
            <w:pPr>
              <w:ind w:left="1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r>
      <w:tr>
        <w:trPr>
          <w:trHeight w:val="212"/>
        </w:trPr>
        <w:tc>
          <w:tcPr>
            <w:tcW w:w="3620" w:type="dxa"/>
            <w:vAlign w:val="bottom"/>
          </w:tcPr>
          <w:p>
            <w:pPr>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26,647</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3"/>
              </w:rPr>
              <w:t>(22,670)</w:t>
            </w: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3,977</w:t>
            </w:r>
          </w:p>
        </w:tc>
        <w:tc>
          <w:tcPr>
            <w:tcW w:w="320" w:type="dxa"/>
            <w:vAlign w:val="bottom"/>
          </w:tcPr>
          <w:p>
            <w:pPr>
              <w:spacing w:after="0"/>
              <w:rPr>
                <w:sz w:val="18"/>
                <w:szCs w:val="18"/>
                <w:color w:val="auto"/>
              </w:rPr>
            </w:pP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6,929</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8"/>
              </w:rPr>
              <w:t>(1,604)</w:t>
            </w: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5,325</w:t>
            </w:r>
          </w:p>
        </w:tc>
        <w:tc>
          <w:tcPr>
            <w:tcW w:w="40" w:type="dxa"/>
            <w:vAlign w:val="bottom"/>
            <w:tcBorders>
              <w:bottom w:val="single" w:sz="8" w:color="auto"/>
            </w:tcBorders>
          </w:tcPr>
          <w:p>
            <w:pPr>
              <w:spacing w:after="0"/>
              <w:rPr>
                <w:sz w:val="18"/>
                <w:szCs w:val="18"/>
                <w:color w:val="auto"/>
              </w:rPr>
            </w:pPr>
          </w:p>
        </w:tc>
      </w:tr>
      <w:tr>
        <w:trPr>
          <w:trHeight w:val="20"/>
        </w:trPr>
        <w:tc>
          <w:tcPr>
            <w:tcW w:w="3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389"/>
        </w:trPr>
        <w:tc>
          <w:tcPr>
            <w:tcW w:w="3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ind w:left="1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ind w:left="1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4"/>
                <w:szCs w:val="24"/>
                <w:color w:val="auto"/>
              </w:rPr>
            </w:pPr>
          </w:p>
        </w:tc>
      </w:tr>
      <w:tr>
        <w:trPr>
          <w:trHeight w:val="203"/>
        </w:trPr>
        <w:tc>
          <w:tcPr>
            <w:tcW w:w="3620" w:type="dxa"/>
            <w:vAlign w:val="bottom"/>
          </w:tcPr>
          <w:p>
            <w:pPr>
              <w:spacing w:after="0"/>
              <w:rPr>
                <w:sz w:val="20"/>
                <w:szCs w:val="20"/>
                <w:color w:val="auto"/>
              </w:rPr>
            </w:pPr>
            <w:r>
              <w:rPr>
                <w:rFonts w:ascii="Arial" w:cs="Arial" w:eastAsia="Arial" w:hAnsi="Arial"/>
                <w:sz w:val="16"/>
                <w:szCs w:val="16"/>
                <w:color w:val="auto"/>
              </w:rPr>
              <w:t>Basic earnings per common share</w:t>
            </w:r>
          </w:p>
        </w:tc>
        <w:tc>
          <w:tcPr>
            <w:tcW w:w="260" w:type="dxa"/>
            <w:vAlign w:val="bottom"/>
          </w:tcPr>
          <w:p>
            <w:pPr>
              <w:ind w:left="10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2.93</w:t>
            </w: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ind w:left="120"/>
              <w:spacing w:after="0"/>
              <w:rPr>
                <w:sz w:val="20"/>
                <w:szCs w:val="20"/>
                <w:color w:val="auto"/>
              </w:rPr>
            </w:pPr>
            <w:r>
              <w:rPr>
                <w:rFonts w:ascii="Arial" w:cs="Arial" w:eastAsia="Arial" w:hAnsi="Arial"/>
                <w:sz w:val="16"/>
                <w:szCs w:val="16"/>
                <w:color w:val="auto"/>
              </w:rPr>
              <w:t>0.44</w:t>
            </w:r>
          </w:p>
        </w:tc>
        <w:tc>
          <w:tcPr>
            <w:tcW w:w="320" w:type="dxa"/>
            <w:vAlign w:val="bottom"/>
          </w:tcPr>
          <w:p>
            <w:pPr>
              <w:spacing w:after="0"/>
              <w:rPr>
                <w:sz w:val="17"/>
                <w:szCs w:val="17"/>
                <w:color w:val="auto"/>
              </w:rPr>
            </w:pPr>
          </w:p>
        </w:tc>
        <w:tc>
          <w:tcPr>
            <w:tcW w:w="260" w:type="dxa"/>
            <w:vAlign w:val="bottom"/>
          </w:tcPr>
          <w:p>
            <w:pPr>
              <w:ind w:left="10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0.77</w:t>
            </w: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ind w:left="160"/>
              <w:spacing w:after="0"/>
              <w:rPr>
                <w:sz w:val="20"/>
                <w:szCs w:val="20"/>
                <w:color w:val="auto"/>
              </w:rPr>
            </w:pPr>
            <w:r>
              <w:rPr>
                <w:rFonts w:ascii="Arial" w:cs="Arial" w:eastAsia="Arial" w:hAnsi="Arial"/>
                <w:sz w:val="16"/>
                <w:szCs w:val="16"/>
                <w:color w:val="auto"/>
              </w:rPr>
              <w:t>0.59</w:t>
            </w:r>
          </w:p>
        </w:tc>
        <w:tc>
          <w:tcPr>
            <w:tcW w:w="40" w:type="dxa"/>
            <w:vAlign w:val="bottom"/>
          </w:tcPr>
          <w:p>
            <w:pPr>
              <w:spacing w:after="0"/>
              <w:rPr>
                <w:sz w:val="17"/>
                <w:szCs w:val="17"/>
                <w:color w:val="auto"/>
              </w:rPr>
            </w:pPr>
          </w:p>
        </w:tc>
      </w:tr>
      <w:tr>
        <w:trPr>
          <w:trHeight w:val="203"/>
        </w:trPr>
        <w:tc>
          <w:tcPr>
            <w:tcW w:w="3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ind w:left="1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ind w:left="1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r>
      <w:tr>
        <w:trPr>
          <w:trHeight w:val="206"/>
        </w:trPr>
        <w:tc>
          <w:tcPr>
            <w:tcW w:w="3620" w:type="dxa"/>
            <w:vAlign w:val="bottom"/>
          </w:tcPr>
          <w:p>
            <w:pPr>
              <w:spacing w:after="0"/>
              <w:rPr>
                <w:sz w:val="20"/>
                <w:szCs w:val="20"/>
                <w:color w:val="auto"/>
              </w:rPr>
            </w:pPr>
            <w:r>
              <w:rPr>
                <w:rFonts w:ascii="Arial" w:cs="Arial" w:eastAsia="Arial" w:hAnsi="Arial"/>
                <w:sz w:val="16"/>
                <w:szCs w:val="16"/>
                <w:color w:val="auto"/>
              </w:rPr>
              <w:t>Diluted earnings per common share</w:t>
            </w:r>
          </w:p>
        </w:tc>
        <w:tc>
          <w:tcPr>
            <w:tcW w:w="260" w:type="dxa"/>
            <w:vAlign w:val="bottom"/>
          </w:tcPr>
          <w:p>
            <w:pPr>
              <w:ind w:left="10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2.89</w:t>
            </w: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ind w:left="120"/>
              <w:spacing w:after="0"/>
              <w:rPr>
                <w:sz w:val="20"/>
                <w:szCs w:val="20"/>
                <w:color w:val="auto"/>
              </w:rPr>
            </w:pPr>
            <w:r>
              <w:rPr>
                <w:rFonts w:ascii="Arial" w:cs="Arial" w:eastAsia="Arial" w:hAnsi="Arial"/>
                <w:sz w:val="16"/>
                <w:szCs w:val="16"/>
                <w:color w:val="auto"/>
              </w:rPr>
              <w:t>0.43</w:t>
            </w:r>
          </w:p>
        </w:tc>
        <w:tc>
          <w:tcPr>
            <w:tcW w:w="320" w:type="dxa"/>
            <w:vAlign w:val="bottom"/>
          </w:tcPr>
          <w:p>
            <w:pPr>
              <w:spacing w:after="0"/>
              <w:rPr>
                <w:sz w:val="17"/>
                <w:szCs w:val="17"/>
                <w:color w:val="auto"/>
              </w:rPr>
            </w:pPr>
          </w:p>
        </w:tc>
        <w:tc>
          <w:tcPr>
            <w:tcW w:w="260" w:type="dxa"/>
            <w:vAlign w:val="bottom"/>
          </w:tcPr>
          <w:p>
            <w:pPr>
              <w:ind w:left="10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0.75</w:t>
            </w: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ind w:left="160"/>
              <w:spacing w:after="0"/>
              <w:rPr>
                <w:sz w:val="20"/>
                <w:szCs w:val="20"/>
                <w:color w:val="auto"/>
              </w:rPr>
            </w:pPr>
            <w:r>
              <w:rPr>
                <w:rFonts w:ascii="Arial" w:cs="Arial" w:eastAsia="Arial" w:hAnsi="Arial"/>
                <w:sz w:val="16"/>
                <w:szCs w:val="16"/>
                <w:color w:val="auto"/>
              </w:rPr>
              <w:t>0.57</w:t>
            </w:r>
          </w:p>
        </w:tc>
        <w:tc>
          <w:tcPr>
            <w:tcW w:w="40" w:type="dxa"/>
            <w:vAlign w:val="bottom"/>
          </w:tcPr>
          <w:p>
            <w:pPr>
              <w:spacing w:after="0"/>
              <w:rPr>
                <w:sz w:val="17"/>
                <w:szCs w:val="17"/>
                <w:color w:val="auto"/>
              </w:rPr>
            </w:pPr>
          </w:p>
        </w:tc>
      </w:tr>
      <w:tr>
        <w:trPr>
          <w:trHeight w:val="635"/>
        </w:trPr>
        <w:tc>
          <w:tcPr>
            <w:tcW w:w="3620" w:type="dxa"/>
            <w:vAlign w:val="bottom"/>
          </w:tcPr>
          <w:p>
            <w:pPr>
              <w:spacing w:after="0"/>
              <w:rPr>
                <w:sz w:val="20"/>
                <w:szCs w:val="20"/>
                <w:color w:val="auto"/>
              </w:rPr>
            </w:pPr>
            <w:r>
              <w:rPr>
                <w:rFonts w:ascii="Arial" w:cs="Arial" w:eastAsia="Arial" w:hAnsi="Arial"/>
                <w:sz w:val="16"/>
                <w:szCs w:val="16"/>
                <w:color w:val="auto"/>
              </w:rPr>
              <w:t>Basic weighted average shares outstanding</w:t>
            </w:r>
          </w:p>
        </w:tc>
        <w:tc>
          <w:tcPr>
            <w:tcW w:w="960" w:type="dxa"/>
            <w:vAlign w:val="bottom"/>
            <w:gridSpan w:val="2"/>
          </w:tcPr>
          <w:p>
            <w:pPr>
              <w:ind w:left="100"/>
              <w:spacing w:after="0"/>
              <w:rPr>
                <w:sz w:val="20"/>
                <w:szCs w:val="20"/>
                <w:color w:val="auto"/>
              </w:rPr>
            </w:pPr>
            <w:r>
              <w:rPr>
                <w:rFonts w:ascii="Arial" w:cs="Arial" w:eastAsia="Arial" w:hAnsi="Arial"/>
                <w:sz w:val="16"/>
                <w:szCs w:val="16"/>
                <w:color w:val="auto"/>
              </w:rPr>
              <w:t>9,107,234</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ind w:left="120"/>
              <w:spacing w:after="0"/>
              <w:rPr>
                <w:sz w:val="20"/>
                <w:szCs w:val="20"/>
                <w:color w:val="auto"/>
              </w:rPr>
            </w:pPr>
            <w:r>
              <w:rPr>
                <w:rFonts w:ascii="Arial" w:cs="Arial" w:eastAsia="Arial" w:hAnsi="Arial"/>
                <w:sz w:val="16"/>
                <w:szCs w:val="16"/>
                <w:color w:val="auto"/>
              </w:rPr>
              <w:t>9,107,234</w:t>
            </w:r>
          </w:p>
        </w:tc>
        <w:tc>
          <w:tcPr>
            <w:tcW w:w="320" w:type="dxa"/>
            <w:vAlign w:val="bottom"/>
          </w:tcPr>
          <w:p>
            <w:pPr>
              <w:spacing w:after="0"/>
              <w:rPr>
                <w:sz w:val="24"/>
                <w:szCs w:val="24"/>
                <w:color w:val="auto"/>
              </w:rPr>
            </w:pPr>
          </w:p>
        </w:tc>
        <w:tc>
          <w:tcPr>
            <w:tcW w:w="960" w:type="dxa"/>
            <w:vAlign w:val="bottom"/>
            <w:gridSpan w:val="2"/>
          </w:tcPr>
          <w:p>
            <w:pPr>
              <w:ind w:left="100"/>
              <w:spacing w:after="0"/>
              <w:rPr>
                <w:sz w:val="20"/>
                <w:szCs w:val="20"/>
                <w:color w:val="auto"/>
              </w:rPr>
            </w:pPr>
            <w:r>
              <w:rPr>
                <w:rFonts w:ascii="Arial" w:cs="Arial" w:eastAsia="Arial" w:hAnsi="Arial"/>
                <w:sz w:val="16"/>
                <w:szCs w:val="16"/>
                <w:color w:val="auto"/>
              </w:rPr>
              <w:t>9,027,934</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ind w:left="160"/>
              <w:spacing w:after="0"/>
              <w:rPr>
                <w:sz w:val="20"/>
                <w:szCs w:val="20"/>
                <w:color w:val="auto"/>
              </w:rPr>
            </w:pPr>
            <w:r>
              <w:rPr>
                <w:rFonts w:ascii="Arial" w:cs="Arial" w:eastAsia="Arial" w:hAnsi="Arial"/>
                <w:sz w:val="16"/>
                <w:szCs w:val="16"/>
                <w:color w:val="auto"/>
              </w:rPr>
              <w:t>9,027,934</w:t>
            </w:r>
          </w:p>
        </w:tc>
        <w:tc>
          <w:tcPr>
            <w:tcW w:w="40" w:type="dxa"/>
            <w:vAlign w:val="bottom"/>
          </w:tcPr>
          <w:p>
            <w:pPr>
              <w:spacing w:after="0"/>
              <w:rPr>
                <w:sz w:val="24"/>
                <w:szCs w:val="24"/>
                <w:color w:val="auto"/>
              </w:rPr>
            </w:pPr>
          </w:p>
        </w:tc>
      </w:tr>
      <w:tr>
        <w:trPr>
          <w:trHeight w:val="405"/>
        </w:trPr>
        <w:tc>
          <w:tcPr>
            <w:tcW w:w="3620" w:type="dxa"/>
            <w:vAlign w:val="bottom"/>
          </w:tcPr>
          <w:p>
            <w:pPr>
              <w:spacing w:after="0"/>
              <w:rPr>
                <w:sz w:val="20"/>
                <w:szCs w:val="20"/>
                <w:color w:val="auto"/>
              </w:rPr>
            </w:pPr>
            <w:r>
              <w:rPr>
                <w:rFonts w:ascii="Arial" w:cs="Arial" w:eastAsia="Arial" w:hAnsi="Arial"/>
                <w:sz w:val="16"/>
                <w:szCs w:val="16"/>
                <w:color w:val="auto"/>
              </w:rPr>
              <w:t>Diluted weighted average shares outstanding</w:t>
            </w:r>
          </w:p>
        </w:tc>
        <w:tc>
          <w:tcPr>
            <w:tcW w:w="960" w:type="dxa"/>
            <w:vAlign w:val="bottom"/>
            <w:gridSpan w:val="2"/>
          </w:tcPr>
          <w:p>
            <w:pPr>
              <w:ind w:left="100"/>
              <w:spacing w:after="0"/>
              <w:rPr>
                <w:sz w:val="20"/>
                <w:szCs w:val="20"/>
                <w:color w:val="auto"/>
              </w:rPr>
            </w:pPr>
            <w:r>
              <w:rPr>
                <w:rFonts w:ascii="Arial" w:cs="Arial" w:eastAsia="Arial" w:hAnsi="Arial"/>
                <w:sz w:val="16"/>
                <w:szCs w:val="16"/>
                <w:color w:val="auto"/>
              </w:rPr>
              <w:t>9,214,685</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ind w:left="120"/>
              <w:spacing w:after="0"/>
              <w:rPr>
                <w:sz w:val="20"/>
                <w:szCs w:val="20"/>
                <w:color w:val="auto"/>
              </w:rPr>
            </w:pPr>
            <w:r>
              <w:rPr>
                <w:rFonts w:ascii="Arial" w:cs="Arial" w:eastAsia="Arial" w:hAnsi="Arial"/>
                <w:sz w:val="16"/>
                <w:szCs w:val="16"/>
                <w:color w:val="auto"/>
              </w:rPr>
              <w:t>9,214,685</w:t>
            </w:r>
          </w:p>
        </w:tc>
        <w:tc>
          <w:tcPr>
            <w:tcW w:w="320" w:type="dxa"/>
            <w:vAlign w:val="bottom"/>
          </w:tcPr>
          <w:p>
            <w:pPr>
              <w:spacing w:after="0"/>
              <w:rPr>
                <w:sz w:val="24"/>
                <w:szCs w:val="24"/>
                <w:color w:val="auto"/>
              </w:rPr>
            </w:pPr>
          </w:p>
        </w:tc>
        <w:tc>
          <w:tcPr>
            <w:tcW w:w="960" w:type="dxa"/>
            <w:vAlign w:val="bottom"/>
            <w:gridSpan w:val="2"/>
          </w:tcPr>
          <w:p>
            <w:pPr>
              <w:ind w:left="100"/>
              <w:spacing w:after="0"/>
              <w:rPr>
                <w:sz w:val="20"/>
                <w:szCs w:val="20"/>
                <w:color w:val="auto"/>
              </w:rPr>
            </w:pPr>
            <w:r>
              <w:rPr>
                <w:rFonts w:ascii="Arial" w:cs="Arial" w:eastAsia="Arial" w:hAnsi="Arial"/>
                <w:sz w:val="16"/>
                <w:szCs w:val="16"/>
                <w:color w:val="auto"/>
              </w:rPr>
              <w:t>9,271,811</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ind w:left="160"/>
              <w:spacing w:after="0"/>
              <w:rPr>
                <w:sz w:val="20"/>
                <w:szCs w:val="20"/>
                <w:color w:val="auto"/>
              </w:rPr>
            </w:pPr>
            <w:r>
              <w:rPr>
                <w:rFonts w:ascii="Arial" w:cs="Arial" w:eastAsia="Arial" w:hAnsi="Arial"/>
                <w:sz w:val="16"/>
                <w:szCs w:val="16"/>
                <w:color w:val="auto"/>
              </w:rPr>
              <w:t>9,271,811</w:t>
            </w:r>
          </w:p>
        </w:tc>
        <w:tc>
          <w:tcPr>
            <w:tcW w:w="40" w:type="dxa"/>
            <w:vAlign w:val="bottom"/>
          </w:tcPr>
          <w:p>
            <w:pPr>
              <w:spacing w:after="0"/>
              <w:rPr>
                <w:sz w:val="24"/>
                <w:szCs w:val="24"/>
                <w:color w:val="auto"/>
              </w:rPr>
            </w:pPr>
          </w:p>
        </w:tc>
      </w:tr>
    </w:tbl>
    <w:p>
      <w:pPr>
        <w:sectPr>
          <w:pgSz w:w="11900" w:h="16838" w:orient="portrait"/>
          <w:cols w:equalWidth="0" w:num="1">
            <w:col w:w="10139"/>
          </w:cols>
          <w:pgMar w:left="320" w:top="153" w:right="1440" w:bottom="0" w:gutter="0" w:footer="0" w:header="0"/>
          <w:type w:val="continuous"/>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648"/>
        </w:trPr>
        <w:tc>
          <w:tcPr>
            <w:tcW w:w="120" w:type="dxa"/>
            <w:vAlign w:val="bottom"/>
            <w:tcBorders>
              <w:right w:val="single" w:sz="8" w:color="808080"/>
            </w:tcBorders>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2"/>
              </w:rPr>
              <w:t>The adjustments consist of the following:</w:t>
            </w:r>
          </w:p>
        </w:tc>
        <w:tc>
          <w:tcPr>
            <w:tcW w:w="1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Borders>
              <w:right w:val="single" w:sz="8" w:color="808080"/>
            </w:tcBorders>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120" w:type="dxa"/>
            <w:vAlign w:val="bottom"/>
            <w:tcBorders>
              <w:right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4560" w:type="dxa"/>
            <w:vAlign w:val="bottom"/>
            <w:gridSpan w:val="2"/>
          </w:tcPr>
          <w:p>
            <w:pPr>
              <w:spacing w:after="0"/>
              <w:rPr>
                <w:sz w:val="20"/>
                <w:szCs w:val="20"/>
                <w:color w:val="auto"/>
              </w:rPr>
            </w:pPr>
            <w:r>
              <w:rPr>
                <w:rFonts w:ascii="Arial" w:cs="Arial" w:eastAsia="Arial" w:hAnsi="Arial"/>
                <w:sz w:val="16"/>
                <w:szCs w:val="16"/>
                <w:color w:val="auto"/>
              </w:rPr>
              <w:t>Share-based compensation</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241</w:t>
            </w:r>
          </w:p>
        </w:tc>
        <w:tc>
          <w:tcPr>
            <w:tcW w:w="22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59"/>
              <w:spacing w:after="0"/>
              <w:rPr>
                <w:sz w:val="20"/>
                <w:szCs w:val="20"/>
                <w:color w:val="auto"/>
              </w:rPr>
            </w:pPr>
            <w:r>
              <w:rPr>
                <w:rFonts w:ascii="Arial" w:cs="Arial" w:eastAsia="Arial" w:hAnsi="Arial"/>
                <w:sz w:val="16"/>
                <w:szCs w:val="16"/>
                <w:color w:val="auto"/>
              </w:rPr>
              <w:t>187</w:t>
            </w:r>
          </w:p>
        </w:tc>
        <w:tc>
          <w:tcPr>
            <w:tcW w:w="1020" w:type="dxa"/>
            <w:vAlign w:val="bottom"/>
            <w:tcBorders>
              <w:right w:val="single" w:sz="8" w:color="808080"/>
            </w:tcBorders>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120" w:type="dxa"/>
            <w:vAlign w:val="bottom"/>
            <w:tcBorders>
              <w:right w:val="single" w:sz="8" w:color="808080"/>
            </w:tcBorders>
          </w:tcPr>
          <w:p>
            <w:pPr>
              <w:spacing w:after="0"/>
              <w:rPr>
                <w:sz w:val="19"/>
                <w:szCs w:val="19"/>
                <w:color w:val="auto"/>
              </w:rPr>
            </w:pPr>
          </w:p>
        </w:tc>
        <w:tc>
          <w:tcPr>
            <w:tcW w:w="10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6"/>
                <w:szCs w:val="16"/>
                <w:color w:val="auto"/>
              </w:rPr>
              <w:t>Amortization of purchased intangibles</w:t>
            </w:r>
          </w:p>
        </w:tc>
        <w:tc>
          <w:tcPr>
            <w:tcW w:w="320" w:type="dxa"/>
            <w:vAlign w:val="bottom"/>
          </w:tcPr>
          <w:p>
            <w:pPr>
              <w:spacing w:after="0"/>
              <w:rPr>
                <w:sz w:val="19"/>
                <w:szCs w:val="19"/>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679</w:t>
            </w:r>
          </w:p>
        </w:tc>
        <w:tc>
          <w:tcPr>
            <w:tcW w:w="2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ind w:right="159"/>
              <w:spacing w:after="0"/>
              <w:rPr>
                <w:sz w:val="20"/>
                <w:szCs w:val="20"/>
                <w:color w:val="auto"/>
              </w:rPr>
            </w:pPr>
            <w:r>
              <w:rPr>
                <w:rFonts w:ascii="Arial" w:cs="Arial" w:eastAsia="Arial" w:hAnsi="Arial"/>
                <w:sz w:val="16"/>
                <w:szCs w:val="16"/>
                <w:color w:val="auto"/>
              </w:rPr>
              <w:t>393</w:t>
            </w:r>
          </w:p>
        </w:tc>
        <w:tc>
          <w:tcPr>
            <w:tcW w:w="1020" w:type="dxa"/>
            <w:vAlign w:val="bottom"/>
            <w:tcBorders>
              <w:right w:val="single" w:sz="8" w:color="808080"/>
            </w:tcBorders>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0" w:type="dxa"/>
            <w:vAlign w:val="bottom"/>
            <w:tcBorders>
              <w:right w:val="single" w:sz="8" w:color="808080"/>
            </w:tcBorders>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gridSpan w:val="2"/>
          </w:tcPr>
          <w:p>
            <w:pPr>
              <w:spacing w:after="0"/>
              <w:rPr>
                <w:sz w:val="20"/>
                <w:szCs w:val="20"/>
                <w:color w:val="auto"/>
              </w:rPr>
            </w:pPr>
            <w:r>
              <w:rPr>
                <w:rFonts w:ascii="Arial" w:cs="Arial" w:eastAsia="Arial" w:hAnsi="Arial"/>
                <w:sz w:val="16"/>
                <w:szCs w:val="16"/>
                <w:color w:val="auto"/>
              </w:rPr>
              <w:t>Legal expenses for litigation relating to indemnification of former</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Borders>
              <w:right w:val="single" w:sz="8" w:color="808080"/>
            </w:tcBorders>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Borders>
              <w:right w:val="single" w:sz="8" w:color="808080"/>
            </w:tcBorders>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gridSpan w:val="2"/>
          </w:tcPr>
          <w:p>
            <w:pPr>
              <w:spacing w:after="0"/>
              <w:rPr>
                <w:sz w:val="20"/>
                <w:szCs w:val="20"/>
                <w:color w:val="auto"/>
              </w:rPr>
            </w:pPr>
            <w:r>
              <w:rPr>
                <w:rFonts w:ascii="Arial" w:cs="Arial" w:eastAsia="Arial" w:hAnsi="Arial"/>
                <w:sz w:val="16"/>
                <w:szCs w:val="16"/>
                <w:color w:val="auto"/>
              </w:rPr>
              <w:t>officers, intellectual property claims and our claim for damages</w:t>
            </w:r>
          </w:p>
        </w:tc>
        <w:tc>
          <w:tcPr>
            <w:tcW w:w="320" w:type="dxa"/>
            <w:vAlign w:val="bottom"/>
          </w:tcPr>
          <w:p>
            <w:pPr>
              <w:spacing w:after="0"/>
              <w:rPr>
                <w:sz w:val="17"/>
                <w:szCs w:val="17"/>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902</w:t>
            </w:r>
          </w:p>
        </w:tc>
        <w:tc>
          <w:tcPr>
            <w:tcW w:w="2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ind w:right="159"/>
              <w:spacing w:after="0"/>
              <w:rPr>
                <w:sz w:val="20"/>
                <w:szCs w:val="20"/>
                <w:color w:val="auto"/>
              </w:rPr>
            </w:pPr>
            <w:r>
              <w:rPr>
                <w:rFonts w:ascii="Arial" w:cs="Arial" w:eastAsia="Arial" w:hAnsi="Arial"/>
                <w:sz w:val="16"/>
                <w:szCs w:val="16"/>
                <w:color w:val="auto"/>
              </w:rPr>
              <w:t>872</w:t>
            </w:r>
          </w:p>
        </w:tc>
        <w:tc>
          <w:tcPr>
            <w:tcW w:w="1020" w:type="dxa"/>
            <w:vAlign w:val="bottom"/>
            <w:tcBorders>
              <w:right w:val="single" w:sz="8" w:color="808080"/>
            </w:tcBorders>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0" w:type="dxa"/>
            <w:vAlign w:val="bottom"/>
            <w:tcBorders>
              <w:right w:val="single" w:sz="8" w:color="808080"/>
            </w:tcBorders>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gridSpan w:val="2"/>
          </w:tcPr>
          <w:p>
            <w:pPr>
              <w:spacing w:after="0"/>
              <w:rPr>
                <w:sz w:val="20"/>
                <w:szCs w:val="20"/>
                <w:color w:val="auto"/>
              </w:rPr>
            </w:pPr>
            <w:r>
              <w:rPr>
                <w:rFonts w:ascii="Arial" w:cs="Arial" w:eastAsia="Arial" w:hAnsi="Arial"/>
                <w:sz w:val="16"/>
                <w:szCs w:val="16"/>
                <w:color w:val="auto"/>
              </w:rPr>
              <w:t>Acquisition related expenses</w:t>
            </w:r>
          </w:p>
        </w:tc>
        <w:tc>
          <w:tcPr>
            <w:tcW w:w="320" w:type="dxa"/>
            <w:vAlign w:val="bottom"/>
          </w:tcPr>
          <w:p>
            <w:pPr>
              <w:spacing w:after="0"/>
              <w:rPr>
                <w:sz w:val="17"/>
                <w:szCs w:val="17"/>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327</w:t>
            </w:r>
          </w:p>
        </w:tc>
        <w:tc>
          <w:tcPr>
            <w:tcW w:w="2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808080"/>
            </w:tcBorders>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20" w:type="dxa"/>
            <w:vAlign w:val="bottom"/>
            <w:tcBorders>
              <w:right w:val="single" w:sz="8" w:color="808080"/>
            </w:tcBorders>
          </w:tcPr>
          <w:p>
            <w:pPr>
              <w:spacing w:after="0"/>
              <w:rPr>
                <w:sz w:val="19"/>
                <w:szCs w:val="19"/>
                <w:color w:val="auto"/>
              </w:rPr>
            </w:pPr>
          </w:p>
        </w:tc>
        <w:tc>
          <w:tcPr>
            <w:tcW w:w="10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6"/>
                <w:szCs w:val="16"/>
                <w:color w:val="auto"/>
              </w:rPr>
              <w:t>Proceeds from litigation, net of legal expenses and</w:t>
            </w:r>
          </w:p>
        </w:tc>
        <w:tc>
          <w:tcPr>
            <w:tcW w:w="320" w:type="dxa"/>
            <w:vAlign w:val="bottom"/>
          </w:tcPr>
          <w:p>
            <w:pPr>
              <w:spacing w:after="0"/>
              <w:rPr>
                <w:sz w:val="19"/>
                <w:szCs w:val="19"/>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w w:val="93"/>
              </w:rPr>
              <w:t>(37,878)</w:t>
            </w:r>
          </w:p>
        </w:tc>
        <w:tc>
          <w:tcPr>
            <w:tcW w:w="2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ind w:right="119"/>
              <w:spacing w:after="0"/>
              <w:rPr>
                <w:sz w:val="20"/>
                <w:szCs w:val="20"/>
                <w:color w:val="auto"/>
              </w:rPr>
            </w:pPr>
            <w:r>
              <w:rPr>
                <w:rFonts w:ascii="Arial" w:cs="Arial" w:eastAsia="Arial" w:hAnsi="Arial"/>
                <w:sz w:val="16"/>
                <w:szCs w:val="16"/>
                <w:color w:val="auto"/>
                <w:w w:val="98"/>
              </w:rPr>
              <w:t>(3,861)</w:t>
            </w:r>
          </w:p>
        </w:tc>
        <w:tc>
          <w:tcPr>
            <w:tcW w:w="1020" w:type="dxa"/>
            <w:vAlign w:val="bottom"/>
            <w:tcBorders>
              <w:right w:val="single" w:sz="8" w:color="808080"/>
            </w:tcBorders>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20" w:type="dxa"/>
            <w:vAlign w:val="bottom"/>
            <w:tcBorders>
              <w:right w:val="single" w:sz="8" w:color="808080"/>
            </w:tcBorders>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gridSpan w:val="2"/>
          </w:tcPr>
          <w:p>
            <w:pPr>
              <w:spacing w:after="0"/>
              <w:rPr>
                <w:sz w:val="20"/>
                <w:szCs w:val="20"/>
                <w:color w:val="auto"/>
              </w:rPr>
            </w:pPr>
            <w:r>
              <w:rPr>
                <w:rFonts w:ascii="Arial" w:cs="Arial" w:eastAsia="Arial" w:hAnsi="Arial"/>
                <w:sz w:val="16"/>
                <w:szCs w:val="16"/>
                <w:color w:val="auto"/>
              </w:rPr>
              <w:t>special bonus to key litigation participants</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Borders>
              <w:right w:val="single" w:sz="8" w:color="808080"/>
            </w:tcBorders>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20" w:type="dxa"/>
            <w:vAlign w:val="bottom"/>
            <w:tcBorders>
              <w:right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4560" w:type="dxa"/>
            <w:vAlign w:val="bottom"/>
            <w:gridSpan w:val="2"/>
            <w:vMerge w:val="restart"/>
          </w:tcPr>
          <w:p>
            <w:pPr>
              <w:spacing w:after="0"/>
              <w:rPr>
                <w:sz w:val="20"/>
                <w:szCs w:val="20"/>
                <w:color w:val="auto"/>
              </w:rPr>
            </w:pPr>
            <w:r>
              <w:rPr>
                <w:rFonts w:ascii="Arial" w:cs="Arial" w:eastAsia="Arial" w:hAnsi="Arial"/>
                <w:sz w:val="16"/>
                <w:szCs w:val="16"/>
                <w:color w:val="auto"/>
              </w:rPr>
              <w:t>Total of adjustments before taxes</w:t>
            </w:r>
          </w:p>
        </w:tc>
        <w:tc>
          <w:tcPr>
            <w:tcW w:w="3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6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20" w:type="dxa"/>
            <w:vAlign w:val="bottom"/>
            <w:tcBorders>
              <w:right w:val="single" w:sz="8" w:color="808080"/>
            </w:tcBorders>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120" w:type="dxa"/>
            <w:vAlign w:val="bottom"/>
            <w:tcBorders>
              <w:right w:val="single" w:sz="8" w:color="808080"/>
            </w:tcBorders>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w w:val="93"/>
              </w:rPr>
              <w:t>(35,729)</w:t>
            </w:r>
          </w:p>
        </w:tc>
        <w:tc>
          <w:tcPr>
            <w:tcW w:w="2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ind w:right="119"/>
              <w:spacing w:after="0"/>
              <w:rPr>
                <w:sz w:val="20"/>
                <w:szCs w:val="20"/>
                <w:color w:val="auto"/>
              </w:rPr>
            </w:pPr>
            <w:r>
              <w:rPr>
                <w:rFonts w:ascii="Arial" w:cs="Arial" w:eastAsia="Arial" w:hAnsi="Arial"/>
                <w:sz w:val="16"/>
                <w:szCs w:val="16"/>
                <w:color w:val="auto"/>
                <w:w w:val="98"/>
              </w:rPr>
              <w:t>(2,409)</w:t>
            </w:r>
          </w:p>
        </w:tc>
        <w:tc>
          <w:tcPr>
            <w:tcW w:w="1020" w:type="dxa"/>
            <w:vAlign w:val="bottom"/>
            <w:tcBorders>
              <w:right w:val="single" w:sz="8" w:color="808080"/>
            </w:tcBorders>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Borders>
              <w:right w:val="single" w:sz="8" w:color="808080"/>
            </w:tcBorders>
          </w:tcPr>
          <w:p>
            <w:pPr>
              <w:spacing w:after="0"/>
              <w:rPr>
                <w:sz w:val="19"/>
                <w:szCs w:val="19"/>
                <w:color w:val="auto"/>
              </w:rPr>
            </w:pPr>
          </w:p>
        </w:tc>
        <w:tc>
          <w:tcPr>
            <w:tcW w:w="100" w:type="dxa"/>
            <w:vAlign w:val="bottom"/>
          </w:tcPr>
          <w:p>
            <w:pPr>
              <w:spacing w:after="0"/>
              <w:rPr>
                <w:sz w:val="19"/>
                <w:szCs w:val="19"/>
                <w:color w:val="auto"/>
              </w:rPr>
            </w:pPr>
          </w:p>
        </w:tc>
        <w:tc>
          <w:tcPr>
            <w:tcW w:w="4560" w:type="dxa"/>
            <w:vAlign w:val="bottom"/>
            <w:gridSpan w:val="2"/>
          </w:tcPr>
          <w:p>
            <w:pPr>
              <w:ind w:left="180"/>
              <w:spacing w:after="0"/>
              <w:rPr>
                <w:sz w:val="20"/>
                <w:szCs w:val="20"/>
                <w:color w:val="auto"/>
              </w:rPr>
            </w:pPr>
            <w:r>
              <w:rPr>
                <w:rFonts w:ascii="Arial" w:cs="Arial" w:eastAsia="Arial" w:hAnsi="Arial"/>
                <w:sz w:val="16"/>
                <w:szCs w:val="16"/>
                <w:color w:val="auto"/>
              </w:rPr>
              <w:t>Income taxes affected by the above adjustments</w:t>
            </w: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93"/>
              </w:rPr>
              <w:t>(13,059)</w:t>
            </w:r>
          </w:p>
        </w:tc>
        <w:tc>
          <w:tcPr>
            <w:tcW w:w="2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(805)</w:t>
            </w:r>
          </w:p>
        </w:tc>
        <w:tc>
          <w:tcPr>
            <w:tcW w:w="1020" w:type="dxa"/>
            <w:vAlign w:val="bottom"/>
            <w:tcBorders>
              <w:right w:val="single" w:sz="8" w:color="808080"/>
            </w:tcBorders>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 w:type="dxa"/>
            <w:vAlign w:val="bottom"/>
            <w:tcBorders>
              <w:right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gridSpan w:val="2"/>
          </w:tcPr>
          <w:p>
            <w:pPr>
              <w:ind w:left="180"/>
              <w:spacing w:after="0"/>
              <w:rPr>
                <w:sz w:val="20"/>
                <w:szCs w:val="20"/>
                <w:color w:val="auto"/>
              </w:rPr>
            </w:pPr>
            <w:r>
              <w:rPr>
                <w:rFonts w:ascii="Arial" w:cs="Arial" w:eastAsia="Arial" w:hAnsi="Arial"/>
                <w:sz w:val="16"/>
                <w:szCs w:val="16"/>
                <w:color w:val="auto"/>
              </w:rPr>
              <w:t>Total adjustments</w:t>
            </w:r>
          </w:p>
        </w:tc>
        <w:tc>
          <w:tcPr>
            <w:tcW w:w="32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808080"/>
            </w:tcBorders>
          </w:tcPr>
          <w:p>
            <w:pPr>
              <w:jc w:val="right"/>
              <w:ind w:right="79"/>
              <w:spacing w:after="0"/>
              <w:rPr>
                <w:sz w:val="20"/>
                <w:szCs w:val="20"/>
                <w:color w:val="auto"/>
              </w:rPr>
            </w:pPr>
            <w:r>
              <w:rPr>
                <w:rFonts w:ascii="Arial" w:cs="Arial" w:eastAsia="Arial" w:hAnsi="Arial"/>
                <w:sz w:val="16"/>
                <w:szCs w:val="16"/>
                <w:color w:val="auto"/>
                <w:w w:val="93"/>
              </w:rPr>
              <w:t>(22,670)</w:t>
            </w:r>
          </w:p>
        </w:tc>
        <w:tc>
          <w:tcPr>
            <w:tcW w:w="22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808080"/>
            </w:tcBorders>
          </w:tcPr>
          <w:p>
            <w:pPr>
              <w:jc w:val="right"/>
              <w:ind w:right="119"/>
              <w:spacing w:after="0"/>
              <w:rPr>
                <w:sz w:val="20"/>
                <w:szCs w:val="20"/>
                <w:color w:val="auto"/>
              </w:rPr>
            </w:pPr>
            <w:r>
              <w:rPr>
                <w:rFonts w:ascii="Arial" w:cs="Arial" w:eastAsia="Arial" w:hAnsi="Arial"/>
                <w:sz w:val="16"/>
                <w:szCs w:val="16"/>
                <w:color w:val="auto"/>
                <w:w w:val="98"/>
              </w:rPr>
              <w:t>(1,604)</w:t>
            </w:r>
          </w:p>
        </w:tc>
        <w:tc>
          <w:tcPr>
            <w:tcW w:w="1020" w:type="dxa"/>
            <w:vAlign w:val="bottom"/>
            <w:tcBorders>
              <w:bottom w:val="single" w:sz="8" w:color="808080"/>
              <w:right w:val="single" w:sz="8" w:color="808080"/>
            </w:tcBorders>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677545</wp:posOffset>
            </wp:positionV>
            <wp:extent cx="6037580" cy="47853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37580" cy="4785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740"/>
        <w:spacing w:after="0"/>
        <w:rPr>
          <w:sz w:val="20"/>
          <w:szCs w:val="20"/>
          <w:color w:val="auto"/>
        </w:rPr>
      </w:pPr>
      <w:r>
        <w:rPr>
          <w:rFonts w:ascii="Arial" w:cs="Arial" w:eastAsia="Arial" w:hAnsi="Arial"/>
          <w:sz w:val="16"/>
          <w:szCs w:val="16"/>
          <w:b w:val="1"/>
          <w:bCs w:val="1"/>
          <w:color w:val="auto"/>
        </w:rPr>
        <w:t>CLEARONE INC.</w:t>
      </w:r>
    </w:p>
    <w:p>
      <w:pPr>
        <w:spacing w:after="0" w:line="46" w:lineRule="exact"/>
        <w:rPr>
          <w:sz w:val="20"/>
          <w:szCs w:val="20"/>
          <w:color w:val="auto"/>
        </w:rPr>
      </w:pPr>
    </w:p>
    <w:p>
      <w:pPr>
        <w:jc w:val="center"/>
        <w:ind w:right="1740"/>
        <w:spacing w:after="0"/>
        <w:rPr>
          <w:sz w:val="20"/>
          <w:szCs w:val="20"/>
          <w:color w:val="auto"/>
        </w:rPr>
      </w:pPr>
      <w:r>
        <w:rPr>
          <w:rFonts w:ascii="Arial" w:cs="Arial" w:eastAsia="Arial" w:hAnsi="Arial"/>
          <w:sz w:val="16"/>
          <w:szCs w:val="16"/>
          <w:b w:val="1"/>
          <w:bCs w:val="1"/>
          <w:color w:val="auto"/>
        </w:rPr>
        <w:t>(Dollars in thousands, except per share value)</w:t>
      </w:r>
    </w:p>
    <w:p>
      <w:pPr>
        <w:spacing w:after="0" w:line="275"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UNAUDITED RECONCILIATION OF GAAP NET INCOME TO NON-GAAP ADJUSTED EBITDA</w:t>
      </w:r>
    </w:p>
    <w:p>
      <w:pPr>
        <w:spacing w:after="0" w:line="320"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360" w:type="dxa"/>
            <w:vAlign w:val="bottom"/>
            <w:gridSpan w:val="4"/>
          </w:tcPr>
          <w:p>
            <w:pPr>
              <w:ind w:left="160"/>
              <w:spacing w:after="0"/>
              <w:rPr>
                <w:sz w:val="20"/>
                <w:szCs w:val="20"/>
                <w:color w:val="auto"/>
              </w:rPr>
            </w:pPr>
            <w:r>
              <w:rPr>
                <w:rFonts w:ascii="Arial" w:cs="Arial" w:eastAsia="Arial" w:hAnsi="Arial"/>
                <w:sz w:val="14"/>
                <w:szCs w:val="14"/>
                <w:b w:val="1"/>
                <w:bCs w:val="1"/>
                <w:color w:val="auto"/>
              </w:rPr>
              <w:t>Quarter ended December 31,</w:t>
            </w:r>
          </w:p>
        </w:tc>
        <w:tc>
          <w:tcPr>
            <w:tcW w:w="200" w:type="dxa"/>
            <w:vAlign w:val="bottom"/>
          </w:tcPr>
          <w:p>
            <w:pPr>
              <w:spacing w:after="0"/>
              <w:rPr>
                <w:sz w:val="14"/>
                <w:szCs w:val="14"/>
                <w:color w:val="auto"/>
              </w:rPr>
            </w:pPr>
          </w:p>
        </w:tc>
        <w:tc>
          <w:tcPr>
            <w:tcW w:w="180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2012</w:t>
            </w:r>
          </w:p>
        </w:tc>
        <w:tc>
          <w:tcPr>
            <w:tcW w:w="10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2012</w:t>
            </w:r>
          </w:p>
        </w:tc>
        <w:tc>
          <w:tcPr>
            <w:tcW w:w="10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86"/>
        </w:trPr>
        <w:tc>
          <w:tcPr>
            <w:tcW w:w="88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ind w:left="1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tcPr>
          <w:p>
            <w:pPr>
              <w:ind w:lef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980" w:type="dxa"/>
            <w:vAlign w:val="bottom"/>
            <w:gridSpan w:val="2"/>
          </w:tcPr>
          <w:p>
            <w:pPr>
              <w:spacing w:after="0"/>
              <w:rPr>
                <w:sz w:val="20"/>
                <w:szCs w:val="20"/>
                <w:color w:val="auto"/>
              </w:rPr>
            </w:pPr>
            <w:r>
              <w:rPr>
                <w:rFonts w:ascii="Arial" w:cs="Arial" w:eastAsia="Arial" w:hAnsi="Arial"/>
                <w:sz w:val="16"/>
                <w:szCs w:val="16"/>
                <w:color w:val="auto"/>
              </w:rPr>
              <w:t>GAAP net income</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00"/>
              <w:spacing w:after="0"/>
              <w:rPr>
                <w:sz w:val="20"/>
                <w:szCs w:val="20"/>
                <w:color w:val="auto"/>
              </w:rPr>
            </w:pPr>
            <w:r>
              <w:rPr>
                <w:rFonts w:ascii="Arial" w:cs="Arial" w:eastAsia="Arial" w:hAnsi="Arial"/>
                <w:sz w:val="16"/>
                <w:szCs w:val="16"/>
                <w:color w:val="auto"/>
              </w:rPr>
              <w:t>24,514</w:t>
            </w:r>
          </w:p>
        </w:tc>
        <w:tc>
          <w:tcPr>
            <w:tcW w:w="1000" w:type="dxa"/>
            <w:vAlign w:val="bottom"/>
          </w:tcPr>
          <w:p>
            <w:pPr>
              <w:ind w:left="100"/>
              <w:spacing w:after="0"/>
              <w:rPr>
                <w:sz w:val="20"/>
                <w:szCs w:val="20"/>
                <w:color w:val="auto"/>
              </w:rPr>
            </w:pPr>
            <w:r>
              <w:rPr>
                <w:rFonts w:ascii="Arial" w:cs="Arial" w:eastAsia="Arial" w:hAnsi="Arial"/>
                <w:sz w:val="16"/>
                <w:szCs w:val="16"/>
                <w:color w:val="auto"/>
              </w:rPr>
              <w:t>1,421</w:t>
            </w:r>
          </w:p>
        </w:tc>
        <w:tc>
          <w:tcPr>
            <w:tcW w:w="28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26,647</w:t>
            </w:r>
          </w:p>
        </w:tc>
        <w:tc>
          <w:tcPr>
            <w:tcW w:w="1000" w:type="dxa"/>
            <w:vAlign w:val="bottom"/>
          </w:tcPr>
          <w:p>
            <w:pPr>
              <w:ind w:left="120"/>
              <w:spacing w:after="0"/>
              <w:rPr>
                <w:sz w:val="20"/>
                <w:szCs w:val="20"/>
                <w:color w:val="auto"/>
              </w:rPr>
            </w:pPr>
            <w:r>
              <w:rPr>
                <w:rFonts w:ascii="Arial" w:cs="Arial" w:eastAsia="Arial" w:hAnsi="Arial"/>
                <w:sz w:val="16"/>
                <w:szCs w:val="16"/>
                <w:color w:val="auto"/>
              </w:rPr>
              <w:t>6,929</w:t>
            </w:r>
          </w:p>
        </w:tc>
        <w:tc>
          <w:tcPr>
            <w:tcW w:w="0" w:type="dxa"/>
            <w:vAlign w:val="bottom"/>
          </w:tcPr>
          <w:p>
            <w:pPr>
              <w:spacing w:after="0"/>
              <w:rPr>
                <w:sz w:val="1"/>
                <w:szCs w:val="1"/>
                <w:color w:val="auto"/>
              </w:rPr>
            </w:pPr>
          </w:p>
        </w:tc>
      </w:tr>
      <w:tr>
        <w:trPr>
          <w:trHeight w:val="195"/>
        </w:trPr>
        <w:tc>
          <w:tcPr>
            <w:tcW w:w="88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2"/>
              </w:rPr>
              <w:t>Adjustments:</w:t>
            </w:r>
          </w:p>
        </w:tc>
        <w:tc>
          <w:tcPr>
            <w:tcW w:w="4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0"/>
        </w:trPr>
        <w:tc>
          <w:tcPr>
            <w:tcW w:w="4980" w:type="dxa"/>
            <w:vAlign w:val="bottom"/>
            <w:gridSpan w:val="2"/>
          </w:tcPr>
          <w:p>
            <w:pPr>
              <w:spacing w:after="0"/>
              <w:rPr>
                <w:sz w:val="20"/>
                <w:szCs w:val="20"/>
                <w:color w:val="auto"/>
              </w:rPr>
            </w:pPr>
            <w:r>
              <w:rPr>
                <w:rFonts w:ascii="Arial" w:cs="Arial" w:eastAsia="Arial" w:hAnsi="Arial"/>
                <w:sz w:val="16"/>
                <w:szCs w:val="16"/>
                <w:color w:val="auto"/>
              </w:rPr>
              <w:t>Provision for income taxes</w:t>
            </w:r>
          </w:p>
        </w:tc>
        <w:tc>
          <w:tcPr>
            <w:tcW w:w="240" w:type="dxa"/>
            <w:vAlign w:val="bottom"/>
          </w:tcPr>
          <w:p>
            <w:pPr>
              <w:spacing w:after="0"/>
              <w:rPr>
                <w:sz w:val="24"/>
                <w:szCs w:val="24"/>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14,598</w:t>
            </w:r>
          </w:p>
        </w:tc>
        <w:tc>
          <w:tcPr>
            <w:tcW w:w="1000" w:type="dxa"/>
            <w:vAlign w:val="bottom"/>
          </w:tcPr>
          <w:p>
            <w:pPr>
              <w:ind w:left="680"/>
              <w:spacing w:after="0"/>
              <w:rPr>
                <w:sz w:val="20"/>
                <w:szCs w:val="20"/>
                <w:color w:val="auto"/>
              </w:rPr>
            </w:pPr>
            <w:r>
              <w:rPr>
                <w:rFonts w:ascii="Arial" w:cs="Arial" w:eastAsia="Arial" w:hAnsi="Arial"/>
                <w:sz w:val="16"/>
                <w:szCs w:val="16"/>
                <w:color w:val="auto"/>
              </w:rPr>
              <w:t>711</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15,908</w:t>
            </w:r>
          </w:p>
        </w:tc>
        <w:tc>
          <w:tcPr>
            <w:tcW w:w="1000" w:type="dxa"/>
            <w:vAlign w:val="bottom"/>
          </w:tcPr>
          <w:p>
            <w:pPr>
              <w:ind w:left="120"/>
              <w:spacing w:after="0"/>
              <w:rPr>
                <w:sz w:val="20"/>
                <w:szCs w:val="20"/>
                <w:color w:val="auto"/>
              </w:rPr>
            </w:pPr>
            <w:r>
              <w:rPr>
                <w:rFonts w:ascii="Arial" w:cs="Arial" w:eastAsia="Arial" w:hAnsi="Arial"/>
                <w:sz w:val="16"/>
                <w:szCs w:val="16"/>
                <w:color w:val="auto"/>
              </w:rPr>
              <w:t>3,667</w:t>
            </w:r>
          </w:p>
        </w:tc>
        <w:tc>
          <w:tcPr>
            <w:tcW w:w="0" w:type="dxa"/>
            <w:vAlign w:val="bottom"/>
          </w:tcPr>
          <w:p>
            <w:pPr>
              <w:spacing w:after="0"/>
              <w:rPr>
                <w:sz w:val="1"/>
                <w:szCs w:val="1"/>
                <w:color w:val="auto"/>
              </w:rPr>
            </w:pPr>
          </w:p>
        </w:tc>
      </w:tr>
      <w:tr>
        <w:trPr>
          <w:trHeight w:val="408"/>
        </w:trPr>
        <w:tc>
          <w:tcPr>
            <w:tcW w:w="498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874</w:t>
            </w:r>
          </w:p>
        </w:tc>
        <w:tc>
          <w:tcPr>
            <w:tcW w:w="10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348</w:t>
            </w:r>
          </w:p>
        </w:tc>
        <w:tc>
          <w:tcPr>
            <w:tcW w:w="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1,864</w:t>
            </w:r>
          </w:p>
        </w:tc>
        <w:tc>
          <w:tcPr>
            <w:tcW w:w="10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1,220</w:t>
            </w:r>
          </w:p>
        </w:tc>
        <w:tc>
          <w:tcPr>
            <w:tcW w:w="0" w:type="dxa"/>
            <w:vAlign w:val="bottom"/>
          </w:tcPr>
          <w:p>
            <w:pPr>
              <w:spacing w:after="0"/>
              <w:rPr>
                <w:sz w:val="1"/>
                <w:szCs w:val="1"/>
                <w:color w:val="auto"/>
              </w:rPr>
            </w:pPr>
          </w:p>
        </w:tc>
      </w:tr>
      <w:tr>
        <w:trPr>
          <w:trHeight w:val="392"/>
        </w:trPr>
        <w:tc>
          <w:tcPr>
            <w:tcW w:w="4980" w:type="dxa"/>
            <w:vAlign w:val="bottom"/>
            <w:gridSpan w:val="2"/>
          </w:tcPr>
          <w:p>
            <w:pPr>
              <w:spacing w:after="0"/>
              <w:rPr>
                <w:sz w:val="20"/>
                <w:szCs w:val="20"/>
                <w:color w:val="auto"/>
              </w:rPr>
            </w:pPr>
            <w:r>
              <w:rPr>
                <w:rFonts w:ascii="Arial" w:cs="Arial" w:eastAsia="Arial" w:hAnsi="Arial"/>
                <w:sz w:val="16"/>
                <w:szCs w:val="16"/>
                <w:color w:val="auto"/>
              </w:rPr>
              <w:t>Non-GAAP EBITDA</w:t>
            </w:r>
          </w:p>
        </w:tc>
        <w:tc>
          <w:tcPr>
            <w:tcW w:w="240" w:type="dxa"/>
            <w:vAlign w:val="bottom"/>
          </w:tcPr>
          <w:p>
            <w:pPr>
              <w:spacing w:after="0"/>
              <w:rPr>
                <w:sz w:val="24"/>
                <w:szCs w:val="24"/>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39,986</w:t>
            </w:r>
          </w:p>
        </w:tc>
        <w:tc>
          <w:tcPr>
            <w:tcW w:w="1000" w:type="dxa"/>
            <w:vAlign w:val="bottom"/>
          </w:tcPr>
          <w:p>
            <w:pPr>
              <w:ind w:left="100"/>
              <w:spacing w:after="0"/>
              <w:rPr>
                <w:sz w:val="20"/>
                <w:szCs w:val="20"/>
                <w:color w:val="auto"/>
              </w:rPr>
            </w:pPr>
            <w:r>
              <w:rPr>
                <w:rFonts w:ascii="Arial" w:cs="Arial" w:eastAsia="Arial" w:hAnsi="Arial"/>
                <w:sz w:val="16"/>
                <w:szCs w:val="16"/>
                <w:color w:val="auto"/>
              </w:rPr>
              <w:t>2,480</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44,419</w:t>
            </w:r>
          </w:p>
        </w:tc>
        <w:tc>
          <w:tcPr>
            <w:tcW w:w="1000" w:type="dxa"/>
            <w:vAlign w:val="bottom"/>
          </w:tcPr>
          <w:p>
            <w:pPr>
              <w:ind w:left="120"/>
              <w:spacing w:after="0"/>
              <w:rPr>
                <w:sz w:val="20"/>
                <w:szCs w:val="20"/>
                <w:color w:val="auto"/>
              </w:rPr>
            </w:pPr>
            <w:r>
              <w:rPr>
                <w:rFonts w:ascii="Arial" w:cs="Arial" w:eastAsia="Arial" w:hAnsi="Arial"/>
                <w:sz w:val="16"/>
                <w:szCs w:val="16"/>
                <w:color w:val="auto"/>
              </w:rPr>
              <w:t>11,816</w:t>
            </w:r>
          </w:p>
        </w:tc>
        <w:tc>
          <w:tcPr>
            <w:tcW w:w="0" w:type="dxa"/>
            <w:vAlign w:val="bottom"/>
          </w:tcPr>
          <w:p>
            <w:pPr>
              <w:spacing w:after="0"/>
              <w:rPr>
                <w:sz w:val="1"/>
                <w:szCs w:val="1"/>
                <w:color w:val="auto"/>
              </w:rPr>
            </w:pPr>
          </w:p>
        </w:tc>
      </w:tr>
      <w:tr>
        <w:trPr>
          <w:trHeight w:val="203"/>
        </w:trPr>
        <w:tc>
          <w:tcPr>
            <w:tcW w:w="4980" w:type="dxa"/>
            <w:vAlign w:val="bottom"/>
            <w:gridSpan w:val="2"/>
          </w:tcPr>
          <w:p>
            <w:pPr>
              <w:spacing w:after="0"/>
              <w:rPr>
                <w:sz w:val="20"/>
                <w:szCs w:val="20"/>
                <w:color w:val="auto"/>
              </w:rPr>
            </w:pPr>
            <w:r>
              <w:rPr>
                <w:rFonts w:ascii="Arial" w:cs="Arial" w:eastAsia="Arial" w:hAnsi="Arial"/>
                <w:sz w:val="16"/>
                <w:szCs w:val="16"/>
                <w:color w:val="auto"/>
              </w:rPr>
              <w:t>Proceeds from litigation, net of legal expenses and special bonus to</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980" w:type="dxa"/>
            <w:vAlign w:val="bottom"/>
            <w:gridSpan w:val="2"/>
          </w:tcPr>
          <w:p>
            <w:pPr>
              <w:spacing w:after="0"/>
              <w:rPr>
                <w:sz w:val="20"/>
                <w:szCs w:val="20"/>
                <w:color w:val="auto"/>
              </w:rPr>
            </w:pPr>
            <w:r>
              <w:rPr>
                <w:rFonts w:ascii="Arial" w:cs="Arial" w:eastAsia="Arial" w:hAnsi="Arial"/>
                <w:sz w:val="16"/>
                <w:szCs w:val="16"/>
                <w:color w:val="auto"/>
              </w:rPr>
              <w:t>officers</w:t>
            </w:r>
          </w:p>
        </w:tc>
        <w:tc>
          <w:tcPr>
            <w:tcW w:w="240" w:type="dxa"/>
            <w:vAlign w:val="bottom"/>
          </w:tcPr>
          <w:p>
            <w:pPr>
              <w:spacing w:after="0"/>
              <w:rPr>
                <w:sz w:val="17"/>
                <w:szCs w:val="17"/>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(37,628)</w:t>
            </w:r>
          </w:p>
        </w:tc>
        <w:tc>
          <w:tcPr>
            <w:tcW w:w="1000" w:type="dxa"/>
            <w:vAlign w:val="bottom"/>
          </w:tcPr>
          <w:p>
            <w:pPr>
              <w:ind w:left="8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(37,878)</w:t>
            </w:r>
          </w:p>
        </w:tc>
        <w:tc>
          <w:tcPr>
            <w:tcW w:w="1000" w:type="dxa"/>
            <w:vAlign w:val="bottom"/>
          </w:tcPr>
          <w:p>
            <w:pPr>
              <w:ind w:left="120"/>
              <w:spacing w:after="0"/>
              <w:rPr>
                <w:sz w:val="20"/>
                <w:szCs w:val="20"/>
                <w:color w:val="auto"/>
              </w:rPr>
            </w:pPr>
            <w:r>
              <w:rPr>
                <w:rFonts w:ascii="Arial" w:cs="Arial" w:eastAsia="Arial" w:hAnsi="Arial"/>
                <w:sz w:val="16"/>
                <w:szCs w:val="16"/>
                <w:color w:val="auto"/>
              </w:rPr>
              <w:t>(3,861)</w:t>
            </w:r>
          </w:p>
        </w:tc>
        <w:tc>
          <w:tcPr>
            <w:tcW w:w="0" w:type="dxa"/>
            <w:vAlign w:val="bottom"/>
          </w:tcPr>
          <w:p>
            <w:pPr>
              <w:spacing w:after="0"/>
              <w:rPr>
                <w:sz w:val="1"/>
                <w:szCs w:val="1"/>
                <w:color w:val="auto"/>
              </w:rPr>
            </w:pPr>
          </w:p>
        </w:tc>
      </w:tr>
      <w:tr>
        <w:trPr>
          <w:trHeight w:val="401"/>
        </w:trPr>
        <w:tc>
          <w:tcPr>
            <w:tcW w:w="4980" w:type="dxa"/>
            <w:vAlign w:val="bottom"/>
            <w:gridSpan w:val="2"/>
          </w:tcPr>
          <w:p>
            <w:pPr>
              <w:spacing w:after="0"/>
              <w:rPr>
                <w:sz w:val="20"/>
                <w:szCs w:val="20"/>
                <w:color w:val="auto"/>
              </w:rPr>
            </w:pPr>
            <w:r>
              <w:rPr>
                <w:rFonts w:ascii="Arial" w:cs="Arial" w:eastAsia="Arial" w:hAnsi="Arial"/>
                <w:sz w:val="16"/>
                <w:szCs w:val="16"/>
                <w:color w:val="auto"/>
              </w:rPr>
              <w:t>Share-based compensation</w:t>
            </w:r>
          </w:p>
        </w:tc>
        <w:tc>
          <w:tcPr>
            <w:tcW w:w="240" w:type="dxa"/>
            <w:vAlign w:val="bottom"/>
          </w:tcPr>
          <w:p>
            <w:pPr>
              <w:spacing w:after="0"/>
              <w:rPr>
                <w:sz w:val="24"/>
                <w:szCs w:val="24"/>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65</w:t>
            </w:r>
          </w:p>
        </w:tc>
        <w:tc>
          <w:tcPr>
            <w:tcW w:w="1000" w:type="dxa"/>
            <w:vAlign w:val="bottom"/>
          </w:tcPr>
          <w:p>
            <w:pPr>
              <w:ind w:left="100"/>
              <w:spacing w:after="0"/>
              <w:rPr>
                <w:sz w:val="20"/>
                <w:szCs w:val="20"/>
                <w:color w:val="auto"/>
              </w:rPr>
            </w:pPr>
            <w:r>
              <w:rPr>
                <w:rFonts w:ascii="Arial" w:cs="Arial" w:eastAsia="Arial" w:hAnsi="Arial"/>
                <w:sz w:val="16"/>
                <w:szCs w:val="16"/>
                <w:color w:val="auto"/>
              </w:rPr>
              <w:t>56</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241</w:t>
            </w:r>
          </w:p>
        </w:tc>
        <w:tc>
          <w:tcPr>
            <w:tcW w:w="1000" w:type="dxa"/>
            <w:vAlign w:val="bottom"/>
          </w:tcPr>
          <w:p>
            <w:pPr>
              <w:ind w:left="120"/>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03"/>
        </w:trPr>
        <w:tc>
          <w:tcPr>
            <w:tcW w:w="4980" w:type="dxa"/>
            <w:vAlign w:val="bottom"/>
            <w:gridSpan w:val="2"/>
          </w:tcPr>
          <w:p>
            <w:pPr>
              <w:spacing w:after="0"/>
              <w:rPr>
                <w:sz w:val="20"/>
                <w:szCs w:val="20"/>
                <w:color w:val="auto"/>
              </w:rPr>
            </w:pPr>
            <w:r>
              <w:rPr>
                <w:rFonts w:ascii="Arial" w:cs="Arial" w:eastAsia="Arial" w:hAnsi="Arial"/>
                <w:sz w:val="16"/>
                <w:szCs w:val="16"/>
                <w:color w:val="auto"/>
              </w:rPr>
              <w:t>Legal expenses for litigation relating to indemnification of former</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980" w:type="dxa"/>
            <w:vAlign w:val="bottom"/>
            <w:gridSpan w:val="2"/>
          </w:tcPr>
          <w:p>
            <w:pPr>
              <w:spacing w:after="0"/>
              <w:rPr>
                <w:sz w:val="20"/>
                <w:szCs w:val="20"/>
                <w:color w:val="auto"/>
              </w:rPr>
            </w:pPr>
            <w:r>
              <w:rPr>
                <w:rFonts w:ascii="Arial" w:cs="Arial" w:eastAsia="Arial" w:hAnsi="Arial"/>
                <w:sz w:val="16"/>
                <w:szCs w:val="16"/>
                <w:color w:val="auto"/>
              </w:rPr>
              <w:t>officers, intellectual property claims and our claim for damages</w:t>
            </w:r>
          </w:p>
        </w:tc>
        <w:tc>
          <w:tcPr>
            <w:tcW w:w="240" w:type="dxa"/>
            <w:vAlign w:val="bottom"/>
          </w:tcPr>
          <w:p>
            <w:pPr>
              <w:spacing w:after="0"/>
              <w:rPr>
                <w:sz w:val="17"/>
                <w:szCs w:val="17"/>
                <w:color w:val="auto"/>
              </w:rPr>
            </w:pPr>
          </w:p>
        </w:tc>
        <w:tc>
          <w:tcPr>
            <w:tcW w:w="840" w:type="dxa"/>
            <w:vAlign w:val="bottom"/>
            <w:vMerge w:val="restart"/>
          </w:tcPr>
          <w:p>
            <w:pPr>
              <w:jc w:val="right"/>
              <w:ind w:right="60"/>
              <w:spacing w:after="0"/>
              <w:rPr>
                <w:sz w:val="20"/>
                <w:szCs w:val="20"/>
                <w:color w:val="auto"/>
              </w:rPr>
            </w:pPr>
            <w:r>
              <w:rPr>
                <w:rFonts w:ascii="Arial" w:cs="Arial" w:eastAsia="Arial" w:hAnsi="Arial"/>
                <w:sz w:val="16"/>
                <w:szCs w:val="16"/>
                <w:color w:val="auto"/>
              </w:rPr>
              <w:t>376</w:t>
            </w:r>
          </w:p>
        </w:tc>
        <w:tc>
          <w:tcPr>
            <w:tcW w:w="1000" w:type="dxa"/>
            <w:vAlign w:val="bottom"/>
            <w:vMerge w:val="restart"/>
          </w:tcPr>
          <w:p>
            <w:pPr>
              <w:ind w:left="100"/>
              <w:spacing w:after="0"/>
              <w:rPr>
                <w:sz w:val="20"/>
                <w:szCs w:val="20"/>
                <w:color w:val="auto"/>
              </w:rPr>
            </w:pPr>
            <w:r>
              <w:rPr>
                <w:rFonts w:ascii="Arial" w:cs="Arial" w:eastAsia="Arial" w:hAnsi="Arial"/>
                <w:sz w:val="16"/>
                <w:szCs w:val="16"/>
                <w:color w:val="auto"/>
              </w:rPr>
              <w:t>31</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restart"/>
          </w:tcPr>
          <w:p>
            <w:pPr>
              <w:jc w:val="right"/>
              <w:ind w:right="60"/>
              <w:spacing w:after="0"/>
              <w:rPr>
                <w:sz w:val="20"/>
                <w:szCs w:val="20"/>
                <w:color w:val="auto"/>
              </w:rPr>
            </w:pPr>
            <w:r>
              <w:rPr>
                <w:rFonts w:ascii="Arial" w:cs="Arial" w:eastAsia="Arial" w:hAnsi="Arial"/>
                <w:sz w:val="16"/>
                <w:szCs w:val="16"/>
                <w:color w:val="auto"/>
              </w:rPr>
              <w:t>902</w:t>
            </w:r>
          </w:p>
        </w:tc>
        <w:tc>
          <w:tcPr>
            <w:tcW w:w="1000" w:type="dxa"/>
            <w:vAlign w:val="bottom"/>
            <w:vMerge w:val="restart"/>
          </w:tcPr>
          <w:p>
            <w:pPr>
              <w:ind w:left="120"/>
              <w:spacing w:after="0"/>
              <w:rPr>
                <w:sz w:val="20"/>
                <w:szCs w:val="20"/>
                <w:color w:val="auto"/>
              </w:rPr>
            </w:pPr>
            <w:r>
              <w:rPr>
                <w:rFonts w:ascii="Arial" w:cs="Arial" w:eastAsia="Arial" w:hAnsi="Arial"/>
                <w:sz w:val="16"/>
                <w:szCs w:val="16"/>
                <w:color w:val="auto"/>
              </w:rPr>
              <w:t>872</w:t>
            </w:r>
          </w:p>
        </w:tc>
        <w:tc>
          <w:tcPr>
            <w:tcW w:w="0" w:type="dxa"/>
            <w:vAlign w:val="bottom"/>
          </w:tcPr>
          <w:p>
            <w:pPr>
              <w:spacing w:after="0"/>
              <w:rPr>
                <w:sz w:val="1"/>
                <w:szCs w:val="1"/>
                <w:color w:val="auto"/>
              </w:rPr>
            </w:pPr>
          </w:p>
        </w:tc>
      </w:tr>
      <w:tr>
        <w:trPr>
          <w:trHeight w:val="50"/>
        </w:trPr>
        <w:tc>
          <w:tcPr>
            <w:tcW w:w="880" w:type="dxa"/>
            <w:vAlign w:val="bottom"/>
          </w:tcPr>
          <w:p>
            <w:pPr>
              <w:spacing w:after="0"/>
              <w:rPr>
                <w:sz w:val="4"/>
                <w:szCs w:val="4"/>
                <w:color w:val="auto"/>
              </w:rPr>
            </w:pPr>
          </w:p>
        </w:tc>
        <w:tc>
          <w:tcPr>
            <w:tcW w:w="4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4980" w:type="dxa"/>
            <w:vAlign w:val="bottom"/>
            <w:gridSpan w:val="2"/>
          </w:tcPr>
          <w:p>
            <w:pPr>
              <w:spacing w:after="0"/>
              <w:rPr>
                <w:sz w:val="20"/>
                <w:szCs w:val="20"/>
                <w:color w:val="auto"/>
              </w:rPr>
            </w:pPr>
            <w:r>
              <w:rPr>
                <w:rFonts w:ascii="Arial" w:cs="Arial" w:eastAsia="Arial" w:hAnsi="Arial"/>
                <w:sz w:val="16"/>
                <w:szCs w:val="16"/>
                <w:color w:val="auto"/>
              </w:rPr>
              <w:t>Acquisition related expenses</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57</w:t>
            </w:r>
          </w:p>
        </w:tc>
        <w:tc>
          <w:tcPr>
            <w:tcW w:w="100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327</w:t>
            </w:r>
          </w:p>
        </w:tc>
        <w:tc>
          <w:tcPr>
            <w:tcW w:w="100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88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ind w:left="1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tcPr>
          <w:p>
            <w:pPr>
              <w:ind w:lef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980" w:type="dxa"/>
            <w:vAlign w:val="bottom"/>
            <w:gridSpan w:val="2"/>
          </w:tcPr>
          <w:p>
            <w:pPr>
              <w:spacing w:after="0"/>
              <w:rPr>
                <w:sz w:val="20"/>
                <w:szCs w:val="20"/>
                <w:color w:val="auto"/>
              </w:rPr>
            </w:pPr>
            <w:r>
              <w:rPr>
                <w:rFonts w:ascii="Arial" w:cs="Arial" w:eastAsia="Arial" w:hAnsi="Arial"/>
                <w:sz w:val="16"/>
                <w:szCs w:val="16"/>
                <w:color w:val="auto"/>
              </w:rPr>
              <w:t>Non-GAAP Adjusted EBITDA</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2,856</w:t>
            </w:r>
          </w:p>
        </w:tc>
        <w:tc>
          <w:tcPr>
            <w:tcW w:w="10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2,567</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8,011</w:t>
            </w:r>
          </w:p>
        </w:tc>
        <w:tc>
          <w:tcPr>
            <w:tcW w:w="10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9,014</w:t>
            </w:r>
          </w:p>
        </w:tc>
        <w:tc>
          <w:tcPr>
            <w:tcW w:w="0" w:type="dxa"/>
            <w:vAlign w:val="bottom"/>
          </w:tcPr>
          <w:p>
            <w:pPr>
              <w:spacing w:after="0"/>
              <w:rPr>
                <w:sz w:val="1"/>
                <w:szCs w:val="1"/>
                <w:color w:val="auto"/>
              </w:rPr>
            </w:pPr>
          </w:p>
        </w:tc>
      </w:tr>
      <w:tr>
        <w:trPr>
          <w:trHeight w:val="612"/>
        </w:trPr>
        <w:tc>
          <w:tcPr>
            <w:tcW w:w="4980" w:type="dxa"/>
            <w:vAlign w:val="bottom"/>
            <w:gridSpan w:val="2"/>
          </w:tcPr>
          <w:p>
            <w:pPr>
              <w:spacing w:after="0"/>
              <w:rPr>
                <w:sz w:val="20"/>
                <w:szCs w:val="20"/>
                <w:color w:val="auto"/>
              </w:rPr>
            </w:pPr>
            <w:r>
              <w:rPr>
                <w:rFonts w:ascii="Arial" w:cs="Arial" w:eastAsia="Arial" w:hAnsi="Arial"/>
                <w:sz w:val="16"/>
                <w:szCs w:val="16"/>
                <w:color w:val="auto"/>
              </w:rPr>
              <w:t>Basic weighted average shares outstanding</w:t>
            </w:r>
          </w:p>
        </w:tc>
        <w:tc>
          <w:tcPr>
            <w:tcW w:w="240" w:type="dxa"/>
            <w:vAlign w:val="bottom"/>
          </w:tcPr>
          <w:p>
            <w:pPr>
              <w:spacing w:after="0"/>
              <w:rPr>
                <w:sz w:val="24"/>
                <w:szCs w:val="24"/>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w w:val="95"/>
              </w:rPr>
              <w:t>9,109,552</w:t>
            </w:r>
          </w:p>
        </w:tc>
        <w:tc>
          <w:tcPr>
            <w:tcW w:w="1000" w:type="dxa"/>
            <w:vAlign w:val="bottom"/>
          </w:tcPr>
          <w:p>
            <w:pPr>
              <w:ind w:left="100"/>
              <w:spacing w:after="0"/>
              <w:rPr>
                <w:sz w:val="20"/>
                <w:szCs w:val="20"/>
                <w:color w:val="auto"/>
              </w:rPr>
            </w:pPr>
            <w:r>
              <w:rPr>
                <w:rFonts w:ascii="Arial" w:cs="Arial" w:eastAsia="Arial" w:hAnsi="Arial"/>
                <w:sz w:val="16"/>
                <w:szCs w:val="16"/>
                <w:color w:val="auto"/>
              </w:rPr>
              <w:t>9,095,333</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w w:val="89"/>
              </w:rPr>
              <w:t>9,107,234</w:t>
            </w:r>
          </w:p>
        </w:tc>
        <w:tc>
          <w:tcPr>
            <w:tcW w:w="1000" w:type="dxa"/>
            <w:vAlign w:val="bottom"/>
          </w:tcPr>
          <w:p>
            <w:pPr>
              <w:ind w:left="120"/>
              <w:spacing w:after="0"/>
              <w:rPr>
                <w:sz w:val="20"/>
                <w:szCs w:val="20"/>
                <w:color w:val="auto"/>
              </w:rPr>
            </w:pPr>
            <w:r>
              <w:rPr>
                <w:rFonts w:ascii="Arial" w:cs="Arial" w:eastAsia="Arial" w:hAnsi="Arial"/>
                <w:sz w:val="16"/>
                <w:szCs w:val="16"/>
                <w:color w:val="auto"/>
              </w:rPr>
              <w:t>9,027,934</w:t>
            </w:r>
          </w:p>
        </w:tc>
        <w:tc>
          <w:tcPr>
            <w:tcW w:w="0" w:type="dxa"/>
            <w:vAlign w:val="bottom"/>
          </w:tcPr>
          <w:p>
            <w:pPr>
              <w:spacing w:after="0"/>
              <w:rPr>
                <w:sz w:val="1"/>
                <w:szCs w:val="1"/>
                <w:color w:val="auto"/>
              </w:rPr>
            </w:pPr>
          </w:p>
        </w:tc>
      </w:tr>
      <w:tr>
        <w:trPr>
          <w:trHeight w:val="405"/>
        </w:trPr>
        <w:tc>
          <w:tcPr>
            <w:tcW w:w="4980" w:type="dxa"/>
            <w:vAlign w:val="bottom"/>
            <w:gridSpan w:val="2"/>
          </w:tcPr>
          <w:p>
            <w:pPr>
              <w:spacing w:after="0"/>
              <w:rPr>
                <w:sz w:val="20"/>
                <w:szCs w:val="20"/>
                <w:color w:val="auto"/>
              </w:rPr>
            </w:pPr>
            <w:r>
              <w:rPr>
                <w:rFonts w:ascii="Arial" w:cs="Arial" w:eastAsia="Arial" w:hAnsi="Arial"/>
                <w:sz w:val="16"/>
                <w:szCs w:val="16"/>
                <w:color w:val="auto"/>
              </w:rPr>
              <w:t>Diluted weighted average shares outstanding</w:t>
            </w:r>
          </w:p>
        </w:tc>
        <w:tc>
          <w:tcPr>
            <w:tcW w:w="240" w:type="dxa"/>
            <w:vAlign w:val="bottom"/>
          </w:tcPr>
          <w:p>
            <w:pPr>
              <w:spacing w:after="0"/>
              <w:rPr>
                <w:sz w:val="24"/>
                <w:szCs w:val="24"/>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w w:val="95"/>
              </w:rPr>
              <w:t>9,192,714</w:t>
            </w:r>
          </w:p>
        </w:tc>
        <w:tc>
          <w:tcPr>
            <w:tcW w:w="1000" w:type="dxa"/>
            <w:vAlign w:val="bottom"/>
          </w:tcPr>
          <w:p>
            <w:pPr>
              <w:ind w:left="100"/>
              <w:spacing w:after="0"/>
              <w:rPr>
                <w:sz w:val="20"/>
                <w:szCs w:val="20"/>
                <w:color w:val="auto"/>
              </w:rPr>
            </w:pPr>
            <w:r>
              <w:rPr>
                <w:rFonts w:ascii="Arial" w:cs="Arial" w:eastAsia="Arial" w:hAnsi="Arial"/>
                <w:sz w:val="16"/>
                <w:szCs w:val="16"/>
                <w:color w:val="auto"/>
              </w:rPr>
              <w:t>9,237,214</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w w:val="89"/>
              </w:rPr>
              <w:t>9,214,685</w:t>
            </w:r>
          </w:p>
        </w:tc>
        <w:tc>
          <w:tcPr>
            <w:tcW w:w="1000" w:type="dxa"/>
            <w:vAlign w:val="bottom"/>
          </w:tcPr>
          <w:p>
            <w:pPr>
              <w:ind w:left="120"/>
              <w:spacing w:after="0"/>
              <w:rPr>
                <w:sz w:val="20"/>
                <w:szCs w:val="20"/>
                <w:color w:val="auto"/>
              </w:rPr>
            </w:pPr>
            <w:r>
              <w:rPr>
                <w:rFonts w:ascii="Arial" w:cs="Arial" w:eastAsia="Arial" w:hAnsi="Arial"/>
                <w:sz w:val="16"/>
                <w:szCs w:val="16"/>
                <w:color w:val="auto"/>
              </w:rPr>
              <w:t>9,271,811</w:t>
            </w:r>
          </w:p>
        </w:tc>
        <w:tc>
          <w:tcPr>
            <w:tcW w:w="0" w:type="dxa"/>
            <w:vAlign w:val="bottom"/>
          </w:tcPr>
          <w:p>
            <w:pPr>
              <w:spacing w:after="0"/>
              <w:rPr>
                <w:sz w:val="1"/>
                <w:szCs w:val="1"/>
                <w:color w:val="auto"/>
              </w:rPr>
            </w:pPr>
          </w:p>
        </w:tc>
      </w:tr>
      <w:tr>
        <w:trPr>
          <w:trHeight w:val="428"/>
        </w:trPr>
        <w:tc>
          <w:tcPr>
            <w:tcW w:w="8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ind w:left="1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ind w:lef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980" w:type="dxa"/>
            <w:vAlign w:val="bottom"/>
            <w:gridSpan w:val="2"/>
          </w:tcPr>
          <w:p>
            <w:pPr>
              <w:spacing w:after="0"/>
              <w:rPr>
                <w:sz w:val="20"/>
                <w:szCs w:val="20"/>
                <w:color w:val="auto"/>
              </w:rPr>
            </w:pPr>
            <w:r>
              <w:rPr>
                <w:rFonts w:ascii="Arial" w:cs="Arial" w:eastAsia="Arial" w:hAnsi="Arial"/>
                <w:sz w:val="16"/>
                <w:szCs w:val="16"/>
                <w:color w:val="auto"/>
              </w:rPr>
              <w:t>Basic Adjusted EBITDA per common share</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00"/>
              <w:spacing w:after="0"/>
              <w:rPr>
                <w:sz w:val="20"/>
                <w:szCs w:val="20"/>
                <w:color w:val="auto"/>
              </w:rPr>
            </w:pPr>
            <w:r>
              <w:rPr>
                <w:rFonts w:ascii="Arial" w:cs="Arial" w:eastAsia="Arial" w:hAnsi="Arial"/>
                <w:sz w:val="16"/>
                <w:szCs w:val="16"/>
                <w:color w:val="auto"/>
              </w:rPr>
              <w:t>0.31</w:t>
            </w:r>
          </w:p>
        </w:tc>
        <w:tc>
          <w:tcPr>
            <w:tcW w:w="1000" w:type="dxa"/>
            <w:vAlign w:val="bottom"/>
          </w:tcPr>
          <w:p>
            <w:pPr>
              <w:ind w:left="100"/>
              <w:spacing w:after="0"/>
              <w:rPr>
                <w:sz w:val="20"/>
                <w:szCs w:val="20"/>
                <w:color w:val="auto"/>
              </w:rPr>
            </w:pPr>
            <w:r>
              <w:rPr>
                <w:rFonts w:ascii="Arial" w:cs="Arial" w:eastAsia="Arial" w:hAnsi="Arial"/>
                <w:sz w:val="16"/>
                <w:szCs w:val="16"/>
                <w:color w:val="auto"/>
              </w:rPr>
              <w:t>0.28</w:t>
            </w:r>
          </w:p>
        </w:tc>
        <w:tc>
          <w:tcPr>
            <w:tcW w:w="28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0.88</w:t>
            </w:r>
          </w:p>
        </w:tc>
        <w:tc>
          <w:tcPr>
            <w:tcW w:w="1000" w:type="dxa"/>
            <w:vAlign w:val="bottom"/>
          </w:tcPr>
          <w:p>
            <w:pPr>
              <w:ind w:left="1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ind w:left="1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ind w:lef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980" w:type="dxa"/>
            <w:vAlign w:val="bottom"/>
            <w:gridSpan w:val="2"/>
          </w:tcPr>
          <w:p>
            <w:pPr>
              <w:spacing w:after="0"/>
              <w:rPr>
                <w:sz w:val="20"/>
                <w:szCs w:val="20"/>
                <w:color w:val="auto"/>
              </w:rPr>
            </w:pPr>
            <w:r>
              <w:rPr>
                <w:rFonts w:ascii="Arial" w:cs="Arial" w:eastAsia="Arial" w:hAnsi="Arial"/>
                <w:sz w:val="16"/>
                <w:szCs w:val="16"/>
                <w:color w:val="auto"/>
              </w:rPr>
              <w:t>Diluted Adjusted EBITDA per common share</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00"/>
              <w:spacing w:after="0"/>
              <w:rPr>
                <w:sz w:val="20"/>
                <w:szCs w:val="20"/>
                <w:color w:val="auto"/>
              </w:rPr>
            </w:pPr>
            <w:r>
              <w:rPr>
                <w:rFonts w:ascii="Arial" w:cs="Arial" w:eastAsia="Arial" w:hAnsi="Arial"/>
                <w:sz w:val="16"/>
                <w:szCs w:val="16"/>
                <w:color w:val="auto"/>
              </w:rPr>
              <w:t>0.31</w:t>
            </w:r>
          </w:p>
        </w:tc>
        <w:tc>
          <w:tcPr>
            <w:tcW w:w="1000" w:type="dxa"/>
            <w:vAlign w:val="bottom"/>
          </w:tcPr>
          <w:p>
            <w:pPr>
              <w:ind w:left="100"/>
              <w:spacing w:after="0"/>
              <w:rPr>
                <w:sz w:val="20"/>
                <w:szCs w:val="20"/>
                <w:color w:val="auto"/>
              </w:rPr>
            </w:pPr>
            <w:r>
              <w:rPr>
                <w:rFonts w:ascii="Arial" w:cs="Arial" w:eastAsia="Arial" w:hAnsi="Arial"/>
                <w:sz w:val="16"/>
                <w:szCs w:val="16"/>
                <w:color w:val="auto"/>
              </w:rPr>
              <w:t>0.28</w:t>
            </w:r>
          </w:p>
        </w:tc>
        <w:tc>
          <w:tcPr>
            <w:tcW w:w="28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0.87</w:t>
            </w:r>
          </w:p>
        </w:tc>
        <w:tc>
          <w:tcPr>
            <w:tcW w:w="1000" w:type="dxa"/>
            <w:vAlign w:val="bottom"/>
          </w:tcPr>
          <w:p>
            <w:pPr>
              <w:ind w:left="120"/>
              <w:spacing w:after="0"/>
              <w:rPr>
                <w:sz w:val="20"/>
                <w:szCs w:val="20"/>
                <w:color w:val="auto"/>
              </w:rPr>
            </w:pPr>
            <w:r>
              <w:rPr>
                <w:rFonts w:ascii="Arial" w:cs="Arial" w:eastAsia="Arial" w:hAnsi="Arial"/>
                <w:sz w:val="16"/>
                <w:szCs w:val="16"/>
                <w:color w:val="auto"/>
              </w:rPr>
              <w:t>0.97</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2019-12-06T03:06:50Z</dcterms:created>
  <dcterms:modified xsi:type="dcterms:W3CDTF">2019-12-06T03:06:50Z</dcterms:modified>
</cp:coreProperties>
</file>