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(Amendment No. 1)</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26" w:lineRule="auto"/>
        <w:rPr>
          <w:sz w:val="20"/>
          <w:szCs w:val="20"/>
          <w:color w:val="auto"/>
        </w:rPr>
      </w:pPr>
      <w:r>
        <w:rPr>
          <w:rFonts w:ascii="Arial" w:cs="Arial" w:eastAsia="Arial" w:hAnsi="Arial"/>
          <w:sz w:val="43"/>
          <w:szCs w:val="43"/>
          <w:color w:val="auto"/>
          <w:vertAlign w:val="subscript"/>
        </w:rPr>
        <w:t>[x]</w:t>
      </w:r>
      <w:r>
        <w:rPr>
          <w:rFonts w:ascii="Arial" w:cs="Arial" w:eastAsia="Arial" w:hAnsi="Arial"/>
          <w:sz w:val="16"/>
          <w:szCs w:val="16"/>
          <w:b w:val="1"/>
          <w:bCs w:val="1"/>
          <w:color w:val="auto"/>
        </w:rPr>
        <w:t>QUARTERLY REPORT PURSUANT TO SECTION 13 OR 15(D) OF THE SECURITIES EXCHANGE ACT OF 1934</w:t>
      </w:r>
    </w:p>
    <w:p>
      <w:pPr>
        <w:ind w:left="260"/>
        <w:spacing w:after="0" w:line="232" w:lineRule="auto"/>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June 30, 2012</w:t>
      </w:r>
    </w:p>
    <w:p>
      <w:pPr>
        <w:ind w:left="1300"/>
        <w:spacing w:after="0" w:line="230" w:lineRule="auto"/>
        <w:rPr>
          <w:sz w:val="20"/>
          <w:szCs w:val="20"/>
          <w:color w:val="auto"/>
        </w:rPr>
      </w:pPr>
      <w:r>
        <w:rPr>
          <w:rFonts w:ascii="Arial" w:cs="Arial" w:eastAsia="Arial" w:hAnsi="Arial"/>
          <w:sz w:val="22"/>
          <w:szCs w:val="22"/>
          <w:color w:val="auto"/>
        </w:rPr>
        <w:t>or</w:t>
      </w:r>
    </w:p>
    <w:p>
      <w:pPr>
        <w:ind w:left="140" w:hanging="132"/>
        <w:spacing w:after="0" w:line="181" w:lineRule="auto"/>
        <w:tabs>
          <w:tab w:leader="none" w:pos="140" w:val="left"/>
        </w:tabs>
        <w:numPr>
          <w:ilvl w:val="0"/>
          <w:numId w:val="1"/>
        </w:numPr>
        <w:rPr>
          <w:rFonts w:ascii="Arial" w:cs="Arial" w:eastAsia="Arial" w:hAnsi="Arial"/>
          <w:sz w:val="25"/>
          <w:szCs w:val="25"/>
          <w:color w:val="auto"/>
          <w:vertAlign w:val="subscript"/>
        </w:rPr>
      </w:pPr>
      <w:r>
        <w:rPr>
          <w:rFonts w:ascii="Arial" w:cs="Arial" w:eastAsia="Arial" w:hAnsi="Arial"/>
          <w:sz w:val="25"/>
          <w:szCs w:val="25"/>
          <w:color w:val="auto"/>
          <w:vertAlign w:val="subscript"/>
        </w:rPr>
        <w:t>]</w:t>
      </w:r>
      <w:r>
        <w:rPr>
          <w:rFonts w:ascii="Arial" w:cs="Arial" w:eastAsia="Arial" w:hAnsi="Arial"/>
          <w:sz w:val="13"/>
          <w:szCs w:val="13"/>
          <w:b w:val="1"/>
          <w:bCs w:val="1"/>
          <w:color w:val="auto"/>
        </w:rPr>
        <w:t>TRANSITION REPORT PURSUANT TO SECTION 13 OR 15(d) OF THE SECURITIES EXCHANGE ACT OF 1934</w:t>
      </w: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spacing w:after="0" w:line="200" w:lineRule="exact"/>
        <w:rPr>
          <w:sz w:val="24"/>
          <w:szCs w:val="24"/>
          <w:color w:val="auto"/>
        </w:rPr>
      </w:pPr>
    </w:p>
    <w:p>
      <w:pPr>
        <w:spacing w:after="0" w:line="34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220" w:type="dxa"/>
        <w:tblCellMar>
          <w:top w:w="0" w:type="dxa"/>
          <w:left w:w="0" w:type="dxa"/>
          <w:bottom w:w="0" w:type="dxa"/>
          <w:right w:w="0" w:type="dxa"/>
        </w:tblCellMar>
      </w:tblPr>
      <w:tr>
        <w:trPr>
          <w:trHeight w:val="241"/>
        </w:trPr>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4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80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(I.R.S. employer identification number)</w:t>
            </w:r>
          </w:p>
        </w:tc>
      </w:tr>
      <w:tr>
        <w:trPr>
          <w:trHeight w:val="479"/>
        </w:trPr>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4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20"/>
                <w:szCs w:val="20"/>
                <w:color w:val="auto"/>
              </w:rPr>
            </w:pPr>
          </w:p>
        </w:tc>
        <w:tc>
          <w:tcPr>
            <w:tcW w:w="360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auto"/>
              </w:rPr>
              <w:t>(Zip Code)</w:t>
            </w:r>
          </w:p>
        </w:tc>
      </w:tr>
    </w:tbl>
    <w:p>
      <w:pPr>
        <w:spacing w:after="0" w:line="23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-130810</wp:posOffset>
            </wp:positionV>
            <wp:extent cx="5900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24" w:lineRule="exact"/>
        <w:rPr>
          <w:sz w:val="24"/>
          <w:szCs w:val="24"/>
          <w:color w:val="auto"/>
        </w:rPr>
      </w:pPr>
    </w:p>
    <w:p>
      <w:pPr>
        <w:ind w:right="619"/>
        <w:spacing w:after="0" w:line="238" w:lineRule="auto"/>
        <w:rPr>
          <w:sz w:val="20"/>
          <w:szCs w:val="20"/>
          <w:color w:val="auto"/>
        </w:rPr>
      </w:pPr>
      <w:r>
        <w:rPr>
          <w:rFonts w:ascii="Arial" w:cs="Arial" w:eastAsia="Arial" w:hAnsi="Arial"/>
          <w:sz w:val="22"/>
          <w:szCs w:val="22"/>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2" w:lineRule="exact"/>
        <w:rPr>
          <w:sz w:val="24"/>
          <w:szCs w:val="24"/>
          <w:color w:val="auto"/>
        </w:rPr>
      </w:pPr>
    </w:p>
    <w:p>
      <w:pPr>
        <w:ind w:right="539"/>
        <w:spacing w:after="0" w:line="238" w:lineRule="auto"/>
        <w:rPr>
          <w:sz w:val="20"/>
          <w:szCs w:val="20"/>
          <w:color w:val="auto"/>
        </w:rPr>
      </w:pPr>
      <w:r>
        <w:rPr>
          <w:rFonts w:ascii="Arial" w:cs="Arial" w:eastAsia="Arial" w:hAnsi="Arial"/>
          <w:sz w:val="22"/>
          <w:szCs w:val="2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212" w:lineRule="exact"/>
        <w:rPr>
          <w:sz w:val="24"/>
          <w:szCs w:val="24"/>
          <w:color w:val="auto"/>
        </w:rPr>
      </w:pPr>
    </w:p>
    <w:p>
      <w:pPr>
        <w:ind w:right="579"/>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ectPr>
          <w:pgSz w:w="11900" w:h="16838" w:orient="portrait"/>
          <w:cols w:equalWidth="0" w:num="1">
            <w:col w:w="10219"/>
          </w:cols>
          <w:pgMar w:left="240" w:top="706" w:right="1440"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Larger Accelerated Filer [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400" w:space="720"/>
            <w:col w:w="4099"/>
          </w:cols>
          <w:pgMar w:left="240" w:top="70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400" w:space="720"/>
            <w:col w:w="4099"/>
          </w:cols>
          <w:pgMar w:left="240" w:top="706" w:right="1440" w:bottom="1440" w:gutter="0" w:footer="0" w:header="0"/>
          <w:type w:val="continuous"/>
        </w:sectPr>
      </w:pPr>
    </w:p>
    <w:p>
      <w:pPr>
        <w:spacing w:after="0" w:line="122" w:lineRule="exact"/>
        <w:rPr>
          <w:sz w:val="24"/>
          <w:szCs w:val="24"/>
          <w:color w:val="auto"/>
        </w:rPr>
      </w:pPr>
    </w:p>
    <w:p>
      <w:pPr>
        <w:ind w:right="879"/>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 ] No [x]</w:t>
      </w:r>
    </w:p>
    <w:p>
      <w:pPr>
        <w:spacing w:after="0" w:line="200" w:lineRule="exact"/>
        <w:rPr>
          <w:sz w:val="24"/>
          <w:szCs w:val="24"/>
          <w:color w:val="auto"/>
        </w:rPr>
      </w:pPr>
    </w:p>
    <w:p>
      <w:pPr>
        <w:ind w:left="2580"/>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ind w:right="1079"/>
        <w:spacing w:after="0" w:line="274" w:lineRule="auto"/>
        <w:rPr>
          <w:sz w:val="20"/>
          <w:szCs w:val="20"/>
          <w:color w:val="auto"/>
        </w:rPr>
      </w:pPr>
      <w:r>
        <w:rPr>
          <w:rFonts w:ascii="Arial" w:cs="Arial" w:eastAsia="Arial" w:hAnsi="Arial"/>
          <w:sz w:val="21"/>
          <w:szCs w:val="21"/>
          <w:color w:val="auto"/>
        </w:rPr>
        <w:t>Indicate the number of shares outstanding of each of the issuer’s classes of common stock, as of the latest practicable date. 9,191,099 shares issued and outstanding as of August 13, 2012.</w:t>
      </w:r>
    </w:p>
    <w:p>
      <w:pPr>
        <w:sectPr>
          <w:pgSz w:w="11900" w:h="16838" w:orient="portrait"/>
          <w:cols w:equalWidth="0" w:num="1">
            <w:col w:w="10219"/>
          </w:cols>
          <w:pgMar w:left="240" w:top="706" w:right="1440" w:bottom="1440" w:gutter="0" w:footer="0" w:header="0"/>
          <w:type w:val="continuous"/>
        </w:sectPr>
      </w:pPr>
    </w:p>
    <w:bookmarkStart w:id="1" w:name="page2"/>
    <w:bookmarkEnd w:id="1"/>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EXPLANATORY NOTE</w:t>
      </w:r>
    </w:p>
    <w:p>
      <w:pPr>
        <w:spacing w:after="0" w:line="254" w:lineRule="exact"/>
        <w:rPr>
          <w:sz w:val="20"/>
          <w:szCs w:val="20"/>
          <w:color w:val="auto"/>
        </w:rPr>
      </w:pPr>
    </w:p>
    <w:p>
      <w:pPr>
        <w:ind w:right="1159" w:firstLine="648"/>
        <w:spacing w:after="0" w:line="279" w:lineRule="auto"/>
        <w:rPr>
          <w:sz w:val="20"/>
          <w:szCs w:val="20"/>
          <w:color w:val="auto"/>
        </w:rPr>
      </w:pPr>
      <w:r>
        <w:rPr>
          <w:rFonts w:ascii="Arial" w:cs="Arial" w:eastAsia="Arial" w:hAnsi="Arial"/>
          <w:sz w:val="19"/>
          <w:szCs w:val="19"/>
          <w:color w:val="auto"/>
        </w:rPr>
        <w:t>The sole purpose of this Amendment No. 1 to the registrant’s Quarterly Report on Form 10-Q for the quarter ended June 30, 2012 (the “Form 10-Q”) is to furnish the interactive data files as required by Rule 405 of Regulation S-T. Exhibit 101 to this Amendment No. 1 provides the following materials from the Form 10-Q, formatted in XBRL (eXtensible Business Reporting Language): (i) consolidated balance sheets, (ii) consolidated statements of operations, (iii) consolidated statements of cash flows, and (iv) the notes to the consolidated financial statements.</w:t>
      </w:r>
    </w:p>
    <w:p>
      <w:pPr>
        <w:spacing w:after="0" w:line="178" w:lineRule="exact"/>
        <w:rPr>
          <w:sz w:val="20"/>
          <w:szCs w:val="20"/>
          <w:color w:val="auto"/>
        </w:rPr>
      </w:pPr>
    </w:p>
    <w:p>
      <w:pPr>
        <w:jc w:val="both"/>
        <w:ind w:right="1159" w:firstLine="648"/>
        <w:spacing w:after="0" w:line="236" w:lineRule="auto"/>
        <w:rPr>
          <w:sz w:val="20"/>
          <w:szCs w:val="20"/>
          <w:color w:val="auto"/>
        </w:rPr>
      </w:pPr>
      <w:r>
        <w:rPr>
          <w:rFonts w:ascii="Arial" w:cs="Arial" w:eastAsia="Arial" w:hAnsi="Arial"/>
          <w:sz w:val="22"/>
          <w:szCs w:val="22"/>
          <w:color w:val="auto"/>
        </w:rPr>
        <w:t>Users of this data are advised that pursuant to Rule 406T of Regulation S-T these interactive data files are deemed not filed or part of a registration statement or prospectus for purposes of Sections 11 or 12 of the Securities Act of 1933, as amended, are deemed not filed for the purposes of Section 18 of the Securities and Exchange Act of 1934, as amended, and otherwise are not subject to liability under those sections.</w:t>
      </w:r>
    </w:p>
    <w:p>
      <w:pPr>
        <w:spacing w:after="0" w:line="215" w:lineRule="exact"/>
        <w:rPr>
          <w:sz w:val="20"/>
          <w:szCs w:val="20"/>
          <w:color w:val="auto"/>
        </w:rPr>
      </w:pPr>
    </w:p>
    <w:p>
      <w:pPr>
        <w:ind w:right="1219" w:firstLine="648"/>
        <w:spacing w:after="0" w:line="258" w:lineRule="auto"/>
        <w:rPr>
          <w:sz w:val="20"/>
          <w:szCs w:val="20"/>
          <w:color w:val="auto"/>
        </w:rPr>
      </w:pPr>
      <w:r>
        <w:rPr>
          <w:rFonts w:ascii="Arial" w:cs="Arial" w:eastAsia="Arial" w:hAnsi="Arial"/>
          <w:sz w:val="21"/>
          <w:szCs w:val="21"/>
          <w:color w:val="auto"/>
        </w:rPr>
        <w:t>No other changes have been made to the Form 10-Q other than those described above. This Amendment No. 1 does not reflect subsequent events occurring after the original filing date of the Form 10-Q or modify or update in any way disclosures made in the Form 10-Q.</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5820" w:type="dxa"/>
            <w:vAlign w:val="bottom"/>
            <w:gridSpan w:val="4"/>
          </w:tcPr>
          <w:p>
            <w:pPr>
              <w:ind w:left="520"/>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302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 Previously filed</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 Previously filed</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w w:val="90"/>
              </w:rPr>
              <w:t>Section 906</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 Previously filed</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rPr>
              <w:t>XBRL Instance Document – Submitted herewith</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rPr>
              <w:t>XBRL Taxonomy Extension Schema – Submitted herewith</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w w:val="93"/>
              </w:rPr>
              <w:t>XBRL Taxonomy Extension Calculation Linkbase – Submitted herewith</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w w:val="94"/>
              </w:rPr>
              <w:t>XBRL Taxonomy Extension Definitions Linkbase – Submitted herewith</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rPr>
              <w:t>XBRL Taxonomy Extension Label Linkbase – Submitted herewith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820" w:type="dxa"/>
            <w:vAlign w:val="bottom"/>
            <w:gridSpan w:val="4"/>
          </w:tcPr>
          <w:p>
            <w:pPr>
              <w:ind w:left="520"/>
              <w:spacing w:after="0"/>
              <w:rPr>
                <w:sz w:val="20"/>
                <w:szCs w:val="20"/>
                <w:color w:val="auto"/>
              </w:rPr>
            </w:pPr>
            <w:r>
              <w:rPr>
                <w:rFonts w:ascii="Arial" w:cs="Arial" w:eastAsia="Arial" w:hAnsi="Arial"/>
                <w:sz w:val="18"/>
                <w:szCs w:val="18"/>
                <w:color w:val="auto"/>
                <w:w w:val="91"/>
              </w:rPr>
              <w:t>XBRL Taxonomy Extension Presentation Linkbase – Submitted herewith</w:t>
            </w:r>
          </w:p>
        </w:tc>
      </w:tr>
    </w:tbl>
    <w:p>
      <w:pPr>
        <w:sectPr>
          <w:pgSz w:w="11900" w:h="16838" w:orient="portrait"/>
          <w:cols w:equalWidth="0" w:num="1">
            <w:col w:w="10219"/>
          </w:cols>
          <w:pgMar w:left="240" w:top="111" w:right="1440" w:bottom="1440" w:gutter="0" w:footer="0" w:header="0"/>
        </w:sectPr>
      </w:pPr>
    </w:p>
    <w:bookmarkStart w:id="2" w:name="page3"/>
    <w:bookmarkEnd w:id="2"/>
    <w:p>
      <w:pPr>
        <w:ind w:left="2580"/>
        <w:spacing w:after="0"/>
        <w:rPr>
          <w:sz w:val="20"/>
          <w:szCs w:val="20"/>
          <w:color w:val="auto"/>
        </w:rPr>
      </w:pPr>
      <w:r>
        <w:rPr>
          <w:rFonts w:ascii="Arial" w:cs="Arial" w:eastAsia="Arial" w:hAnsi="Arial"/>
          <w:sz w:val="22"/>
          <w:szCs w:val="22"/>
          <w:b w:val="1"/>
          <w:bCs w:val="1"/>
          <w:color w:val="auto"/>
        </w:rPr>
        <w:t>CLEARONE COMMUNICATIONS, INC.</w:t>
      </w:r>
    </w:p>
    <w:p>
      <w:pPr>
        <w:spacing w:after="0" w:line="200" w:lineRule="exact"/>
        <w:rPr>
          <w:sz w:val="20"/>
          <w:szCs w:val="20"/>
          <w:color w:val="auto"/>
        </w:rPr>
      </w:pPr>
    </w:p>
    <w:p>
      <w:pPr>
        <w:spacing w:after="0" w:line="277"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259"/>
        <w:spacing w:after="0" w:line="274" w:lineRule="auto"/>
        <w:rPr>
          <w:sz w:val="20"/>
          <w:szCs w:val="20"/>
          <w:color w:val="auto"/>
        </w:rPr>
      </w:pPr>
      <w:r>
        <w:rPr>
          <w:rFonts w:ascii="Arial" w:cs="Arial" w:eastAsia="Arial" w:hAnsi="Arial"/>
          <w:sz w:val="21"/>
          <w:szCs w:val="21"/>
          <w:color w:val="auto"/>
        </w:rPr>
        <w:t>Pursuant to the requirements of the Securities and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ClearOne Communications, Inc.,</w:t>
            </w:r>
          </w:p>
        </w:tc>
      </w:tr>
      <w:tr>
        <w:trPr>
          <w:trHeight w:val="230"/>
        </w:trPr>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September 13, 2012</w:t>
            </w:r>
          </w:p>
        </w:tc>
        <w:tc>
          <w:tcPr>
            <w:tcW w:w="2080" w:type="dxa"/>
            <w:vAlign w:val="bottom"/>
          </w:tcPr>
          <w:p>
            <w:pPr>
              <w:ind w:left="152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Zeynep Hakimoglu</w:t>
            </w:r>
          </w:p>
        </w:tc>
      </w:tr>
      <w:tr>
        <w:trPr>
          <w:trHeight w:val="195"/>
        </w:trPr>
        <w:tc>
          <w:tcPr>
            <w:tcW w:w="2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c>
          <w:tcPr>
            <w:tcW w:w="116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September 13, 2012</w:t>
            </w:r>
          </w:p>
        </w:tc>
        <w:tc>
          <w:tcPr>
            <w:tcW w:w="2080" w:type="dxa"/>
            <w:vAlign w:val="bottom"/>
          </w:tcPr>
          <w:p>
            <w:pPr>
              <w:ind w:left="1520"/>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rPr>
              <w:t>/s/ Narsi Narayanan</w:t>
            </w:r>
          </w:p>
        </w:tc>
      </w:tr>
      <w:tr>
        <w:trPr>
          <w:trHeight w:val="195"/>
        </w:trPr>
        <w:tc>
          <w:tcPr>
            <w:tcW w:w="2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c>
          <w:tcPr>
            <w:tcW w:w="116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Arial" w:cs="Arial" w:eastAsia="Arial" w:hAnsi="Arial"/>
                <w:sz w:val="18"/>
                <w:szCs w:val="18"/>
                <w:color w:val="auto"/>
              </w:rPr>
              <w:t>Vice President of Finance</w:t>
            </w:r>
          </w:p>
        </w:tc>
      </w:tr>
      <w:tr>
        <w:trPr>
          <w:trHeight w:val="230"/>
        </w:trPr>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2019-12-09T10:01:22Z</dcterms:created>
  <dcterms:modified xsi:type="dcterms:W3CDTF">2019-12-09T10:01:22Z</dcterms:modified>
</cp:coreProperties>
</file>