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October 20, 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tbl>
      <w:tblPr>
        <w:tblLayout w:type="fixed"/>
        <w:tblInd w:w="4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Re: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ClearOne, Inc. (the “Company”)</w:t>
            </w:r>
          </w:p>
        </w:tc>
      </w:tr>
      <w:tr>
        <w:trPr>
          <w:trHeight w:val="29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Registration Statement on Form S-1</w:t>
            </w:r>
          </w:p>
        </w:tc>
      </w:tr>
      <w:tr>
        <w:trPr>
          <w:trHeight w:val="30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(File No. 333-249506)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both"/>
        <w:ind w:firstLine="81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Pursuant to Rule 461 of the General Rules and Regulations under the Securities Act of 1933, as amended, the Company hereby requests that the effective date of the above-captioned Registration Statement be accelerated so that the Registration Statement may become effective at 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4:00 p.m.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Eastern Daylight Time, on 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Friday, October 23, 2020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or as soon thereafter as practicable.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 connection herewith, the Company hereby acknowledges that: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Should the Securities and Exchange Commission (the “Commission”), or the Commissions staff, acting pursuant to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220" w:right="240" w:hanging="530"/>
        <w:spacing w:after="0" w:line="236" w:lineRule="auto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delegated authority, declare the filing effective, it does not foreclose the Commission from taking any action with respect to the filing;</w:t>
      </w:r>
    </w:p>
    <w:p>
      <w:pPr>
        <w:spacing w:after="0" w:line="24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220"/>
        <w:spacing w:after="0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action of the Commission or the staff, acting pursuant to delegated authority, in declaring the filing effective,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220" w:right="440" w:hanging="530"/>
        <w:spacing w:after="0" w:line="236" w:lineRule="auto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does not relieve the Company from its full responsibility for the adequacy and accuracy of the disclosure in the filing; and</w:t>
      </w:r>
    </w:p>
    <w:p>
      <w:pPr>
        <w:spacing w:after="0" w:line="24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220"/>
        <w:spacing w:after="0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Company may not assert comments from the Commission or the staff or the declaration of effectiveness of the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220" w:right="140" w:hanging="530"/>
        <w:spacing w:after="0" w:line="236" w:lineRule="auto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above-captioned Registration Statement as a defense in any proceeding initiated by the Commission or any person under the federal securities laws of the United States.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Sincerely,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CLEARONE, INC.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2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/s/ Zeynep Hakimoglu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Name: Zeynep Hakimoglu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Title: Chief Executive Officer</w:t>
      </w:r>
    </w:p>
    <w:sectPr>
      <w:pgSz w:w="11900" w:h="16838" w:orient="portrait"/>
      <w:cols w:equalWidth="0" w:num="1">
        <w:col w:w="11240"/>
      </w:cols>
      <w:pgMar w:left="320" w:top="226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2020-11-23T23:06:41Z</dcterms:created>
  <dcterms:modified xsi:type="dcterms:W3CDTF">2020-11-23T23:06:41Z</dcterms:modified>
</cp:coreProperties>
</file>