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0" w:right="1680" w:hanging="372"/>
        <w:spacing w:after="0" w:line="510"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June 30, 2025</w:t>
      </w:r>
    </w:p>
    <w:p>
      <w:pPr>
        <w:spacing w:after="0" w:line="38"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transition period _______ to 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u w:val="single" w:color="auto"/>
          <w:color w:val="auto"/>
        </w:rPr>
        <w:t>001-33660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540"/>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40" w:type="dxa"/>
            <w:vAlign w:val="bottom"/>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418"/>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9"/>
        </w:trPr>
        <w:tc>
          <w:tcPr>
            <w:tcW w:w="49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CLRO</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Larger Accelerated Filer </w:t>
            </w:r>
            <w:r>
              <w:rPr>
                <w:rFonts w:ascii="MS PGothic" w:cs="MS PGothic" w:eastAsia="MS PGothic" w:hAnsi="MS PGothic"/>
                <w:sz w:val="18"/>
                <w:szCs w:val="18"/>
                <w:color w:val="auto"/>
              </w:rPr>
              <w:t>☐</w:t>
            </w:r>
          </w:p>
        </w:tc>
        <w:tc>
          <w:tcPr>
            <w:tcW w:w="4100" w:type="dxa"/>
            <w:vAlign w:val="bottom"/>
          </w:tcPr>
          <w:p>
            <w:pPr>
              <w:ind w:left="182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70"/>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100" w:type="dxa"/>
            <w:vAlign w:val="bottom"/>
          </w:tcPr>
          <w:p>
            <w:pPr>
              <w:ind w:left="182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3800" w:type="dxa"/>
            <w:vAlign w:val="bottom"/>
          </w:tcPr>
          <w:p>
            <w:pPr>
              <w:spacing w:after="0"/>
              <w:rPr>
                <w:sz w:val="24"/>
                <w:szCs w:val="24"/>
                <w:color w:val="auto"/>
              </w:rPr>
            </w:pPr>
          </w:p>
        </w:tc>
        <w:tc>
          <w:tcPr>
            <w:tcW w:w="4100" w:type="dxa"/>
            <w:vAlign w:val="bottom"/>
          </w:tcPr>
          <w:p>
            <w:pPr>
              <w:ind w:left="1820"/>
              <w:spacing w:after="0" w:line="207" w:lineRule="exact"/>
              <w:rPr>
                <w:sz w:val="20"/>
                <w:szCs w:val="20"/>
                <w:color w:val="auto"/>
              </w:rPr>
            </w:pPr>
            <w:r>
              <w:rPr>
                <w:rFonts w:ascii="Times New Roman" w:cs="Times New Roman" w:eastAsia="Times New Roman" w:hAnsi="Times New Roman"/>
                <w:sz w:val="18"/>
                <w:szCs w:val="18"/>
                <w:color w:val="auto"/>
                <w:w w:val="99"/>
              </w:rPr>
              <w:t xml:space="preserve">Emerging Growth Company </w:t>
            </w:r>
            <w:r>
              <w:rPr>
                <w:rFonts w:ascii="MS PGothic" w:cs="MS PGothic" w:eastAsia="MS PGothic" w:hAnsi="MS PGothic"/>
                <w:sz w:val="18"/>
                <w:szCs w:val="18"/>
                <w:color w:val="auto"/>
                <w:w w:val="99"/>
              </w:rPr>
              <w:t>☐</w:t>
            </w:r>
          </w:p>
        </w:tc>
      </w:tr>
    </w:tbl>
    <w:p>
      <w:pPr>
        <w:spacing w:after="0" w:line="1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August 14, 2025 was 1,734,249.</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JUNE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INDEX</w:t>
            </w: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June 30, 2025 and December 31, 2024</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spacing w:after="0"/>
              <w:rPr>
                <w:sz w:val="15"/>
                <w:szCs w:val="15"/>
                <w:color w:val="auto"/>
              </w:rPr>
            </w:pPr>
          </w:p>
        </w:tc>
        <w:tc>
          <w:tcPr>
            <w:tcW w:w="92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and six months ended June</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28"/>
        </w:trPr>
        <w:tc>
          <w:tcPr>
            <w:tcW w:w="920" w:type="dxa"/>
            <w:vAlign w:val="bottom"/>
            <w:shd w:val="clear" w:color="auto" w:fill="CCEEFF"/>
          </w:tcPr>
          <w:p>
            <w:pPr>
              <w:spacing w:after="0"/>
              <w:rPr>
                <w:sz w:val="11"/>
                <w:szCs w:val="11"/>
                <w:color w:val="auto"/>
              </w:rPr>
            </w:pPr>
          </w:p>
        </w:tc>
        <w:tc>
          <w:tcPr>
            <w:tcW w:w="9500" w:type="dxa"/>
            <w:vAlign w:val="bottom"/>
            <w:gridSpan w:val="18"/>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 2025 and 2024</w:t>
            </w: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9500" w:type="dxa"/>
            <w:vAlign w:val="bottom"/>
            <w:gridSpan w:val="18"/>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June 30, 2025 and 2024</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Condensed Consolidated 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43"/>
        </w:trPr>
        <w:tc>
          <w:tcPr>
            <w:tcW w:w="92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2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8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900" w:type="dxa"/>
            <w:vAlign w:val="bottom"/>
            <w:tcBorders>
              <w:bottom w:val="single" w:sz="8" w:color="CCEEFF"/>
            </w:tcBorders>
            <w:gridSpan w:val="17"/>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780" w:type="dxa"/>
            <w:vAlign w:val="bottom"/>
            <w:gridSpan w:val="13"/>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8"/>
        </w:trPr>
        <w:tc>
          <w:tcPr>
            <w:tcW w:w="8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60" w:type="dxa"/>
            <w:vAlign w:val="bottom"/>
            <w:tcBorders>
              <w:top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 of allowance of $267 and $405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3,894</w:t>
            </w:r>
          </w:p>
        </w:tc>
        <w:tc>
          <w:tcPr>
            <w:tcW w:w="0" w:type="dxa"/>
            <w:vAlign w:val="bottom"/>
          </w:tcPr>
          <w:p>
            <w:pPr>
              <w:spacing w:after="0"/>
              <w:rPr>
                <w:sz w:val="1"/>
                <w:szCs w:val="1"/>
                <w:color w:val="auto"/>
              </w:rPr>
            </w:pPr>
          </w:p>
        </w:tc>
      </w:tr>
      <w:tr>
        <w:trPr>
          <w:trHeight w:val="209"/>
        </w:trPr>
        <w:tc>
          <w:tcPr>
            <w:tcW w:w="8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4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8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Short-term note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0"/>
        </w:trPr>
        <w:tc>
          <w:tcPr>
            <w:tcW w:w="8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150,000,000 shares authorized, 1,734,249 and 1,599,534 shares issued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31,694</w:t>
            </w:r>
          </w:p>
        </w:tc>
        <w:tc>
          <w:tcPr>
            <w:tcW w:w="0" w:type="dxa"/>
            <w:vAlign w:val="bottom"/>
          </w:tcPr>
          <w:p>
            <w:pPr>
              <w:spacing w:after="0"/>
              <w:rPr>
                <w:sz w:val="1"/>
                <w:szCs w:val="1"/>
                <w:color w:val="auto"/>
              </w:rPr>
            </w:pPr>
          </w:p>
        </w:tc>
      </w:tr>
      <w:tr>
        <w:trPr>
          <w:trHeight w:val="229"/>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(10,059)</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5"/>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5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2,147</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2,324</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4,339</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2,499</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2,050</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2,746</w:t>
            </w:r>
          </w:p>
        </w:tc>
        <w:tc>
          <w:tcPr>
            <w:tcW w:w="3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(2,924)</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(7,405)</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(4,564)</w:t>
            </w:r>
          </w:p>
        </w:tc>
        <w:tc>
          <w:tcPr>
            <w:tcW w:w="2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(7,398)</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(4,572)</w:t>
            </w: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(2,820)</w:t>
            </w:r>
          </w:p>
        </w:tc>
        <w:tc>
          <w:tcPr>
            <w:tcW w:w="20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(7,406)</w:t>
            </w:r>
          </w:p>
        </w:tc>
        <w:tc>
          <w:tcPr>
            <w:tcW w:w="220" w:type="dxa"/>
            <w:vAlign w:val="bottom"/>
          </w:tcPr>
          <w:p>
            <w:pPr>
              <w:spacing w:after="0"/>
              <w:rPr>
                <w:sz w:val="13"/>
                <w:szCs w:val="13"/>
                <w:color w:val="auto"/>
              </w:rPr>
            </w:pPr>
          </w:p>
        </w:tc>
        <w:tc>
          <w:tcPr>
            <w:tcW w:w="30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(4,718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5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97"/>
        </w:trPr>
        <w:tc>
          <w:tcPr>
            <w:tcW w:w="5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1,733,307</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1,597,943</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1,691,836</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1,597,943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1,733,307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1,597,943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1,691,836</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1,597,943</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(4,718)</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(4,582)</w:t>
            </w: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(2,824)</w:t>
            </w:r>
          </w:p>
        </w:tc>
        <w:tc>
          <w:tcPr>
            <w:tcW w:w="20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(7,429)</w:t>
            </w:r>
          </w:p>
        </w:tc>
        <w:tc>
          <w:tcPr>
            <w:tcW w:w="220" w:type="dxa"/>
            <w:vAlign w:val="bottom"/>
            <w:vMerge w:val="continue"/>
          </w:tcPr>
          <w:p>
            <w:pPr>
              <w:spacing w:after="0"/>
              <w:rPr>
                <w:sz w:val="13"/>
                <w:szCs w:val="13"/>
                <w:color w:val="auto"/>
              </w:rPr>
            </w:pPr>
          </w:p>
        </w:tc>
        <w:tc>
          <w:tcPr>
            <w:tcW w:w="30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(4,702</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5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(4,718)</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of inventory to net realizable value</w:t>
            </w:r>
          </w:p>
        </w:tc>
        <w:tc>
          <w:tcPr>
            <w:tcW w:w="2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1F1F1F"/>
              </w:rPr>
              <w:t>—</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capitalized assets</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1,293</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4,705</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2,345</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(2,701)</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product revenue</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intangibles</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2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5,372</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capitalized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(3,358)</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stock</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equity-based compensation programs</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Payment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(14,490)</w:t>
            </w: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70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41"/>
        </w:trPr>
        <w:tc>
          <w:tcPr>
            <w:tcW w:w="46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1,393</w:t>
            </w:r>
          </w:p>
        </w:tc>
        <w:tc>
          <w:tcPr>
            <w:tcW w:w="3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(15,385)</w:t>
            </w:r>
          </w:p>
        </w:tc>
      </w:tr>
      <w:tr>
        <w:trPr>
          <w:trHeight w:val="234"/>
        </w:trPr>
        <w:tc>
          <w:tcPr>
            <w:tcW w:w="4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1,417</w:t>
            </w:r>
          </w:p>
        </w:tc>
        <w:tc>
          <w:tcPr>
            <w:tcW w:w="3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17,835</w:t>
            </w:r>
          </w:p>
        </w:tc>
      </w:tr>
      <w:tr>
        <w:trPr>
          <w:trHeight w:val="223"/>
        </w:trPr>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60" w:type="dxa"/>
            <w:vAlign w:val="bottom"/>
          </w:tcPr>
          <w:p>
            <w:pPr>
              <w:spacing w:after="0"/>
              <w:rPr>
                <w:sz w:val="19"/>
                <w:szCs w:val="19"/>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6"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320"/>
            <w:col w:w="650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our cash and cash equivalents were approximately $2.8 million compared to $1.4 million as of December 31, 2024. Our working capital was $9.4 million as of June 30, 2025. Net cash used in operating activities was ($2.6) million for the six months ended June 30, 2025, compared to ($2.7) million of cash used in operating activities for the six months ended June 30, 2024. The consistency in the usage of cash is primarily due to a decrease in sales and ongoing operational challenges.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and other conditions raise substantial doubt about our ability to continue as a going concern. We will need to complete one or more strategic transactions, including the pursuit of an Asset Sale (defined as the sale of all or substantially all of our current assets and operations), generate additional revenue through inventory sales, or raise additional working capital to continue our normal and planned operations. We will need to generate and sustain significant revenue levels in future periods to become profitable, and, even if we do, we may not be able to maintain or increase our level of profitability. In addition, as a public company, we will incur accounting, legal and other expenses. These expenditures will make it necessary for us to continue to raise additional working capital. Our efforts to grow our business may be costlier than we expect, and we may not be able to generate sufficient revenue to offset our increased operating expenses. We may incur significant losses in the future for several reasons, including unforeseen expenses, difficulties, complications and delays and other unknown events. Accordingly, substantial doubt exists about our ability to continue as a going concern and we cannot assure you that we will achieve sustainable operating profits as we continue to operate our business and otherwise implement our growth initiatives.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2025, the Company raised $1.0 million in a private placement transaction. On June 20, 2025, the Company entered into a Note Purchase Agreement with First Finance Ltd., pursuant to which First Finance Ltd. purchased $3.0 million aggregate principal amount of convertible notes, providing restricted proceeds intended for working capital, potential warrant repurchases, and operational needs as we pursue the Asset Sale. In connection with this financing, we are required to use reasonable best efforts to complete the Asset Sale within 180 days of issuing Class A Redeemable Preferred Stock as a dividend to common stockholders (which occurred July 18, 2025 - see Note13), with net proceeds from any Asset Sale to be distributed pro rata to holders of such preferred stock. Additionally, on June 20, 2025, we implemented a reduction in force affecting a significant portion of our workforce to scale operations and reduce expenses in alignment with the Asset Sale pursuit, which may result in short-term severance and related costs estimated at approximately $1.9 million and are expected to be incurred primarily in the third quarter of 2025. On June 24, 2025, we regained compliance with Nasdaq's minimum bid price requirement following our 1-for-15 reverse stock split. We may be unable to complete the Asset Sale or other strategic transactions within a reasonable timeframe, on attractive terms or at all, and market conditions, including the historical volatility in our common stock, will likely limit our ability to raise capital on favorable terms, or at all, and the terms of any public or private offerings of debt or equity securities likely would be significantly dilutive to existing stockholders. There is no set timetable for the overall process given the anticipated timelines for different strategic alternatives may vary, and there can be no assurance that this process will result in us pursuing a transaction or that any transaction, if pursued, will be completed on attractive terms or at all. The Company’s ability to continue as a going concern is dependent on the outcome of these uncertainties, including successful inventory sales, additional investments, or the completion of long-term asset sales.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management has concluded that substantial doubt exists about the Company’s ability to continue as a going concern for 12 months from the date these consolidated financial statements are issued. The consolidated financial statements as of June 30, 2025 have been prepared under the assumption that the Company will continue as a going concern for the next 12 months after these financial statements are issued, and that contemplates the realization of assets and satisfaction of liabilities and commitments in the normal course of business. These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2025 and December 31, 2024, the results of operations for the three and six months ended June 30, 2025 and 2024, and the cash flows for the six months ended June 30, 2025 and 2024. The results of operations for the three and six months ended June 30, 2025 and 2024 are not necessarily indicative of the results for a full-year period. These interim unaudited condensed consolidated financial statements should be read in conjunction with the financial statements included in our Annual Report on Form 10-K for the year ended December 31, 2024 filed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completed a 1-for-15 reverse stock split of the Company's issued and outstanding common stock, par value $0.001 per share, effective at 5:00 p.m. Eastern Time on June 9, 2025. The common stock began trading on a split-adjusted basis on the Nasdaq Capital Market on June 10, 2025, under the symbol "CLRO" and a new CUSIP number of 18506U203. The reverse stock split was primarily intended to increase the per share market price of the common stock in order to regain compliance with the minimum bid price requirement for continued listing on the Nasdaq Capital Market. As a result of the reverse stock split, every 15 shares of issued and outstanding common stock were automatically combined into one share, with no fractional shares issued (any fractional interests were rounded up to the next whole share). The reverse stock split did not change the par value of the common stock or the authorized number of shares but reduced the number of issued and outstanding shares from approximately 26.0 million to approximately 1.7 million, with proportional adjustments to outstanding stock options, warrants, and shares reserved under equity incentive plans. For additional details, refer to the Company's Current Report on Form 8-K filed with the SEC on June 2, 2025, including the press release attached as Exhibit 99.1 thereto.</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share and per-share amounts in these condensed consolidated financial statements and related notes have been retroactively adjusted to reflect the reverse stock split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includes restricted cash with cash and cash equivalents when reconciling the beginning-of-period and end-of-period total amounts shown on the statement of cash flows, in accordance with ASU 2016-18. Restricted cash as of June 30, 2025, consists of $1,678 in remaining proceeds from a $3,000 convertible note issued to First Finance Ltd. on June 20, 2025 (with no restricted cash balance as of March 31, 2025). These funds are subject to enforceable contractual restrictions per the disbursement schedule in Schedule 8.5 of the Note Purchase Agreement, which allocates proceeds to specific uses such as advisory fees, warrant holder payments, legal and audit expenses, staff costs (e.g., board fees, accounting staff, operations/sales staff bonuses), shutdown costs for foreign subsidiaries, and severance/PTO for employee layoffs. The funds are held in a segregated account and released only upon meeting specified milestones, with penalties for non-compliance. During the quarter ended June 30, 2025, $1,322 was disbursed for severances, deal fees, legal fees, and compliance fees, resulting in the ending restricted cash balance. Full disbursement of the remaining restricted cash is expected by November 2025 as additional milestones are achieved. Restricted cash is classified as a current asset on the balance sheet and included in the total cash, cash equivalents, and restricted cash balances in the statement of cash flows. Changes in restricted cash are not presented as separate cash flows but are reconciled in this note. This classification and presentation provide transparency regarding the Company's liquidity, as the restricted funds are not available for general corporate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were described in Note 1 to the audited consolidated financial statements included in the Company’s annual report on Form 10-K for the year ended December 31, 2024. There have been no changes to these policies during the quarter ended June 30, 2025 that are of significance or potential significance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improves reportable segment disclosure requirements, primarily through enhanced disclosures about significant segment expenses. The standard is effective for full year 2024 reporting, and for interim reporting beginning in 2025. The adoption of this ASU did not change the way the Company evaluates its reportable segments and, as a result, did not have a material impact on the Company’s segment-related disclosures.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guidance is effective for annual periods beginning after December 15, 2024. The Company will adopt this guidance in fiscal 2025 and is in the process of evaluating the new requirements. As a result, the Company has not yet determined the impact this new ASU will have on its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 (Topic 220): Disaggregation of Income Statement Expenses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9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58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4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 conferencing</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1,579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Microphones</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19"/>
                <w:szCs w:val="19"/>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2,089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Pr>
          <w:p>
            <w:pPr>
              <w:spacing w:after="0"/>
              <w:rPr>
                <w:sz w:val="19"/>
                <w:szCs w:val="19"/>
                <w:color w:val="auto"/>
              </w:rPr>
            </w:pPr>
          </w:p>
        </w:tc>
      </w:tr>
      <w:tr>
        <w:trPr>
          <w:trHeight w:val="22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products</w:t>
            </w:r>
          </w:p>
        </w:tc>
        <w:tc>
          <w:tcPr>
            <w:tcW w:w="2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r>
      <w:tr>
        <w:trPr>
          <w:trHeight w:val="209"/>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1,916</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3"/>
              </w:rPr>
              <w:t>4,229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Pr>
          <w:p>
            <w:pPr>
              <w:spacing w:after="0"/>
              <w:rPr>
                <w:sz w:val="21"/>
                <w:szCs w:val="21"/>
                <w:color w:val="auto"/>
              </w:rPr>
            </w:pPr>
          </w:p>
        </w:tc>
        <w:tc>
          <w:tcPr>
            <w:tcW w:w="290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(includes Middle East, India and Australia)</w:t>
            </w: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2,842</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and Africa</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780</w:t>
            </w:r>
          </w:p>
        </w:tc>
      </w:tr>
      <w:tr>
        <w:trPr>
          <w:trHeight w:val="209"/>
        </w:trPr>
        <w:tc>
          <w:tcPr>
            <w:tcW w:w="55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1,916</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2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per common share is computed based on the weighted-average number of common shares outstanding and, when appropriate, dilutive potential common stock outstanding during the period. Stock options, warrants and the convertible portion of senior convertible notes are considered to be potential common stock. The computation of diluted loss per share does not assume exercise or conversion of securities that would have an anti-dilutive effect.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the amount of net loss for the period available to each weighted-average share of common stock outstanding during the reporting period. Diluted loss per common share is the amount of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common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9"/>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6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(4,718)</w:t>
            </w: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1,733,307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1,597,943</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1,691,836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1,597,943</w:t>
            </w:r>
          </w:p>
        </w:tc>
      </w:tr>
      <w:tr>
        <w:trPr>
          <w:trHeight w:val="216"/>
        </w:trPr>
        <w:tc>
          <w:tcPr>
            <w:tcW w:w="5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212529"/>
              </w:rPr>
              <w:t>Dilutive common stock equivalents using treasury stock method</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1,733,307</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1,597,943</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1,691,836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1,597,943</w:t>
            </w:r>
          </w:p>
        </w:tc>
        <w:tc>
          <w:tcPr>
            <w:tcW w:w="100" w:type="dxa"/>
            <w:vAlign w:val="bottom"/>
            <w:tcBorders>
              <w:bottom w:val="single" w:sz="8" w:color="CCEEFF"/>
            </w:tcBorders>
          </w:tcPr>
          <w:p>
            <w:pPr>
              <w:spacing w:after="0"/>
              <w:rPr>
                <w:sz w:val="21"/>
                <w:szCs w:val="21"/>
                <w:color w:val="auto"/>
              </w:rPr>
            </w:pPr>
          </w:p>
        </w:tc>
      </w:tr>
      <w:tr>
        <w:trPr>
          <w:trHeight w:val="196"/>
        </w:trPr>
        <w:tc>
          <w:tcPr>
            <w:tcW w:w="5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5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options and warrants outstanding</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435,765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372,362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404,427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373,846</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options and warrants not included in the computation</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435,765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372,362</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404,427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373,846</w:t>
            </w:r>
          </w:p>
        </w:tc>
      </w:tr>
      <w:tr>
        <w:trPr>
          <w:trHeight w:val="454"/>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Intangible assets as of June 30, 2025 and December 31, 2024 consisted of the following:</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Estimated useful</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lives (years)</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7,298</w:t>
            </w: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software</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10"/>
        </w:trPr>
        <w:tc>
          <w:tcPr>
            <w:tcW w:w="5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(9,618)</w:t>
            </w:r>
          </w:p>
        </w:tc>
      </w:tr>
      <w:tr>
        <w:trPr>
          <w:trHeight w:val="223"/>
        </w:trPr>
        <w:tc>
          <w:tcPr>
            <w:tcW w:w="5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intangible assets for three and six months ended June 30, 2025 and 2024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9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r>
      <w:tr>
        <w:trPr>
          <w:trHeight w:val="459"/>
        </w:trPr>
        <w:tc>
          <w:tcPr>
            <w:tcW w:w="3960" w:type="dxa"/>
            <w:vAlign w:val="bottom"/>
          </w:tcPr>
          <w:p>
            <w:pPr>
              <w:spacing w:after="0"/>
              <w:rPr>
                <w:sz w:val="24"/>
                <w:szCs w:val="24"/>
                <w:color w:val="auto"/>
              </w:rPr>
            </w:pPr>
          </w:p>
        </w:tc>
        <w:tc>
          <w:tcPr>
            <w:tcW w:w="17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99"/>
              </w:rPr>
              <w:t>11</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39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7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of reserves, as of June 30, 2025 and December 31, 2024 consisted of the following: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2,091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57"/>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6,755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color w:val="auto"/>
                <w:w w:val="93"/>
              </w:rPr>
              <w:t>8,846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4,633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incurred on valuation of inventory at lower of cost or net realizable value and write-off of obsolete inventory for three and six months ended June 30, 2025 and 2024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5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178"/>
        </w:trPr>
        <w:tc>
          <w:tcPr>
            <w:tcW w:w="55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(recovery) incurred on valuation of inventory at lower of cost or</w:t>
            </w: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realizable value and write-off of obsolete inventory</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three and six months ended June 30, 2025 and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5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1,350 square-foot facility in Gainesville, Florida under the terms of an operating lease expiring in February 2028. The Gainesville facility is used primarily to support the Company's research and development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9,402 square-foot facility in Salt Lake City, Utah under the terms of an operating lease expiring in February 2028. The facility supports the Company's principal administrative, sales, marketing, customer support, and research and product development activities.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occupy a 6,175 square-foot facility in Chennai, India under the terms of an operating lease expiring in September 2025. This facility supports our administrative, marketing, customer support, and research and product development activities.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occupied a 40,000 square-foot warehouse in Salt Lake City, Utah under the terms of an operating lease expiring in April 2025, which served as our primary inventory fulfillment center. This lease was cancelled on January 31,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entered into a new lease on December 1, 2024 to occupy a 2,590 square-foot warehouse in Salt Lake City Utah. The lease is an operating lease expiring in February 2028. This facility serves as our primary warranty and repair center.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360" w:type="dxa"/>
            <w:vAlign w:val="bottom"/>
          </w:tcPr>
          <w:p>
            <w:pPr>
              <w:spacing w:after="0"/>
              <w:rPr>
                <w:sz w:val="20"/>
                <w:szCs w:val="20"/>
                <w:color w:val="auto"/>
              </w:rPr>
            </w:pPr>
          </w:p>
        </w:tc>
        <w:tc>
          <w:tcPr>
            <w:tcW w:w="1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June 30, 2025: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(Remainder)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Notes Payable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25, 2025, the Company filed a Current Report on Form 8-K disclosing several material events. On June 20, 2025, the Company entered into a Note Purchase Agreement with First Finance Ltd., pursuant to which First Finance Ltd. purchased $3,000,000 aggregate principal amount of convertible notes in a private placement exempt from registration under Section 4(a)(2) of the Securities Act of 1933, as amended. The convertible notes accrue interest at 10% per annum and are mandatorily convertible into shares of newly designated Class B Convertible Preferred Stock upon the issuance of Class A Redeemable Preferred Stock as a dividend to common stockholders (which occurred July 18, 2025 – see Note 13). The Class B Convertible Preferred Stock is further convertible into common stock at a conversion price of the lower of: (i) the closing price (as reflected on Nasdaq.com); or (ii) the average closing price of the Common Stock (as reflected on Nasdaq.com) for the five trading days immediately preceding June 20, 2025 (subject to adjustment for stock splits, dividends, and similar events). First Finance Ltd. is also granted an option to purchase up to an additional $2,000,000 of Class B Convertible Preferred Stock. The proceeds from the convertible notes are restricted to a specified disbursement schedule.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note provisions, interest expense was computed for the days the note was in place during the end of June. This interest was added to the loan balance as of June 30, 2025 in the amount of $8, resulting in a total note payable balance of $3,008 being reported on the balance sheet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details, refer to the Company's Current Report on Form 8-K filed with the SEC on June 25, 2025, including the Certificates of Designation attached as Exhibits 3.1 and 3.2, the Note Purchase Agreement attached as Exhibit 10.1, and the Convertible Note attached as Exhibit 10.2 thereto.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Composition of Notes Payable</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58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1"/>
                <w:szCs w:val="21"/>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2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1"/>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of Future Maturities of Notes Payable</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5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Shareholders' Equity</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4"/>
                <w:szCs w:val="24"/>
                <w:color w:val="auto"/>
              </w:rPr>
            </w:pPr>
          </w:p>
        </w:tc>
        <w:tc>
          <w:tcPr>
            <w:tcW w:w="25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32,726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31,608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46,071</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(14,496)</w:t>
            </w: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Issuance of common stock, net</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(12,893)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(4,718)</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14,946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25,552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14,946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25,552</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Issue of Common Stock</w:t>
            </w:r>
          </w:p>
        </w:tc>
        <w:tc>
          <w:tcPr>
            <w:tcW w:w="374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780" w:type="dxa"/>
            <w:vAlign w:val="bottom"/>
            <w:tcBorders>
              <w:bottom w:val="single" w:sz="8" w:color="auto"/>
            </w:tcBorders>
            <w:vMerge w:val="continue"/>
          </w:tcPr>
          <w:p>
            <w:pPr>
              <w:spacing w:after="0"/>
              <w:rPr>
                <w:sz w:val="24"/>
                <w:szCs w:val="24"/>
                <w:color w:val="auto"/>
              </w:rPr>
            </w:pPr>
          </w:p>
        </w:tc>
        <w:tc>
          <w:tcPr>
            <w:tcW w:w="3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entered into a securities purchase agreement with Edward D. Bagley, pursuant to which the Company agreed to issue and sell, in a private placement at-the-market offering of 133,334 shares of the Company’s common stock, par value $0.001 per share, at a purchase price of $7.50 per share of Common Stock. The Company received $1,000 in cash in connection with the sale. Mr. Bagley is an affiliate of the Company and the Company’s single largest stockholder.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Certificate of Incorporation and Reverse Stock Split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special meeting of stockholders held on May 30, 2025, stockholders approved amendments to the Certificate of Incorporation to: (i) increase the authorized number of shares of common stock from 50,000,000 to 150,000,000; (ii) authorize 50,000,000 shares of "blank check" preferred stock; (iii) effect a reverse stock split at a ratio between 1-for-10 and 1-for-15, with the exact ratio to be determined by the Board of Directors; and (iv) eliminate the prohibition on stockholder action by written consent and to allow such actions. Following stockholder approval, on June 4, 2025, the Company filed a Certificate of Amendment to its Certificate of Incorporation to effect these changes, including the selection of a 1-for-15 reverse stock split ratio, which became effective at 5:00 p.m. Eastern Time on June 9, 2025. The common stock began trading on a split-adjusted basis on the Nasdaq Capital Market on June 10, 2025, under the symbol "CLRO" and a new CUSIP number of 18506U203. The reverse stock split was primarily intended to increase the per share market price of the common stock in order to regain compliance with the minimum bid price requirement for continued listing on the Nasdaq Capital Market. As a result of the reverse stock split, every 15 shares of issued and outstanding common stock were automatically combined into one share, with no fractional shares issued (any fractional interests were converted to one whole share). The reverse stock split did not change the par value of the common stock but reduced the number of issued and outstanding shares from approximately 26.0 million to approximately 1.7 million, with proportional adjustments to outstanding stock options, warrants, and shares reserved under equity incentive plans. All share and per-share amounts in these condensed consolidated financial statements and related notes have been retroactively adjusted to reflect the reverse stock split for all periods presented.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details, including the Certificate of Amendment, refer to the Company's Current Report on Form 8-K filed with the SEC on June 2, 2025, including the press release attached as Exhibit 99.1 and the Certificate of Amendment attached as Exhibit 3.1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Designations and Related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 mentioned in Note 7, on June 24, 2025, the Company filed Certificates of Designation with the State of Delaware authorizing up to 2,069,066 shares of Class A Redeemable Preferred Stock and 5,100 shares of Class B Convertible Preferred Stock. The Class A Redeemable Preferred Stock, which ranks senior to common stock and is redeemable upon an Asset Sale (defined as the sale of all or substantially all of the Company's current assets and operations, which the Company is required to pursue using reasonable best efforts within 180 days of issuance), was issued on July 18, 2025 as a dividend to holders of common stock and common stock equivalents of record as of July 11, 2025. Net proceeds from any Asset Sale will be distributed pro rata to holders of Class A Redeemable Preferred Stock. The Class B Convertible Preferred Stock ranks senior to common stock and other equity (except Class A Redeemable Preferred Stock), with specific rights including dividends, voting (on an as-converted basis), and liquidation preferences.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effective June 20, 2025, the Board of Directors was expanded from four to five members, with Eric Boehnke and Youngsun Park (a/k/a Sunny Park), nominees of First Finance Ltd., appointed as directors to serve until the next annual meeting or until their successors are elected and qualified. Neither appointee has any material arrangements or family relationships with the Company requiring disclosure under Item 404(a) of Regulation S-K, and they will receive standard director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details, refer to the Company's Current Report on Form 8-K filed with the SEC on June 25, 2025, including the Certificates of Designation attached as Exhibits 3.1 and 3.2, the Note Purchase Agreement attached as Exhibit 10.1, and the Convertible Note attached as Exhibit 10.2 thereto.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plans for the six months ended June 30, 2025,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3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beginning of year</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198.00</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June 30,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end of June 30,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total remaining unrecognized compensation cost related to non-vested stock options, net of forfeitures, was approximately $66, which will be recognized over a weighted average period of 1.23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expense has been recorded as follows:</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520" w:type="dxa"/>
            <w:vAlign w:val="bottom"/>
          </w:tcPr>
          <w:p>
            <w:pPr>
              <w:spacing w:after="0"/>
              <w:rPr>
                <w:sz w:val="24"/>
                <w:szCs w:val="24"/>
                <w:color w:val="auto"/>
              </w:rPr>
            </w:pPr>
          </w:p>
        </w:tc>
        <w:tc>
          <w:tcPr>
            <w:tcW w:w="25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55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5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full valuation allowance against U.S Federal and State deferred tax assets, which results in no income tax benefit for losses in these jurisdictions. The full domestic valuation allowance was recorded as management concluded that it is more likely than not that these deferred tax assets are not realizable due to the Company's recent pre-tax losses and other sources of negative evidence. Provision for income taxes for the six months ended June 30, 2025 mostly represents income tax expense (benefit) recorded for jurisdictions outside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approximately $969 of uncertain tax positions as of June 30, 2025. Due to the inherent uncertainty of the underlying tax positions, it is not possible to forecast the payment of this liability for any particular year, therefore, it is reflected in other long-term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Operating Segment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 and Other Charges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20, 2025, the Company implemented a reduction in force affecting a significant portion of its workforce as part of operational scaling in connection with the pursuit of the Asset Sale, while continuing sales, inventory management, customer support, and public reporting obligations. This will result in severance and related costs estimated at approximately $1.9 million and are expected to be incurred primarily in the third quarter of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2025, the Company filed a Current Report on Form 8-K announcing that its Board of Directors had declared a one-time special stock dividend on the Company's issued and outstanding shares of common stock, par value $0.001 per share, and any common stock equivalents with dividend rights (the “Special Stock Dividend”). The Special Stock Dividend consisted of one share of the Company's Class A Redeemable Preferred Stock, par value $0.001 per share, for every issued and outstanding share of common stock and common stock equivalent. The record date for the Special Stock Dividend was July 11, 2025, and the dividend was paid on July 18, 2025, to stockholders of record as of the record date. This Special Stock Dividend is part of the Company's ongoing strategic process to pursue an Asset Sale (defined as the sale of all or substantially all of the Company's current assets and operations), with the Class A Redeemable Preferred Stock to be redeemed for 100% of the net proceeds from any such Asset Sale upon its completion. No additional dividends are authorized or contemplated at this time, and future dividends remain at the discretion of the Board of Directors.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details, refer to the Company's Current Report on Form 8-K filed with the SEC on June 30, 2025, including the press release attached as Exhibit 99.1 thereto.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issuance of the Special Stock Dividend, on July 21, 2025, the aggregate $3,025 outstanding principal amount and accrued interest under the convertible note issued to First Finance Ltd. on June 20, 2025 automatically converted into 3,026 shares of Class B preferred stock pursuant to the terms and conditions of the Note Purchase Agreement described under Note 7 – Convertible Notes Payable.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descriptions of our review of strategic alternatives and the timing and impact of any potential strategic transactions,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and other factors referred to in our reports filed with the SEC, including our Annual Report on Form 10-K for the year ended December 31, 2024.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2024, we announced a one-time special cash dividend of $7.50 per share of ClearOne common stock, paid on April 10, 2024 to shareholders of record on April 2, 2024.</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2024 we launched the DIALOG® 20 USB wireless microphone system at Integrated Systems Europe (ISE) 2024, a major global audiovisual expo. ClearOne’s booth at ISE 2024 recorded a 319% increase in unique visitors compared to the number of unique visitors the Company’s booth recorded in 2023. The DIALOG® UVHF Wireless Microphone System also received AV Technology Magazine’s Best in Show award at ISE 2024, having previously garnered other notable industry awards in 2023.</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8, 2024, the DIALOG® UVHF wireless Microphone system was named a winner of the 2024 Communications Solutions products of the year award.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9, 2024, ClearOne recorded a 31% increase in unique visitors at our 2024 Infocomm India trade show booth, while the overall annual increase of all attendees at that trade show was only 17%.</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16, 2025, we launched the BMA 360DX ceiling tile beamforming microphone array with an integrated DSP processor that provides everything needed to combine, route, and process all the audio signals with no compromises. Like the other members of the BMA 360 product family, the BMA 360DX includes FiBeam(TM) technology that provides truly ultra-wideband, frequency-invariant performance with uniform-gain response across all frequency bands and DsBeam(TM) technology that provides unparalleled sidelobe depth, below -40 dB, resulting in superior rejection of reverb and noise in difficult spaces for superb clarity and intelligibility. The built-in power amplifiers, selectable as 4x15 Watt or 2x30 Watt, simplify installations with loudspeakers. Setting up the BMA 360DX is incredibly quick and easy with auto-detection of additional beamforming microphone arrays and peripherals such as USB expanders, analog audio I/Os, and HDMI audio de-embedders. With everything on board, its scalable design easily adapts to a variety of meeting spaces. The BMA 360DX won a Best of Show award in the AV Technology category at the Integrated Systems Europe 2025 exhibition in Barcelona, Spain.</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20, 2025, we announced the launch of the Versa® 120D USB-C Docking Station with Dante®, designed to simplify and enhance hybrid meeting experiences. The Versa 120D is a versatile collaboration solution combining a USB-C docking station and Dante audio networking into a single, easy-to-use device. This innovative solution is specifically designed to meet the needs of Pro AV integrators and streamline BYOD (Bring Your Own Device) workflows in a variety of meeting spaces. It includes support for dual 4K60 displays or a single 8K30 display, ensuring crystal-clear visuals for presentations and video conferencing. High-speed USB-C connectivity delivers blazing-fast data transfer speeds of up to 40 Gbps, enabling seamless device operation. Simplified network integration with 10/100/1000 Base-T auto-negotiation and Ethernet pass-through over USB-C provides reliable, high-speed network connectivity directly to your device. The Versa 120D simplifies deployment and configuration with automatic discovery and native integration with Audinate’s Dante Controller software. It boasts broad interoperability, seamlessly integrating with a wide range of AV systems and devices. Enhanced security features include support for HDCP versions 1.4, 2.2, and 2.3 ensuring encrypted transmission of high-definition video and audio while meeting content protection standards. Additionally, the Versa 120D meets TAA requirements, making it ideal for US government and educational deployments.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22, 2025, we introduced the DIALOG® AERO, a wideband UHF 2-channel encrypted digital wireless microphone solution with over 100 MHz of RF tuning range. The DIALOG® AERO features an intuitive interface with a large, easy-to-read LCD display that provides real-time information on critical settings. Aero Console software provides remote configuration, monitoring and management of the receiver and smart dock via Ethernet. DIALOG® AERO microphones offer flexible powering options. They can be powered with the included rechargeable Li-Ion AA batteries, NiMH AA rechargeable batteries, common AA battery types, or USB-C. Microphones and Dock can charge Li-Ion and NiMH AA batteries and the dock also charges spare AA batteries for added convenience. The system features a modular expandable 2-bay smart dock, allowing for easy expansion up to eight channels by linking multiple docks together, simplifying installation and minimizing cabling. Larger systems can be further expanded using optional accessories, including a four-channel antenna distributor with ceiling mount antennas, antenna combiners, and a joining kit for mounting two receivers in a single rack space. The auto-scan feature finds open channels for optimal reception. The system also includes detachable antennas with a 5-foot extension kit for added flexibility in system placement and signal optimization. DIALOG® AERO is ideal for a wide range of applications, including town hall meetings, company all-hands meetings, management retreats, school award ceremonies, rallies, houses of worship, hybrid training and presentation sessions, sound reinforcement and voice lift scenarios.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24, 2025, we introduced the UNITE 260N Pro, a professional 4K Ultra HD camera with NDI®|HX, designed to meet the requirements of NDI® workflows. NDI – Network Device Interface – is used by millions of customers worldwide and has been adopted by more media organizations than any other IP standard, creating the industry’s largest IP ecosystem of products. NDI allows multiple video systems to identify and communicate with one another over IP; it can encode, transmit, and receive many streams of high-quality, low-latency, frame-accurate video and audio in real time. The growth of NDI is backed by a growing community of installers, developers, AV professionals, and users who are deeply engaged with the company through community events and initiatives. NDI-enabled UNITE 260N Pro Cameras are instantly discoverable within a standard IP network, eliminating the need for complex setups. These cameras can seamlessly send or receive high-quality, low-latency video, audio, controls, and metadata all within a single stream. Also, UNITE 260N Pro Cameras seamlessly integrate with a vast ecosystem of thousands of NDI-compatible hardware and software products.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2025, we announced the addition of a 4-channel Access Point and a 4-bay Dock to our award-winning DIALOG® UVHF Wireless Microphone System. With these new additions, the Dialog UVHF Wireless Microphone System now offers the flexibility to choose between an Access Point with 8 or 4 Dante channels and a Charger Dock capable of charging 8 or 4 microphones. The 4-channel Access Point and 4-bay Dock offer significant benefits like lower cost, system flexibility and a smaller form factor for the dock. This translates to increased value for our customers, making our high-quality wireless audio solutions more accessible and a better fit for applications that require fewer microphones.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Overall revenue decreased by 17% in the second quarter of 2025 when compared to the second quarter of 2024, primarily due to a significant decrease in revenues from product shortages that resulted in delayed product shipments. The revenue decline was also caused by significantly reduced demand for our products in many regions including USA, Europe and China when compared to 2024-Q2 revenues. We believe this revenue decline was primarily due to the cumulative impact of past production shortages. We believe that lack of product availability has caused some of our channel partners to purchase and install competing brands. Historically, we have seen a lag of several months between the time that our professional conferencing products are specified for installation and the date when those products are installed. Since our product availability was constrained through a significant part of Q4 2023, we believe our revenue was impacted negatively by these market dynamics through much of 2024. We have also faced sales headwinds from our products’ lack of Microsoft Teams certification, despite their longtime functional compatibility with this platform. In Q2 2025, we were unable to maintain an uninterrupted flow of inventory from our contract manufacturers and suppliers due to insufficient cash on hand. This issue negatively affected new products that we introduced in Q2 2025 as well as older products with consistent demand. Our work through the first half of 2025 has focused on mitigating these impacts through maintaining consistent dialogues, product demonstrations, and feedback cycles with end users and channel partners, along with improving our visibility at key industry events. We believe our revenue performance in 2025-Q2 compared to 2024-Q2 also was to a small extent impacted negatively due to anticipated cost increases, whether realized or unrealized, associated with the tariffs on electronic raw materials that have affected the global manufacturing of high-tech products. We do expect to realize some of these increased costs in various degrees through the remainder of 2025.</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gross loss margin decreased to (12.1)% during the second quarter of 2025 from (0.9)% during the second quarter of 2024. The increase in gross loss margin is the result of revenue decreasing by a higher percentage than cost of goods sold and the accrual of severance expense resulting from a reduction in force. The Company experienced a significant reduction in inventory levels, with a decrease of approximately $2.7 million compared to December 31, 2024. This reduction was primarily driven by supply chain pauses from our cash flow constraints. As a result, there was insufficient new inventory to absorb the Company’s standard overhead allocation, which is typically applied to inventory production. This led to unabsorbed overhead costs being recognized as an expense in the period, directly impacting cost of goods sold.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unabsorbed overhead reflects the temporary misalignment between production levels and fixed overhead costs, which are generally allocated to inventory under our standard costing methodology. Management is actively evaluating strategies to optimize inventory levels and production schedules to mitigate similar impacts in future periods.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increased from $(2.8) million in the second quarter of 2024 to $(4.6) million in the second quarter of 2025. The increase in net loss was mainly due to the decrease in revenues and decrease in gross margin, severance expense from a reduction in force, with an increase in deal related costs from strategic repositioning.</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we announced that our board of directors had formed a Special Transaction Committee (the “Special Transaction Committee”) to conduct a comprehensive review of strategic alternatives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 to its current stockholders (each, a “Strategic Transaction”). We may be unable to complete a strategic transaction within a reasonable timeframe, on attractive terms or at all, and market conditions, including the historical volatility in our common stock will likely limit our ability to raise capital on favorable terms, or at all, and the terms of any public or private offerings of debt or equity securities likely would be significantly dilutive to existing stockholders. There is no set timetable for the overall process given the anticipated timelines for different strategic alternatives may vary, and there can be no assurance that this process will result in us pursuing a transaction or that any transaction, if pursued, will be completed on attractive terms or at all. Given these challenges, if we are unable to complete a strategic transaction, we may not be able to continue to execute our business plan to be able to continue as a going concern.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need to complete one or more strategic transactions or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incur accounting, legal and other expenses. These expenditures will make it necessary for us to continue to raise additional working capital. Our efforts to grow our business may be costlier than we expect, and we may not be able to generate sufficient revenue to offset our increased operating expenses. We may incur significant losses in the future for a number of reasons, including unforeseen expenses, difficulties, complications and delays and other unknown events. Accordingly, substantial doubt exists about our ability to continue as a going concern and we cannot assure you that we will achieve sustainable operating profits as we continue to expand our business and otherwise implement our growth initiatives.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statements included with this quarterly report on Form 10-Q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and/or one or more strategic transactions, however there can be no assurance that we will be successful in completing any such transactions on attractive terms or at all. Our financial statements do not include any adjustments to the amounts and classification of assets and liabilities that may be necessary should we be unable to continue as a going concern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conditions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capitalist-funded start-ups and private companies willing to fund cumulative cash losses in order to gain market share and achieve certain non-financial goals. It has become increasingly important to have higher interoperability with other products in the audio-visual market as well as certifications from leading video conferencing service providers like Microsoft and Zoom.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installed professional audio-conferencing products, which is our flagship product category, continue to be ahead of the competition despite the reduction in revenues. Our strength in this space is largely due to our fully integrated suite of products consisting of DSP wide range of professional microphone products and video collaboration products. Despite our strong leadership position in the installed professional audio-conferencing market, we faced challenges to revenue growth due to the lack of component availability to build our products in 2024 driving growth to competitors, pricing pressures from new competitors attracted to the commercial market due to higher margins, and the lack of certifications from Microsoft.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products and beamforming microphone arrays, especially highly advanced BMA 360 and BMA-CT are critical to our long-term 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audio-conferencing products and microphones, and offering a wide range of innovative professional cameras will generate growth in the near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portion of our revenue (approximately 46% in the first six months of 2025) from operations outside North and South America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 and proposed increases in U.S. tariffs on imports from China and Singapore may materially impact our operations, cost structure, and financial performance. During 2025, tariffs on Chinese goods have risen as high as 145%, with China imposing retaliatory tariffs of 125% on U.S. exports. Singapore faces a 10% baseline tariff under the U.S. reciprocal tariff regime, unaffected by a 90-day pause on tariffs for other countries, though potential retaliatory measures remain a risk due to the U.S.-Singapore Free Trade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tariffs could increase the cost of goods sourced from these countries, disrupt supply chains, and elevate operating expenses. For example, a portion of our cameras and wireless products is imported from China, and higher tariffs may lead to increased procurement costs or necessitate sourcing from alternative markets, potentially at higher prices or with logistical challenges. In Singapore, which serves as a key hub for the majority of our product lines, tariff-related uncertainties may impact trade flows and regional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retaliatory tariffs or trade restrictions from China and Singapore could affect our ability to export goods to these markets, potentially reducing revenue from international sales. The broader economic implications, including potential inflation and reduced consumer demand, may further impact our financial condition.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the Company has published in its financial statements about its pursuit of an asset sale, along with disclosure of the going concern risk has caused some customers to question whether they should continue doing business with ClearOne. This uncertainty has caused some customers to put orders on hold while they evaluate the risks of potentially losing product warranty support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Product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product revenue decreased to $12 on June 30, 2025 compared to $17 on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detailed discussion of our results of operations follows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and six months ended June 30,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items from our unaudited condensed consolidated statements of operations for the three and six months ended June 30, 2025 (“2025-Q2”) and 2024 ("2024-Q2"), respectively, together with the percentage of total revenue which each such item represents: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40" w:type="dxa"/>
            <w:vAlign w:val="bottom"/>
            <w:gridSpan w:val="7"/>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3960" w:type="dxa"/>
            <w:vAlign w:val="bottom"/>
            <w:gridSpan w:val="7"/>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187"/>
        </w:trPr>
        <w:tc>
          <w:tcPr>
            <w:tcW w:w="26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Favorable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Favorable</w:t>
            </w:r>
          </w:p>
        </w:tc>
      </w:t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(Adverse) in %</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(Adverse) in %</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2,147</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4,339</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product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1,359</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868</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2,050</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845</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2,746</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2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Provision (benefit) for income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decreased to $1.9 million in 2025-Q2 compared to $2.3 million in 2024-Q2 due to a 31% decline in audio conferencing, a 10% decline in video products, and a 7% decrease in microphones. Our traditional ceiling mics, personal audio-conferencing products, and video cameras suffered revenue declines due to lack of product availability and the transition of business from one major customer in the Middle East to another one. When comparing 2025-Q2 to 2024-Q2, revenues from Americas increased by 10%, from Europe and Africa increased by 40%, offset by decreasing revenues in Asia Pacific (including Middle East, India and Australia) by 73%.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and Gross Profit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margin decreased from (0.9)% during 2024-Q2 to (12.1)% during 2025-Q2.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reduction in gross margin is the result of revenue decreasing by a higher percentage than cost of goods sold. The Company experienced a significant reduction in inventory levels, with a decrease of approximately $2.7 million compared to December 31, 2024. This reduction was primarily driven by supply chain pauses from our cash flow constraints. As a result, there was insufficient new inventory to absorb the Company’s standard overhead allocation, which is typically applied to inventory production. This led to unabsorbed overhead costs being recognized as an expense in the period, directly impacting cost of goods sold.</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unabsorbed overhead reflects the temporary misalignment between production levels and fixed overhead costs, which are generally allocated to inventory under our standard costing methodology. Management is actively evaluating strategies to optimize inventory levels and production schedules to mitigate similar impacts in future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profitability in the near term continues to depend significantly on our revenues from professionally installed audio-conferencing products. We hold long-term inventory and if we are unable to sell our long-term inventory, our profitability might be affected by inventory write-offs and price mark-downs. Our long-term inventory consists primarily of three product categories. These categories are as follows: Converge Pro and Beamforming microphone array products, cameras, and raw materials that will be used primarily for manufacturing professional audio-conferencing products and BMA microphones. Any business changes that are adverse to these product lines could potentially impact our ability to sell our long-term inventory in addition to our current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include sales and marketing (“S&amp;M”) expenses, research and product development (“R&amp;D”) expenses and general and administrative (“G&amp;A”) expenses. Total operating expenses in 2025-Q2 were $4.3 million compared to $2.9 million in 2024-Q2. Total operating expenses thru 2025-YTD were $7.3 million compared to $6.1 million observing the same 6-month period in 2024.The following contains a more detailed discussion of expenses related to sales and marketing, research and product development, general and administrative, and other items.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Sales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S&amp;M expenses include selling, customer service, and marketing expenses such as employee-related costs, allocations of overhead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S&amp;M expenses were $1.4 million in Q2-2025, compared to $1.2 million in Q2-2024, while the year-to-date results for the six months ended June 30, showed $2.5 million in 2025 compared to $2.5 million in 2024. Both comparisons are the result of decreased sales commissions on fewer sales as well as lowered marketing spend that was offset by severance expense from 2025 Q2 reduction in force being recognized.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R&amp;D expenses include research and development, product line management, engineering services, and test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R&amp;D expenses were, $1.4 million in Q2-2025, compared to $0.9 million in Q2-2024, while the year-to-date results for the six months ended June 30, showed $2.1 million in 2025 compared to $1.8 million in 2024. The increase in comparing the quarterly results was primarily due to severance payments made in the Indian subsidiary and severance expense accrued in the US in 2025-Q2 partially offset by reduction in personnel in the US. The increase in the year to year comparison was due to severance expenses accrued in Q2 2025 for a June 2025 reduction in force partially offset by decreased headcount, decreased R&amp;D project spend, and operational efficiencies.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G&amp;A expenses include employee-related costs, professional service fees, allocations of overhead expenses, litigation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 teams.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G&amp;A expenses were $1.6 million in Q2-2025, compared to $0.8 million in Q2-2024, while the year-to-date results for the six months ended June 30, showed $2.7 million in 2025 compared to $1.9 million in 2024. The increases in comparing both periods were due to increased legal, investment bank, and regulatory expenses related to the exploration of strategic alternatives and increases in personnel to add headcount to the US accounting team, anticipating compliance needs.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includes interest income, foreign currency changes and gain or loss on disposal of assets. Other income for the six months ended June 30, 2025 included $0.0 million of interest income received on marketable securities compared to $0.3 million for the six months ended June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2025, interest expense included approximately $8 related to the convertible notes issued on June 20,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six months ended June 30, 2025 and 2024, we did not recognize any benefit from the losses incurred due to setting up a full valuation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our cash and cash equivalents were approximately $2.8 million compared to $1.4 million as of December 31, 2024. Our working capital was $9.4 million and $15.2 million as of June 30, 2025 and December 31,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approximately ($2.6) million in the six months ended June 30, 2025, a decrease of approximately $0.1 million from ($2.7) million of cash used in operating activities in the six months ended June 30, 2024. The decrease in cash used was primarily due to the reduction in inventory purchases.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the six months ended June 30, 2025 was $(0.0) million compared to $1.8 million of cash provided by investing activities in the six months ended June 30, 2024. The decrease in cash provided by investing activities was primarily due to no proceeds from sale of marketable securities and no offset by purchases of marketable securities in the six months ended June 30, 2025 compared to $5.4 million and ($3.4) million respectively for the six months ended June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in the six months ended June 30, 2025 was $4.0 million compared to ($14.5) million of cash used by financing activities in the six months ended June 30, 2024. The 2025 amount was comprised primarily of a stock sale and the sale of a convertible note, as discussed in footnotes [7], [8], and [13] above, and our discussion in the following paragraphs.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and other conditions raise substantial doubt about continuing as a going concern. We will need to complete one or more strategic transactions, including the pursuit of an Asset Sale (defined as the sale of all or substantially all of our current assets and operations), generate additional revenue through inventory sales, or raise additional working capital to continue our normal and planned operations. We will need to generate and sustain significant revenue levels in future periods to become profitable, and, even if we do, we may not be able to maintain or increase our level of profitability. In addition, as a public company, we will incur accounting, legal and other expenses. These expenditures will make it necessary for us to continue to raise additional working capital. Our efforts to grow our business may be costlier than we expect, and we may not be able to generate sufficient revenue to offset our increased operating expenses. We may incur significant losses in the future for a number of reasons, including unforeseen expenses, difficulties, complications and delays and other unknown events. Accordingly, substantial doubt exists about our ability to continue as a going concern and we cannot assure you that we will achieve sustainable operating profits as we continue to expand our business and otherwise implement our growth initiatives.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2025, the Company raised $1.0 million in a private placement transaction of common stock. The 1-for-15 reverse stock split effective June 9, 2025, supported our Nasdaq compliance regain and may enhance our ability to access capital markets. On June 20, 2025, the Company entered into a Note Purchase Agreement with First Finance Ltd., pursuant to which First Finance Ltd. purchased $3.0 million aggregate principal amount of convertible notes, providing restricted proceeds intended for working capital, potential warrant repurchases, and operational needs as we pursue the Asset Sale. In connection with this financing, we are required to use reasonable best efforts to complete the Asset Sale within 180 days of issuing Class A Redeemable Preferred Stock as a dividend to common stockholders (which occurred July 18, 2025), with net proceeds from any Asset Sale to be distributed pro rata to holders of such preferred stock. Additionally, on June 20, 2025, we implemented a reduction in force affecting a significant portion of our workforce to scale operations and reduce expenses in alignment with the Asset Sale pursuit, which may result in short-term severance and related costs.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2025, we regained compliance with Nasdaq's minimum bid price requirement following our 1-for-15 reverse stock split. We may be unable to complete the Asset Sale or other strategic transactions within a reasonable timeframe, on attractive terms or at all, and market conditions, including the historical volatility in our common stock, will likely limit our ability to raise capital on favorable terms, or at all, and the terms of any public or private offerings of debt or equity securities likely would be significantly dilutive to existing stockholders. There is no set timetable for the overall process given the anticipated timelines for different strategic alternatives may vary, and there can be no assurance that this process will result in us pursuing a transaction or that any transaction, if pursued, will be completed on attractive terms or at all. The Company’s ability to continue as a going concern is dependent on the outcome of these uncertainties, including successful inventory sales, additional investments, or the completion of long-term asset sales.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management has concluded that substantial doubt exists about the Company’s ability to continue as a going concern for 12 months from the date these consolidated financial statements are issued. The consolidated financial statements as of June 30, 2025 have been prepared under the assumption that the Company will continue as a going concern for the next 12 months after these financial statements are issued, and that contemplates the realization of assets and satisfaction of liabilities and commitments in the normal course of business. These Consolidated financial statements do not include any adjustments that might result from the outcome of this uncertainty.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furtherance of the Asset Sale pursuit, on June 30, 2025, the Board declared a one-time special stock dividend of Class A Redeemable Preferred Stock, payable July 18, 2025, which entitles holders of the Class A Redeemable Prefererd Stock to 100% of net proceeds from any Asset Sale upon redemption. This structure aligns stockholder interests with the strategic process but depends on the successful completion of the Asset Sale for value realization.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quarter-end, on July 1, 2025, First Finance Ltd. disclosed beneficial ownership of approximately 32.4% of our common stock (including potential conversions), granting them rights to nominate two directors. This concentration may influence strategic decisions, including the ongoing Asset Sale process, and could affect our ability to attract alternative financing or partners.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quarter-end, on July 7, 2025, we clarified via press release that Nasdaq will not issue an ex-dividend date for the special stock dividend, ensuring that only record date holders (July 11, 2025) receive the Class A Redeemable Preferred Stock, which supports our focus on legacy stockholder value in the Asset Sale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had open purchase orders of approximately $4.2 million, mostly for the purchase of inventory.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had inventory totaling $13.5 million, of which non-current inventory accounted for $4.6 million. This compares to total inventories of $16.1 million, which includes non-current inventory of $4.9 million as of December 31,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our contractual obligations as of June 30, 2025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4"/>
        </w:trPr>
        <w:tc>
          <w:tcPr>
            <w:tcW w:w="4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100" w:type="dxa"/>
            <w:vAlign w:val="bottom"/>
          </w:tcPr>
          <w:p>
            <w:pPr>
              <w:spacing w:after="0"/>
              <w:rPr>
                <w:sz w:val="15"/>
                <w:szCs w:val="15"/>
                <w:color w:val="auto"/>
              </w:rPr>
            </w:pPr>
          </w:p>
        </w:tc>
      </w:tr>
      <w:tr>
        <w:trPr>
          <w:trHeight w:val="252"/>
        </w:trPr>
        <w:tc>
          <w:tcPr>
            <w:tcW w:w="40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23"/>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2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our disclosure controls and procedures (as defined in Rules 13a-15(e) and 15d-15(e) of the Exchange Act) as of June 30, 2025 was performed under the supervision and with the participation of our management, including our Chief Executive Officer and our Principal Financial and Accounting Officer. Based upon this evaluation, our Chief Executive Officer and Chief Financial Officer concluded that, as of the end of the period covered by this Quarterly Report, our disclosure controls and procedures are effective at a reasonable assurance level as of June 30, 2025.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of June 30, 2025, that has materially affected, or is reasonably likely to materially affect, the Company's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 factors set forth under Part I, Item 1A of our Annual Report on Form 10-K for the year ended December 31, 2024 are hereby supplemented and amended with the following additional risk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Recent Financing and Asset Sale Obligations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recent issuance of convertible notes and designation of preferred stock may result in significant dilution to existing stockholders and could adversely affect our financial condition. On June 20, 2025, we issued $3.0 million in convertible notes to First Finance Ltd., which are mandatorily convertible into Class B Convertible Preferred Stock, further convertible into common stock at $6.008 per share (subject to adjustments). This, combined with First Finance Ltd.'s option to purchase up to an additional $2.0 million of Class B Convertible Preferred Stock, could lead to substantial dilution of existing stockholders' ownership and voting power upon conversion.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obligated to pursue an Asset Sale, which may not be completed on favorable terms or at all, potentially leading to adverse consequences for our business and stockholders. Under the terms of our recent financing, we must use reasonable best efforts to complete a sale of all or substantially all of our current assets and operations within 180 days of issuing the Class A Redeemable Preferred Stock. If we fail to consummate an Asset Sale, we may face liquidity constraints, as the convertible notes and preferred stock include provisions for mandatory redemption or conversion that could strain our resources. Moreover, the process of pursuing an Asset Sale may disrupt operations, divert management attention, and result in the loss of key customers, suppliers, or employees, further impacting our financial performance.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dependence on third-party financing terms introduces risks related to control and governance changes. The appointment of two directors nominated by First Finance Ltd. on June 20, 2025, expands our Board and may influence strategic decisions, including the Asset Sale. The financing terms, including restricted use of proceeds and potential warrant repurchases, limit our operational flexibility and expose us to risks if we cannot comply with covenants or if First Finance Ltd. exercises its rights in ways adverse to other stakeholders.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reduction in force we implemented may impair our ability to maintain operations and comply with obligations. On June 20, 2025, we reduced our workforce significantly as part of scaling operations for the Asset Sale pursuit. This RIF could lead to decreased morale, loss of institutional knowledge, and challenges in continuing essential functions such as sales, customer support, and public reporting, potentially resulting in regulatory non-compliance, revenue declines, or increased costs to rebuild capabilities if the Asset Sale is not completed.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stock dividend of Class A Redeemable Preferred Stock may not result in value to stockholders if the Asset Sale is not completed, or if completed on unfavorable terms, potentially leading to no or minimal redemption proceeds and increased complexity in our capital structure.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Ownership and Control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Concentration of ownership by significant stockholders could adversely affect our operations and stockholder value. As disclosed in a Schedule 13D/A filed on July 1, 2025, First Finance Ltd. beneficially owns approximately 32.4% of our common stock on an as converted basis (including rights to acquire up to an additional $2 million of shares of our Class B Convertible Preferred Stock (the “Additional Financing Right”)), with rights to nominate two directors. In addition, assuming full exercise by First Finance Ltd. of its Additional Financing Right, Edward D. Bagley beneficially owns approximately 32.5% of our issued and outstanding shares of common stock. Mr. Bagley’s daughter, Lisa Higley, is a member of our board of directors.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First Finance and Mr. Bagley will be able to significantly influence over corporate actions, including the Asset Sale, board composition, and other matters requiring stockholder approval, potentially in ways that conflict with the interests of other stockholders or lead to delays in strategic initiatives. In addition, the concentration of ownership in First Finance Ltd. and Mr. Bagley may discourage third parties from seeking to acquire control of us, which may adversely affect the market price of our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these events, see Notes [7, 8, 12, 13] to the Condensed Consolidated Financial Statements and 'Liquidity and Capital Resources' in MD&amp;A.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Title of Document</w:t>
            </w:r>
          </w:p>
        </w:tc>
      </w:tr>
      <w:tr>
        <w:trPr>
          <w:trHeight w:val="385"/>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20" w:type="dxa"/>
            <w:vAlign w:val="bottom"/>
            <w:tcBorders>
              <w:top w:val="single" w:sz="8" w:color="auto"/>
              <w:bottom w:val="single" w:sz="8" w:color="0000EE"/>
            </w:tcBorders>
            <w:gridSpan w:val="9"/>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Certificate of Designation for Class A Redeemable Preferred Stock (filed as Exhibit 3.1 to the Company’s Current Report on Form 8-K as</w:t>
              </w:r>
            </w:hyperlink>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filed with the SEC on June 25, 2025 and incorporated herein by reference).</w:t>
              </w:r>
            </w:hyperlink>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20" w:type="dxa"/>
            <w:vAlign w:val="bottom"/>
            <w:gridSpan w:val="9"/>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Certificate of Designation for Class B Convertible Preferred Stock (filed as Exhibit 3.2 to the Company’s Current Report on Form 8-K as</w:t>
              </w:r>
            </w:hyperlink>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filed with the SEC on June 25, 2025 and incorporated herein by reference).</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Certificate of Amendment to Certificate of Incorporation dated June 2, 2025 (filed as Exhibit 3.1 to the Company’s Current Report on Form</w:t>
              </w:r>
            </w:hyperlink>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8-K as filed with the SEC on June 2, 2025 and incorporated herein by reference).</w:t>
              </w:r>
            </w:hyperlink>
          </w:p>
        </w:tc>
        <w:tc>
          <w:tcPr>
            <w:tcW w:w="4280" w:type="dxa"/>
            <w:vAlign w:val="bottom"/>
            <w:gridSpan w:val="3"/>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Certificate of Amendment to Certificate of Incorporation dated June 20, 2025.</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Securities Purchase Agreement dated February 26, 2025 by and between ClearOne, Inc. and Edward D. Bagley (filed as Exhibit 10. 1 to the</w:t>
              </w:r>
            </w:hyperlink>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Company’s Current Report on Form 8-K as filed with the SEC on February 27, 2025 and incorporated herein by reference).</w:t>
              </w:r>
            </w:hyperlink>
          </w:p>
        </w:tc>
        <w:tc>
          <w:tcPr>
            <w:tcW w:w="1220" w:type="dxa"/>
            <w:vAlign w:val="bottom"/>
            <w:gridSpan w:val="2"/>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302 Certification of Chief Executive Officer (filed herewith)</w:t>
            </w:r>
          </w:p>
        </w:tc>
        <w:tc>
          <w:tcPr>
            <w:tcW w:w="5160" w:type="dxa"/>
            <w:vAlign w:val="bottom"/>
            <w:gridSpan w:val="7"/>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Section 302 Certification of Principal Financial Officer (filed herewith)</w:t>
            </w:r>
          </w:p>
        </w:tc>
        <w:tc>
          <w:tcPr>
            <w:tcW w:w="4980" w:type="dxa"/>
            <w:vAlign w:val="bottom"/>
            <w:gridSpan w:val="6"/>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Section 906 Certification of Chief Executive Officer (filed herewith)</w:t>
            </w:r>
          </w:p>
        </w:tc>
        <w:tc>
          <w:tcPr>
            <w:tcW w:w="5180" w:type="dxa"/>
            <w:vAlign w:val="bottom"/>
            <w:gridSpan w:val="8"/>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5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Section 906 Certification of Principal Financial Officer (filed herewith)</w:t>
            </w:r>
          </w:p>
        </w:tc>
        <w:tc>
          <w:tcPr>
            <w:tcW w:w="4980" w:type="dxa"/>
            <w:vAlign w:val="bottom"/>
            <w:gridSpan w:val="6"/>
          </w:tcPr>
          <w:p>
            <w:pPr>
              <w:spacing w:after="0"/>
              <w:rPr>
                <w:sz w:val="24"/>
                <w:szCs w:val="24"/>
                <w:color w:val="auto"/>
              </w:rPr>
            </w:pPr>
          </w:p>
        </w:tc>
      </w:tr>
      <w:tr>
        <w:trPr>
          <w:trHeight w:val="453"/>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 (filed herewith)</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cover page of this Quarterly Report on Form 10-Q, formatted in Inline XBRL.</w:t>
            </w:r>
          </w:p>
        </w:tc>
      </w:tr>
    </w:tbl>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ClearOne, Inc.,</w:t>
            </w:r>
          </w:p>
        </w:tc>
      </w:tr>
      <w:tr>
        <w:trPr>
          <w:trHeight w:val="270"/>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(Registrant)</w:t>
            </w:r>
          </w:p>
        </w:tc>
      </w:tr>
      <w:tr>
        <w:trPr>
          <w:trHeight w:val="540"/>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27"/>
        </w:trPr>
        <w:tc>
          <w:tcPr>
            <w:tcW w:w="60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Derek L. Graham</w:t>
            </w:r>
          </w:p>
        </w:tc>
      </w:tr>
      <w:tr>
        <w:trPr>
          <w:trHeight w:val="270"/>
        </w:trPr>
        <w:tc>
          <w:tcPr>
            <w:tcW w:w="6080" w:type="dxa"/>
            <w:vAlign w:val="bottom"/>
          </w:tcPr>
          <w:p>
            <w:pPr>
              <w:spacing w:after="0"/>
              <w:rPr>
                <w:sz w:val="23"/>
                <w:szCs w:val="2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2025</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27"/>
        </w:trPr>
        <w:tc>
          <w:tcPr>
            <w:tcW w:w="60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Simon Brewer</w:t>
            </w:r>
          </w:p>
        </w:tc>
      </w:tr>
      <w:tr>
        <w:trPr>
          <w:trHeight w:val="270"/>
        </w:trPr>
        <w:tc>
          <w:tcPr>
            <w:tcW w:w="6080" w:type="dxa"/>
            <w:vAlign w:val="bottom"/>
          </w:tcPr>
          <w:p>
            <w:pPr>
              <w:spacing w:after="0"/>
              <w:rPr>
                <w:sz w:val="23"/>
                <w:szCs w:val="2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2025</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r>
        <w:trPr>
          <w:trHeight w:val="486"/>
        </w:trPr>
        <w:tc>
          <w:tcPr>
            <w:tcW w:w="60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33</w:t>
            </w:r>
          </w:p>
        </w:tc>
        <w:tc>
          <w:tcPr>
            <w:tcW w:w="5160" w:type="dxa"/>
            <w:vAlign w:val="bottom"/>
          </w:tcPr>
          <w:p>
            <w:pPr>
              <w:spacing w:after="0"/>
              <w:rPr>
                <w:sz w:val="24"/>
                <w:szCs w:val="24"/>
                <w:color w:val="auto"/>
              </w:rPr>
            </w:pPr>
          </w:p>
        </w:tc>
      </w:tr>
      <w:tr>
        <w:trPr>
          <w:trHeight w:val="128"/>
        </w:trPr>
        <w:tc>
          <w:tcPr>
            <w:tcW w:w="6080" w:type="dxa"/>
            <w:vAlign w:val="bottom"/>
            <w:tcBorders>
              <w:bottom w:val="single" w:sz="8" w:color="auto"/>
            </w:tcBorders>
          </w:tcPr>
          <w:p>
            <w:pPr>
              <w:spacing w:after="0"/>
              <w:rPr>
                <w:sz w:val="11"/>
                <w:szCs w:val="11"/>
                <w:color w:val="auto"/>
              </w:rPr>
            </w:pPr>
          </w:p>
        </w:tc>
        <w:tc>
          <w:tcPr>
            <w:tcW w:w="5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ClearOne, Inc. (the “Corporation”),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hereby certifies that:</w:t>
      </w:r>
    </w:p>
    <w:p>
      <w:pPr>
        <w:spacing w:after="0" w:line="207" w:lineRule="exact"/>
        <w:rPr>
          <w:sz w:val="20"/>
          <w:szCs w:val="20"/>
          <w:color w:val="auto"/>
        </w:rPr>
      </w:pPr>
    </w:p>
    <w:p>
      <w:pPr>
        <w:ind w:firstLine="656"/>
        <w:spacing w:after="0" w:line="282" w:lineRule="auto"/>
        <w:tabs>
          <w:tab w:leader="none" w:pos="8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ClearOne, Inc. The Corporation’s Certificate of Incorporation was originally filed with the Secretary of State of the State of Delaware on October 25, 2018.</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“Board”), acting in accordance with the provisions of Sections 141 and 242 of the DGCL, duly adopted resolutions amending the Certificate of Incorporation as follows: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of the Corporation as currently in effect is hereby amended by deleting therefrom in its entirety the first paragraph of section (a) of Article III and inserting in lieu thereof the following:</w:t>
      </w:r>
    </w:p>
    <w:p>
      <w:pPr>
        <w:spacing w:after="0" w:line="175" w:lineRule="exact"/>
        <w:rPr>
          <w:sz w:val="20"/>
          <w:szCs w:val="20"/>
          <w:color w:val="auto"/>
        </w:rPr>
      </w:pPr>
    </w:p>
    <w:p>
      <w:pPr>
        <w:ind w:left="1040" w:hanging="407"/>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w:t>
      </w:r>
    </w:p>
    <w:p>
      <w:pPr>
        <w:spacing w:after="0" w:line="157" w:lineRule="exact"/>
        <w:rPr>
          <w:rFonts w:ascii="Times New Roman" w:cs="Times New Roman" w:eastAsia="Times New Roman" w:hAnsi="Times New Roman"/>
          <w:sz w:val="18"/>
          <w:szCs w:val="18"/>
          <w:color w:val="auto"/>
        </w:rPr>
      </w:pPr>
    </w:p>
    <w:p>
      <w:pPr>
        <w:jc w:val="both"/>
        <w:ind w:left="104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which the Corporation shall have the authority to issue is 200,000,000 shares, such shares being divided into 150,000,000 shares of common stock, par value $0.001 per share (the “Common Stock”), and 50,000,000 shares of preferred stock, par value $0.001 per share (the “Preferred Stock”).</w:t>
      </w:r>
    </w:p>
    <w:p>
      <w:pPr>
        <w:spacing w:after="0" w:line="189" w:lineRule="exact"/>
        <w:rPr>
          <w:sz w:val="20"/>
          <w:szCs w:val="20"/>
          <w:color w:val="auto"/>
        </w:rPr>
      </w:pPr>
    </w:p>
    <w:p>
      <w:pPr>
        <w:ind w:firstLine="656"/>
        <w:spacing w:after="0" w:line="282" w:lineRule="auto"/>
        <w:tabs>
          <w:tab w:leader="none" w:pos="8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acting in accordance with the provisions of Sections 141 and 242 of the DGCL, duly adopted resolutions amending the Certificate of Incorporation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Certificate of Incorporation of the Corporation as currently in effect is hereby amended by deleting therefrom in its entirety section (b)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III and inserting in lieu thereof the following:</w:t>
      </w:r>
    </w:p>
    <w:p>
      <w:pPr>
        <w:spacing w:after="0" w:line="220" w:lineRule="exact"/>
        <w:rPr>
          <w:sz w:val="20"/>
          <w:szCs w:val="20"/>
          <w:color w:val="auto"/>
        </w:rPr>
      </w:pPr>
    </w:p>
    <w:p>
      <w:pPr>
        <w:ind w:left="1040" w:hanging="407"/>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57" w:lineRule="exact"/>
        <w:rPr>
          <w:rFonts w:ascii="Times New Roman" w:cs="Times New Roman" w:eastAsia="Times New Roman" w:hAnsi="Times New Roman"/>
          <w:sz w:val="18"/>
          <w:szCs w:val="18"/>
          <w:color w:val="auto"/>
        </w:rPr>
      </w:pPr>
    </w:p>
    <w:p>
      <w:pPr>
        <w:jc w:val="both"/>
        <w:ind w:left="10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Certificate of Incorporation, the Board of Directors is authorized to provide for the issuance from time to time of shares of Preferred Stock in one or more series and, by filing a certificate pursuant to the applicable provisions of the Delaware General Corporation Law (a “Preferred Stock Certificate of Designation”), to establish from time to time the number of shares to be included in each such series, with such voting powers, full or limited, or no voting powers, and such designations, preferences, privileges and relative, participating, optional or other special rights and qualifications, limitations or restrictions thereof, as are stated and expressed in the resolution or resolutions providing for the issue thereof adopted by the Board of Directors, including, but not limited to, determination of any of the following:</w:t>
      </w:r>
    </w:p>
    <w:p>
      <w:pPr>
        <w:spacing w:after="0" w:line="215" w:lineRule="exact"/>
        <w:rPr>
          <w:rFonts w:ascii="Times New Roman" w:cs="Times New Roman" w:eastAsia="Times New Roman" w:hAnsi="Times New Roman"/>
          <w:sz w:val="18"/>
          <w:szCs w:val="18"/>
          <w:color w:val="auto"/>
        </w:rPr>
      </w:pPr>
    </w:p>
    <w:p>
      <w:pPr>
        <w:jc w:val="both"/>
        <w:ind w:left="1040" w:right="20" w:hanging="380"/>
        <w:spacing w:after="0" w:line="266"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of the series, whether by number, letter or title, and the number of shares which will constitute the series, which number may be increased or decreased (but not below the number of shares then outstanding and except where otherwise provided in the applicable Preferred Stock Certificate of Designation) from time to time by action of the Board of Directors;</w:t>
      </w:r>
    </w:p>
    <w:p>
      <w:pPr>
        <w:spacing w:after="0" w:line="13" w:lineRule="exact"/>
        <w:rPr>
          <w:rFonts w:ascii="Times New Roman" w:cs="Times New Roman" w:eastAsia="Times New Roman" w:hAnsi="Times New Roman"/>
          <w:sz w:val="18"/>
          <w:szCs w:val="18"/>
          <w:color w:val="auto"/>
        </w:rPr>
      </w:pPr>
    </w:p>
    <w:p>
      <w:pPr>
        <w:ind w:left="1040" w:right="20" w:hanging="380"/>
        <w:spacing w:after="0" w:line="281"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if any, and the times of payment of dividends, if any, on the shares of the series, whether such dividends will be cumulative, and if so, from what date or dates, and the relative rights of priority, if any, of payment of dividends on shares of that series;</w:t>
      </w:r>
    </w:p>
    <w:p>
      <w:pPr>
        <w:spacing w:after="0" w:line="1" w:lineRule="exact"/>
        <w:rPr>
          <w:rFonts w:ascii="Times New Roman" w:cs="Times New Roman" w:eastAsia="Times New Roman" w:hAnsi="Times New Roman"/>
          <w:sz w:val="18"/>
          <w:szCs w:val="18"/>
          <w:color w:val="auto"/>
        </w:rPr>
      </w:pPr>
    </w:p>
    <w:p>
      <w:pPr>
        <w:jc w:val="both"/>
        <w:ind w:left="1040" w:right="20" w:hanging="380"/>
        <w:spacing w:after="0" w:line="266"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3" w:lineRule="exact"/>
        <w:rPr>
          <w:rFonts w:ascii="Times New Roman" w:cs="Times New Roman" w:eastAsia="Times New Roman" w:hAnsi="Times New Roman"/>
          <w:sz w:val="18"/>
          <w:szCs w:val="18"/>
          <w:color w:val="auto"/>
        </w:rPr>
      </w:pPr>
    </w:p>
    <w:p>
      <w:pPr>
        <w:ind w:left="1040" w:right="20" w:hanging="380"/>
        <w:spacing w:after="0" w:line="281"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entitled to the benefit of a retirement or sinking fund to be applied to the purchase or redemption of such shares and, if so entitled, the amount of such fund and the terms and provisions relative to the operation thereof;</w:t>
      </w:r>
    </w:p>
    <w:p>
      <w:pPr>
        <w:spacing w:after="0" w:line="1" w:lineRule="exact"/>
        <w:rPr>
          <w:rFonts w:ascii="Times New Roman" w:cs="Times New Roman" w:eastAsia="Times New Roman" w:hAnsi="Times New Roman"/>
          <w:sz w:val="18"/>
          <w:szCs w:val="18"/>
          <w:color w:val="auto"/>
        </w:rPr>
      </w:pPr>
    </w:p>
    <w:p>
      <w:pPr>
        <w:ind w:left="1040" w:right="800" w:hanging="380"/>
        <w:spacing w:after="0" w:line="282"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the event of any voluntary or involuntary liquidation, dissolution or winding up of the affairs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both"/>
        <w:ind w:left="1040" w:right="20" w:hanging="380"/>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or exchangeable for, any other shares of stock of the Corporation or other securities, and if so convertible or exchangeable, the conversion price or prices, or the rates of exchange, and any adjustments thereof, at which such conversion or exchange may be made, and any other terms and conditions of such conversion or exchange;</w:t>
      </w:r>
    </w:p>
    <w:p>
      <w:pPr>
        <w:spacing w:after="0" w:line="13" w:lineRule="exact"/>
        <w:rPr>
          <w:rFonts w:ascii="Times New Roman" w:cs="Times New Roman" w:eastAsia="Times New Roman" w:hAnsi="Times New Roman"/>
          <w:sz w:val="18"/>
          <w:szCs w:val="18"/>
          <w:color w:val="auto"/>
        </w:rPr>
      </w:pPr>
    </w:p>
    <w:p>
      <w:pPr>
        <w:ind w:left="1040" w:right="600" w:hanging="380"/>
        <w:spacing w:after="0" w:line="28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the series in the event of voluntary or involuntary liquidation, dissolution or winding up of the affairs of the Corporation;</w:t>
      </w:r>
    </w:p>
    <w:p>
      <w:pPr>
        <w:spacing w:after="0" w:line="1" w:lineRule="exact"/>
        <w:rPr>
          <w:rFonts w:ascii="Times New Roman" w:cs="Times New Roman" w:eastAsia="Times New Roman" w:hAnsi="Times New Roman"/>
          <w:sz w:val="18"/>
          <w:szCs w:val="18"/>
          <w:color w:val="auto"/>
        </w:rPr>
      </w:pPr>
    </w:p>
    <w:p>
      <w:pPr>
        <w:jc w:val="both"/>
        <w:ind w:left="1040" w:right="20" w:hanging="380"/>
        <w:spacing w:after="0" w:line="258"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have priority over or be on a parity with or be junior to the shares of any other series or class of stock in any respect, or will be entitled to the benefit of limitations restricting the issuance of shares of any other series or class of stock, restricting the payment of dividends on or the making of other distributions in respect of shares of any other series or class of stock ranking junior to the shares of the series as to dividends or assets, or restricting the purchase or redemption of the shares of any such junior series or class, and the terms of any such restriction;</w:t>
      </w:r>
    </w:p>
    <w:p>
      <w:pPr>
        <w:spacing w:after="0" w:line="21" w:lineRule="exact"/>
        <w:rPr>
          <w:rFonts w:ascii="Times New Roman" w:cs="Times New Roman" w:eastAsia="Times New Roman" w:hAnsi="Times New Roman"/>
          <w:sz w:val="18"/>
          <w:szCs w:val="18"/>
          <w:color w:val="auto"/>
        </w:rPr>
      </w:pPr>
    </w:p>
    <w:p>
      <w:pPr>
        <w:ind w:left="1040" w:hanging="380"/>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will have voting rights, in addition to any voting rights provided by law, and, if so, the terms of such voting rights; and</w:t>
      </w:r>
    </w:p>
    <w:p>
      <w:pPr>
        <w:spacing w:after="0" w:line="27" w:lineRule="exact"/>
        <w:rPr>
          <w:rFonts w:ascii="Times New Roman" w:cs="Times New Roman" w:eastAsia="Times New Roman" w:hAnsi="Times New Roman"/>
          <w:sz w:val="18"/>
          <w:szCs w:val="18"/>
          <w:color w:val="auto"/>
        </w:rPr>
      </w:pPr>
    </w:p>
    <w:p>
      <w:pPr>
        <w:ind w:left="1020" w:right="180" w:hanging="378"/>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any other powers, designations, preferences and relative, participating, optional and other special rights of that series and the qualifications, limitations or restrictions of such preferences and/or rights.</w:t>
      </w:r>
    </w:p>
    <w:p>
      <w:pPr>
        <w:spacing w:after="0" w:line="194" w:lineRule="exact"/>
        <w:rPr>
          <w:sz w:val="20"/>
          <w:szCs w:val="20"/>
          <w:color w:val="auto"/>
        </w:rPr>
      </w:pPr>
    </w:p>
    <w:p>
      <w:pPr>
        <w:jc w:val="both"/>
        <w:ind w:left="640" w:right="20"/>
        <w:spacing w:after="0" w:line="256" w:lineRule="auto"/>
        <w:rPr>
          <w:sz w:val="20"/>
          <w:szCs w:val="20"/>
          <w:color w:val="auto"/>
        </w:rPr>
      </w:pPr>
      <w:r>
        <w:rPr>
          <w:rFonts w:ascii="Times New Roman" w:cs="Times New Roman" w:eastAsia="Times New Roman" w:hAnsi="Times New Roman"/>
          <w:sz w:val="18"/>
          <w:szCs w:val="18"/>
          <w:color w:val="auto"/>
        </w:rPr>
        <w:t>Except as otherwise required by law, as otherwise provided herein or as otherwise determined by the Board of Directors in the applicable Preferred Stock Certificate of Designation as to the shares of any series of Preferred Stock prior to the issuance of any such shares, the holders of Preferred Stock shall have no voting rights and shall not be entitled to any notice of any meeting of stockholders. In addition, except as otherwise expressly provided in the applicable Preferred Stock Certificate of Designation,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214" w:lineRule="exact"/>
        <w:rPr>
          <w:sz w:val="20"/>
          <w:szCs w:val="20"/>
          <w:color w:val="auto"/>
        </w:rPr>
      </w:pPr>
    </w:p>
    <w:p>
      <w:pPr>
        <w:ind w:left="1040" w:hanging="411"/>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03" w:lineRule="exact"/>
        <w:rPr>
          <w:rFonts w:ascii="Times New Roman" w:cs="Times New Roman" w:eastAsia="Times New Roman" w:hAnsi="Times New Roman"/>
          <w:sz w:val="18"/>
          <w:szCs w:val="18"/>
          <w:color w:val="auto"/>
        </w:rPr>
      </w:pPr>
    </w:p>
    <w:p>
      <w:pPr>
        <w:jc w:val="both"/>
        <w:ind w:left="104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of the holders of the Preferred Stock of any series as may be designated by the Board of Directors upon any issuance of the Preferred Stock or any series thereof. Except as otherwise provided in this Certificate of Incorporation or as otherwise required by applicable law, all shares of Common Stock shall be identical in all respects and shall entitle the holders thereof to the same rights, powers, preferences and privileges, subject to the same qualifications, limitations and restrictions. The terms of the Common Stock shall be subject to the express terms of any series of Preferred Stock.</w:t>
      </w:r>
    </w:p>
    <w:p>
      <w:pPr>
        <w:spacing w:after="0" w:line="201" w:lineRule="exact"/>
        <w:rPr>
          <w:sz w:val="20"/>
          <w:szCs w:val="20"/>
          <w:color w:val="auto"/>
        </w:rPr>
      </w:pPr>
    </w:p>
    <w:p>
      <w:pPr>
        <w:ind w:firstLine="656"/>
        <w:spacing w:after="0" w:line="282" w:lineRule="auto"/>
        <w:tabs>
          <w:tab w:leader="none" w:pos="8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acting in accordance with the provisions of Sections 141 and 242 of the DGCL, duly adopted resolutions amending the Certificate of Incorporation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Certificate of Incorporation of the Corporation as currently in effect is hereby amended by deleting therefrom in its entirety sections (a)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VI and inserting in lieu thereof the following:</w:t>
      </w:r>
    </w:p>
    <w:p>
      <w:pPr>
        <w:spacing w:after="0" w:line="205" w:lineRule="exact"/>
        <w:rPr>
          <w:sz w:val="20"/>
          <w:szCs w:val="20"/>
          <w:color w:val="auto"/>
        </w:rPr>
      </w:pPr>
    </w:p>
    <w:p>
      <w:pPr>
        <w:jc w:val="both"/>
        <w:ind w:left="660" w:hanging="4"/>
        <w:spacing w:after="0" w:line="257" w:lineRule="auto"/>
        <w:tabs>
          <w:tab w:leader="none" w:pos="9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 by Written Consent</w:t>
      </w:r>
      <w:r>
        <w:rPr>
          <w:rFonts w:ascii="Times New Roman" w:cs="Times New Roman" w:eastAsia="Times New Roman" w:hAnsi="Times New Roman"/>
          <w:sz w:val="18"/>
          <w:szCs w:val="18"/>
          <w:color w:val="auto"/>
        </w:rPr>
        <w:t>. Any action required or permitted to be taken at any annual or special meeting of stockholders of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taken without a meeting, without prior notice and without a vote, if a consent or consents in writing, setting forth the action so taken, shall be signed by the holders of outstanding stock of the Corporation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w:t>
      </w:r>
    </w:p>
    <w:p>
      <w:pPr>
        <w:spacing w:after="0" w:line="184" w:lineRule="exact"/>
        <w:rPr>
          <w:sz w:val="20"/>
          <w:szCs w:val="20"/>
          <w:color w:val="auto"/>
        </w:rPr>
      </w:pPr>
    </w:p>
    <w:p>
      <w:pPr>
        <w:ind w:firstLine="656"/>
        <w:spacing w:after="0" w:line="282" w:lineRule="auto"/>
        <w:tabs>
          <w:tab w:leader="none" w:pos="9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Chief Executive Officer this 20th day of June,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CLEARONE, INC.</w:t>
      </w:r>
    </w:p>
    <w:p>
      <w:pPr>
        <w:spacing w:after="0" w:line="36"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57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L. Graham,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20" w:type="dxa"/>
            <w:vAlign w:val="bottom"/>
          </w:tcPr>
          <w:p>
            <w:pPr>
              <w:spacing w:after="0"/>
              <w:rPr>
                <w:sz w:val="21"/>
                <w:szCs w:val="21"/>
                <w:color w:val="auto"/>
              </w:rPr>
            </w:pPr>
          </w:p>
        </w:tc>
        <w:tc>
          <w:tcPr>
            <w:tcW w:w="78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8"/>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2025</w:t>
            </w: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Brewer,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/s/Simon Brewer</w:t>
            </w:r>
          </w:p>
        </w:tc>
      </w:tr>
      <w:tr>
        <w:trPr>
          <w:trHeight w:val="191"/>
        </w:trPr>
        <w:tc>
          <w:tcPr>
            <w:tcW w:w="60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2025</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Derek L. Graham, certify, to my best knowledge and belief, pursuant to 18 U.S.C. Section 1350, as adopted pursuant to Section 906 of the Sarbanes-Oxley Act of 2002, that the Quarterly Report of ClearOne, Inc. on Form 10-Q for the quarter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20" w:type="dxa"/>
            <w:vAlign w:val="bottom"/>
          </w:tcPr>
          <w:p>
            <w:pPr>
              <w:spacing w:after="0"/>
              <w:rPr>
                <w:sz w:val="20"/>
                <w:szCs w:val="20"/>
                <w:color w:val="auto"/>
              </w:rPr>
            </w:pPr>
          </w:p>
        </w:tc>
        <w:tc>
          <w:tcPr>
            <w:tcW w:w="78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2025</w:t>
            </w: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Simon Brewer, certify, to my best knowledge and belief, pursuant to 18 U.S.C. Section 1350, as adopted pursuant to Section 906 of the Sarbanes-Oxley Act of 2002, that the Quarterly Report of ClearOne, Inc. on Form 10-Q for the quarter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198"/>
        </w:trPr>
        <w:tc>
          <w:tcPr>
            <w:tcW w:w="608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2025</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lowerLetter"/>
      <w:start w:val="2"/>
    </w:lvl>
    <w:lvl w:ilvl="1">
      <w:lvlJc w:val="left"/>
      <w:lvlText w:val="(%2)"/>
      <w:numFmt w:val="decimal"/>
      <w:start w:val="1"/>
    </w:lvl>
  </w:abstractNum>
  <w:abstractNum w:abstractNumId="10">
    <w:nsid w:val="DED7263"/>
    <w:multiLevelType w:val="hybridMultilevel"/>
    <w:lvl w:ilvl="0">
      <w:lvlJc w:val="left"/>
      <w:lvlText w:val="(%1)"/>
      <w:numFmt w:val="decimal"/>
      <w:start w:val="6"/>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decimal"/>
      <w:start w:val="4"/>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47" Type="http://schemas.openxmlformats.org/officeDocument/2006/relationships/hyperlink" Target="http://www.sec.gov/Archives/edgar/data/840715/000175392625001008/ex31_1.htm" TargetMode="External"/><Relationship Id="rId48" Type="http://schemas.openxmlformats.org/officeDocument/2006/relationships/hyperlink" Target="http://www.sec.gov/Archives/edgar/data/840715/000175392625001008/ex32_2.htm" TargetMode="External"/><Relationship Id="rId49" Type="http://schemas.openxmlformats.org/officeDocument/2006/relationships/hyperlink" Target="http://www.sec.gov/Archives/edgar/data/840715/000175392625000914/ex31_1.htm" TargetMode="External"/><Relationship Id="rId50" Type="http://schemas.openxmlformats.org/officeDocument/2006/relationships/hyperlink" Target="http://www.sec.gov/Archives/edgar/data/840715/000175392625000304/ex10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2025-08-14T16:16:59Z</dcterms:created>
  <dcterms:modified xsi:type="dcterms:W3CDTF">2025-08-14T16:16:59Z</dcterms:modified>
</cp:coreProperties>
</file>