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940,503</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940,503</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7.744%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940,503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940,503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7.744%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940,503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7.744%</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940,503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940,503 shares or 7.744% of the total outstanding Common Stock at December 31, 2006.</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940,503 shares or 7.744%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Common Stock outstanding of CLEARONE</w:t>
      </w:r>
    </w:p>
    <w:p>
      <w:pPr>
        <w:spacing w:after="0"/>
        <w:tabs>
          <w:tab w:leader="none" w:pos="3040" w:val="left"/>
        </w:tabs>
        <w:rPr>
          <w:sz w:val="20"/>
          <w:szCs w:val="20"/>
          <w:color w:val="auto"/>
        </w:rPr>
      </w:pPr>
      <w:r>
        <w:rPr>
          <w:rFonts w:ascii="Courier New" w:cs="Courier New" w:eastAsia="Courier New" w:hAnsi="Courier New"/>
          <w:sz w:val="18"/>
          <w:szCs w:val="18"/>
          <w:color w:val="auto"/>
        </w:rPr>
        <w:t>Communications Incorporated</w:t>
      </w:r>
      <w:r>
        <w:rPr>
          <w:sz w:val="20"/>
          <w:szCs w:val="20"/>
          <w:color w:val="auto"/>
        </w:rPr>
        <w:tab/>
      </w:r>
      <w:r>
        <w:rPr>
          <w:rFonts w:ascii="Courier New" w:cs="Courier New" w:eastAsia="Courier New" w:hAnsi="Courier New"/>
          <w:sz w:val="16"/>
          <w:szCs w:val="16"/>
          <w:color w:val="auto"/>
        </w:rPr>
        <w:t>("the Company") as a result of</w:t>
      </w:r>
    </w:p>
    <w:p>
      <w:pPr>
        <w:spacing w:after="0"/>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line="237"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8" w:lineRule="auto"/>
        <w:rPr>
          <w:sz w:val="20"/>
          <w:szCs w:val="20"/>
          <w:color w:val="auto"/>
        </w:rPr>
      </w:pPr>
      <w:r>
        <w:rPr>
          <w:rFonts w:ascii="Courier New" w:cs="Courier New" w:eastAsia="Courier New" w:hAnsi="Courier New"/>
          <w:sz w:val="18"/>
          <w:szCs w:val="18"/>
          <w:color w:val="auto"/>
        </w:rPr>
        <w:t>1940.</w:t>
      </w:r>
    </w:p>
    <w:p>
      <w:pPr>
        <w:spacing w:after="0" w:line="208"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940,503 shares or 7.744%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940,503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CLEARONE Communications Incorporated at December 31, 2006.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Senior V.P. and General Counsel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2019-12-11T21:06:16Z</dcterms:created>
  <dcterms:modified xsi:type="dcterms:W3CDTF">2019-12-11T21:06:16Z</dcterms:modified>
</cp:coreProperties>
</file>