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July 5, 2000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UTAH</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17219</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87-0398877</w:t>
      </w:r>
    </w:p>
    <w:p>
      <w:pPr>
        <w:jc w:val="center"/>
        <w:ind w:right="231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400" w:space="720"/>
            <w:col w:w="6099"/>
          </w:cols>
          <w:pgMar w:left="240" w:top="852"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1825 Research Way, Salt Lake City, Utah 84119</w:t>
      </w:r>
    </w:p>
    <w:p>
      <w:pPr>
        <w:sectPr>
          <w:pgSz w:w="11900" w:h="16838"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On July 5, 2000, pursuant to the "Asset Purchase Agreement" dated July 5, 2000, Gentner Communications Corporation (the "Registrant") purchased substantially all of the assets of ClearOne, Inc. (Woburn, Mass.), a privately-held developer and manufacturer of multimedia group communications products.</w:t>
      </w:r>
    </w:p>
    <w:p>
      <w:pPr>
        <w:spacing w:after="0" w:line="209"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Registrant will account for the acquisition of these assets under the purchase method of accounting. The assets were acquired with $1.7 million in cash and 129,872 shares of the Registrant's restricted stock. The cash purchase price was paid from the Registrant's general working capital. The total value of consideration paid for the assets was determined based on arm's length negotiations between the Registrant and ClearOne, which took into account ClearOne's financial position, operating history, products, intellectual property and other factors relating to ClearOne's business. There are no material relationships between ClearOne and the Registrant prior to completion of this transaction.</w:t>
      </w:r>
    </w:p>
    <w:p>
      <w:pPr>
        <w:spacing w:after="0" w:line="215"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The assets purchased were used in the development and support of ClearOne's component technology products for both audio and video teleconferencing applications. The Registrant currently intends to use such assets in substantially the same manner. The Registrant will retain ClearOne's</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facilities in Woburn, MA.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impractical for Registrant to file the required financial statements at this time. Registrant intends to file with the Securities and Exchange Commission such financial statements within 60 days of the filing date of this report.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response to Item 7(a).</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response to Item 7(a).</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Gentner Communications Corp.</w:t>
      </w:r>
    </w:p>
    <w:p>
      <w:pPr>
        <w:ind w:left="474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Susie Strohm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Susie Strohm</w:t>
      </w:r>
    </w:p>
    <w:p>
      <w:pPr>
        <w:ind w:left="444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(Duly authorized Officer and Principal</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Dated:</w:t>
        <w:tab/>
        <w:t>July 20, 2000</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2019-12-13T18:06:46Z</dcterms:created>
  <dcterms:modified xsi:type="dcterms:W3CDTF">2019-12-13T18:06:46Z</dcterms:modified>
</cp:coreProperties>
</file>