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6" w:lineRule="exact"/>
        <w:rPr>
          <w:sz w:val="24"/>
          <w:szCs w:val="24"/>
          <w:color w:val="auto"/>
        </w:rPr>
      </w:pPr>
    </w:p>
    <w:p>
      <w:pPr>
        <w:jc w:val="right"/>
        <w:ind w:left="4020" w:right="4000" w:hanging="4012"/>
        <w:spacing w:after="0" w:line="643" w:lineRule="auto"/>
        <w:tabs>
          <w:tab w:leader="none" w:pos="634"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 xml:space="preserve">For the quarterly period ended </w:t>
      </w:r>
      <w:r>
        <w:rPr>
          <w:rFonts w:ascii="Arial" w:cs="Arial" w:eastAsia="Arial" w:hAnsi="Arial"/>
          <w:sz w:val="16"/>
          <w:szCs w:val="16"/>
          <w:u w:val="single" w:color="auto"/>
          <w:color w:val="auto"/>
        </w:rPr>
        <w:t>March 31, 2006</w:t>
      </w:r>
    </w:p>
    <w:p>
      <w:pPr>
        <w:ind w:left="5580"/>
        <w:spacing w:after="0"/>
        <w:rPr>
          <w:rFonts w:ascii="Arial" w:cs="Arial" w:eastAsia="Arial" w:hAnsi="Arial"/>
          <w:sz w:val="16"/>
          <w:szCs w:val="16"/>
          <w:color w:val="auto"/>
        </w:rPr>
      </w:pPr>
      <w:r>
        <w:rPr>
          <w:rFonts w:ascii="Arial" w:cs="Arial" w:eastAsia="Arial" w:hAnsi="Arial"/>
          <w:sz w:val="18"/>
          <w:szCs w:val="18"/>
          <w:b w:val="1"/>
          <w:bCs w:val="1"/>
          <w:color w:val="auto"/>
        </w:rPr>
        <w:t>OR</w:t>
      </w:r>
    </w:p>
    <w:p>
      <w:pPr>
        <w:spacing w:after="0" w:line="320"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For the transition period from _______________ to _______________</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CLEARONE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tbl>
      <w:tblPr>
        <w:tblLayout w:type="fixed"/>
        <w:tblInd w:w="1720" w:type="dxa"/>
        <w:tblCellMar>
          <w:top w:w="0" w:type="dxa"/>
          <w:left w:w="0" w:type="dxa"/>
          <w:bottom w:w="0" w:type="dxa"/>
          <w:right w:w="0" w:type="dxa"/>
        </w:tblCellMar>
      </w:tblPr>
      <w:tr>
        <w:trPr>
          <w:trHeight w:val="241"/>
        </w:trPr>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346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4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gridSpan w:val="2"/>
          </w:tcPr>
          <w:p>
            <w:pPr>
              <w:jc w:val="center"/>
              <w:ind w:right="8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5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340" w:type="dxa"/>
            <w:vAlign w:val="bottom"/>
          </w:tcPr>
          <w:p>
            <w:pPr>
              <w:spacing w:after="0"/>
              <w:rPr>
                <w:sz w:val="20"/>
                <w:szCs w:val="20"/>
                <w:color w:val="auto"/>
              </w:rPr>
            </w:pPr>
          </w:p>
        </w:tc>
        <w:tc>
          <w:tcPr>
            <w:tcW w:w="3120" w:type="dxa"/>
            <w:vAlign w:val="bottom"/>
            <w:gridSpan w:val="3"/>
          </w:tcPr>
          <w:p>
            <w:pPr>
              <w:jc w:val="center"/>
              <w:spacing w:after="0"/>
              <w:rPr>
                <w:sz w:val="20"/>
                <w:szCs w:val="20"/>
                <w:color w:val="auto"/>
              </w:rPr>
            </w:pPr>
            <w:r>
              <w:rPr>
                <w:rFonts w:ascii="Arial" w:cs="Arial" w:eastAsia="Arial" w:hAnsi="Arial"/>
                <w:sz w:val="18"/>
                <w:szCs w:val="18"/>
                <w:color w:val="auto"/>
                <w:w w:val="92"/>
              </w:rPr>
              <w:t>identification number)</w:t>
            </w:r>
          </w:p>
        </w:tc>
      </w:tr>
      <w:tr>
        <w:trPr>
          <w:trHeight w:val="493"/>
        </w:trPr>
        <w:tc>
          <w:tcPr>
            <w:tcW w:w="452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1825 Research Way, Salt Lake City, Utah</w:t>
            </w:r>
          </w:p>
        </w:tc>
        <w:tc>
          <w:tcPr>
            <w:tcW w:w="346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84119</w:t>
            </w:r>
          </w:p>
        </w:tc>
      </w:tr>
      <w:tr>
        <w:trPr>
          <w:trHeight w:val="230"/>
        </w:trPr>
        <w:tc>
          <w:tcPr>
            <w:tcW w:w="4520" w:type="dxa"/>
            <w:vAlign w:val="bottom"/>
            <w:tcBorders>
              <w:top w:val="single" w:sz="8" w:color="auto"/>
            </w:tcBorders>
          </w:tcPr>
          <w:p>
            <w:pPr>
              <w:jc w:val="center"/>
              <w:ind w:left="1170"/>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(801) 975-7200</w:t>
      </w:r>
    </w:p>
    <w:p>
      <w:pPr>
        <w:spacing w:after="0" w:line="283" w:lineRule="exact"/>
        <w:rPr>
          <w:sz w:val="24"/>
          <w:szCs w:val="24"/>
          <w:color w:val="auto"/>
        </w:rPr>
      </w:pPr>
    </w:p>
    <w:p>
      <w:pPr>
        <w:jc w:val="both"/>
        <w:ind w:right="100"/>
        <w:spacing w:after="0" w:line="256" w:lineRule="auto"/>
        <w:rPr>
          <w:sz w:val="20"/>
          <w:szCs w:val="20"/>
          <w:color w:val="auto"/>
        </w:rPr>
      </w:pPr>
      <w:r>
        <w:rPr>
          <w:rFonts w:ascii="Arial" w:cs="Arial" w:eastAsia="Arial" w:hAnsi="Arial"/>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right"/>
        <w:spacing w:after="0" w:line="207" w:lineRule="exact"/>
        <w:tabs>
          <w:tab w:leader="none" w:pos="40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19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x</w:t>
      </w:r>
    </w:p>
    <w:p>
      <w:pPr>
        <w:spacing w:after="0" w:line="320" w:lineRule="exact"/>
        <w:rPr>
          <w:sz w:val="24"/>
          <w:szCs w:val="24"/>
          <w:color w:val="auto"/>
        </w:rPr>
      </w:pPr>
    </w:p>
    <w:p>
      <w:pPr>
        <w:spacing w:after="0" w:line="207" w:lineRule="exact"/>
        <w:tabs>
          <w:tab w:leader="none" w:pos="926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APPLICABLE ONLY TO REGISTRANTS INVOLVED IN BANKRUPTCY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PROCEEDINGS DURING THE PRECEDING FIVE YEARS</w:t>
      </w: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w:t>
      </w:r>
    </w:p>
    <w:p>
      <w:pPr>
        <w:spacing w:after="0" w:line="46" w:lineRule="exact"/>
        <w:rPr>
          <w:sz w:val="24"/>
          <w:szCs w:val="24"/>
          <w:color w:val="auto"/>
        </w:rPr>
      </w:pPr>
    </w:p>
    <w:p>
      <w:pPr>
        <w:spacing w:after="0" w:line="207" w:lineRule="exact"/>
        <w:tabs>
          <w:tab w:leader="none" w:pos="7000" w:val="left"/>
          <w:tab w:leader="none" w:pos="8060" w:val="left"/>
        </w:tabs>
        <w:rPr>
          <w:sz w:val="20"/>
          <w:szCs w:val="20"/>
          <w:color w:val="auto"/>
        </w:rPr>
      </w:pPr>
      <w:r>
        <w:rPr>
          <w:rFonts w:ascii="Arial" w:cs="Arial" w:eastAsia="Arial" w:hAnsi="Arial"/>
          <w:sz w:val="18"/>
          <w:szCs w:val="18"/>
          <w:color w:val="auto"/>
        </w:rPr>
        <w:t>Act of 1934 subsequent to the distribution of securities under a plan confirmed by a court.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APPLICABLE ONLY TO CORPORATE REGISTRANTS</w:t>
      </w:r>
    </w:p>
    <w:p>
      <w:pPr>
        <w:spacing w:after="0" w:line="28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There were 12,184,727 shares of the Company’s Common Stock, par value $0.001, outstanding on June 15,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829"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REPORT ON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MARCH 31, 2006</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Page Number</w:t>
            </w:r>
          </w:p>
        </w:tc>
      </w:tr>
      <w:tr>
        <w:trPr>
          <w:trHeight w:val="439"/>
        </w:trPr>
        <w:tc>
          <w:tcPr>
            <w:tcW w:w="9120" w:type="dxa"/>
            <w:vAlign w:val="bottom"/>
            <w:gridSpan w:val="21"/>
            <w:shd w:val="clear" w:color="auto" w:fill="CCEEFF"/>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1"/>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486"/>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60" w:type="dxa"/>
            <w:vAlign w:val="bottom"/>
            <w:gridSpan w:val="12"/>
          </w:tcPr>
          <w:p>
            <w:pPr>
              <w:jc w:val="center"/>
              <w:ind w:right="2320"/>
              <w:spacing w:after="0"/>
              <w:rPr>
                <w:sz w:val="20"/>
                <w:szCs w:val="20"/>
                <w:color w:val="auto"/>
              </w:rPr>
            </w:pPr>
            <w:r>
              <w:rPr>
                <w:rFonts w:ascii="Arial" w:cs="Arial" w:eastAsia="Arial" w:hAnsi="Arial"/>
                <w:sz w:val="18"/>
                <w:szCs w:val="18"/>
                <w:color w:val="auto"/>
                <w:w w:val="98"/>
              </w:rPr>
              <w:t>PART I - FINANCIAL INFORMATION</w:t>
            </w:r>
          </w:p>
        </w:tc>
        <w:tc>
          <w:tcPr>
            <w:tcW w:w="1160" w:type="dxa"/>
            <w:vAlign w:val="bottom"/>
          </w:tcPr>
          <w:p>
            <w:pPr>
              <w:spacing w:after="0"/>
              <w:rPr>
                <w:sz w:val="24"/>
                <w:szCs w:val="24"/>
                <w:color w:val="auto"/>
              </w:rPr>
            </w:pPr>
          </w:p>
        </w:tc>
      </w:tr>
      <w:tr>
        <w:trPr>
          <w:trHeight w:val="48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798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Condensed Consolidated Financial Statements</w:t>
            </w:r>
          </w:p>
        </w:tc>
        <w:tc>
          <w:tcPr>
            <w:tcW w:w="1160" w:type="dxa"/>
            <w:vAlign w:val="bottom"/>
            <w:shd w:val="clear" w:color="auto" w:fill="CCEEFF"/>
          </w:tcPr>
          <w:p>
            <w:pPr>
              <w:spacing w:after="0"/>
              <w:rPr>
                <w:sz w:val="24"/>
                <w:szCs w:val="24"/>
                <w:color w:val="auto"/>
              </w:rPr>
            </w:pPr>
          </w:p>
        </w:tc>
      </w:tr>
      <w:tr>
        <w:trPr>
          <w:trHeight w:val="446"/>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2006 and June 30, 2005 (Unaudited)</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46"/>
        </w:trPr>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980" w:type="dxa"/>
            <w:vAlign w:val="bottom"/>
            <w:gridSpan w:val="19"/>
            <w:shd w:val="clear" w:color="auto" w:fill="CCEEFF"/>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Operations and Comprehensive Income (Loss) for the Three Months</w:t>
              </w:r>
            </w:hyperlink>
          </w:p>
        </w:tc>
        <w:tc>
          <w:tcPr>
            <w:tcW w:w="1160" w:type="dxa"/>
            <w:vAlign w:val="bottom"/>
            <w:shd w:val="clear" w:color="auto" w:fill="CCEEFF"/>
          </w:tcPr>
          <w:p>
            <w:pPr>
              <w:spacing w:after="0"/>
              <w:rPr>
                <w:sz w:val="24"/>
                <w:szCs w:val="24"/>
                <w:color w:val="auto"/>
              </w:rPr>
            </w:pPr>
          </w:p>
        </w:tc>
      </w:tr>
      <w:tr>
        <w:trPr>
          <w:trHeight w:val="217"/>
        </w:trPr>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7240" w:type="dxa"/>
            <w:vAlign w:val="bottom"/>
            <w:tcBorders>
              <w:top w:val="single" w:sz="8" w:color="0000EE"/>
              <w:bottom w:val="single" w:sz="8" w:color="0000EE"/>
            </w:tcBorders>
            <w:gridSpan w:val="15"/>
            <w:shd w:val="clear" w:color="auto" w:fill="CCEEFF"/>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Ended March 31, 2006 and 2005 and the Nine Months Ended March 31, 2006 and 2005 (Unaudited)</w:t>
              </w:r>
            </w:hyperlink>
          </w:p>
        </w:tc>
        <w:tc>
          <w:tcPr>
            <w:tcW w:w="56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446"/>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Condensed Consolidated Statement of Shareholders’ Equity for the Nine Months Ended March 31, 2006</w:t>
              </w:r>
            </w:hyperlink>
          </w:p>
        </w:tc>
        <w:tc>
          <w:tcPr>
            <w:tcW w:w="11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460" w:type="dxa"/>
            <w:vAlign w:val="bottom"/>
            <w:gridSpan w:val="3"/>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46"/>
        </w:trPr>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980" w:type="dxa"/>
            <w:vAlign w:val="bottom"/>
            <w:gridSpan w:val="19"/>
            <w:shd w:val="clear" w:color="auto" w:fill="CCEEFF"/>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Condensed Consolidated Statements of Cash Flows for the Nine Months Ended March 31, 2006 and 2005</w:t>
              </w:r>
            </w:hyperlink>
          </w:p>
        </w:tc>
        <w:tc>
          <w:tcPr>
            <w:tcW w:w="1160" w:type="dxa"/>
            <w:vAlign w:val="bottom"/>
            <w:shd w:val="clear" w:color="auto" w:fill="CCEEFF"/>
          </w:tcPr>
          <w:p>
            <w:pPr>
              <w:spacing w:after="0"/>
              <w:rPr>
                <w:sz w:val="24"/>
                <w:szCs w:val="24"/>
                <w:color w:val="auto"/>
              </w:rPr>
            </w:pPr>
          </w:p>
        </w:tc>
      </w:tr>
      <w:tr>
        <w:trPr>
          <w:trHeight w:val="196"/>
        </w:trPr>
        <w:tc>
          <w:tcPr>
            <w:tcW w:w="7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2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w:t>
              </w:r>
            </w:hyperlink>
          </w:p>
        </w:tc>
        <w:tc>
          <w:tcPr>
            <w:tcW w:w="360" w:type="dxa"/>
            <w:vAlign w:val="bottom"/>
            <w:tcBorders>
              <w:top w:val="single" w:sz="8" w:color="CCEEFF"/>
            </w:tcBorders>
            <w:gridSpan w:val="2"/>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8</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r>
      <w:tr>
        <w:trPr>
          <w:trHeight w:val="446"/>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8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1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1520" w:type="dxa"/>
            <w:vAlign w:val="bottom"/>
            <w:tcBorders>
              <w:bottom w:val="single" w:sz="8" w:color="CCEEFF"/>
            </w:tcBorders>
            <w:gridSpan w:val="6"/>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26</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980" w:type="dxa"/>
            <w:vAlign w:val="bottom"/>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4</w:t>
            </w:r>
          </w:p>
        </w:tc>
        <w:tc>
          <w:tcPr>
            <w:tcW w:w="7980" w:type="dxa"/>
            <w:vAlign w:val="bottom"/>
            <w:gridSpan w:val="19"/>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r>
      <w:tr>
        <w:trPr>
          <w:trHeight w:val="486"/>
        </w:trPr>
        <w:tc>
          <w:tcPr>
            <w:tcW w:w="7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400" w:type="dxa"/>
            <w:vAlign w:val="bottom"/>
            <w:tcBorders>
              <w:top w:val="single" w:sz="8" w:color="CCEEFF"/>
            </w:tcBorders>
            <w:gridSpan w:val="11"/>
          </w:tcPr>
          <w:p>
            <w:pPr>
              <w:jc w:val="center"/>
              <w:ind w:right="2560"/>
              <w:spacing w:after="0"/>
              <w:rPr>
                <w:sz w:val="20"/>
                <w:szCs w:val="20"/>
                <w:color w:val="auto"/>
              </w:rPr>
            </w:pPr>
            <w:r>
              <w:rPr>
                <w:rFonts w:ascii="Arial" w:cs="Arial" w:eastAsia="Arial" w:hAnsi="Arial"/>
                <w:sz w:val="18"/>
                <w:szCs w:val="18"/>
                <w:color w:val="auto"/>
                <w:w w:val="96"/>
              </w:rPr>
              <w:t>PART II - OTHER INFORMATION</w:t>
            </w:r>
          </w:p>
        </w:tc>
        <w:tc>
          <w:tcPr>
            <w:tcW w:w="1160" w:type="dxa"/>
            <w:vAlign w:val="bottom"/>
            <w:tcBorders>
              <w:top w:val="single" w:sz="8" w:color="CCEEFF"/>
            </w:tcBorders>
          </w:tcPr>
          <w:p>
            <w:pPr>
              <w:spacing w:after="0"/>
              <w:rPr>
                <w:sz w:val="24"/>
                <w:szCs w:val="24"/>
                <w:color w:val="auto"/>
              </w:rPr>
            </w:pPr>
          </w:p>
        </w:tc>
      </w:tr>
      <w:tr>
        <w:trPr>
          <w:trHeight w:val="466"/>
        </w:trPr>
        <w:tc>
          <w:tcPr>
            <w:tcW w:w="1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6640" w:type="dxa"/>
            <w:vAlign w:val="bottom"/>
            <w:tcBorders>
              <w:bottom w:val="single" w:sz="8" w:color="CCEEFF"/>
            </w:tcBorders>
            <w:gridSpan w:val="14"/>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798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2</w:t>
            </w:r>
          </w:p>
        </w:tc>
        <w:tc>
          <w:tcPr>
            <w:tcW w:w="7980" w:type="dxa"/>
            <w:vAlign w:val="bottom"/>
            <w:gridSpan w:val="19"/>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446"/>
        </w:trPr>
        <w:tc>
          <w:tcPr>
            <w:tcW w:w="1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3640" w:type="dxa"/>
            <w:vAlign w:val="bottom"/>
            <w:tcBorders>
              <w:top w:val="single" w:sz="8" w:color="CCEEFF"/>
            </w:tcBorders>
            <w:gridSpan w:val="8"/>
          </w:tcPr>
          <w:p>
            <w:pPr>
              <w:spacing w:after="0"/>
              <w:rPr>
                <w:sz w:val="24"/>
                <w:szCs w:val="24"/>
                <w:color w:val="auto"/>
              </w:rPr>
            </w:pPr>
          </w:p>
        </w:tc>
        <w:tc>
          <w:tcPr>
            <w:tcW w:w="11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50</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4</w:t>
            </w:r>
          </w:p>
        </w:tc>
        <w:tc>
          <w:tcPr>
            <w:tcW w:w="7980" w:type="dxa"/>
            <w:vAlign w:val="bottom"/>
            <w:gridSpan w:val="19"/>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Submission of Matters to a Vote of Security Holders</w:t>
              </w:r>
            </w:hyperlink>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r>
      <w:tr>
        <w:trPr>
          <w:trHeight w:val="446"/>
        </w:trPr>
        <w:tc>
          <w:tcPr>
            <w:tcW w:w="1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Item 5</w:t>
            </w:r>
          </w:p>
        </w:tc>
        <w:tc>
          <w:tcPr>
            <w:tcW w:w="3760" w:type="dxa"/>
            <w:vAlign w:val="bottom"/>
            <w:tcBorders>
              <w:top w:val="single" w:sz="8" w:color="0000EE"/>
            </w:tcBorders>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4220" w:type="dxa"/>
            <w:vAlign w:val="bottom"/>
            <w:tcBorders>
              <w:top w:val="single" w:sz="8" w:color="CCEEFF"/>
            </w:tcBorders>
            <w:gridSpan w:val="10"/>
          </w:tcPr>
          <w:p>
            <w:pPr>
              <w:spacing w:after="0"/>
              <w:rPr>
                <w:sz w:val="24"/>
                <w:szCs w:val="24"/>
                <w:color w:val="auto"/>
              </w:rPr>
            </w:pPr>
          </w:p>
        </w:tc>
        <w:tc>
          <w:tcPr>
            <w:tcW w:w="11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50</w:t>
            </w:r>
          </w:p>
        </w:tc>
      </w:tr>
      <w:tr>
        <w:trPr>
          <w:trHeight w:val="21"/>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6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6</w:t>
            </w:r>
          </w:p>
        </w:tc>
        <w:tc>
          <w:tcPr>
            <w:tcW w:w="7980" w:type="dxa"/>
            <w:vAlign w:val="bottom"/>
            <w:gridSpan w:val="19"/>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r>
      <w:tr>
        <w:trPr>
          <w:trHeight w:val="446"/>
        </w:trPr>
        <w:tc>
          <w:tcPr>
            <w:tcW w:w="1140" w:type="dxa"/>
            <w:vAlign w:val="bottom"/>
            <w:tcBorders>
              <w:top w:val="single" w:sz="8" w:color="CCEEFF"/>
            </w:tcBorders>
            <w:gridSpan w:val="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52</w:t>
            </w: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820" w:top="364"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88900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however, not all forward-looking statements contain these words.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in Item 2, “Management’s Discussion and Analysis of Financial Condition and Results of Operations,” Item 3, “Quantitative and Qualitative Disclosures About Market Risk,” and Item 4, “Controls and Procedures” included in this Quarterly Report on Form 10-Q.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Part II - Other Information, Item 1A, “Risk Factors” and the application of “Critical Accounting Policies” as discussed in Item 2, “Management’s Discussion and Analysis of Financial Condition and Results of Operations.”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changes in circumstances, or changes in estimates.</w:t>
      </w:r>
    </w:p>
    <w:p>
      <w:pPr>
        <w:spacing w:after="0" w:line="200" w:lineRule="exact"/>
        <w:rPr>
          <w:sz w:val="20"/>
          <w:szCs w:val="20"/>
          <w:color w:val="auto"/>
        </w:rPr>
      </w:pPr>
    </w:p>
    <w:p>
      <w:pPr>
        <w:spacing w:after="0" w:line="243" w:lineRule="exact"/>
        <w:rPr>
          <w:sz w:val="20"/>
          <w:szCs w:val="20"/>
          <w:color w:val="auto"/>
        </w:rPr>
      </w:pPr>
    </w:p>
    <w:p>
      <w:pPr>
        <w:jc w:val="center"/>
        <w:ind w:left="600" w:right="460"/>
        <w:spacing w:after="0" w:line="277" w:lineRule="auto"/>
        <w:rPr>
          <w:sz w:val="20"/>
          <w:szCs w:val="20"/>
          <w:color w:val="auto"/>
        </w:rPr>
      </w:pPr>
      <w:r>
        <w:rPr>
          <w:rFonts w:ascii="Arial" w:cs="Arial" w:eastAsia="Arial" w:hAnsi="Arial"/>
          <w:sz w:val="18"/>
          <w:szCs w:val="18"/>
          <w:color w:val="auto"/>
        </w:rPr>
        <w:t>CAUTIONARY STATEMENT REGARDING THE FILING DATE OF THIS REPORT AND THE ANTICIPATED FUTURE FILINGS OF ADDITIONAL PAST-DUE REPORTS</w:t>
      </w:r>
    </w:p>
    <w:p>
      <w:pPr>
        <w:spacing w:after="0" w:line="22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This Quarterly Report on Form 10-Q for the third quarter of the fiscal year ending June 30, 2006 is first being filed in June 2006. Shareholders and others are cautioned that the financial statements included in this report are close to three months old and are not necessarily indicative of the operating results that may be expected for the fiscal year ending June 30, 2006. Shareholders and others should also be aware that the staff of the Salt Lake District Office of the Securities and Exchange Commission (“SEC”) intended to recommend to the 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June 30,</w:t>
            </w: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6480" w:type="dxa"/>
            <w:vAlign w:val="bottom"/>
          </w:tcPr>
          <w:p>
            <w:pPr>
              <w:ind w:left="29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18,850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15,800</w:t>
            </w:r>
          </w:p>
        </w:tc>
        <w:tc>
          <w:tcPr>
            <w:tcW w:w="8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$49 and $46,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37,427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34,879</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39,655</w:t>
            </w:r>
          </w:p>
        </w:tc>
        <w:tc>
          <w:tcPr>
            <w:tcW w:w="10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38,021</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2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5"/>
        </w:trPr>
        <w:tc>
          <w:tcPr>
            <w:tcW w:w="2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13,110</w:t>
            </w:r>
          </w:p>
        </w:tc>
        <w:tc>
          <w:tcPr>
            <w:tcW w:w="80" w:type="dxa"/>
            <w:vAlign w:val="bottom"/>
            <w:tcBorders>
              <w:top w:val="single" w:sz="8" w:color="CCEEFF"/>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12,184,727 and 11,264,233 shares issued and outstanding, respectively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(24,460)</w:t>
            </w:r>
          </w:p>
        </w:tc>
      </w:tr>
      <w:tr>
        <w:trPr>
          <w:trHeight w:val="264"/>
        </w:trPr>
        <w:tc>
          <w:tcPr>
            <w:tcW w:w="20" w:type="dxa"/>
            <w:vAlign w:val="bottom"/>
          </w:tcPr>
          <w:p>
            <w:pPr>
              <w:spacing w:after="0"/>
              <w:rPr>
                <w:sz w:val="22"/>
                <w:szCs w:val="22"/>
                <w:color w:val="auto"/>
              </w:rPr>
            </w:pPr>
          </w:p>
        </w:tc>
        <w:tc>
          <w:tcPr>
            <w:tcW w:w="648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30,658</w:t>
            </w: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24,911</w:t>
            </w:r>
          </w:p>
        </w:tc>
        <w:tc>
          <w:tcPr>
            <w:tcW w:w="80" w:type="dxa"/>
            <w:vAlign w:val="bottom"/>
            <w:tcBorders>
              <w:top w:val="single" w:sz="8" w:color="CCEEFF"/>
            </w:tcBorders>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39,655</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38,021</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2"/>
                <w:szCs w:val="22"/>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5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140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3,167</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13,788</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10,307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inventory write-offs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cost of goods sold</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4,625</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14,213</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13,689</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2,151</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5,542</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1,287</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4,288</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5,778</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4,006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14,403</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11,889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(loss) income</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18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Gain on disposal of discontinued operations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2,676</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1,678</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395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Less: reclassification adjustments for foreign currency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translation</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480"/>
              <w:spacing w:after="0"/>
              <w:rPr>
                <w:sz w:val="20"/>
                <w:szCs w:val="20"/>
                <w:color w:val="auto"/>
              </w:rPr>
            </w:pPr>
            <w:r>
              <w:rPr>
                <w:rFonts w:ascii="Arial" w:cs="Arial" w:eastAsia="Arial" w:hAnsi="Arial"/>
                <w:sz w:val="18"/>
                <w:szCs w:val="18"/>
                <w:color w:val="auto"/>
              </w:rPr>
              <w:t>adjustments included in net income (loss)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(1,301)</w:t>
            </w: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480"/>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2,608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12,568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520" w:type="dxa"/>
            <w:vAlign w:val="bottom"/>
            <w:gridSpan w:val="3"/>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8"/>
          </w:tcPr>
          <w:p>
            <w:pPr>
              <w:ind w:left="310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COMPREHENSIVE INCOME (LOSS)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earnings (loss) per common share from continuing</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6"/>
              </w:rPr>
              <w:t>Diluted earnings (loss) per common share from continuing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95"/>
              </w:rPr>
              <w:t>Basic earnings (loss) per common share from discontinued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Diluted earnings (loss) per common share from discontinued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12,184,727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11,264,233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11,882,375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11,148,569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12,187,446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12,300,869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12,214,401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12,355,366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5176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Retained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3420" w:type="dxa"/>
            <w:vAlign w:val="bottom"/>
          </w:tcPr>
          <w:p>
            <w:pPr>
              <w:spacing w:after="0"/>
              <w:rPr>
                <w:sz w:val="23"/>
                <w:szCs w:val="23"/>
                <w:color w:val="auto"/>
              </w:rPr>
            </w:pPr>
          </w:p>
        </w:tc>
        <w:tc>
          <w:tcPr>
            <w:tcW w:w="19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Deferred</w:t>
            </w:r>
          </w:p>
        </w:tc>
        <w:tc>
          <w:tcPr>
            <w:tcW w:w="11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(Accumulated</w:t>
            </w:r>
          </w:p>
        </w:tc>
        <w:tc>
          <w:tcPr>
            <w:tcW w:w="1180" w:type="dxa"/>
            <w:vAlign w:val="bottom"/>
            <w:gridSpan w:val="4"/>
          </w:tcPr>
          <w:p>
            <w:pPr>
              <w:ind w:left="20"/>
              <w:spacing w:after="0"/>
              <w:rPr>
                <w:sz w:val="20"/>
                <w:szCs w:val="20"/>
                <w:color w:val="auto"/>
              </w:rPr>
            </w:pPr>
            <w:r>
              <w:rPr>
                <w:rFonts w:ascii="Arial" w:cs="Arial" w:eastAsia="Arial" w:hAnsi="Arial"/>
                <w:sz w:val="18"/>
                <w:szCs w:val="18"/>
                <w:b w:val="1"/>
                <w:bCs w:val="1"/>
                <w:color w:val="auto"/>
                <w:w w:val="95"/>
              </w:rPr>
              <w:t>Shareholders'</w:t>
            </w:r>
          </w:p>
        </w:tc>
      </w:tr>
      <w:tr>
        <w:trPr>
          <w:trHeight w:val="264"/>
        </w:trPr>
        <w:tc>
          <w:tcPr>
            <w:tcW w:w="3420" w:type="dxa"/>
            <w:vAlign w:val="bottom"/>
          </w:tcPr>
          <w:p>
            <w:pPr>
              <w:spacing w:after="0"/>
              <w:rPr>
                <w:sz w:val="22"/>
                <w:szCs w:val="22"/>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rPr>
              <w:t>Capital</w:t>
            </w:r>
          </w:p>
        </w:tc>
        <w:tc>
          <w:tcPr>
            <w:tcW w:w="126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Compensation</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Deficit)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37"/>
        </w:trPr>
        <w:tc>
          <w:tcPr>
            <w:tcW w:w="34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Balances at June 30, 2005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11,264,233</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100" w:type="dxa"/>
            <w:vAlign w:val="bottom"/>
            <w:shd w:val="clear" w:color="auto" w:fill="CCEEFF"/>
          </w:tcPr>
          <w:p>
            <w:pPr>
              <w:spacing w:after="0"/>
              <w:rPr>
                <w:sz w:val="21"/>
                <w:szCs w:val="21"/>
                <w:color w:val="auto"/>
              </w:rPr>
            </w:pPr>
          </w:p>
        </w:tc>
      </w:tr>
      <w:tr>
        <w:trPr>
          <w:trHeight w:val="243"/>
        </w:trPr>
        <w:tc>
          <w:tcPr>
            <w:tcW w:w="3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related to</w:t>
            </w: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420" w:type="dxa"/>
            <w:vAlign w:val="bottom"/>
          </w:tcPr>
          <w:p>
            <w:pPr>
              <w:ind w:left="140"/>
              <w:spacing w:after="0"/>
              <w:rPr>
                <w:sz w:val="20"/>
                <w:szCs w:val="20"/>
                <w:color w:val="auto"/>
              </w:rPr>
            </w:pPr>
            <w:r>
              <w:rPr>
                <w:rFonts w:ascii="Arial" w:cs="Arial" w:eastAsia="Arial" w:hAnsi="Arial"/>
                <w:sz w:val="18"/>
                <w:szCs w:val="18"/>
                <w:color w:val="auto"/>
              </w:rPr>
              <w:t>shareholder settlement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920,494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1"/>
                <w:szCs w:val="21"/>
                <w:color w:val="auto"/>
              </w:rPr>
            </w:pPr>
          </w:p>
        </w:tc>
      </w:tr>
      <w:tr>
        <w:trPr>
          <w:trHeight w:val="243"/>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SFAS No. 123R compensation cost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21"/>
                <w:szCs w:val="21"/>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Compensation expense resulting from</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modification of stock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SFAS No. 123R transition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r>
      <w:tr>
        <w:trPr>
          <w:trHeight w:val="243"/>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3420" w:type="dxa"/>
            <w:vAlign w:val="bottom"/>
          </w:tcPr>
          <w:p>
            <w:pPr>
              <w:spacing w:after="0"/>
              <w:rPr>
                <w:sz w:val="20"/>
                <w:szCs w:val="20"/>
                <w:color w:val="auto"/>
              </w:rPr>
            </w:pPr>
            <w:r>
              <w:rPr>
                <w:rFonts w:ascii="Arial" w:cs="Arial" w:eastAsia="Arial" w:hAnsi="Arial"/>
                <w:sz w:val="18"/>
                <w:szCs w:val="18"/>
                <w:color w:val="auto"/>
              </w:rPr>
              <w:t>Balances at March 31, 2006</w:t>
            </w:r>
          </w:p>
        </w:tc>
        <w:tc>
          <w:tcPr>
            <w:tcW w:w="1020" w:type="dxa"/>
            <w:vAlign w:val="bottom"/>
          </w:tcPr>
          <w:p>
            <w:pPr>
              <w:jc w:val="right"/>
              <w:spacing w:after="0"/>
              <w:rPr>
                <w:sz w:val="20"/>
                <w:szCs w:val="20"/>
                <w:color w:val="auto"/>
              </w:rPr>
            </w:pPr>
            <w:r>
              <w:rPr>
                <w:rFonts w:ascii="Arial" w:cs="Arial" w:eastAsia="Arial" w:hAnsi="Arial"/>
                <w:sz w:val="18"/>
                <w:szCs w:val="18"/>
                <w:color w:val="auto"/>
              </w:rPr>
              <w:t>12,184,727</w:t>
            </w:r>
          </w:p>
        </w:tc>
        <w:tc>
          <w:tcPr>
            <w:tcW w:w="92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52,498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(21,852)</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30,658</w:t>
            </w:r>
          </w:p>
        </w:tc>
        <w:tc>
          <w:tcPr>
            <w:tcW w:w="10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3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364" w:right="7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March 31,</w:t>
            </w: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Adjustments to reconcile net income (loss) from continuing operations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net cash provided by operations: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of assets and fixed assets write-offs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accounting adjustment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(4,796)</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product revenue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change in other assets/liabilities</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continuing operating activities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r>
      <w:tr>
        <w:trPr>
          <w:trHeight w:val="243"/>
        </w:trPr>
        <w:tc>
          <w:tcPr>
            <w:tcW w:w="20" w:type="dxa"/>
            <w:vAlign w:val="bottom"/>
          </w:tcPr>
          <w:p>
            <w:pPr>
              <w:spacing w:after="0"/>
              <w:rPr>
                <w:sz w:val="21"/>
                <w:szCs w:val="21"/>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Net cash provided by discontinued operating activities</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r>
      <w:tr>
        <w:trPr>
          <w:trHeight w:val="237"/>
        </w:trPr>
        <w:tc>
          <w:tcPr>
            <w:tcW w:w="20" w:type="dxa"/>
            <w:vAlign w:val="bottom"/>
          </w:tcPr>
          <w:p>
            <w:pPr>
              <w:spacing w:after="0"/>
              <w:rPr>
                <w:sz w:val="20"/>
                <w:szCs w:val="20"/>
                <w:color w:val="auto"/>
              </w:rPr>
            </w:pPr>
          </w:p>
        </w:tc>
        <w:tc>
          <w:tcPr>
            <w:tcW w:w="64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(929)</w:t>
            </w: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(5,450)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(43,300)</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cash used in continuing investing activities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(13,171)</w:t>
            </w: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discontinued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Principal payments on note payable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continuing financing activities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r>
      <w:tr>
        <w:trPr>
          <w:trHeight w:val="243"/>
        </w:trPr>
        <w:tc>
          <w:tcPr>
            <w:tcW w:w="20" w:type="dxa"/>
            <w:vAlign w:val="bottom"/>
          </w:tcPr>
          <w:p>
            <w:pPr>
              <w:spacing w:after="0"/>
              <w:rPr>
                <w:sz w:val="21"/>
                <w:szCs w:val="21"/>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Net cash used in discontinued financing activities</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154305</wp:posOffset>
            </wp:positionV>
            <wp:extent cx="579755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p>
      <w:pPr>
        <w:spacing w:after="0" w:line="256" w:lineRule="exact"/>
        <w:rPr>
          <w:sz w:val="20"/>
          <w:szCs w:val="20"/>
          <w:color w:val="auto"/>
        </w:rPr>
      </w:pPr>
    </w:p>
    <w:p>
      <w:pPr>
        <w:ind w:right="1880"/>
        <w:spacing w:after="0" w:line="343" w:lineRule="auto"/>
        <w:rPr>
          <w:sz w:val="20"/>
          <w:szCs w:val="20"/>
          <w:color w:val="auto"/>
        </w:rPr>
      </w:pPr>
      <w:r>
        <w:rPr>
          <w:rFonts w:ascii="Arial" w:cs="Arial" w:eastAsia="Arial" w:hAnsi="Arial"/>
          <w:sz w:val="16"/>
          <w:szCs w:val="16"/>
          <w:color w:val="auto"/>
        </w:rPr>
        <w:t>Net increase (decrease) in cash and cash equivalents Cash and cash equivalents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wp:posOffset>
            </wp:positionV>
            <wp:extent cx="579755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803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the end of the period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2040" w:hanging="1262"/>
        <w:spacing w:after="0"/>
        <w:tabs>
          <w:tab w:leader="none" w:pos="2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(642)</w:t>
      </w:r>
    </w:p>
    <w:p>
      <w:pPr>
        <w:spacing w:after="0" w:line="75" w:lineRule="exact"/>
        <w:rPr>
          <w:sz w:val="20"/>
          <w:szCs w:val="20"/>
          <w:color w:val="auto"/>
        </w:rPr>
      </w:pPr>
    </w:p>
    <w:p>
      <w:pPr>
        <w:ind w:left="700"/>
        <w:spacing w:after="0"/>
        <w:tabs>
          <w:tab w:leader="none" w:pos="1960" w:val="left"/>
        </w:tabs>
        <w:rPr>
          <w:sz w:val="20"/>
          <w:szCs w:val="20"/>
          <w:color w:val="auto"/>
        </w:rPr>
      </w:pPr>
      <w:r>
        <w:rPr>
          <w:rFonts w:ascii="Arial" w:cs="Arial" w:eastAsia="Arial" w:hAnsi="Arial"/>
          <w:sz w:val="18"/>
          <w:szCs w:val="18"/>
          <w:color w:val="auto"/>
        </w:rPr>
        <w:t>1,892</w:t>
      </w:r>
      <w:r>
        <w:rPr>
          <w:sz w:val="20"/>
          <w:szCs w:val="20"/>
          <w:color w:val="auto"/>
        </w:rPr>
        <w:tab/>
      </w:r>
      <w:r>
        <w:rPr>
          <w:rFonts w:ascii="Arial" w:cs="Arial" w:eastAsia="Arial" w:hAnsi="Arial"/>
          <w:sz w:val="18"/>
          <w:szCs w:val="18"/>
          <w:color w:val="auto"/>
        </w:rPr>
        <w:t>4,207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93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0" w:lineRule="exact"/>
        <w:rPr>
          <w:sz w:val="20"/>
          <w:szCs w:val="20"/>
          <w:color w:val="auto"/>
        </w:rPr>
      </w:pPr>
    </w:p>
    <w:p>
      <w:pPr>
        <w:spacing w:after="0"/>
        <w:tabs>
          <w:tab w:leader="none" w:pos="680" w:val="left"/>
          <w:tab w:leader="none" w:pos="1260" w:val="left"/>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1,631</w:t>
        <w:tab/>
        <w:t>$</w:t>
      </w:r>
      <w:r>
        <w:rPr>
          <w:sz w:val="20"/>
          <w:szCs w:val="20"/>
          <w:color w:val="auto"/>
        </w:rPr>
        <w:tab/>
      </w:r>
      <w:r>
        <w:rPr>
          <w:rFonts w:ascii="Arial" w:cs="Arial" w:eastAsia="Arial" w:hAnsi="Arial"/>
          <w:sz w:val="15"/>
          <w:szCs w:val="15"/>
          <w:color w:val="auto"/>
        </w:rPr>
        <w:t>3,565</w:t>
      </w:r>
    </w:p>
    <w:p>
      <w:pPr>
        <w:spacing w:after="0" w:line="200" w:lineRule="exact"/>
        <w:rPr>
          <w:sz w:val="20"/>
          <w:szCs w:val="20"/>
          <w:color w:val="auto"/>
        </w:rPr>
      </w:pPr>
    </w:p>
    <w:p>
      <w:pPr>
        <w:sectPr>
          <w:pgSz w:w="11900" w:h="16838" w:orient="portrait"/>
          <w:cols w:equalWidth="0" w:num="2">
            <w:col w:w="5960" w:space="720"/>
            <w:col w:w="2460"/>
          </w:cols>
          <w:pgMar w:left="1380" w:top="364" w:right="1379" w:bottom="1440" w:gutter="0" w:footer="0" w:header="0"/>
          <w:type w:val="continuous"/>
        </w:sectPr>
      </w:pP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-99695</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88900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r>
      <w:tr>
        <w:trPr>
          <w:trHeight w:val="264"/>
        </w:trPr>
        <w:tc>
          <w:tcPr>
            <w:tcW w:w="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r>
      <w:tr>
        <w:trPr>
          <w:trHeight w:val="237"/>
        </w:trPr>
        <w:tc>
          <w:tcPr>
            <w:tcW w:w="54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480" w:type="dxa"/>
            <w:vAlign w:val="bottom"/>
            <w:gridSpan w:val="2"/>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common shares issued in shareholder settlement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accompanying unaudited condensed consolidated financial statements, consisting of the condensed consolidated balance sheets as of March 31, 2006 and June 30, 2005, the condensed consolidated statements of operations and comprehensive income (loss) for the three months and nine months ended March 31, 2006 and 2005, the condensed consolidated statement of shareholders’ equity for the nine months ended March 31, 2006, and the condensed consolidated statements of cash flows for the nine months ended March 31, 2006 and 2005, have been prepared in accordance with accounting principles generally accepted in the United States for interim financial information and with the instructions to Form 10-Q of Regulation S-X. Accordingly, certain information and footnote disclosures normally included in complete financial statements have been condensed or omitted. These condensed consolidated financial statements should be read in conjunction with the consolidated financial statements and notes thereto included in the Company's Annual Report on Form 10-K for the year ended June 30, 2005.</w:t>
      </w:r>
    </w:p>
    <w:p>
      <w:pPr>
        <w:spacing w:after="0" w:line="24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management’s opinion, all adjustments (consisting of normal recurring adjustments) considered necessary for a fair presentation have been included. The results of operations for interim periods are not necessarily indicative of the results of operations to be expected for the entire year or for any future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Policy Update</w:t>
      </w:r>
    </w:p>
    <w:p>
      <w:pPr>
        <w:spacing w:after="0" w:line="2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disclosure of contingent assets and liabilities at the date of the financial statements and the reported amounts of sales and expenses during the reporting periods. Key estimates in the accompanying condensed consolidated financial statements include, among others, revenue recognition, allowances for doubtful accounts and product returns, provisions for obsolete inventory, valuation of long-lived assets including goodwill, and deferred income tax asset valuation allowances. Actual results could differ materially from these estimates.</w:t>
      </w:r>
    </w:p>
    <w:p>
      <w:pPr>
        <w:spacing w:after="0" w:line="2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evaluates, at each quarter-end, the inventory in the channel through information provided by certain of its distributors.</w:t>
      </w:r>
      <w:r>
        <w:rPr>
          <w:rFonts w:ascii="Arial" w:cs="Arial" w:eastAsia="Arial" w:hAnsi="Arial"/>
          <w:sz w:val="18"/>
          <w:szCs w:val="18"/>
          <w:i w:val="1"/>
          <w:iCs w:val="1"/>
          <w:color w:val="auto"/>
        </w:rPr>
        <w:t xml:space="preserve"> </w:t>
      </w:r>
      <w:r>
        <w:rPr>
          <w:rFonts w:ascii="Arial" w:cs="Arial" w:eastAsia="Arial" w:hAnsi="Arial"/>
          <w:sz w:val="18"/>
          <w:szCs w:val="18"/>
          <w:color w:val="auto"/>
        </w:rPr>
        <w:t>The level of inventory in the channel will fluctuate up or down, each quarter, based upon these distributors’ individual operations. Accordingly, each quarter-end revenue deferral is calculated and recorded based upon the underlying, estimated channel inventory at quarter-end. The amounts of deferred cost of goods sold were included in consigned inventory. The following table details the amount of deferred revenue, cost of goods sold, and gross profit at each period end for the 21-month period ended March 31, 2006.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Cost of</w:t>
            </w:r>
          </w:p>
        </w:tc>
        <w:tc>
          <w:tcPr>
            <w:tcW w:w="120" w:type="dxa"/>
            <w:vAlign w:val="bottom"/>
          </w:tcPr>
          <w:p>
            <w:pPr>
              <w:spacing w:after="0"/>
              <w:rPr>
                <w:sz w:val="18"/>
                <w:szCs w:val="18"/>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Deferred</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Goods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Gross</w:t>
            </w:r>
          </w:p>
        </w:tc>
        <w:tc>
          <w:tcPr>
            <w:tcW w:w="284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Sold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Profit</w:t>
            </w:r>
          </w:p>
        </w:tc>
        <w:tc>
          <w:tcPr>
            <w:tcW w:w="2840" w:type="dxa"/>
            <w:vAlign w:val="bottom"/>
          </w:tcPr>
          <w:p>
            <w:pPr>
              <w:spacing w:after="0"/>
              <w:rPr>
                <w:sz w:val="20"/>
                <w:szCs w:val="20"/>
                <w:color w:val="auto"/>
              </w:rPr>
            </w:pPr>
          </w:p>
        </w:tc>
      </w:tr>
      <w:tr>
        <w:trPr>
          <w:trHeight w:val="237"/>
        </w:trPr>
        <w:tc>
          <w:tcPr>
            <w:tcW w:w="28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2880" w:type="dxa"/>
            <w:vAlign w:val="bottom"/>
          </w:tcPr>
          <w:p>
            <w:pPr>
              <w:spacing w:after="0"/>
              <w:rPr>
                <w:sz w:val="21"/>
                <w:szCs w:val="21"/>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March 31, 2006</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840" w:type="dxa"/>
            <w:vAlign w:val="bottom"/>
          </w:tcPr>
          <w:p>
            <w:pPr>
              <w:spacing w:after="0"/>
              <w:rPr>
                <w:sz w:val="21"/>
                <w:szCs w:val="21"/>
                <w:color w:val="auto"/>
              </w:rPr>
            </w:pPr>
          </w:p>
        </w:tc>
      </w:tr>
      <w:tr>
        <w:trPr>
          <w:trHeight w:val="243"/>
        </w:trPr>
        <w:tc>
          <w:tcPr>
            <w:tcW w:w="4960" w:type="dxa"/>
            <w:vAlign w:val="bottom"/>
            <w:gridSpan w:val="2"/>
          </w:tcPr>
          <w:p>
            <w:pPr>
              <w:ind w:left="2860"/>
              <w:spacing w:after="0"/>
              <w:rPr>
                <w:sz w:val="20"/>
                <w:szCs w:val="20"/>
                <w:color w:val="auto"/>
              </w:rPr>
            </w:pPr>
            <w:r>
              <w:rPr>
                <w:rFonts w:ascii="Arial" w:cs="Arial" w:eastAsia="Arial" w:hAnsi="Arial"/>
                <w:sz w:val="18"/>
                <w:szCs w:val="18"/>
                <w:color w:val="auto"/>
              </w:rPr>
              <w:t>December 31, 2005</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2,737</w:t>
            </w: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840" w:type="dxa"/>
            <w:vAlign w:val="bottom"/>
          </w:tcPr>
          <w:p>
            <w:pPr>
              <w:spacing w:after="0"/>
              <w:rPr>
                <w:sz w:val="21"/>
                <w:szCs w:val="21"/>
                <w:color w:val="auto"/>
              </w:rPr>
            </w:pPr>
          </w:p>
        </w:tc>
      </w:tr>
      <w:tr>
        <w:trPr>
          <w:trHeight w:val="243"/>
        </w:trPr>
        <w:tc>
          <w:tcPr>
            <w:tcW w:w="4960" w:type="dxa"/>
            <w:vAlign w:val="bottom"/>
            <w:gridSpan w:val="2"/>
          </w:tcPr>
          <w:p>
            <w:pPr>
              <w:ind w:left="2860"/>
              <w:spacing w:after="0"/>
              <w:rPr>
                <w:sz w:val="20"/>
                <w:szCs w:val="20"/>
                <w:color w:val="auto"/>
              </w:rPr>
            </w:pPr>
            <w:r>
              <w:rPr>
                <w:rFonts w:ascii="Arial" w:cs="Arial" w:eastAsia="Arial" w:hAnsi="Arial"/>
                <w:sz w:val="18"/>
                <w:szCs w:val="18"/>
                <w:color w:val="auto"/>
              </w:rPr>
              <w:t>June 30, 2005</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2,758</w:t>
            </w: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March 31, 2005</w:t>
            </w: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840" w:type="dxa"/>
            <w:vAlign w:val="bottom"/>
          </w:tcPr>
          <w:p>
            <w:pPr>
              <w:spacing w:after="0"/>
              <w:rPr>
                <w:sz w:val="21"/>
                <w:szCs w:val="21"/>
                <w:color w:val="auto"/>
              </w:rPr>
            </w:pPr>
          </w:p>
        </w:tc>
      </w:tr>
      <w:tr>
        <w:trPr>
          <w:trHeight w:val="243"/>
        </w:trPr>
        <w:tc>
          <w:tcPr>
            <w:tcW w:w="4960" w:type="dxa"/>
            <w:vAlign w:val="bottom"/>
            <w:gridSpan w:val="2"/>
          </w:tcPr>
          <w:p>
            <w:pPr>
              <w:ind w:left="2860"/>
              <w:spacing w:after="0"/>
              <w:rPr>
                <w:sz w:val="20"/>
                <w:szCs w:val="20"/>
                <w:color w:val="auto"/>
              </w:rPr>
            </w:pPr>
            <w:r>
              <w:rPr>
                <w:rFonts w:ascii="Arial" w:cs="Arial" w:eastAsia="Arial" w:hAnsi="Arial"/>
                <w:sz w:val="18"/>
                <w:szCs w:val="18"/>
                <w:color w:val="auto"/>
              </w:rPr>
              <w:t>December 31, 2004</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2,977</w:t>
            </w: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2004</w:t>
            </w:r>
          </w:p>
        </w:tc>
        <w:tc>
          <w:tcPr>
            <w:tcW w:w="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840" w:type="dxa"/>
            <w:vAlign w:val="bottom"/>
          </w:tcPr>
          <w:p>
            <w:pPr>
              <w:spacing w:after="0"/>
              <w:rPr>
                <w:sz w:val="21"/>
                <w:szCs w:val="21"/>
                <w:color w:val="auto"/>
              </w:rPr>
            </w:pPr>
          </w:p>
        </w:tc>
      </w:tr>
      <w:tr>
        <w:trPr>
          <w:trHeight w:val="243"/>
        </w:trPr>
        <w:tc>
          <w:tcPr>
            <w:tcW w:w="4960" w:type="dxa"/>
            <w:vAlign w:val="bottom"/>
            <w:gridSpan w:val="2"/>
          </w:tcPr>
          <w:p>
            <w:pPr>
              <w:ind w:left="2860"/>
              <w:spacing w:after="0"/>
              <w:rPr>
                <w:sz w:val="20"/>
                <w:szCs w:val="20"/>
                <w:color w:val="auto"/>
              </w:rPr>
            </w:pPr>
            <w:r>
              <w:rPr>
                <w:rFonts w:ascii="Arial" w:cs="Arial" w:eastAsia="Arial" w:hAnsi="Arial"/>
                <w:sz w:val="18"/>
                <w:szCs w:val="18"/>
                <w:color w:val="auto"/>
              </w:rPr>
              <w:t>June 30, 2004</w:t>
            </w: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3,726</w:t>
            </w:r>
          </w:p>
        </w:tc>
        <w:tc>
          <w:tcPr>
            <w:tcW w:w="2840" w:type="dxa"/>
            <w:vAlign w:val="bottom"/>
          </w:tcPr>
          <w:p>
            <w:pPr>
              <w:spacing w:after="0"/>
              <w:rPr>
                <w:sz w:val="21"/>
                <w:szCs w:val="21"/>
                <w:color w:val="auto"/>
              </w:rPr>
            </w:pPr>
          </w:p>
        </w:tc>
      </w:tr>
      <w:tr>
        <w:trPr>
          <w:trHeight w:val="756"/>
        </w:trPr>
        <w:tc>
          <w:tcPr>
            <w:tcW w:w="2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Share-Based Payment </w:t>
      </w:r>
      <w:r>
        <w:rPr>
          <w:rFonts w:ascii="Arial" w:cs="Arial" w:eastAsia="Arial" w:hAnsi="Arial"/>
          <w:sz w:val="17"/>
          <w:szCs w:val="17"/>
          <w:color w:val="auto"/>
        </w:rPr>
        <w:t>- Prior to June 30, 2005 and as permitted under the original Statement of Financial Accounting Standards (“SFAS”) No. 123,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accounted for its share-based payments following the recognition and measurement principles of Accounting Principles Board Opinion No. 25, “Accounting for Stock Issued to Employees,” as interpreted. Accordingly, no share-based compensation expense had been reflected in the Company’s fiscal 2005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If the compensation cost of its stock options had been determined consistent with the original SFAS No. 123, the Company’s net income and earnings per common share and common share equivalent would have changed to the pro-forma amounts indicated below:</w:t>
      </w:r>
    </w:p>
    <w:p>
      <w:pPr>
        <w:sectPr>
          <w:pgSz w:w="11900" w:h="16838" w:orient="portrait"/>
          <w:cols w:equalWidth="0" w:num="1">
            <w:col w:w="11400"/>
          </w:cols>
          <w:pgMar w:left="240" w:top="391" w:right="259" w:bottom="1440" w:gutter="0" w:footer="0" w:header="0"/>
        </w:sectPr>
      </w:pPr>
    </w:p>
    <w:p>
      <w:pPr>
        <w:spacing w:after="0" w:line="220"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Three Months</w:t>
      </w:r>
    </w:p>
    <w:p>
      <w:pPr>
        <w:spacing w:after="0" w:line="5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5715</wp:posOffset>
            </wp:positionV>
            <wp:extent cx="9175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38"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17145</wp:posOffset>
            </wp:positionV>
            <wp:extent cx="9175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5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17145</wp:posOffset>
            </wp:positionV>
            <wp:extent cx="9175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940"/>
        <w:spacing w:after="0"/>
        <w:rPr>
          <w:sz w:val="20"/>
          <w:szCs w:val="20"/>
          <w:color w:val="auto"/>
        </w:rPr>
      </w:pPr>
      <w:r>
        <w:rPr>
          <w:rFonts w:ascii="Arial" w:cs="Arial" w:eastAsia="Arial" w:hAnsi="Arial"/>
          <w:sz w:val="16"/>
          <w:szCs w:val="16"/>
          <w:b w:val="1"/>
          <w:bCs w:val="1"/>
          <w:color w:val="auto"/>
        </w:rPr>
        <w:t>Nine Months</w:t>
      </w:r>
    </w:p>
    <w:p>
      <w:pPr>
        <w:spacing w:after="0" w:line="50"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5715</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8"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17145</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7" w:lineRule="exact"/>
        <w:rPr>
          <w:sz w:val="20"/>
          <w:szCs w:val="20"/>
          <w:color w:val="auto"/>
        </w:rPr>
      </w:pPr>
    </w:p>
    <w:p>
      <w:pPr>
        <w:jc w:val="center"/>
        <w:ind w:right="1940"/>
        <w:spacing w:after="0"/>
        <w:rPr>
          <w:sz w:val="20"/>
          <w:szCs w:val="20"/>
          <w:color w:val="auto"/>
        </w:rPr>
      </w:pP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17145</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7940" w:space="520"/>
            <w:col w:w="2940"/>
          </w:cols>
          <w:pgMar w:left="240" w:top="391" w:right="259" w:bottom="1440" w:gutter="0" w:footer="0" w:header="0"/>
          <w:type w:val="continuous"/>
        </w:sectPr>
      </w:pPr>
    </w:p>
    <w:tbl>
      <w:tblPr>
        <w:tblLayout w:type="fixed"/>
        <w:tblInd w:w="172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13,757</w:t>
            </w:r>
          </w:p>
        </w:tc>
      </w:tr>
      <w:tr>
        <w:trPr>
          <w:trHeight w:val="243"/>
        </w:trPr>
        <w:tc>
          <w:tcPr>
            <w:tcW w:w="4800" w:type="dxa"/>
            <w:vAlign w:val="bottom"/>
          </w:tcPr>
          <w:p>
            <w:pPr>
              <w:ind w:left="160"/>
              <w:spacing w:after="0"/>
              <w:rPr>
                <w:sz w:val="20"/>
                <w:szCs w:val="20"/>
                <w:color w:val="auto"/>
              </w:rPr>
            </w:pPr>
            <w:r>
              <w:rPr>
                <w:rFonts w:ascii="Arial" w:cs="Arial" w:eastAsia="Arial" w:hAnsi="Arial"/>
                <w:sz w:val="18"/>
                <w:szCs w:val="18"/>
                <w:color w:val="auto"/>
                <w:w w:val="99"/>
              </w:rPr>
              <w:t>Stock-based employee compensation expense included in</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reported net income, net of income taxes</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800" w:type="dxa"/>
            <w:vAlign w:val="bottom"/>
          </w:tcPr>
          <w:p>
            <w:pPr>
              <w:ind w:left="160"/>
              <w:spacing w:after="0"/>
              <w:rPr>
                <w:sz w:val="20"/>
                <w:szCs w:val="20"/>
                <w:color w:val="auto"/>
              </w:rPr>
            </w:pPr>
            <w:r>
              <w:rPr>
                <w:rFonts w:ascii="Arial" w:cs="Arial" w:eastAsia="Arial" w:hAnsi="Arial"/>
                <w:sz w:val="18"/>
                <w:szCs w:val="18"/>
                <w:color w:val="auto"/>
                <w:w w:val="98"/>
              </w:rPr>
              <w:t>Stock-based employee compensation expense determined</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0"/>
              </w:rPr>
              <w:t>under the fair-value method of all awards, net of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0"/>
        </w:trPr>
        <w:tc>
          <w:tcPr>
            <w:tcW w:w="4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480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13,269</w:t>
            </w: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480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48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bl>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SFAS No. 123R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July 1, 2005, the Company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 See Note 9 for information about the Company’s various share-based compensation plans, the impact of adoption of SFAS No. 123R, and the assumptions used to calculate the fair value of share-based compensation.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type w:val="continuous"/>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Asset Retirement Obligations in the European Union</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2005, the FASB issued a FASB Staff Position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was effective beginning with the Company’s fiscal 2006 financial statements. Management does not believe that the adoption of FSP 143-1 had a material effect on the Company’s business, results of operations, financial position, or liquidity.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Costs</w:t>
      </w:r>
    </w:p>
    <w:p>
      <w:pPr>
        <w:spacing w:after="0" w:line="27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was effective beginning with the Company’s fiscal 2006 financial statements. There was not a significant impact on the Company’s business, results of operations, financial position, or liquidity from the adoption of this standard.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 and Error Corrections</w:t>
      </w:r>
    </w:p>
    <w:p>
      <w:pPr>
        <w:spacing w:after="0" w:line="2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The Company does not believe that the adoption of SFAS No. 154 will have a material effect on its business, results of operations, financial position, or liquidity.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Other-Than-Temporary Impairment</w:t>
      </w:r>
    </w:p>
    <w:p>
      <w:pPr>
        <w:spacing w:after="0" w:line="27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March 2004, the FASB issued Emerging Issues Task Force (“EITF”) Issue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No.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The Company does not expect that the adoption of this EITF, when the delay is suspended, will have a material impact on its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r>
      <w:tr>
        <w:trPr>
          <w:trHeight w:val="264"/>
        </w:trPr>
        <w:tc>
          <w:tcPr>
            <w:tcW w:w="4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31,</w:t>
            </w:r>
          </w:p>
        </w:tc>
      </w:tr>
      <w:tr>
        <w:trPr>
          <w:trHeight w:val="264"/>
        </w:trPr>
        <w:tc>
          <w:tcPr>
            <w:tcW w:w="4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w w:val="99"/>
              </w:rPr>
              <w:t>Income (loss) from discontinued operations, net of tax</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r>
      <w:tr>
        <w:trPr>
          <w:trHeight w:val="202"/>
        </w:trPr>
        <w:tc>
          <w:tcPr>
            <w:tcW w:w="4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Gain (loss) on disposal of discontinued operations, net of</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4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7"/>
        </w:trPr>
        <w:tc>
          <w:tcPr>
            <w:tcW w:w="44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13,757</w:t>
            </w:r>
          </w:p>
        </w:tc>
        <w:tc>
          <w:tcPr>
            <w:tcW w:w="100" w:type="dxa"/>
            <w:vAlign w:val="bottom"/>
          </w:tcPr>
          <w:p>
            <w:pPr>
              <w:spacing w:after="0"/>
              <w:rPr>
                <w:sz w:val="20"/>
                <w:szCs w:val="20"/>
                <w:color w:val="auto"/>
              </w:rPr>
            </w:pPr>
          </w:p>
        </w:tc>
      </w:tr>
      <w:tr>
        <w:trPr>
          <w:trHeight w:val="20"/>
        </w:trPr>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12,184,727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11,264,233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11,882,375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11,148,569</w:t>
            </w:r>
          </w:p>
        </w:tc>
        <w:tc>
          <w:tcPr>
            <w:tcW w:w="100" w:type="dxa"/>
            <w:vAlign w:val="bottom"/>
          </w:tcPr>
          <w:p>
            <w:pPr>
              <w:spacing w:after="0"/>
              <w:rPr>
                <w:sz w:val="21"/>
                <w:szCs w:val="21"/>
                <w:color w:val="auto"/>
              </w:rPr>
            </w:pPr>
          </w:p>
        </w:tc>
      </w:tr>
      <w:tr>
        <w:trPr>
          <w:trHeight w:val="202"/>
        </w:trPr>
        <w:tc>
          <w:tcPr>
            <w:tcW w:w="4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Dilutive common stock equivalents using treasury stock</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2"/>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method</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1,036,636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332,026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1,206,797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44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12,187,446</w:t>
            </w: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12,300,869</w:t>
            </w: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12,214,401</w:t>
            </w: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12,355,366</w:t>
            </w:r>
          </w:p>
        </w:tc>
        <w:tc>
          <w:tcPr>
            <w:tcW w:w="100" w:type="dxa"/>
            <w:vAlign w:val="bottom"/>
            <w:tcBorders>
              <w:top w:val="single" w:sz="8" w:color="CCEEFF"/>
            </w:tcBorders>
          </w:tcPr>
          <w:p>
            <w:pPr>
              <w:spacing w:after="0"/>
              <w:rPr>
                <w:sz w:val="20"/>
                <w:szCs w:val="20"/>
                <w:color w:val="auto"/>
              </w:rPr>
            </w:pPr>
          </w:p>
        </w:tc>
      </w:tr>
      <w:tr>
        <w:trPr>
          <w:trHeight w:val="20"/>
        </w:trPr>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4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442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r>
      <w:tr>
        <w:trPr>
          <w:trHeight w:val="243"/>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 of discontinued operations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1"/>
                <w:szCs w:val="21"/>
                <w:color w:val="auto"/>
              </w:rPr>
            </w:pPr>
          </w:p>
        </w:tc>
      </w:tr>
      <w:tr>
        <w:trPr>
          <w:trHeight w:val="243"/>
        </w:trPr>
        <w:tc>
          <w:tcPr>
            <w:tcW w:w="442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r>
      <w:tr>
        <w:trPr>
          <w:trHeight w:val="243"/>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1"/>
                <w:szCs w:val="21"/>
                <w:color w:val="auto"/>
              </w:rPr>
            </w:pPr>
          </w:p>
        </w:tc>
      </w:tr>
      <w:tr>
        <w:trPr>
          <w:trHeight w:val="243"/>
        </w:trPr>
        <w:tc>
          <w:tcPr>
            <w:tcW w:w="4420" w:type="dxa"/>
            <w:vAlign w:val="bottom"/>
          </w:tcPr>
          <w:p>
            <w:pPr>
              <w:ind w:left="160"/>
              <w:spacing w:after="0"/>
              <w:rPr>
                <w:sz w:val="20"/>
                <w:szCs w:val="20"/>
                <w:color w:val="auto"/>
              </w:rPr>
            </w:pPr>
            <w:r>
              <w:rPr>
                <w:rFonts w:ascii="Arial" w:cs="Arial" w:eastAsia="Arial" w:hAnsi="Arial"/>
                <w:sz w:val="18"/>
                <w:szCs w:val="18"/>
                <w:color w:val="auto"/>
              </w:rPr>
              <w:t>Disposal of discontinued operations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r>
      <w:tr>
        <w:trPr>
          <w:trHeight w:val="243"/>
        </w:trPr>
        <w:tc>
          <w:tcPr>
            <w:tcW w:w="4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r>
    </w:tbl>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Options that had an exercise price greater than the average market price of the common shares (“Out-of-the-Money Options”) during the respective period were not included in the computation of diluted earnings per share as the effect would be anti-dilutive. An average total of 1,302,769 and 1,469,965 Out-of-the-Money Options were not included during the three months ended March 31, 2006 and 2005, respectively. An average total of 1,393,384 and 1,433,969 Out-of-the-Money Options were not included during the nine months ended March 31, 2006 and 2005, respectively. Warrants to purchase 150,000 shares of common stock were outstanding as of March 31, 2006 and 2005, but were not included in the computation of diluted earnings per share for the three-month and nine-month periods ended March 31, 2006 and 2005, as the effect would be anti-dilutive. During fiscal 2004, the Company entered into a settlement agreement related to the shareholders’ class action and agreed to issue 1.2 million shares of its common stock; however, certain of these shares were settled in cash in lieu of common stock (see Note 8). The Company issued 228,000 shares in November 2004 and 920,494 shares in September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2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fiscal 2005, the Company completed the sale of its conferencing services business component to Clarinet, Inc., an affiliate of American Teleconferencing Services, Ltd. doing business as Premiere Conferencing (“Premiere”) and the sale of its Canadian audiovisual integration services, OM Video, to 6351352 Canada Inc, a Canada corporation (the “OM Purchaser”). Accordingly, the results of operations and the financial position have been reclassified in the accompanying condensed consolidated financial statements as discontinued operations. Additionally, during fiscal 2001, the Company sold certain assets to Burk Technology, Inc. (“Burk”) whose sales proceeds are included with discontinued operations. Summary operating results of the discontinued operations are as follows:</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442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Conferencing services business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17,369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Burk</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gain on disposal of discontinued 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Conferencing services business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Burk</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income tax provision</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income from discontinued operations, net of income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Conferencing services business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Burk</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income from discontinued operations,</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00" w:type="dxa"/>
            <w:vAlign w:val="bottom"/>
          </w:tcPr>
          <w:p>
            <w:pPr>
              <w:ind w:left="460"/>
              <w:spacing w:after="0"/>
              <w:rPr>
                <w:sz w:val="20"/>
                <w:szCs w:val="20"/>
                <w:color w:val="auto"/>
              </w:rPr>
            </w:pPr>
            <w:r>
              <w:rPr>
                <w:rFonts w:ascii="Arial" w:cs="Arial" w:eastAsia="Arial" w:hAnsi="Arial"/>
                <w:sz w:val="18"/>
                <w:szCs w:val="18"/>
                <w:color w:val="auto"/>
              </w:rPr>
              <w:t>net of income taxes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13,807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Conferencing Services</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 2004, the Company sold its conferencing services business component to Premiere. Consideration for the sale consisted of $21,300 in cash. Of the purchase price, $300 was placed into a working capital escrow account and an additional $1,000 was placed into an 18-month Indemnity Escrow account. The Company received the $300 working capital escrow funds approximately 90 days after the execution date of the contract. The Company received the $1,000 in the Indemnity Escrow account in January 2006. Additionally, $1,365 of the proceeds was utilized to pay off equipment leases pertaining to assets being conveyed to Premiere. The Company reported pre-tax gain of $1,030 for the three and nine months ended March 31, 2006 due to the receipt of the $1,000 in the Indemnity Escrow account together with the $30 in related interest income. The Company realized a pre-tax gain on the sale of $17,369 during the nine months ended March 31, 2005.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OM Video revenues, reported in discontinued operations, for the three months and nine months ended March 31, 2005 were $1,449 and $3,805, respectively. OM Video pre-tax income, reported in discontinued operations, for the three months and nine months ended March 31, 2005 was $171 and $225, respectively. OM Video pre-tax gain on disposal, reported in discontinued operations, for the three months and nine months ended March 31, 2006 was $0 and $300, respectively. OM Video pre-tax gain on disposal, reported in discontinued operations, for the three months and nine months ended March 31, 2005 was $145.</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Through December 31, 2005, all payments required through such date had been received and $854 of the promissory note remained outstanding; however, OM Purchaser has failed to make any subsequent, required payments under the note receivable and is in default thereunder. The Company is currently considering its collection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Burk</w:t>
      </w:r>
    </w:p>
    <w:p>
      <w:pPr>
        <w:spacing w:after="0" w:line="2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 The gain was recognized beginning in fiscal 2001. The Company realized pre-tax gain on the disposal of discontinued operations of $1,346 during the nine months ended March 31, 2006. The Company realized pre-tax gain on the disposal of discontinued operations of $187 for the three months and nine months ended March 31,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8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During the three months ended March 31, 2006, the Company recorded a benefit for income taxes from continuing operations of $763. This compares to a provision for income taxes of ($5) during the three months ended March 31, 2005. During the nine months ended March 31, 2006, the Company recorded a benefit for income taxes from continuing operations of $1,050. This compares to a benefit for income taxes of $29 during the nine months ended March 31, 2005. Taxes are based on the estimated annual effective tax rate.</w:t>
      </w:r>
    </w:p>
    <w:p>
      <w:pPr>
        <w:spacing w:after="0" w:line="2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xml:space="preserve"> requires that a valuation allowance be established when it is more likely than not that all or a portion of a deferred tax asset will not be realized. Valuation allowances were recorded in fiscal 2006 and fiscal 2005 due to the uncertainty of realization of the assets. As of March 31, 2006, the Company has recorded a valuation allowance against all of its net deferred tax assets. Based on the Company’s lack of cumulative profitability in recent years it is more likely than not that all of the net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 of the following as of March 31, 2006 and June 30, 2005:</w:t>
      </w:r>
    </w:p>
    <w:p>
      <w:pPr>
        <w:spacing w:after="0" w:line="329"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June 30,</w:t>
            </w:r>
          </w:p>
        </w:tc>
      </w:tr>
      <w:tr>
        <w:trPr>
          <w:trHeight w:val="264"/>
        </w:trPr>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r>
      <w:tr>
        <w:trPr>
          <w:trHeight w:val="237"/>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r>
      <w:tr>
        <w:trPr>
          <w:trHeight w:val="243"/>
        </w:trPr>
        <w:tc>
          <w:tcPr>
            <w:tcW w:w="35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1,705</w:t>
            </w: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 inventory</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5,658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5,806</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-205105</wp:posOffset>
            </wp:positionV>
            <wp:extent cx="3429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6240" w:type="dxa"/>
            <w:vAlign w:val="bottom"/>
            <w:gridSpan w:val="2"/>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400" w:type="dxa"/>
            <w:vAlign w:val="bottom"/>
            <w:gridSpan w:val="3"/>
          </w:tcPr>
          <w:p>
            <w:pPr>
              <w:spacing w:after="0"/>
              <w:rPr>
                <w:sz w:val="20"/>
                <w:szCs w:val="20"/>
                <w:color w:val="auto"/>
              </w:rPr>
            </w:pPr>
            <w:r>
              <w:rPr>
                <w:rFonts w:ascii="Arial" w:cs="Arial" w:eastAsia="Arial" w:hAnsi="Arial"/>
                <w:sz w:val="18"/>
                <w:szCs w:val="18"/>
                <w:color w:val="auto"/>
                <w:w w:val="96"/>
              </w:rPr>
              <w:t>Accrued liabilities consist of the following as of March 31, 2006 and June 30, 2005: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64"/>
        </w:trPr>
        <w:tc>
          <w:tcPr>
            <w:tcW w:w="1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other compensation</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240" w:type="dxa"/>
            <w:vAlign w:val="bottom"/>
            <w:gridSpan w:val="2"/>
          </w:tcPr>
          <w:p>
            <w:pPr>
              <w:ind w:left="270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action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8.</w:t>
            </w:r>
          </w:p>
        </w:tc>
        <w:tc>
          <w:tcPr>
            <w:tcW w:w="6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60" w:type="dxa"/>
            <w:vAlign w:val="bottom"/>
            <w:vMerge w:val="continue"/>
          </w:tcPr>
          <w:p>
            <w:pPr>
              <w:spacing w:after="0"/>
              <w:rPr>
                <w:sz w:val="24"/>
                <w:szCs w:val="24"/>
                <w:color w:val="auto"/>
              </w:rPr>
            </w:pPr>
          </w:p>
        </w:tc>
        <w:tc>
          <w:tcPr>
            <w:tcW w:w="6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-496570</wp:posOffset>
            </wp:positionV>
            <wp:extent cx="342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6"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business, results of operations, financial position, or liquidity.</w:t>
      </w:r>
    </w:p>
    <w:p>
      <w:pPr>
        <w:spacing w:after="0" w:line="220"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the Company is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 However, based on the information available to the Company as of June 15, 2006 and after discussions with legal counsel, the Company does not believe any such other proceedings will have a material, adverse effect on its business, results of operations, financial position, or liquidity, except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Shareholders’ Class Action</w:t>
      </w:r>
      <w:r>
        <w:rPr>
          <w:rFonts w:ascii="Arial" w:cs="Arial" w:eastAsia="Arial" w:hAnsi="Arial"/>
          <w:sz w:val="17"/>
          <w:szCs w:val="17"/>
          <w:color w:val="auto"/>
        </w:rPr>
        <w:t>. On June 30, 2003, a consolidated complaint was filed against the Company, eight present or former officers and directors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an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$5,000 and to issue the class 1.2 million shares of its common stock. The cash payment was made in two equal installments, the first on November 10, 2003 (fiscal 2004) and the second on January 14, 2005 (fiscal 2005). On May 23, 2005, the court order was amended to require the Company to pay cash in lieu of stock to those members of the class who would otherwise have been entitled to receive fewer than 100 shares of stock. On September 29, 2005 (fiscal 2006), the Company completed its obligations under the settlement agreement by issuing a total of 1,148,494 shares of the Company’s common stock to the plaintiff class, including 228,000 shares previously issued in November 2004 (fiscal 2005),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 The 920,494 shares that were issued on September 29, 2005 were also valued at $2.46 per share.</w:t>
      </w:r>
    </w:p>
    <w:p>
      <w:pPr>
        <w:spacing w:after="0" w:line="23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 quarterly basis, the Company revalued the un-issued shares to the closing price of the stock on the later of the date the shares were mailed or the last day of the quarter. During the nine months ended March 31, 2006 and 2005, the Company received a benefit of $1,205 and $2,609, respectively, related to the revaluation of the 1.2 million shares of the Company’s common stock that were issued in November 2004 and September 2005. During the three months ended March 31, 2005, the Company received a benefit of $855.</w:t>
      </w:r>
    </w:p>
    <w:p>
      <w:pPr>
        <w:spacing w:after="0" w:line="24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The Shareholder Derivative Actions</w:t>
      </w:r>
      <w:r>
        <w:rPr>
          <w:rFonts w:ascii="Arial" w:cs="Arial" w:eastAsia="Arial" w:hAnsi="Arial"/>
          <w:sz w:val="16"/>
          <w:szCs w:val="16"/>
          <w:color w:val="auto"/>
        </w:rPr>
        <w:t>. Between March and August 2003, four shareholder derivative actions were filed by certain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generally accepted accounting principles (“GAAP”) and to issue materially misstated financial statements and that Ernst</w:t>
      </w:r>
    </w:p>
    <w:p>
      <w:pPr>
        <w:spacing w:after="0" w:line="2" w:lineRule="exact"/>
        <w:rPr>
          <w:sz w:val="20"/>
          <w:szCs w:val="20"/>
          <w:color w:val="auto"/>
        </w:rPr>
      </w:pPr>
    </w:p>
    <w:p>
      <w:pPr>
        <w:ind w:firstLine="8"/>
        <w:spacing w:after="0" w:line="252"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the Company’s Board of Directors appointed a special litigation committee of independent directors to evaluate the claims made by these shareholders. That committee determined that the maintenance of the derivative proceedings against the individual defendants was not in the best interest of the Company. Accordingly, on December 12, 2003, the Company moved to dismiss those claims. In March 2004, the Company’s motions to dismiss those claims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the Company,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the Company’s present and former directors and officers in connection with an SEC complaint described in the Company’s Annual Report on Form 10-K for the year ended June 30, 2005, and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relief action, the insurers assert that they are entitled to rescind insurance coverage under the Company’s directors and officers liability insurance policies, $3,000 of which was provided by National Union and $2,000 of which was provided by Lumbermens Mutual, based on alleged misstatements in the Company’s insurance applications. In February 2005, the Company entered into a confidential settlement agreement with Lumbermens Mutual pursuant to which the Company and Mr. Bagley received a lump-sum cash amount and the plaintiffs agreed to dismiss their claims against Lumbermens Mutual with prejudice. The cash settlement is held in a segregated account that has not been recorded in the accompanying financial statements and will not be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 in expenses. However, due to the Lumbermans Mutual cash proceeds discussed above and the appeal of the summary judgment discussed below, this potential liability has not been recorded in the balance sheet as of March 31, 2006. On February 2, 2006, the Company and Mr. Bagley filed an appeal of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Wells Submission. </w:t>
      </w:r>
      <w:r>
        <w:rPr>
          <w:rFonts w:ascii="Arial" w:cs="Arial" w:eastAsia="Arial" w:hAnsi="Arial"/>
          <w:sz w:val="18"/>
          <w:szCs w:val="18"/>
          <w:color w:val="auto"/>
        </w:rPr>
        <w:t>The Company had been advised by the staff of the Salt Lake District Office of the SEC that the staff intended to recommend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that administrative proceedings be instituted to revoke the registration of the Company’s common stock based on the Company’s failure to timely file annual and quarterly reports with the Commission. The Company provided the staff with a so-called “Wells Submission” setting forth its position with respect to the staff’s intended recommendation. To date, the Commission has not instituted an administrative proceeding against the Company; however, there can be no assurance that the Commission will not institute an administrative proceeding in the future or that the Company would prevail if an administrative proceeding were instituted.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share-based compensation primarily consists of the following plans:</w:t>
      </w:r>
    </w:p>
    <w:p>
      <w:pPr>
        <w:spacing w:after="0" w:line="2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1990 Incentive Plan (the “1990 Plan”) had shares of common stock available for issuance to employees and directors. Provisions of the 1990 Plan included the granting of stock options. Generally, stock options vested over a five-year period at 10 percent, 15 percent, 20 percent, 25 percent, and 30 percent per year. Certain other stock options vested in full after eight years. During the nine months ended March 31, 2006, the 30,750 options outstanding under the 1990 Plan as of June 30, 2005 expired and were canceled. As of March 31, 2006, there were no options outstanding under the 1990 Plan and no additional options were available for grant under such plan.</w:t>
      </w:r>
    </w:p>
    <w:p>
      <w:pPr>
        <w:spacing w:after="0" w:line="24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also has a 1998 Stock Option Plan (the “1998 Plan”). Provisions of the 1998 Plan include the granting of incentive and non-qualified stock options. Options may be granted to directors, officers, and key employees and may be granted upon such terms as the Board of Directors, in their sole discretion, determine.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March 31, 2006, 53,600 and 202,060 of these options that cliff vest after 9.8 and 6.0 years, respectively, remain outstanding.</w:t>
      </w:r>
    </w:p>
    <w:p>
      <w:pPr>
        <w:spacing w:after="0" w:line="2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All options have contractual lives of ten years. Under the 1998 Plan, 2,500,000 shares were authorized for grant. The 1998 Plan expires June 10, 2008, or when all the shares available under the plan have been issued if this occurs earlier. As of March 31, 2006, there were 1,241,879 options outstanding under the 1998 Plan, which includes the cliff vesting and 3 or 4-year vesting options discussed above, and 955,997 options available for grant in the future.</w:t>
      </w:r>
    </w:p>
    <w:p>
      <w:pPr>
        <w:spacing w:after="0" w:line="2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the two stock option plans, the Company has an Employee Stock Purchase Plan (“ESPP”). Employees can purchase common stock through payroll deductions of up to 10 percent of their base pay. Amounts deducted and accumulated by the employees are used to purchase shares of common stock on the last day of each month. The Company contributes to the account of the employee one share of common stock for every nine shares purchased by the employee under the ESPP. The program was suspended during fiscal 2003 due to the Company’s failure to remain current in its filing of periodic reports with the SEC.</w:t>
      </w:r>
    </w:p>
    <w:p>
      <w:pPr>
        <w:spacing w:after="0" w:line="242"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Prior to July 1, 2005, the Company accounted for compensation expense associated with its stock options under the intrinsic value method in Accounting Principles Board (“APB”) Opinion No. 25, “Accounting for Stock Issued to Employees.” Accordingly, no compensation cost has been recognized for the Company’s unmodified stock options in its condensed consolidated financial statements for the three months and nine months ended March 31, 2005.</w:t>
      </w:r>
    </w:p>
    <w:p>
      <w:pPr>
        <w:spacing w:after="0" w:line="20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uses the Black-Scholes option pricing model to determine the fair value of share-based payments granted under SFAS No. 123R and the original SFAS No. 123.</w:t>
      </w:r>
    </w:p>
    <w:p>
      <w:pPr>
        <w:spacing w:after="0" w:line="24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applying the Black-Scholes methodology to the options granted during the three months and nine months ended March 31, 2006 and 2005, the Company used the following assumptions: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7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5"/>
              </w:rPr>
              <w:t>Three Months Ended</w:t>
            </w:r>
          </w:p>
        </w:tc>
        <w:tc>
          <w:tcPr>
            <w:tcW w:w="140" w:type="dxa"/>
            <w:vAlign w:val="bottom"/>
          </w:tcPr>
          <w:p>
            <w:pPr>
              <w:spacing w:after="0"/>
              <w:rPr>
                <w:sz w:val="20"/>
                <w:szCs w:val="20"/>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7"/>
              </w:rPr>
              <w:t>Nine Months Ended</w:t>
            </w:r>
          </w:p>
        </w:tc>
        <w:tc>
          <w:tcPr>
            <w:tcW w:w="60" w:type="dxa"/>
            <w:vAlign w:val="bottom"/>
          </w:tcPr>
          <w:p>
            <w:pPr>
              <w:spacing w:after="0"/>
              <w:rPr>
                <w:sz w:val="20"/>
                <w:szCs w:val="20"/>
                <w:color w:val="auto"/>
              </w:rPr>
            </w:pPr>
          </w:p>
        </w:tc>
      </w:tr>
      <w:tr>
        <w:trPr>
          <w:trHeight w:val="264"/>
        </w:trPr>
        <w:tc>
          <w:tcPr>
            <w:tcW w:w="310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22"/>
                <w:szCs w:val="2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22"/>
                <w:szCs w:val="22"/>
                <w:color w:val="auto"/>
              </w:rPr>
            </w:pPr>
          </w:p>
        </w:tc>
      </w:tr>
      <w:tr>
        <w:trPr>
          <w:trHeight w:val="264"/>
        </w:trPr>
        <w:tc>
          <w:tcPr>
            <w:tcW w:w="3100" w:type="dxa"/>
            <w:vAlign w:val="bottom"/>
          </w:tcPr>
          <w:p>
            <w:pPr>
              <w:spacing w:after="0"/>
              <w:rPr>
                <w:sz w:val="22"/>
                <w:szCs w:val="22"/>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2"/>
                <w:szCs w:val="22"/>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r>
      <w:tr>
        <w:trPr>
          <w:trHeight w:val="264"/>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average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w:t>
            </w:r>
          </w:p>
        </w:tc>
        <w:tc>
          <w:tcPr>
            <w:tcW w:w="9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4.0%</w:t>
            </w:r>
          </w:p>
        </w:tc>
        <w:tc>
          <w:tcPr>
            <w:tcW w:w="9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4.3%</w:t>
            </w:r>
          </w:p>
        </w:tc>
        <w:tc>
          <w:tcPr>
            <w:tcW w:w="9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4.1%</w:t>
            </w:r>
          </w:p>
        </w:tc>
        <w:tc>
          <w:tcPr>
            <w:tcW w:w="60" w:type="dxa"/>
            <w:vAlign w:val="bottom"/>
            <w:shd w:val="clear" w:color="auto" w:fill="CCEEFF"/>
          </w:tcPr>
          <w:p>
            <w:pPr>
              <w:spacing w:after="0"/>
              <w:rPr>
                <w:sz w:val="22"/>
                <w:szCs w:val="22"/>
                <w:color w:val="auto"/>
              </w:rPr>
            </w:pP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Expected option life, average</w:t>
            </w:r>
          </w:p>
        </w:tc>
        <w:tc>
          <w:tcPr>
            <w:tcW w:w="840" w:type="dxa"/>
            <w:vAlign w:val="bottom"/>
          </w:tcPr>
          <w:p>
            <w:pPr>
              <w:ind w:left="140"/>
              <w:spacing w:after="0"/>
              <w:rPr>
                <w:sz w:val="20"/>
                <w:szCs w:val="20"/>
                <w:color w:val="auto"/>
              </w:rPr>
            </w:pPr>
            <w:r>
              <w:rPr>
                <w:rFonts w:ascii="Arial" w:cs="Arial" w:eastAsia="Arial" w:hAnsi="Arial"/>
                <w:sz w:val="18"/>
                <w:szCs w:val="18"/>
                <w:color w:val="auto"/>
                <w:w w:val="91"/>
              </w:rPr>
              <w:t>5.9 years</w:t>
            </w:r>
          </w:p>
        </w:tc>
        <w:tc>
          <w:tcPr>
            <w:tcW w:w="120" w:type="dxa"/>
            <w:vAlign w:val="bottom"/>
          </w:tcPr>
          <w:p>
            <w:pPr>
              <w:spacing w:after="0"/>
              <w:rPr>
                <w:sz w:val="21"/>
                <w:szCs w:val="21"/>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w w:val="91"/>
              </w:rPr>
              <w:t>5.8 years</w:t>
            </w:r>
          </w:p>
        </w:tc>
        <w:tc>
          <w:tcPr>
            <w:tcW w:w="14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w w:val="91"/>
              </w:rPr>
              <w:t>5.9 years</w:t>
            </w:r>
          </w:p>
        </w:tc>
        <w:tc>
          <w:tcPr>
            <w:tcW w:w="140" w:type="dxa"/>
            <w:vAlign w:val="bottom"/>
          </w:tcPr>
          <w:p>
            <w:pPr>
              <w:spacing w:after="0"/>
              <w:rPr>
                <w:sz w:val="21"/>
                <w:szCs w:val="21"/>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w w:val="99"/>
              </w:rPr>
              <w:t>5.8 years</w:t>
            </w:r>
          </w:p>
        </w:tc>
      </w:tr>
      <w:tr>
        <w:trPr>
          <w:trHeight w:val="27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 average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86.5%</w:t>
            </w:r>
          </w:p>
        </w:tc>
        <w:tc>
          <w:tcPr>
            <w:tcW w:w="9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91.2%</w:t>
            </w:r>
          </w:p>
        </w:tc>
        <w:tc>
          <w:tcPr>
            <w:tcW w:w="9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87.4%</w:t>
            </w:r>
          </w:p>
        </w:tc>
        <w:tc>
          <w:tcPr>
            <w:tcW w:w="9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92.3%</w:t>
            </w:r>
          </w:p>
        </w:tc>
        <w:tc>
          <w:tcPr>
            <w:tcW w:w="60" w:type="dxa"/>
            <w:vAlign w:val="bottom"/>
            <w:shd w:val="clear" w:color="auto" w:fill="CCEEFF"/>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9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0.0%</w:t>
            </w:r>
          </w:p>
        </w:tc>
        <w:tc>
          <w:tcPr>
            <w:tcW w:w="9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0.0%</w:t>
            </w:r>
          </w:p>
        </w:tc>
        <w:tc>
          <w:tcPr>
            <w:tcW w:w="960" w:type="dxa"/>
            <w:vAlign w:val="bottom"/>
            <w:gridSpan w:val="2"/>
          </w:tcPr>
          <w:p>
            <w:pPr>
              <w:jc w:val="center"/>
              <w:ind w:left="110"/>
              <w:spacing w:after="0"/>
              <w:rPr>
                <w:sz w:val="20"/>
                <w:szCs w:val="20"/>
                <w:color w:val="auto"/>
              </w:rPr>
            </w:pPr>
            <w:r>
              <w:rPr>
                <w:rFonts w:ascii="Arial" w:cs="Arial" w:eastAsia="Arial" w:hAnsi="Arial"/>
                <w:sz w:val="18"/>
                <w:szCs w:val="18"/>
                <w:color w:val="auto"/>
                <w:w w:val="87"/>
              </w:rPr>
              <w:t>0.0%</w:t>
            </w:r>
          </w:p>
        </w:tc>
        <w:tc>
          <w:tcPr>
            <w:tcW w:w="60" w:type="dxa"/>
            <w:vAlign w:val="bottom"/>
          </w:tcPr>
          <w:p>
            <w:pPr>
              <w:spacing w:after="0"/>
              <w:rPr>
                <w:sz w:val="23"/>
                <w:szCs w:val="23"/>
                <w:color w:val="auto"/>
              </w:rPr>
            </w:pPr>
          </w:p>
        </w:tc>
      </w:tr>
      <w:tr>
        <w:trPr>
          <w:trHeight w:val="27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Expected annual forfeiture rate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9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2"/>
              </w:rPr>
              <w:t>0.0%</w:t>
            </w:r>
          </w:p>
        </w:tc>
        <w:tc>
          <w:tcPr>
            <w:tcW w:w="94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0"/>
              </w:rPr>
              <w:t>10.0%</w:t>
            </w:r>
          </w:p>
        </w:tc>
        <w:tc>
          <w:tcPr>
            <w:tcW w:w="9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0.0%</w:t>
            </w:r>
          </w:p>
        </w:tc>
        <w:tc>
          <w:tcPr>
            <w:tcW w:w="60" w:type="dxa"/>
            <w:vAlign w:val="bottom"/>
            <w:shd w:val="clear" w:color="auto" w:fill="CCEEFF"/>
          </w:tcPr>
          <w:p>
            <w:pPr>
              <w:spacing w:after="0"/>
              <w:rPr>
                <w:sz w:val="23"/>
                <w:szCs w:val="23"/>
                <w:color w:val="auto"/>
              </w:rPr>
            </w:pPr>
          </w:p>
        </w:tc>
      </w:tr>
    </w:tbl>
    <w:p>
      <w:pPr>
        <w:spacing w:after="0" w:line="25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risk-free interest rate is determined using the U.S. Treasury rate in effect as of the date of the grant, based on the expected life of the stock option. The expected life of the stock option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annual forfeiture rate for options that will cliff vest after 9.8 or 6.0 years to be 38.0 percent and the annual forfeiture rate for options that vest on 3 or 4-year vesting schedules to be 10.0 percent.</w:t>
      </w:r>
    </w:p>
    <w:p>
      <w:pPr>
        <w:spacing w:after="0" w:line="2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three months ended March 31, 2006, the adoption of SFAS No. 123R resulted in incremental, pre-tax, stock-based compensation cost of $260. For the three months ended March 31, 2006, the Company expensed $12 in cost of goods sold, $25 in marketing and selling, $179 in general and administrative, and $44 in research and product development expense related to the transition to SFAS No. 123R. The stock-based compensation cost associated with adoption of SFAS No. 123R reduced net operating income for the three months ended March 31, 2006 by $260, decreased net income by $32, and reduced basic and diluted earnings per share by $0.00 per share. The total income tax provision (benefit) related to share-based compensation for the three months ended March 31, 2006 was ($228) and is shown as a cash flow from operating activities in our cash flow statement.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ind w:right="-1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190"/>
              <w:spacing w:after="0"/>
              <w:rPr>
                <w:sz w:val="20"/>
                <w:szCs w:val="20"/>
                <w:color w:val="auto"/>
              </w:rPr>
            </w:pPr>
            <w:r>
              <w:rPr>
                <w:rFonts w:ascii="Arial" w:cs="Arial" w:eastAsia="Arial" w:hAnsi="Arial"/>
                <w:sz w:val="18"/>
                <w:szCs w:val="18"/>
                <w:b w:val="1"/>
                <w:bCs w:val="1"/>
                <w:color w:val="auto"/>
                <w:w w:val="92"/>
              </w:rPr>
              <w:t>Three Months Ended</w:t>
            </w:r>
          </w:p>
        </w:tc>
      </w:tr>
      <w:tr>
        <w:trPr>
          <w:trHeight w:val="264"/>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3"/>
              </w:rPr>
              <w:t>March 31,</w:t>
            </w:r>
          </w:p>
        </w:tc>
      </w:tr>
      <w:tr>
        <w:trPr>
          <w:trHeight w:val="264"/>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9"/>
              </w:rPr>
              <w:t>2006</w:t>
            </w:r>
          </w:p>
        </w:tc>
        <w:tc>
          <w:tcPr>
            <w:tcW w:w="1020" w:type="dxa"/>
            <w:vAlign w:val="bottom"/>
            <w:tcBorders>
              <w:top w:val="single" w:sz="8" w:color="auto"/>
              <w:bottom w:val="single" w:sz="8" w:color="auto"/>
            </w:tcBorders>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SFAS</w:t>
            </w: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No. 123R</w:t>
            </w: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2"/>
              </w:rPr>
              <w:t>Compensation</w:t>
            </w:r>
          </w:p>
        </w:tc>
      </w:tr>
      <w:tr>
        <w:trPr>
          <w:trHeight w:val="270"/>
        </w:trPr>
        <w:tc>
          <w:tcPr>
            <w:tcW w:w="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As Reported</w:t>
            </w:r>
          </w:p>
        </w:tc>
        <w:tc>
          <w:tcPr>
            <w:tcW w:w="180" w:type="dxa"/>
            <w:vAlign w:val="bottom"/>
          </w:tcPr>
          <w:p>
            <w:pPr>
              <w:spacing w:after="0"/>
              <w:rPr>
                <w:sz w:val="23"/>
                <w:szCs w:val="23"/>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Expense</w:t>
            </w: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and selling</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0" w:type="dxa"/>
            <w:vAlign w:val="bottom"/>
          </w:tcPr>
          <w:p>
            <w:pPr>
              <w:spacing w:after="0"/>
              <w:rPr>
                <w:sz w:val="21"/>
                <w:szCs w:val="21"/>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in shareholders' class action</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1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7"/>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w w:val="95"/>
              </w:rPr>
              <w:t>(Loss) income from continuing operations before income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taxes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7"/>
        </w:trPr>
        <w:tc>
          <w:tcPr>
            <w:tcW w:w="4320" w:type="dxa"/>
            <w:vAlign w:val="bottom"/>
            <w:gridSpan w:val="2"/>
          </w:tcPr>
          <w:p>
            <w:pPr>
              <w:spacing w:after="0"/>
              <w:rPr>
                <w:sz w:val="20"/>
                <w:szCs w:val="20"/>
                <w:color w:val="auto"/>
              </w:rPr>
            </w:pPr>
            <w:r>
              <w:rPr>
                <w:rFonts w:ascii="Arial" w:cs="Arial" w:eastAsia="Arial" w:hAnsi="Arial"/>
                <w:sz w:val="18"/>
                <w:szCs w:val="18"/>
                <w:color w:val="auto"/>
              </w:rPr>
              <w:t>(Loss) income from continuing operations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nine months ended March 31, 2006, the adoption of SFAS No. 123R resulted in incremental, pre-tax, stock-based compensation cost of $874. For the nine months ended March 31, 2006, the Company expensed $36 in cost of goods sold, $75 in marketing and selling, $598 in general and administrative, and $131 in research and product development expense, and $34 in other income (expense) related to the transition to SFAS No. 123R. The stock-based compensation cost associated with adoption of SFAS No. 123R reduced net operating income for the nine months ended March 31, 2006 by $874, decreased net income by $473, and reduced basic and diluted earnings per share by $0.04 per share. The total income tax provision (benefit) related to share-based compensation for the nine months ended March 31, 2006 was ($401) and is shown as a cash flow from operating activities in our cash flow statement.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1"/>
              </w:rPr>
              <w:t>Nine Months Ended</w:t>
            </w:r>
          </w:p>
        </w:tc>
      </w:tr>
      <w:tr>
        <w:trPr>
          <w:trHeight w:val="264"/>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3"/>
              </w:rPr>
              <w:t>March 31,</w:t>
            </w:r>
          </w:p>
        </w:tc>
      </w:tr>
      <w:tr>
        <w:trPr>
          <w:trHeight w:val="264"/>
        </w:trPr>
        <w:tc>
          <w:tcPr>
            <w:tcW w:w="2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9"/>
              </w:rPr>
              <w:t>2006</w:t>
            </w:r>
          </w:p>
        </w:tc>
        <w:tc>
          <w:tcPr>
            <w:tcW w:w="1020" w:type="dxa"/>
            <w:vAlign w:val="bottom"/>
            <w:tcBorders>
              <w:top w:val="single" w:sz="8" w:color="auto"/>
              <w:bottom w:val="single" w:sz="8" w:color="auto"/>
            </w:tcBorders>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SFAS</w:t>
            </w: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No. 123R</w:t>
            </w: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2"/>
              </w:rPr>
              <w:t>Compensation</w:t>
            </w:r>
          </w:p>
        </w:tc>
      </w:tr>
      <w:tr>
        <w:trPr>
          <w:trHeight w:val="270"/>
        </w:trPr>
        <w:tc>
          <w:tcPr>
            <w:tcW w:w="2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As Reported</w:t>
            </w:r>
          </w:p>
        </w:tc>
        <w:tc>
          <w:tcPr>
            <w:tcW w:w="180" w:type="dxa"/>
            <w:vAlign w:val="bottom"/>
          </w:tcPr>
          <w:p>
            <w:pPr>
              <w:spacing w:after="0"/>
              <w:rPr>
                <w:sz w:val="23"/>
                <w:szCs w:val="23"/>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Expense</w:t>
            </w: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27,902</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14,213</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13,689</w:t>
            </w:r>
          </w:p>
        </w:tc>
        <w:tc>
          <w:tcPr>
            <w:tcW w:w="14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and selling</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20" w:type="dxa"/>
            <w:vAlign w:val="bottom"/>
          </w:tcPr>
          <w:p>
            <w:pPr>
              <w:spacing w:after="0"/>
              <w:rPr>
                <w:sz w:val="21"/>
                <w:szCs w:val="21"/>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in shareholders' class action</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(1,205)</w:t>
            </w: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w:t>
            </w:r>
          </w:p>
        </w:tc>
        <w:tc>
          <w:tcPr>
            <w:tcW w:w="1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37"/>
        </w:trPr>
        <w:tc>
          <w:tcPr>
            <w:tcW w:w="20" w:type="dxa"/>
            <w:vAlign w:val="bottom"/>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14,403</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37"/>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(714)</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195"/>
        </w:trPr>
        <w:tc>
          <w:tcPr>
            <w:tcW w:w="20" w:type="dxa"/>
            <w:vAlign w:val="bottom"/>
          </w:tcPr>
          <w:p>
            <w:pPr>
              <w:spacing w:after="0"/>
              <w:rPr>
                <w:sz w:val="16"/>
                <w:szCs w:val="16"/>
                <w:color w:val="auto"/>
              </w:rPr>
            </w:pPr>
          </w:p>
        </w:tc>
        <w:tc>
          <w:tcPr>
            <w:tcW w:w="430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5"/>
              </w:rPr>
              <w:t>(Loss) income from continuing operations before income</w:t>
            </w: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taxes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w:t>
            </w:r>
          </w:p>
        </w:tc>
      </w:tr>
      <w:tr>
        <w:trPr>
          <w:trHeight w:val="24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7"/>
        </w:trPr>
        <w:tc>
          <w:tcPr>
            <w:tcW w:w="43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20" w:type="dxa"/>
            <w:vAlign w:val="bottom"/>
          </w:tcPr>
          <w:p>
            <w:pPr>
              <w:spacing w:after="0"/>
              <w:rPr>
                <w:sz w:val="21"/>
                <w:szCs w:val="21"/>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432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43"/>
        </w:trPr>
        <w:tc>
          <w:tcPr>
            <w:tcW w:w="20" w:type="dxa"/>
            <w:vAlign w:val="bottom"/>
          </w:tcPr>
          <w:p>
            <w:pPr>
              <w:spacing w:after="0"/>
              <w:rPr>
                <w:sz w:val="21"/>
                <w:szCs w:val="21"/>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bl>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March 31, 2006, the total compensation cost related to unvested stock options not yet recognized was $1,164, which is expected to be recognized over the next 3.9 years on a straight-line basis.</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weighted-average estimated fair value of the stock options granted during the three months ended March 31, 2006 and 2005 was $2.08 and $3.03, per share, respectively. The weighted-average estimated fair value of the stock options granted during the nine months ended March 31, 2006 and 2005 was $1.89 and $3.84, per share,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 for the nine months ended March 31, 2006.</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Weighted</w:t>
            </w:r>
          </w:p>
        </w:tc>
        <w:tc>
          <w:tcPr>
            <w:tcW w:w="12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Average</w:t>
            </w:r>
          </w:p>
        </w:tc>
        <w:tc>
          <w:tcPr>
            <w:tcW w:w="12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1"/>
              </w:rPr>
              <w:t>Contractual</w:t>
            </w:r>
          </w:p>
        </w:tc>
        <w:tc>
          <w:tcPr>
            <w:tcW w:w="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80" w:type="dxa"/>
            <w:vAlign w:val="bottom"/>
            <w:gridSpan w:val="2"/>
          </w:tcPr>
          <w:p>
            <w:pPr>
              <w:ind w:left="280"/>
              <w:spacing w:after="0"/>
              <w:rPr>
                <w:sz w:val="20"/>
                <w:szCs w:val="20"/>
                <w:color w:val="auto"/>
              </w:rPr>
            </w:pPr>
            <w:r>
              <w:rPr>
                <w:rFonts w:ascii="Arial" w:cs="Arial" w:eastAsia="Arial" w:hAnsi="Arial"/>
                <w:sz w:val="18"/>
                <w:szCs w:val="18"/>
                <w:b w:val="1"/>
                <w:bCs w:val="1"/>
                <w:color w:val="auto"/>
              </w:rPr>
              <w:t>Stock Options</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Exercise Price</w:t>
            </w: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Term (years)</w:t>
            </w:r>
          </w:p>
        </w:tc>
        <w:tc>
          <w:tcPr>
            <w:tcW w:w="6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June 30, 2005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1,493,112</w:t>
            </w: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Expired and canceled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(117,603)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(160,630)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at March 31, 2006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1,241,879</w:t>
            </w: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 years</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gridSpan w:val="3"/>
          </w:tcPr>
          <w:p>
            <w:pPr>
              <w:ind w:left="160"/>
              <w:spacing w:after="0"/>
              <w:rPr>
                <w:sz w:val="20"/>
                <w:szCs w:val="20"/>
                <w:color w:val="auto"/>
              </w:rPr>
            </w:pPr>
            <w:r>
              <w:rPr>
                <w:rFonts w:ascii="Arial" w:cs="Arial" w:eastAsia="Arial" w:hAnsi="Arial"/>
                <w:sz w:val="18"/>
                <w:szCs w:val="18"/>
                <w:color w:val="auto"/>
              </w:rPr>
              <w:t>Exercisable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817,764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 years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Grant Date</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980" w:type="dxa"/>
            <w:vAlign w:val="bottom"/>
            <w:gridSpan w:val="2"/>
          </w:tcPr>
          <w:p>
            <w:pPr>
              <w:ind w:left="1420"/>
              <w:spacing w:after="0"/>
              <w:rPr>
                <w:sz w:val="20"/>
                <w:szCs w:val="20"/>
                <w:color w:val="auto"/>
              </w:rPr>
            </w:pPr>
            <w:r>
              <w:rPr>
                <w:rFonts w:ascii="Arial" w:cs="Arial" w:eastAsia="Arial" w:hAnsi="Arial"/>
                <w:sz w:val="18"/>
                <w:szCs w:val="18"/>
                <w:b w:val="1"/>
                <w:bCs w:val="1"/>
                <w:color w:val="auto"/>
                <w:w w:val="94"/>
              </w:rPr>
              <w:t>Non-vested Shares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Fair Value</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June 30, 2005</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802,400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27,000</w:t>
            </w:r>
          </w:p>
        </w:tc>
        <w:tc>
          <w:tcPr>
            <w:tcW w:w="12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Vested</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(244,655)</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2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(160,630)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gridSpan w:val="3"/>
          </w:tcPr>
          <w:p>
            <w:pPr>
              <w:ind w:left="1140"/>
              <w:spacing w:after="0"/>
              <w:rPr>
                <w:sz w:val="20"/>
                <w:szCs w:val="20"/>
                <w:color w:val="auto"/>
              </w:rPr>
            </w:pPr>
            <w:r>
              <w:rPr>
                <w:rFonts w:ascii="Arial" w:cs="Arial" w:eastAsia="Arial" w:hAnsi="Arial"/>
                <w:sz w:val="18"/>
                <w:szCs w:val="18"/>
                <w:color w:val="auto"/>
              </w:rPr>
              <w:t>Non-vested at March 31, 2006</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424,115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Due to the Company’s failure to remain current in its filing of periodic reports with the SEC, employees, executive officers, and directors are currently not allowed to exercise options under the 1998 Plan. Since December 2003, individual grants that had been affected by this situation were modified to extend the exercise period of the option through the date the Company becomes current in its filings with the SEC and options again become exercisable. Since July 1, 2005, modifications of stock option grants include the extension of the post-service exercise period of vested options held by persons who have ceased to remain employed by the Company. Compensation cost is recognized immediately for options that are fully vested on the date of modification. In the three months ended March 31, 2006, the Company expensed $0 in compensation cost associated with these modifications. In the nine months ended March 31, 2006, the Company expensed $15 in compensation cost associated with these modifications. These costs are included in the $260 and $874 of SFAS No. 123R compensation expense disclosed above for the three-month and nine-month periods ended March 31, 2006,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and Geographic Information</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fiscal 2006 and fiscal 2005, all revenue and income (loss) from continuing operations was included in the product segment. Additionally, the United States was the only country to contribute more than 10 percent of total revenues in each fiscal year. The Company’s revenues are substantially denominated in U.S. dollars and are summarized geographically as follows:</w:t>
      </w: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7"/>
              </w:rPr>
              <w:t>Three Months Ended</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8"/>
                <w:szCs w:val="18"/>
                <w:b w:val="1"/>
                <w:bCs w:val="1"/>
                <w:color w:val="auto"/>
              </w:rPr>
              <w:t>Nine Months Ended</w:t>
            </w:r>
          </w:p>
        </w:tc>
        <w:tc>
          <w:tcPr>
            <w:tcW w:w="60" w:type="dxa"/>
            <w:vAlign w:val="bottom"/>
          </w:tcPr>
          <w:p>
            <w:pPr>
              <w:spacing w:after="0"/>
              <w:rPr>
                <w:sz w:val="20"/>
                <w:szCs w:val="20"/>
                <w:color w:val="auto"/>
              </w:rPr>
            </w:pPr>
          </w:p>
        </w:tc>
      </w:tr>
      <w:tr>
        <w:trPr>
          <w:trHeight w:val="264"/>
        </w:trPr>
        <w:tc>
          <w:tcPr>
            <w:tcW w:w="3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March 31,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March 31,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March 31,</w:t>
            </w:r>
          </w:p>
        </w:tc>
      </w:tr>
      <w:tr>
        <w:trPr>
          <w:trHeight w:val="264"/>
        </w:trPr>
        <w:tc>
          <w:tcPr>
            <w:tcW w:w="3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r>
      <w:tr>
        <w:trPr>
          <w:trHeight w:val="237"/>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16,436</w:t>
            </w:r>
          </w:p>
        </w:tc>
      </w:tr>
      <w:tr>
        <w:trPr>
          <w:trHeight w:val="270"/>
        </w:trPr>
        <w:tc>
          <w:tcPr>
            <w:tcW w:w="3440" w:type="dxa"/>
            <w:vAlign w:val="bottom"/>
          </w:tcPr>
          <w:p>
            <w:pPr>
              <w:spacing w:after="0"/>
              <w:rPr>
                <w:sz w:val="20"/>
                <w:szCs w:val="20"/>
                <w:color w:val="auto"/>
              </w:rPr>
            </w:pPr>
            <w:r>
              <w:rPr>
                <w:rFonts w:ascii="Arial" w:cs="Arial" w:eastAsia="Arial" w:hAnsi="Arial"/>
                <w:sz w:val="18"/>
                <w:szCs w:val="18"/>
                <w:color w:val="auto"/>
              </w:rPr>
              <w:t>All other countries</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w:t>
            </w:r>
          </w:p>
        </w:tc>
        <w:tc>
          <w:tcPr>
            <w:tcW w:w="60" w:type="dxa"/>
            <w:vAlign w:val="bottom"/>
          </w:tcPr>
          <w:p>
            <w:pPr>
              <w:spacing w:after="0"/>
              <w:rPr>
                <w:sz w:val="23"/>
                <w:szCs w:val="23"/>
                <w:color w:val="auto"/>
              </w:rPr>
            </w:pPr>
          </w:p>
        </w:tc>
      </w:tr>
      <w:tr>
        <w:trPr>
          <w:trHeight w:val="277"/>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27,902</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22,542</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Manufacturing Transition</w:t>
      </w:r>
    </w:p>
    <w:p>
      <w:pPr>
        <w:spacing w:after="0" w:line="2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2005, the Company approved an impairment action and a restructuring action in connection with its decision to outsource its Salt Lake City manufacturing operations. These actions were intended to improve the overall cost structure for the product segment by focusing resources on other strategic areas of the business. The Company recorded an impairment charge of $180 and a restructuring charge of $110 during the fiscal year ended June 30, 2005 as a result of these actions. These charges were disclosed separately in the consolidated statements of operations. The impairment charge consisted of an immediate impairment of certain property and equipment of $180 that had value to the Company while it manufactured product but that was not purchased by Third Party Manufacturer (“TPM”) and at the time were not considered likely to be sold. These assets would have remained in service had the Company not outsourced its manufacturing operations. The restructuring charge also consisted of severance and other employee termination benefits of $70 related to a workforce reduction of approximately 20 employees who were transferred to an employment agency used by TPM to transition the workforce and a charge of $40 related to the operating lease for the Company’s manufacturing facilities that would no longer be used by the Company. All severance payments were paid by December 31, 2005.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the Company’s restructuring charge liabilities during the nine months ended March 31, 2006:</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Facilities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Severance</w:t>
            </w:r>
          </w:p>
        </w:tc>
        <w:tc>
          <w:tcPr>
            <w:tcW w:w="18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18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37"/>
        </w:trPr>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40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43"/>
        </w:trPr>
        <w:tc>
          <w:tcPr>
            <w:tcW w:w="4380" w:type="dxa"/>
            <w:vAlign w:val="bottom"/>
          </w:tcPr>
          <w:p>
            <w:pPr>
              <w:ind w:left="320"/>
              <w:spacing w:after="0"/>
              <w:rPr>
                <w:sz w:val="20"/>
                <w:szCs w:val="20"/>
                <w:color w:val="auto"/>
              </w:rPr>
            </w:pPr>
            <w:r>
              <w:rPr>
                <w:rFonts w:ascii="Arial" w:cs="Arial" w:eastAsia="Arial" w:hAnsi="Arial"/>
                <w:sz w:val="18"/>
                <w:szCs w:val="18"/>
                <w:color w:val="auto"/>
              </w:rPr>
              <w:t>Utilized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1"/>
                <w:szCs w:val="21"/>
                <w:color w:val="auto"/>
              </w:rPr>
            </w:pPr>
          </w:p>
        </w:tc>
        <w:tc>
          <w:tcPr>
            <w:tcW w:w="1140" w:type="dxa"/>
            <w:vAlign w:val="bottom"/>
            <w:gridSpan w:val="2"/>
          </w:tcPr>
          <w:p>
            <w:pPr>
              <w:jc w:val="center"/>
              <w:ind w:left="570"/>
              <w:spacing w:after="0"/>
              <w:rPr>
                <w:sz w:val="20"/>
                <w:szCs w:val="20"/>
                <w:color w:val="auto"/>
              </w:rPr>
            </w:pPr>
            <w:r>
              <w:rPr>
                <w:rFonts w:ascii="Arial" w:cs="Arial" w:eastAsia="Arial" w:hAnsi="Arial"/>
                <w:sz w:val="18"/>
                <w:szCs w:val="18"/>
                <w:color w:val="auto"/>
                <w:w w:val="87"/>
              </w:rPr>
              <w:t>(89)</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75"/>
        </w:trPr>
        <w:tc>
          <w:tcPr>
            <w:tcW w:w="4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Sublease payments received</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710"/>
              <w:spacing w:after="0"/>
              <w:rPr>
                <w:sz w:val="20"/>
                <w:szCs w:val="20"/>
                <w:color w:val="auto"/>
              </w:rPr>
            </w:pPr>
            <w:r>
              <w:rPr>
                <w:rFonts w:ascii="Arial" w:cs="Arial" w:eastAsia="Arial" w:hAnsi="Arial"/>
                <w:sz w:val="18"/>
                <w:szCs w:val="18"/>
                <w:color w:val="auto"/>
                <w:w w:val="89"/>
              </w:rPr>
              <w:t>88</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4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March 31, 2006</w:t>
            </w: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center"/>
              <w:ind w:left="710"/>
              <w:spacing w:after="0"/>
              <w:rPr>
                <w:sz w:val="20"/>
                <w:szCs w:val="20"/>
                <w:color w:val="auto"/>
              </w:rPr>
            </w:pPr>
            <w:r>
              <w:rPr>
                <w:rFonts w:ascii="Arial" w:cs="Arial" w:eastAsia="Arial" w:hAnsi="Arial"/>
                <w:sz w:val="18"/>
                <w:szCs w:val="18"/>
                <w:color w:val="auto"/>
                <w:w w:val="89"/>
              </w:rPr>
              <w:t>39</w:t>
            </w: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top w:val="single" w:sz="8" w:color="CCEEFF"/>
            </w:tcBorders>
          </w:tcPr>
          <w:p>
            <w:pPr>
              <w:spacing w:after="0"/>
              <w:rPr>
                <w:sz w:val="20"/>
                <w:szCs w:val="20"/>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August 1, 2005, the Company entered into a Manufacturing Agreement with TPM pursuant to which the Company agreed to outsource its Salt Lake City manufacturing operations. The parties also entered into a one-year sublease for approximately 12,000 square feet of manufacturing space located in the Company's headquarters in Salt Lake City, Utah. TPM paid $11 per month under the sublease through May 31, 2006 when the sublease was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Settlement Agreement and Release</w:t>
      </w:r>
    </w:p>
    <w:p>
      <w:pPr>
        <w:spacing w:after="0" w:line="28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entered into a settlement agreement and release with its former Vice-President - Human Resources in connection with the cessation of her employment, which generally provided for her resignation from her position and employment with the Company, the payment of severance, and a general release of claims against the Company by her. On February 20, 2006, an agreement was entered into which generally provided for a severance payment of $93 and her surrender and delivery to the Company of 145,000 stock options (86,853 of which were vested).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Sale of OM Video. </w:t>
      </w:r>
      <w:r>
        <w:rPr>
          <w:rFonts w:ascii="Arial" w:cs="Arial" w:eastAsia="Arial" w:hAnsi="Arial"/>
          <w:sz w:val="18"/>
          <w:szCs w:val="18"/>
          <w:color w:val="auto"/>
        </w:rPr>
        <w:t>Through December 31, 2005, all payments due under the note receivable through such date had been received and $854 of the promissory</w:t>
      </w:r>
      <w:r>
        <w:rPr>
          <w:rFonts w:ascii="Arial" w:cs="Arial" w:eastAsia="Arial" w:hAnsi="Arial"/>
          <w:sz w:val="18"/>
          <w:szCs w:val="18"/>
          <w:i w:val="1"/>
          <w:iCs w:val="1"/>
          <w:color w:val="auto"/>
        </w:rPr>
        <w:t xml:space="preserve"> </w:t>
      </w:r>
      <w:r>
        <w:rPr>
          <w:rFonts w:ascii="Arial" w:cs="Arial" w:eastAsia="Arial" w:hAnsi="Arial"/>
          <w:sz w:val="18"/>
          <w:szCs w:val="18"/>
          <w:color w:val="auto"/>
        </w:rPr>
        <w:t>note remained outstanding; however, OM Purchaser has failed to make any subsequent, required payments under the note receivable and is in default thereunder. The Company is currently considering its collection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The following discussion should be read in conjunction with our unaudited condensed consolidated financial statements and related notes to condensed consolidated financial statements included in this Form 10-Q and our audited consolidated financial statements included in our Annual Report on Form 10-K for the year ended June 30, 2005 filed with the SEC and management’s discussion and analysis contained therein.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Part II, Item 1A, as well as other information found in the documents we file from time to time with the SEC. Unless otherwise indicated, all references to a year reflect our fiscal year that ends on June 30.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discussion and analysis of our results of operations and financial condition are based upon our condensed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We believe the following critical accounting policies affect our more significant assumptions and estimates that we used to prepare our condensed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w:t>
      </w:r>
    </w:p>
    <w:p>
      <w:pPr>
        <w:spacing w:after="0" w:line="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of goods sold could differ from actual amounts, we believe that our calculations are indicative of actual levels of inventory in the distribution channel. As of March 31, 2005, the Company deferred $5.5 million in revenue and $2.3 million in cost of goods sold related to products sold where return rights had not lapsed. As of March 31, 2006, the Company deferred $5.4 million in revenue and $2.4 million in cost of goods sold related to products sold where return rights had not lapsed. The amounts of deferred cost of goods sold were included in consigned inventory. The following table details the amount of deferred revenue, cost of goods sold, and gross profit at each period end for the 21-month period ended March 31, 2006 (in thousands).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Cost of</w:t>
            </w:r>
          </w:p>
        </w:tc>
        <w:tc>
          <w:tcPr>
            <w:tcW w:w="12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Deferred</w:t>
            </w: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Goods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Sold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Profit</w:t>
            </w: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March 31, 2006</w:t>
            </w: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60" w:type="dxa"/>
            <w:vAlign w:val="bottom"/>
            <w:shd w:val="clear" w:color="auto" w:fill="CCEEFF"/>
          </w:tcPr>
          <w:p>
            <w:pPr>
              <w:spacing w:after="0"/>
              <w:rPr>
                <w:sz w:val="21"/>
                <w:szCs w:val="21"/>
                <w:color w:val="auto"/>
              </w:rPr>
            </w:pPr>
          </w:p>
        </w:tc>
      </w:tr>
      <w:tr>
        <w:trPr>
          <w:trHeight w:val="243"/>
        </w:trPr>
        <w:tc>
          <w:tcPr>
            <w:tcW w:w="2200" w:type="dxa"/>
            <w:vAlign w:val="bottom"/>
            <w:gridSpan w:val="2"/>
          </w:tcPr>
          <w:p>
            <w:pPr>
              <w:spacing w:after="0"/>
              <w:rPr>
                <w:sz w:val="20"/>
                <w:szCs w:val="20"/>
                <w:color w:val="auto"/>
              </w:rPr>
            </w:pPr>
            <w:r>
              <w:rPr>
                <w:rFonts w:ascii="Arial" w:cs="Arial" w:eastAsia="Arial" w:hAnsi="Arial"/>
                <w:sz w:val="18"/>
                <w:szCs w:val="18"/>
                <w:color w:val="auto"/>
              </w:rPr>
              <w:t>December 31, 2005</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2,737</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2005</w:t>
            </w: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60" w:type="dxa"/>
            <w:vAlign w:val="bottom"/>
            <w:shd w:val="clear" w:color="auto" w:fill="CCEEFF"/>
          </w:tcPr>
          <w:p>
            <w:pPr>
              <w:spacing w:after="0"/>
              <w:rPr>
                <w:sz w:val="21"/>
                <w:szCs w:val="21"/>
                <w:color w:val="auto"/>
              </w:rPr>
            </w:pPr>
          </w:p>
        </w:tc>
      </w:tr>
      <w:tr>
        <w:trPr>
          <w:trHeight w:val="243"/>
        </w:trPr>
        <w:tc>
          <w:tcPr>
            <w:tcW w:w="2200" w:type="dxa"/>
            <w:vAlign w:val="bottom"/>
            <w:gridSpan w:val="2"/>
          </w:tcPr>
          <w:p>
            <w:pPr>
              <w:spacing w:after="0"/>
              <w:rPr>
                <w:sz w:val="20"/>
                <w:szCs w:val="20"/>
                <w:color w:val="auto"/>
              </w:rPr>
            </w:pPr>
            <w:r>
              <w:rPr>
                <w:rFonts w:ascii="Arial" w:cs="Arial" w:eastAsia="Arial" w:hAnsi="Arial"/>
                <w:sz w:val="18"/>
                <w:szCs w:val="18"/>
                <w:color w:val="auto"/>
              </w:rPr>
              <w:t>June 30, 2005</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2,758</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March 31, 2005</w:t>
            </w: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60" w:type="dxa"/>
            <w:vAlign w:val="bottom"/>
            <w:shd w:val="clear" w:color="auto" w:fill="CCEEFF"/>
          </w:tcPr>
          <w:p>
            <w:pPr>
              <w:spacing w:after="0"/>
              <w:rPr>
                <w:sz w:val="21"/>
                <w:szCs w:val="21"/>
                <w:color w:val="auto"/>
              </w:rPr>
            </w:pPr>
          </w:p>
        </w:tc>
      </w:tr>
      <w:tr>
        <w:trPr>
          <w:trHeight w:val="243"/>
        </w:trPr>
        <w:tc>
          <w:tcPr>
            <w:tcW w:w="2200" w:type="dxa"/>
            <w:vAlign w:val="bottom"/>
            <w:gridSpan w:val="2"/>
          </w:tcPr>
          <w:p>
            <w:pPr>
              <w:spacing w:after="0"/>
              <w:rPr>
                <w:sz w:val="20"/>
                <w:szCs w:val="20"/>
                <w:color w:val="auto"/>
              </w:rPr>
            </w:pPr>
            <w:r>
              <w:rPr>
                <w:rFonts w:ascii="Arial" w:cs="Arial" w:eastAsia="Arial" w:hAnsi="Arial"/>
                <w:sz w:val="18"/>
                <w:szCs w:val="18"/>
                <w:color w:val="auto"/>
              </w:rPr>
              <w:t>December 31, 2004</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2,977</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2004</w:t>
            </w: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60" w:type="dxa"/>
            <w:vAlign w:val="bottom"/>
            <w:shd w:val="clear" w:color="auto" w:fill="CCEEFF"/>
          </w:tcPr>
          <w:p>
            <w:pPr>
              <w:spacing w:after="0"/>
              <w:rPr>
                <w:sz w:val="21"/>
                <w:szCs w:val="21"/>
                <w:color w:val="auto"/>
              </w:rPr>
            </w:pPr>
          </w:p>
        </w:tc>
      </w:tr>
      <w:tr>
        <w:trPr>
          <w:trHeight w:val="243"/>
        </w:trPr>
        <w:tc>
          <w:tcPr>
            <w:tcW w:w="2200" w:type="dxa"/>
            <w:vAlign w:val="bottom"/>
            <w:gridSpan w:val="2"/>
          </w:tcPr>
          <w:p>
            <w:pPr>
              <w:spacing w:after="0"/>
              <w:rPr>
                <w:sz w:val="20"/>
                <w:szCs w:val="20"/>
                <w:color w:val="auto"/>
              </w:rPr>
            </w:pPr>
            <w:r>
              <w:rPr>
                <w:rFonts w:ascii="Arial" w:cs="Arial" w:eastAsia="Arial" w:hAnsi="Arial"/>
                <w:sz w:val="18"/>
                <w:szCs w:val="18"/>
                <w:color w:val="auto"/>
              </w:rPr>
              <w:t>June 30, 2004</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3,726</w:t>
            </w:r>
          </w:p>
        </w:tc>
        <w:tc>
          <w:tcPr>
            <w:tcW w:w="60" w:type="dxa"/>
            <w:vAlign w:val="bottom"/>
          </w:tcPr>
          <w:p>
            <w:pPr>
              <w:spacing w:after="0"/>
              <w:rPr>
                <w:sz w:val="21"/>
                <w:szCs w:val="21"/>
                <w:color w:val="auto"/>
              </w:rPr>
            </w:pPr>
          </w:p>
        </w:tc>
      </w:tr>
    </w:tbl>
    <w:p>
      <w:pPr>
        <w:spacing w:after="0" w:line="256"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and direct dealers/resellers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Purchased Intangibles</w:t>
      </w:r>
    </w:p>
    <w:p>
      <w:pPr>
        <w:spacing w:after="0" w:line="28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6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34"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 expense for the allowance within the tax provision in the condensed consolidated statement of operations. The reversal of a previously established valuation allowance results in a benefit for 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 down the value of inventory to the lower-of-cost or market.</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 down our excess and obsolete inventory by an amount that is equal to the difference between the cost of the inventory and its estimated market value if market value is less than cost, based upon assumptions about future product life-cycles, product demand, or market conditions. Those items that are found to have a supply in excess of our estimated demand are considered to be slow-moving or obsolete and the appropriate reserve is made to write 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Prior to June 30, 2005 and as permitted under the original SFAS No. 123,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t>In December 2004, the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audio conferencing products revenue has historically been strongest during our second and fourth quarters. Our camera product line revenue is usually strongest during the third and fourth quarters. There can be no assurance that any historic sales patterns will continue and, as a result, sales for any prior quarter are not necessarily indicative of the sales to be expected in any future quarter.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believe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DISCUSSION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and nine months ended March 31, 2006 and 2005</w:t>
      </w:r>
    </w:p>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certain items from our unaudited condensed consolidated statements of operations (in thousands) for the three and nine months ended March 31, 2006 and 2005, together with the percentage of total revenue which each such item represents: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w w:val="90"/>
              </w:rPr>
              <w:t>Three Months Ended</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w w:val="95"/>
              </w:rPr>
              <w:t>Nine Months Ended</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rPr>
              <w:t>(in thousands)</w:t>
            </w:r>
          </w:p>
        </w:tc>
        <w:tc>
          <w:tcPr>
            <w:tcW w:w="80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37"/>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r>
      <w:tr>
        <w:trPr>
          <w:trHeight w:val="270"/>
        </w:trPr>
        <w:tc>
          <w:tcPr>
            <w:tcW w:w="46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3"/>
                <w:szCs w:val="23"/>
                <w:color w:val="auto"/>
              </w:rPr>
            </w:pPr>
          </w:p>
        </w:tc>
      </w:tr>
      <w:tr>
        <w:trPr>
          <w:trHeight w:val="191"/>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40" w:type="dxa"/>
            <w:vAlign w:val="bottom"/>
          </w:tcPr>
          <w:p>
            <w:pPr>
              <w:spacing w:after="0"/>
              <w:rPr>
                <w:sz w:val="16"/>
                <w:szCs w:val="16"/>
                <w:color w:val="auto"/>
              </w:rPr>
            </w:pPr>
          </w:p>
        </w:tc>
      </w:tr>
      <w:tr>
        <w:trPr>
          <w:trHeight w:val="234"/>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Revenue</w:t>
            </w:r>
          </w:p>
        </w:tc>
      </w:tr>
      <w:tr>
        <w:trPr>
          <w:trHeight w:val="237"/>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20" w:type="dxa"/>
            <w:vAlign w:val="bottom"/>
            <w:tcBorders>
              <w:right w:val="single" w:sz="8" w:color="CCEEFF"/>
            </w:tcBorders>
            <w:shd w:val="clear" w:color="auto" w:fill="CCEEFF"/>
          </w:tcPr>
          <w:p>
            <w:pPr>
              <w:spacing w:after="0"/>
              <w:rPr>
                <w:sz w:val="23"/>
                <w:szCs w:val="23"/>
                <w:color w:val="auto"/>
              </w:rPr>
            </w:pPr>
          </w:p>
        </w:tc>
        <w:tc>
          <w:tcPr>
            <w:tcW w:w="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7,103</w:t>
            </w: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27,902</w:t>
            </w:r>
          </w:p>
        </w:tc>
        <w:tc>
          <w:tcPr>
            <w:tcW w:w="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100.0%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22,542</w:t>
            </w:r>
          </w:p>
        </w:tc>
        <w:tc>
          <w:tcPr>
            <w:tcW w:w="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100.0%</w:t>
            </w:r>
          </w:p>
        </w:tc>
        <w:tc>
          <w:tcPr>
            <w:tcW w:w="140" w:type="dxa"/>
            <w:vAlign w:val="bottom"/>
            <w:shd w:val="clear" w:color="auto" w:fill="CCEEFF"/>
          </w:tcPr>
          <w:p>
            <w:pPr>
              <w:spacing w:after="0"/>
              <w:rPr>
                <w:sz w:val="23"/>
                <w:szCs w:val="23"/>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4,625</w:t>
            </w:r>
          </w:p>
        </w:tc>
        <w:tc>
          <w:tcPr>
            <w:tcW w:w="120" w:type="dxa"/>
            <w:vAlign w:val="bottom"/>
          </w:tcPr>
          <w:p>
            <w:pPr>
              <w:spacing w:after="0"/>
              <w:rPr>
                <w:sz w:val="23"/>
                <w:szCs w:val="23"/>
                <w:color w:val="auto"/>
              </w:rPr>
            </w:pP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90"/>
              </w:rPr>
              <w:t>53.2%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3,180</w:t>
            </w:r>
          </w:p>
        </w:tc>
        <w:tc>
          <w:tcPr>
            <w:tcW w:w="740" w:type="dxa"/>
            <w:vAlign w:val="bottom"/>
          </w:tcPr>
          <w:p>
            <w:pPr>
              <w:jc w:val="center"/>
              <w:ind w:left="30"/>
              <w:spacing w:after="0"/>
              <w:rPr>
                <w:sz w:val="20"/>
                <w:szCs w:val="20"/>
                <w:color w:val="auto"/>
              </w:rPr>
            </w:pPr>
            <w:r>
              <w:rPr>
                <w:rFonts w:ascii="Arial" w:cs="Arial" w:eastAsia="Arial" w:hAnsi="Arial"/>
                <w:sz w:val="18"/>
                <w:szCs w:val="18"/>
                <w:color w:val="auto"/>
                <w:w w:val="90"/>
              </w:rPr>
              <w:t>44.8%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14,213</w:t>
            </w: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90"/>
              </w:rPr>
              <w:t>50.9%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10,925</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0"/>
              </w:rPr>
              <w:t>48.5%</w:t>
            </w:r>
          </w:p>
        </w:tc>
        <w:tc>
          <w:tcPr>
            <w:tcW w:w="140" w:type="dxa"/>
            <w:vAlign w:val="bottom"/>
          </w:tcPr>
          <w:p>
            <w:pPr>
              <w:spacing w:after="0"/>
              <w:rPr>
                <w:sz w:val="23"/>
                <w:szCs w:val="23"/>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120" w:type="dxa"/>
            <w:vAlign w:val="bottom"/>
            <w:tcBorders>
              <w:right w:val="single" w:sz="8" w:color="CCEEFF"/>
            </w:tcBorders>
            <w:shd w:val="clear" w:color="auto" w:fill="CCEEFF"/>
          </w:tcPr>
          <w:p>
            <w:pPr>
              <w:spacing w:after="0"/>
              <w:rPr>
                <w:sz w:val="22"/>
                <w:szCs w:val="22"/>
                <w:color w:val="auto"/>
              </w:rPr>
            </w:pP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46.8%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3,923</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55.2%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13,689</w:t>
            </w: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49.1%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11,617</w:t>
            </w:r>
          </w:p>
        </w:tc>
        <w:tc>
          <w:tcPr>
            <w:tcW w:w="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51.5%</w:t>
            </w:r>
          </w:p>
        </w:tc>
        <w:tc>
          <w:tcPr>
            <w:tcW w:w="140" w:type="dxa"/>
            <w:vAlign w:val="bottom"/>
            <w:shd w:val="clear" w:color="auto" w:fill="CCEEFF"/>
          </w:tcPr>
          <w:p>
            <w:pPr>
              <w:spacing w:after="0"/>
              <w:rPr>
                <w:sz w:val="22"/>
                <w:szCs w:val="22"/>
                <w:color w:val="auto"/>
              </w:rPr>
            </w:pPr>
          </w:p>
        </w:tc>
      </w:tr>
      <w:tr>
        <w:trPr>
          <w:trHeight w:val="237"/>
        </w:trPr>
        <w:tc>
          <w:tcPr>
            <w:tcW w:w="4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and selling</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Borders>
              <w:right w:val="single" w:sz="8" w:color="CCEEFF"/>
            </w:tcBorders>
            <w:shd w:val="clear" w:color="auto" w:fill="CCEEFF"/>
          </w:tcPr>
          <w:p>
            <w:pPr>
              <w:spacing w:after="0"/>
              <w:rPr>
                <w:sz w:val="23"/>
                <w:szCs w:val="23"/>
                <w:color w:val="auto"/>
              </w:rPr>
            </w:pP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22.1%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2,151</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30.3%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5,542</w:t>
            </w: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19.9%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6,578</w:t>
            </w:r>
          </w:p>
        </w:tc>
        <w:tc>
          <w:tcPr>
            <w:tcW w:w="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29.2%</w:t>
            </w:r>
          </w:p>
        </w:tc>
        <w:tc>
          <w:tcPr>
            <w:tcW w:w="140" w:type="dxa"/>
            <w:vAlign w:val="bottom"/>
            <w:shd w:val="clear" w:color="auto" w:fill="CCEEFF"/>
          </w:tcPr>
          <w:p>
            <w:pPr>
              <w:spacing w:after="0"/>
              <w:rPr>
                <w:sz w:val="23"/>
                <w:szCs w:val="23"/>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3"/>
                <w:szCs w:val="23"/>
                <w:color w:val="auto"/>
              </w:rPr>
            </w:pP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90"/>
              </w:rPr>
              <w:t>12.2%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1,287</w:t>
            </w:r>
          </w:p>
        </w:tc>
        <w:tc>
          <w:tcPr>
            <w:tcW w:w="740" w:type="dxa"/>
            <w:vAlign w:val="bottom"/>
          </w:tcPr>
          <w:p>
            <w:pPr>
              <w:jc w:val="center"/>
              <w:ind w:left="30"/>
              <w:spacing w:after="0"/>
              <w:rPr>
                <w:sz w:val="20"/>
                <w:szCs w:val="20"/>
                <w:color w:val="auto"/>
              </w:rPr>
            </w:pPr>
            <w:r>
              <w:rPr>
                <w:rFonts w:ascii="Arial" w:cs="Arial" w:eastAsia="Arial" w:hAnsi="Arial"/>
                <w:sz w:val="18"/>
                <w:szCs w:val="18"/>
                <w:color w:val="auto"/>
                <w:w w:val="90"/>
              </w:rPr>
              <w:t>18.1%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4,288</w:t>
            </w: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90"/>
              </w:rPr>
              <w:t>15.4%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4,110</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0"/>
              </w:rPr>
              <w:t>18.2%</w:t>
            </w:r>
          </w:p>
        </w:tc>
        <w:tc>
          <w:tcPr>
            <w:tcW w:w="140" w:type="dxa"/>
            <w:vAlign w:val="bottom"/>
          </w:tcPr>
          <w:p>
            <w:pPr>
              <w:spacing w:after="0"/>
              <w:rPr>
                <w:sz w:val="23"/>
                <w:szCs w:val="23"/>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in shareholders' class action</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3"/>
                <w:szCs w:val="23"/>
                <w:color w:val="auto"/>
              </w:rPr>
            </w:pP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-12.0%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w:t>
            </w:r>
          </w:p>
        </w:tc>
        <w:tc>
          <w:tcPr>
            <w:tcW w:w="7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3"/>
              </w:rPr>
              <w:t>-4.3%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(2,609)</w:t>
            </w:r>
          </w:p>
        </w:tc>
        <w:tc>
          <w:tcPr>
            <w:tcW w:w="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-11.6%</w:t>
            </w:r>
          </w:p>
        </w:tc>
        <w:tc>
          <w:tcPr>
            <w:tcW w:w="140" w:type="dxa"/>
            <w:vAlign w:val="bottom"/>
            <w:shd w:val="clear" w:color="auto" w:fill="CCEEFF"/>
          </w:tcPr>
          <w:p>
            <w:pPr>
              <w:spacing w:after="0"/>
              <w:rPr>
                <w:sz w:val="23"/>
                <w:szCs w:val="23"/>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3"/>
                <w:szCs w:val="23"/>
                <w:color w:val="auto"/>
              </w:rPr>
            </w:pP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90"/>
              </w:rPr>
              <w:t>25.3%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1,423</w:t>
            </w:r>
          </w:p>
        </w:tc>
        <w:tc>
          <w:tcPr>
            <w:tcW w:w="740" w:type="dxa"/>
            <w:vAlign w:val="bottom"/>
          </w:tcPr>
          <w:p>
            <w:pPr>
              <w:jc w:val="center"/>
              <w:ind w:left="30"/>
              <w:spacing w:after="0"/>
              <w:rPr>
                <w:sz w:val="20"/>
                <w:szCs w:val="20"/>
                <w:color w:val="auto"/>
              </w:rPr>
            </w:pPr>
            <w:r>
              <w:rPr>
                <w:rFonts w:ascii="Arial" w:cs="Arial" w:eastAsia="Arial" w:hAnsi="Arial"/>
                <w:sz w:val="18"/>
                <w:szCs w:val="18"/>
                <w:color w:val="auto"/>
                <w:w w:val="90"/>
              </w:rPr>
              <w:t>20.0%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5,778</w:t>
            </w: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90"/>
              </w:rPr>
              <w:t>20.7%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3,810</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0"/>
              </w:rPr>
              <w:t>16.9%</w:t>
            </w:r>
          </w:p>
        </w:tc>
        <w:tc>
          <w:tcPr>
            <w:tcW w:w="140" w:type="dxa"/>
            <w:vAlign w:val="bottom"/>
          </w:tcPr>
          <w:p>
            <w:pPr>
              <w:spacing w:after="0"/>
              <w:rPr>
                <w:sz w:val="23"/>
                <w:szCs w:val="23"/>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120" w:type="dxa"/>
            <w:vAlign w:val="bottom"/>
            <w:tcBorders>
              <w:right w:val="single" w:sz="8" w:color="CCEEFF"/>
            </w:tcBorders>
            <w:shd w:val="clear" w:color="auto" w:fill="CCEEFF"/>
          </w:tcPr>
          <w:p>
            <w:pPr>
              <w:spacing w:after="0"/>
              <w:rPr>
                <w:sz w:val="22"/>
                <w:szCs w:val="22"/>
                <w:color w:val="auto"/>
              </w:rPr>
            </w:pP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59.6%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4,006</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56.4%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14,403</w:t>
            </w: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51.6%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11,889</w:t>
            </w:r>
          </w:p>
        </w:tc>
        <w:tc>
          <w:tcPr>
            <w:tcW w:w="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52.7%</w:t>
            </w:r>
          </w:p>
        </w:tc>
        <w:tc>
          <w:tcPr>
            <w:tcW w:w="140" w:type="dxa"/>
            <w:vAlign w:val="bottom"/>
            <w:shd w:val="clear" w:color="auto" w:fill="CCEEFF"/>
          </w:tcPr>
          <w:p>
            <w:pPr>
              <w:spacing w:after="0"/>
              <w:rPr>
                <w:sz w:val="22"/>
                <w:szCs w:val="22"/>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(1,106)</w:t>
            </w:r>
          </w:p>
        </w:tc>
        <w:tc>
          <w:tcPr>
            <w:tcW w:w="760" w:type="dxa"/>
            <w:vAlign w:val="bottom"/>
          </w:tcPr>
          <w:p>
            <w:pPr>
              <w:jc w:val="center"/>
              <w:ind w:left="30"/>
              <w:spacing w:after="0"/>
              <w:rPr>
                <w:sz w:val="20"/>
                <w:szCs w:val="20"/>
                <w:color w:val="auto"/>
              </w:rPr>
            </w:pPr>
            <w:r>
              <w:rPr>
                <w:rFonts w:ascii="Arial" w:cs="Arial" w:eastAsia="Arial" w:hAnsi="Arial"/>
                <w:sz w:val="18"/>
                <w:szCs w:val="18"/>
                <w:color w:val="auto"/>
                <w:w w:val="91"/>
              </w:rPr>
              <w:t>-12.7%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740" w:type="dxa"/>
            <w:vAlign w:val="bottom"/>
          </w:tcPr>
          <w:p>
            <w:pPr>
              <w:jc w:val="center"/>
              <w:ind w:left="10"/>
              <w:spacing w:after="0"/>
              <w:rPr>
                <w:sz w:val="20"/>
                <w:szCs w:val="20"/>
                <w:color w:val="auto"/>
              </w:rPr>
            </w:pPr>
            <w:r>
              <w:rPr>
                <w:rFonts w:ascii="Arial" w:cs="Arial" w:eastAsia="Arial" w:hAnsi="Arial"/>
                <w:sz w:val="18"/>
                <w:szCs w:val="18"/>
                <w:color w:val="auto"/>
                <w:w w:val="93"/>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(714)</w:t>
            </w:r>
          </w:p>
        </w:tc>
        <w:tc>
          <w:tcPr>
            <w:tcW w:w="760" w:type="dxa"/>
            <w:vAlign w:val="bottom"/>
          </w:tcPr>
          <w:p>
            <w:pPr>
              <w:jc w:val="center"/>
              <w:ind w:left="30"/>
              <w:spacing w:after="0"/>
              <w:rPr>
                <w:sz w:val="20"/>
                <w:szCs w:val="20"/>
                <w:color w:val="auto"/>
              </w:rPr>
            </w:pPr>
            <w:r>
              <w:rPr>
                <w:rFonts w:ascii="Arial" w:cs="Arial" w:eastAsia="Arial" w:hAnsi="Arial"/>
                <w:sz w:val="18"/>
                <w:szCs w:val="18"/>
                <w:color w:val="auto"/>
                <w:w w:val="93"/>
              </w:rPr>
              <w:t>-2.6%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w w:val="93"/>
              </w:rPr>
              <w:t>-1.2%</w:t>
            </w:r>
          </w:p>
        </w:tc>
        <w:tc>
          <w:tcPr>
            <w:tcW w:w="140" w:type="dxa"/>
            <w:vAlign w:val="bottom"/>
          </w:tcPr>
          <w:p>
            <w:pPr>
              <w:spacing w:after="0"/>
              <w:rPr>
                <w:sz w:val="22"/>
                <w:szCs w:val="22"/>
                <w:color w:val="auto"/>
              </w:rPr>
            </w:pPr>
          </w:p>
        </w:tc>
      </w:tr>
      <w:tr>
        <w:trPr>
          <w:trHeight w:val="27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right w:val="single" w:sz="8" w:color="CCEEFF"/>
            </w:tcBorders>
            <w:shd w:val="clear" w:color="auto" w:fill="CCEEFF"/>
          </w:tcPr>
          <w:p>
            <w:pPr>
              <w:spacing w:after="0"/>
              <w:rPr>
                <w:sz w:val="23"/>
                <w:szCs w:val="23"/>
                <w:color w:val="auto"/>
              </w:rPr>
            </w:pP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w:t>
            </w: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2.1%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0.9%</w:t>
            </w:r>
          </w:p>
        </w:tc>
        <w:tc>
          <w:tcPr>
            <w:tcW w:w="140" w:type="dxa"/>
            <w:vAlign w:val="bottom"/>
            <w:shd w:val="clear" w:color="auto" w:fill="CCEEFF"/>
          </w:tcPr>
          <w:p>
            <w:pPr>
              <w:spacing w:after="0"/>
              <w:rPr>
                <w:sz w:val="23"/>
                <w:szCs w:val="23"/>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14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c>
          <w:tcPr>
            <w:tcW w:w="760" w:type="dxa"/>
            <w:vAlign w:val="bottom"/>
          </w:tcPr>
          <w:p>
            <w:pPr>
              <w:jc w:val="center"/>
              <w:ind w:left="30"/>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40" w:type="dxa"/>
            <w:vAlign w:val="bottom"/>
          </w:tcPr>
          <w:p>
            <w:pPr>
              <w:jc w:val="center"/>
              <w:ind w:left="30"/>
              <w:spacing w:after="0"/>
              <w:rPr>
                <w:sz w:val="20"/>
                <w:szCs w:val="20"/>
                <w:color w:val="auto"/>
              </w:rPr>
            </w:pPr>
            <w:r>
              <w:rPr>
                <w:rFonts w:ascii="Arial" w:cs="Arial" w:eastAsia="Arial" w:hAnsi="Arial"/>
                <w:sz w:val="18"/>
                <w:szCs w:val="18"/>
                <w:color w:val="auto"/>
                <w:w w:val="92"/>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760" w:type="dxa"/>
            <w:vAlign w:val="bottom"/>
          </w:tcPr>
          <w:p>
            <w:pPr>
              <w:jc w:val="center"/>
              <w:ind w:left="30"/>
              <w:spacing w:after="0"/>
              <w:rPr>
                <w:sz w:val="20"/>
                <w:szCs w:val="20"/>
                <w:color w:val="auto"/>
              </w:rPr>
            </w:pPr>
            <w:r>
              <w:rPr>
                <w:rFonts w:ascii="Arial" w:cs="Arial" w:eastAsia="Arial" w:hAnsi="Arial"/>
                <w:sz w:val="18"/>
                <w:szCs w:val="18"/>
                <w:color w:val="auto"/>
                <w:w w:val="93"/>
              </w:rPr>
              <w:t>-0.4%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w w:val="93"/>
              </w:rPr>
              <w:t>-0.4%</w:t>
            </w:r>
          </w:p>
        </w:tc>
        <w:tc>
          <w:tcPr>
            <w:tcW w:w="140" w:type="dxa"/>
            <w:vAlign w:val="bottom"/>
          </w:tcPr>
          <w:p>
            <w:pPr>
              <w:spacing w:after="0"/>
              <w:rPr>
                <w:sz w:val="22"/>
                <w:szCs w:val="22"/>
                <w:color w:val="auto"/>
              </w:rPr>
            </w:pPr>
          </w:p>
        </w:tc>
      </w:tr>
      <w:tr>
        <w:trPr>
          <w:trHeight w:val="27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right w:val="single" w:sz="8" w:color="CCEEFF"/>
            </w:tcBorders>
            <w:shd w:val="clear" w:color="auto" w:fill="CCEEFF"/>
          </w:tcPr>
          <w:p>
            <w:pPr>
              <w:spacing w:after="0"/>
              <w:rPr>
                <w:sz w:val="23"/>
                <w:szCs w:val="23"/>
                <w:color w:val="auto"/>
              </w:rPr>
            </w:pP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0.1%</w:t>
            </w:r>
          </w:p>
        </w:tc>
        <w:tc>
          <w:tcPr>
            <w:tcW w:w="140" w:type="dxa"/>
            <w:vAlign w:val="bottom"/>
            <w:shd w:val="clear" w:color="auto" w:fill="CCEEFF"/>
          </w:tcPr>
          <w:p>
            <w:pPr>
              <w:spacing w:after="0"/>
              <w:rPr>
                <w:sz w:val="23"/>
                <w:szCs w:val="23"/>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760" w:type="dxa"/>
            <w:vAlign w:val="bottom"/>
          </w:tcPr>
          <w:p>
            <w:pPr>
              <w:jc w:val="center"/>
              <w:ind w:left="30"/>
              <w:spacing w:after="0"/>
              <w:rPr>
                <w:sz w:val="20"/>
                <w:szCs w:val="20"/>
                <w:color w:val="auto"/>
              </w:rPr>
            </w:pPr>
            <w:r>
              <w:rPr>
                <w:rFonts w:ascii="Arial" w:cs="Arial" w:eastAsia="Arial" w:hAnsi="Arial"/>
                <w:sz w:val="18"/>
                <w:szCs w:val="18"/>
                <w:color w:val="auto"/>
                <w:w w:val="93"/>
              </w:rPr>
              <w:t>-1.2%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740" w:type="dxa"/>
            <w:vAlign w:val="bottom"/>
          </w:tcPr>
          <w:p>
            <w:pPr>
              <w:jc w:val="center"/>
              <w:ind w:left="30"/>
              <w:spacing w:after="0"/>
              <w:rPr>
                <w:sz w:val="20"/>
                <w:szCs w:val="20"/>
                <w:color w:val="auto"/>
              </w:rPr>
            </w:pPr>
            <w:r>
              <w:rPr>
                <w:rFonts w:ascii="Arial" w:cs="Arial" w:eastAsia="Arial" w:hAnsi="Arial"/>
                <w:sz w:val="18"/>
                <w:szCs w:val="18"/>
                <w:color w:val="auto"/>
                <w:w w:val="92"/>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930</w:t>
            </w: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92"/>
              </w:rPr>
              <w:t>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00" w:type="dxa"/>
            <w:vAlign w:val="bottom"/>
          </w:tcPr>
          <w:p>
            <w:pPr>
              <w:jc w:val="center"/>
              <w:ind w:left="70"/>
              <w:spacing w:after="0"/>
              <w:rPr>
                <w:sz w:val="20"/>
                <w:szCs w:val="20"/>
                <w:color w:val="auto"/>
              </w:rPr>
            </w:pPr>
            <w:r>
              <w:rPr>
                <w:rFonts w:ascii="Arial" w:cs="Arial" w:eastAsia="Arial" w:hAnsi="Arial"/>
                <w:sz w:val="18"/>
                <w:szCs w:val="18"/>
                <w:color w:val="auto"/>
                <w:w w:val="93"/>
              </w:rPr>
              <w:t>-0.2%</w:t>
            </w:r>
          </w:p>
        </w:tc>
        <w:tc>
          <w:tcPr>
            <w:tcW w:w="140" w:type="dxa"/>
            <w:vAlign w:val="bottom"/>
          </w:tcPr>
          <w:p>
            <w:pPr>
              <w:spacing w:after="0"/>
              <w:rPr>
                <w:sz w:val="22"/>
                <w:szCs w:val="22"/>
                <w:color w:val="auto"/>
              </w:rPr>
            </w:pPr>
          </w:p>
        </w:tc>
      </w:tr>
      <w:tr>
        <w:trPr>
          <w:trHeight w:val="27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Borders>
              <w:right w:val="single" w:sz="8" w:color="CCEEFF"/>
            </w:tcBorders>
            <w:shd w:val="clear" w:color="auto" w:fill="CCEEFF"/>
          </w:tcPr>
          <w:p>
            <w:pPr>
              <w:spacing w:after="0"/>
              <w:rPr>
                <w:sz w:val="23"/>
                <w:szCs w:val="23"/>
                <w:color w:val="auto"/>
              </w:rPr>
            </w:pP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7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5.5%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1,678</w:t>
            </w:r>
          </w:p>
        </w:tc>
        <w:tc>
          <w:tcPr>
            <w:tcW w:w="7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13,807</w:t>
            </w:r>
          </w:p>
        </w:tc>
        <w:tc>
          <w:tcPr>
            <w:tcW w:w="8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0"/>
              </w:rPr>
              <w:t>61.3%</w:t>
            </w:r>
          </w:p>
        </w:tc>
        <w:tc>
          <w:tcPr>
            <w:tcW w:w="140" w:type="dxa"/>
            <w:vAlign w:val="bottom"/>
            <w:shd w:val="clear" w:color="auto" w:fill="CCEEFF"/>
          </w:tcPr>
          <w:p>
            <w:pPr>
              <w:spacing w:after="0"/>
              <w:rPr>
                <w:sz w:val="23"/>
                <w:szCs w:val="23"/>
                <w:color w:val="auto"/>
              </w:rPr>
            </w:pPr>
          </w:p>
        </w:tc>
      </w:tr>
      <w:tr>
        <w:trPr>
          <w:trHeight w:val="20"/>
        </w:trPr>
        <w:tc>
          <w:tcPr>
            <w:tcW w:w="46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466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2"/>
                <w:szCs w:val="22"/>
                <w:color w:val="auto"/>
              </w:rPr>
            </w:pP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92"/>
              </w:rPr>
              <w:t>6.2%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740" w:type="dxa"/>
            <w:vAlign w:val="bottom"/>
          </w:tcPr>
          <w:p>
            <w:pPr>
              <w:jc w:val="center"/>
              <w:ind w:left="30"/>
              <w:spacing w:after="0"/>
              <w:rPr>
                <w:sz w:val="20"/>
                <w:szCs w:val="20"/>
                <w:color w:val="auto"/>
              </w:rPr>
            </w:pPr>
            <w:r>
              <w:rPr>
                <w:rFonts w:ascii="Arial" w:cs="Arial" w:eastAsia="Arial" w:hAnsi="Arial"/>
                <w:sz w:val="18"/>
                <w:szCs w:val="18"/>
                <w:color w:val="auto"/>
                <w:w w:val="92"/>
              </w:rPr>
              <w:t>5.6%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2,608</w:t>
            </w:r>
          </w:p>
        </w:tc>
        <w:tc>
          <w:tcPr>
            <w:tcW w:w="760" w:type="dxa"/>
            <w:vAlign w:val="bottom"/>
          </w:tcPr>
          <w:p>
            <w:pPr>
              <w:jc w:val="center"/>
              <w:ind w:left="50"/>
              <w:spacing w:after="0"/>
              <w:rPr>
                <w:sz w:val="20"/>
                <w:szCs w:val="20"/>
                <w:color w:val="auto"/>
              </w:rPr>
            </w:pPr>
            <w:r>
              <w:rPr>
                <w:rFonts w:ascii="Arial" w:cs="Arial" w:eastAsia="Arial" w:hAnsi="Arial"/>
                <w:sz w:val="18"/>
                <w:szCs w:val="18"/>
                <w:color w:val="auto"/>
                <w:w w:val="92"/>
              </w:rPr>
              <w:t>9.3%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13,757</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0"/>
              </w:rPr>
              <w:t>61.0%</w:t>
            </w:r>
          </w:p>
        </w:tc>
        <w:tc>
          <w:tcPr>
            <w:tcW w:w="140" w:type="dxa"/>
            <w:vAlign w:val="bottom"/>
          </w:tcPr>
          <w:p>
            <w:pPr>
              <w:spacing w:after="0"/>
              <w:rPr>
                <w:sz w:val="22"/>
                <w:szCs w:val="22"/>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revenue increased 22.5 percent from the three months ended March 31, 2005 to the three months ended March 31, 2006 and 23.8 percent from the nine months ended March 31, 2005 to the nine months ended March 31, 2006. During the nine months ended March 31, 2006, we introduced several new products, including the Converge 560/590 and Tabletop Controller for XAP in our professional conferencing product line and the expansion of our MAX® tabletop audio conferencing products with the Max IP and MaxAttach IP. During the nine months ended March 31, 2005, we introduced several new products, including the RAV in our premium conferencing product line and the expansion of our MAX® tabletop audio conferencing product line with the MaxAttach. For the three and nine months ended March 31, 2006 our settlement in shareholders’ class action expense (benefit) decreased $855,000 and $1.4 million, respectively, from the same periods in fiscal 2005 due to a quarterly mark-to-market adjustment of the liability associated with our December 2003 settlement agreement, while research and development expense for the three and nine months ended March 31, 2006 increased primarily due to salaries and benefit-related costs, including compensation cost related to SFAS No. 123R, over the same periods in fiscal 2005. Our marketing and selling costs decreased during the nine months ended March 31, 2006 over the same periods in fiscal 2005 primarily due to the cost savings associated with the closing of our Germany sales office. Our income (loss) from continuing operations before income taxes decreased approximately $881,000 for the three months and $41,000 for the nine months ended March 31, 2006 over the same periods in fiscal 2005.</w:t>
      </w:r>
    </w:p>
    <w:p>
      <w:pPr>
        <w:spacing w:after="0" w:line="23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is a discussion of our results of operations for our three and nine months ended March 31, 2006 and 2005. All items are discussed on a consolidated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Three Months Ended March 31, 2006 (“Third Quarter of Fiscal 2006”)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Compared to Three Months Ended March 31, 2005 (“Third Quarter of Fiscal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revenues were $8.7 million for the three months ended March 31, 2006 compared to revenues of $7.1 million for the three months ended March 31, 2005. Total revenues increased $1.6 million, or 22.5 percent, in the three months ended March 31, 2006 compared to the three months ended March 31, 2005. The increase in revenue was mostly due to continued growth in premium and tabletop conferencing products sales of approximately $800,000, professional audio conferencing products sales of approximately $725,000, and sales in other product lines of approximately $200,000 partially offset by a decrease in camera product sales of approximately $125,000.</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three months ended March 31, 2006 and 2005, the net change in deferred revenue based on the net movement of inventory in the channel was a net (deferral) recognition of ($419,000) and ($714,000) in revenue, respectively.</w:t>
      </w:r>
    </w:p>
    <w:p>
      <w:pPr>
        <w:spacing w:after="0" w:line="24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indicates the number of individual unit shipments to our distributors for certain of our product lines for the three months ended March 31, 2006 and 2005. Due to our current revenue recognition policy, the figures do not tie directly to recognized revenues because revenues are recognized when the return rights lapse rather than at the time of shipment.</w:t>
      </w:r>
    </w:p>
    <w:p>
      <w:pPr>
        <w:spacing w:after="0" w:line="258"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(by individual unit)</w:t>
            </w: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conferencing</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2,889</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2,884</w:t>
            </w: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7"/>
              </w:rPr>
              <w:t>Premium and tabletop conferencing</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7,725</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3,019</w:t>
            </w:r>
          </w:p>
        </w:tc>
      </w:tr>
    </w:tbl>
    <w:p>
      <w:pPr>
        <w:spacing w:after="0" w:line="24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Total revenues from sales outside of the United States accounted for 32.4 percent of total revenue for the three months ended March 31, 2006 and 26.9 percent of total revenue for the three months ended March 31,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8"/>
          </w:tcPr>
          <w:p>
            <w:pPr>
              <w:ind w:left="120"/>
              <w:spacing w:after="0"/>
              <w:rPr>
                <w:sz w:val="20"/>
                <w:szCs w:val="20"/>
                <w:color w:val="auto"/>
              </w:rPr>
            </w:pPr>
            <w:r>
              <w:rPr>
                <w:rFonts w:ascii="Arial" w:cs="Arial" w:eastAsia="Arial" w:hAnsi="Arial"/>
                <w:sz w:val="18"/>
                <w:szCs w:val="18"/>
                <w:b w:val="1"/>
                <w:bCs w:val="1"/>
                <w:color w:val="auto"/>
              </w:rPr>
              <w:t>Three Months Ended March 31,</w:t>
            </w:r>
          </w:p>
        </w:tc>
      </w:tr>
      <w:tr>
        <w:trPr>
          <w:trHeight w:val="270"/>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Borders>
              <w:bottom w:val="single" w:sz="8" w:color="auto"/>
            </w:tcBorders>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2005</w:t>
            </w:r>
          </w:p>
        </w:tc>
      </w:tr>
      <w:tr>
        <w:trPr>
          <w:trHeight w:val="191"/>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 of</w:t>
            </w: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Revenue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Revenue</w:t>
            </w:r>
          </w:p>
        </w:tc>
      </w:tr>
      <w:tr>
        <w:trPr>
          <w:trHeight w:val="237"/>
        </w:trPr>
        <w:tc>
          <w:tcPr>
            <w:tcW w:w="2440" w:type="dxa"/>
            <w:vAlign w:val="bottom"/>
            <w:gridSpan w:val="2"/>
          </w:tcPr>
          <w:p>
            <w:pPr>
              <w:spacing w:after="0"/>
              <w:rPr>
                <w:sz w:val="20"/>
                <w:szCs w:val="20"/>
                <w:color w:val="auto"/>
              </w:rPr>
            </w:pPr>
          </w:p>
        </w:tc>
        <w:tc>
          <w:tcPr>
            <w:tcW w:w="30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4,625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44.8%</w:t>
            </w:r>
          </w:p>
        </w:tc>
      </w:tr>
      <w:tr>
        <w:trPr>
          <w:trHeight w:val="224"/>
        </w:trPr>
        <w:tc>
          <w:tcPr>
            <w:tcW w:w="20" w:type="dxa"/>
            <w:vAlign w:val="bottom"/>
          </w:tcPr>
          <w:p>
            <w:pPr>
              <w:spacing w:after="0"/>
              <w:rPr>
                <w:sz w:val="19"/>
                <w:szCs w:val="19"/>
                <w:color w:val="auto"/>
              </w:rPr>
            </w:pPr>
          </w:p>
        </w:tc>
        <w:tc>
          <w:tcPr>
            <w:tcW w:w="2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4,075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46.8%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55.2%</w:t>
            </w: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-376555</wp:posOffset>
            </wp:positionV>
            <wp:extent cx="3429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1" w:name="page32"/>
    <w:bookmarkEnd w:id="31"/>
    <w:p>
      <w:pPr>
        <w:spacing w:after="0" w:line="257" w:lineRule="auto"/>
        <w:rPr>
          <w:sz w:val="20"/>
          <w:szCs w:val="20"/>
          <w:color w:val="auto"/>
        </w:rPr>
      </w:pPr>
      <w:r>
        <w:rPr>
          <w:rFonts w:ascii="Arial" w:cs="Arial" w:eastAsia="Arial" w:hAnsi="Arial"/>
          <w:sz w:val="18"/>
          <w:szCs w:val="18"/>
          <w:color w:val="auto"/>
        </w:rPr>
        <w:t>COGS increased by $1.4 million, or 45.4 percent, to $4.6 million for the three months ended March 31, 2006 compared with $3.2 million for the three months ended March 31, 2005. The increase in COGS from the three months ended March 31, 2005 to the three months ended March 31, 2006 was primarily attributable to the mix and magnitude of the $1.6 million or 22.5 percent increase in total revenue, an incremental deferral of $312,000 less during the three months ended March 31, 2006 versus the three months ended March 31, 2005 in the deferred COGS where return rights had not lapsed, and a $135,000 increase in our write off of product inventory.</w:t>
      </w:r>
    </w:p>
    <w:p>
      <w:pPr>
        <w:spacing w:after="0" w:line="2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COGS for the three months ended March 31, 2006 and 2005, include $244,000 and $556,000 in net increases related to the deferral of product revenue from the respective deferral at December 31, 2005 and 2004 because return rights had not lapsed.</w:t>
      </w:r>
    </w:p>
    <w:p>
      <w:pPr>
        <w:spacing w:after="0" w:line="2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gross profit from continuing operations was $4.1 million, or 46.8 percent of revenue, for the three months ended March 31, 2006 compared to $3.9 million, or 55.2 percent of revenue, for the three months ended March 31, 2005. The decrease in gross profit percentage is mostly due to the increase in revenue mix from sales of premium and tabletop conferencing products which have a lower gross profit margin than our professional conferencing products and the change in deferred gross profit where return rights had not lapsed from a net reduction in gross profit of ($158,000) during the three months ended March 31, 2005 to a net reduction in gross profit of ($175,000) during the three months ended March 31, 2006. The change in gross profit was also negatively impacted by reduced prices on certain end-of-life products. During the past seven quarters, the gross profit percentage has ranged from a high of 55.8 percent in the three months ended June 30, 2005 to a low of 43.7 percent for the three months ended September 30, 2004. We believe quarterly fluctuations will continue to occur based upon actual product mix.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operating expenses were $5.2 million for the three months ended March 31, 2006, an increase of $1.2 million, or 29.3 percent, from $4.0 million for the three months ended March 31, 2005. The increase in operating expenses from the levels for the three months ended March 31, 2005 to the levels for the three months ended March 31, 2006 is primarily related to the elimination of benefit related to the settlement in the shareholders’ class action, increased research and product development expenses, and the introduction of compensation cost related to SFAS No. 123R, partially offset by decreased spending in marketing and selling expenses and general and administrative expenses. The following is a more detailed discussion of expenses related to marketing and selling, general and administrative, settlement in shareholders’ class action, and research and product development.</w:t>
      </w:r>
    </w:p>
    <w:p>
      <w:pPr>
        <w:spacing w:after="0" w:line="2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u w:val="single" w:color="auto"/>
          <w:color w:val="auto"/>
        </w:rPr>
        <w:t>Marketing and selling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and selling expenses include selling, customer service, and marketing expenses such as employee-related costs,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allocations of overhead expenses, trade shows, and other advertising and selling expenses. Total marketing and selling expenses decreased $231,000, or 10.7 percent, to $1.9 million for the three months ended March 31, 2006 compared with the three months ended March 31, 2005 expenses of $2.2 million. As a percentage of revenues, marketing and selling expenses were 22.1 percent for the three months ended March 31, 2006 and 30.3 percent for the three months ended March 31, 2005. The decrease in marketing and selling expenses from the three months ended March 31, 2005 to the three months ended March 31, 2006 was primarily attributable to a decrease in employee related expenses of $100,000, a decrease in our international sales offices of $31,000, and a decrease of approximately $125,000 of other marketing and selling expenses that were partially offset by the addition of SFAS No. 123R compensation cost of $25,000.</w:t>
      </w:r>
    </w:p>
    <w:p>
      <w:pPr>
        <w:spacing w:after="0" w:line="23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u w:val="single" w:color="auto"/>
          <w:color w:val="auto"/>
        </w:rPr>
        <w:t>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and administrative expenses (“G&amp;A”) include employee-related costs, professional service fees, allocations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overhead expenses, litigation costs, including costs associated with the SEC investigation and subsequent litigation, and corporate administrative costs, including finance and human resources. Total G&amp;A expenses decreased $227,000, or 17.6 percent, to $1.1 million for the three months ended March 31, 2006 compared with the three months ended March 31, 2005 expenses of $1.3 million. As a percentage of revenues, G&amp;A expenses were 12.2 percent for the three months ended March 31, 2006 and 18.1 percent for the three months ended March 31, 2005. A summary of our general and administrative expenses are as follows: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2" w:name="page33"/>
    <w:bookmarkEnd w:id="32"/>
    <w:p>
      <w:pPr>
        <w:jc w:val="center"/>
        <w:ind w:left="4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March 31,</w:t>
      </w:r>
    </w:p>
    <w:p>
      <w:pPr>
        <w:spacing w:after="0" w:line="45"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17145</wp:posOffset>
            </wp:positionV>
            <wp:extent cx="11493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57"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237"/>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G&amp;A before 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OM Video G&amp;A</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7"/>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24"/>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8"/>
              </w:rPr>
              <w:t>Professional fees (SEC investigation and subsequent litigation)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Professional fees (Other)</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related to SFAS No. 123R</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Other general and administrative expense</w:t>
            </w: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60" w:type="dxa"/>
            <w:vAlign w:val="bottom"/>
          </w:tcPr>
          <w:p>
            <w:pPr>
              <w:spacing w:after="0"/>
              <w:rPr>
                <w:sz w:val="23"/>
                <w:szCs w:val="23"/>
                <w:color w:val="auto"/>
              </w:rPr>
            </w:pPr>
          </w:p>
        </w:tc>
      </w:tr>
      <w:tr>
        <w:trPr>
          <w:trHeight w:val="277"/>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attribute the decrease in G&amp;A as a percentage of revenues to 12.2 percent for the three months ended March 31, 2006 from 18.1 percent for the three months ended March 31, 2005 mostly due to the decrease in SEC investigation and subsequent litigation related fees of $274,000, as well as a decrease in professional fees, including accounting and audit fees, of $102,000, and a decrease in other G&amp;A expense of $30,000 partially offset by the addition of SFAS No. 123R compensation cost of $179,000.</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u w:val="single" w:color="auto"/>
          <w:color w:val="auto"/>
        </w:rPr>
        <w:t>Settlement in shareholders’ class action expense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We attribute the decrease in benefit for settlement in shareholders’ class action expense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as a percentage of revenue to 0.0 percent for the three months ended March 31, 2006 from (12.0) percent for the three months ended March 31, 2005 to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to reflect the current liability amount associated with the 1.2 million shares was based upon the closing price of the Company’s common stock at the end of each quarter through the date the shares were issued on September 29, 2005. Accordingly, we will no longer recognize any expense (benefit) associated with these stock price fluctuations.</w:t>
      </w:r>
    </w:p>
    <w:p>
      <w:pPr>
        <w:spacing w:after="0" w:line="226"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b w:val="1"/>
          <w:bCs w:val="1"/>
          <w:u w:val="single" w:color="auto"/>
          <w:color w:val="auto"/>
        </w:rPr>
        <w:t>Research and product development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product development expenses include research and development, product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services, and test and application expenses, including employee-related costs, outside services, expensed materials, depreciation, and an allocation of overhead expenses. Total research and product development expenses increased $778,000, or 54.7 percent, to $2.2 million for the three months ended March 31, 2006 compared with the three months ended March 31, 2005 expenses of $1.4 million. As a percentage of revenues, research and product development expenses were 25.3 percent for the three months ended March 31, 2006 and 20.0 percent for the three months ended March 31, 2005. The increase in product development expenses from the three months ended March 31, 2005 to the three months ended March 31, 2006 was due to ongoing research and product development efforts and the addition of SFAS No. 123R compensation cost of $44,000.</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For the three months ended March 31, 2006, our operating loss increased $1.0 million, or 1,232.5 percent, to ($1.1 million) on</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of $8.7 million, from an operating loss of ($83,000) on revenue of $7.1 million for the three months ended March 31, 2005. As discussed above, the most significant factors affecting this increase in operating loss were a decrease in settlement in shareholders’ class action benefit of $855,000 and an increase in research and product development expenses of $778,000, partially offset by a decrease in marketing and selling expenses of $231,000, a decrease in general and administrative expenses of $227,000, and an increase in gross margin profit of $152,000.</w:t>
      </w:r>
    </w:p>
    <w:p>
      <w:pPr>
        <w:spacing w:after="0" w:line="222" w:lineRule="exact"/>
        <w:rPr>
          <w:sz w:val="20"/>
          <w:szCs w:val="20"/>
          <w:color w:val="auto"/>
        </w:rPr>
      </w:pPr>
    </w:p>
    <w:p>
      <w:pPr>
        <w:jc w:val="both"/>
        <w:ind w:right="100"/>
        <w:spacing w:after="0" w:line="281" w:lineRule="auto"/>
        <w:rPr>
          <w:sz w:val="20"/>
          <w:szCs w:val="20"/>
          <w:color w:val="auto"/>
        </w:rPr>
      </w:pPr>
      <w:r>
        <w:rPr>
          <w:rFonts w:ascii="Arial" w:cs="Arial" w:eastAsia="Arial" w:hAnsi="Arial"/>
          <w:sz w:val="17"/>
          <w:szCs w:val="17"/>
          <w:b w:val="1"/>
          <w:bCs w:val="1"/>
          <w:color w:val="auto"/>
        </w:rPr>
        <w:t xml:space="preserve">Other income (expense), net. </w:t>
      </w:r>
      <w:r>
        <w:rPr>
          <w:rFonts w:ascii="Arial" w:cs="Arial" w:eastAsia="Arial" w:hAnsi="Arial"/>
          <w:sz w:val="17"/>
          <w:szCs w:val="17"/>
          <w:color w:val="auto"/>
        </w:rPr>
        <w:t>Other income (expense), net, includes our interest income, interest expense, capital gains, gain (loss) on the disposal of assets,</w:t>
      </w:r>
      <w:r>
        <w:rPr>
          <w:rFonts w:ascii="Arial" w:cs="Arial" w:eastAsia="Arial" w:hAnsi="Arial"/>
          <w:sz w:val="17"/>
          <w:szCs w:val="17"/>
          <w:b w:val="1"/>
          <w:bCs w:val="1"/>
          <w:color w:val="auto"/>
        </w:rPr>
        <w:t xml:space="preserve"> </w:t>
      </w:r>
      <w:r>
        <w:rPr>
          <w:rFonts w:ascii="Arial" w:cs="Arial" w:eastAsia="Arial" w:hAnsi="Arial"/>
          <w:sz w:val="17"/>
          <w:szCs w:val="17"/>
          <w:color w:val="auto"/>
        </w:rPr>
        <w:t>and currency gain (loss). Other income was $237,000 for the three months ended March 31, 2006, an increase of $142,000, or 149.5 percent, from income of $95,000 for the three months ended March 31, 2005. The increase in other income for the three months ended March 31, 2006 over the same period in fiscal 2005 was primarily due to an increase in interest income associated with our marketable securities.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33" w:name="page34"/>
    <w:bookmarkEnd w:id="33"/>
    <w:p>
      <w:pPr>
        <w:spacing w:after="0" w:line="281" w:lineRule="auto"/>
        <w:rPr>
          <w:sz w:val="20"/>
          <w:szCs w:val="20"/>
          <w:color w:val="auto"/>
        </w:rPr>
      </w:pPr>
      <w:r>
        <w:rPr>
          <w:rFonts w:ascii="Arial" w:cs="Arial" w:eastAsia="Arial" w:hAnsi="Arial"/>
          <w:sz w:val="17"/>
          <w:szCs w:val="17"/>
          <w:b w:val="1"/>
          <w:bCs w:val="1"/>
          <w:color w:val="auto"/>
        </w:rPr>
        <w:t>Income (loss) from continuing operations before income taxes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(Loss) from continuing operations increased $881,000, or 7,341.7 percent to ($869,000)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three months ended March 31, 2006 compared with the three months ended March 31, 2005 income from continuing operations of $12,000. As a percentage of revenues, income (loss) from continuing operations was (10.0) percent for the three months ended March 31, 2006 and 0.2 percent for the three months ended March 31, 2005. We attribute the change in loss to the results of operations described above.</w:t>
      </w:r>
    </w:p>
    <w:p>
      <w:pPr>
        <w:spacing w:after="0" w:line="219"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Benefit (provision) for income taxes</w:t>
      </w:r>
      <w:r>
        <w:rPr>
          <w:rFonts w:ascii="Arial" w:cs="Arial" w:eastAsia="Arial" w:hAnsi="Arial"/>
          <w:sz w:val="16"/>
          <w:szCs w:val="16"/>
          <w:color w:val="auto"/>
        </w:rPr>
        <w:t>. Benefit (provision) for income taxes from continuing operations was $763,000 for the three months ended March 31,</w:t>
      </w:r>
      <w:r>
        <w:rPr>
          <w:rFonts w:ascii="Arial" w:cs="Arial" w:eastAsia="Arial" w:hAnsi="Arial"/>
          <w:sz w:val="16"/>
          <w:szCs w:val="16"/>
          <w:b w:val="1"/>
          <w:bCs w:val="1"/>
          <w:color w:val="auto"/>
        </w:rPr>
        <w:t xml:space="preserve"> </w:t>
      </w:r>
      <w:r>
        <w:rPr>
          <w:rFonts w:ascii="Arial" w:cs="Arial" w:eastAsia="Arial" w:hAnsi="Arial"/>
          <w:sz w:val="16"/>
          <w:szCs w:val="16"/>
          <w:color w:val="auto"/>
        </w:rPr>
        <w:t>2006 and ($5,000) for the three months ended March 31, 2005. The change from a provision during the three months ended March 31, 2005 to a benefit during the three months ended March 31, 2006 is mostly due to the increase in loss from continuing operations before income taxes discussed above and the income from discontinued operations during the three months ended March 31, 2006 being partially offset by our ability to decrease a portion of the valuation allowance against deferred tax assets. Given the Company’s history of consecutive years of losses from continuing operations, we followed the guidance of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recorded a valuation allowance against certain deferred tax assets where it is not considered more likely than not that the deferred tax assets will be realized. As of March 31, 2006, we have fully reserved against our net deferred tax assets.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Income from discontinued operations, net of tax. </w:t>
      </w:r>
      <w:r>
        <w:rPr>
          <w:rFonts w:ascii="Arial" w:cs="Arial" w:eastAsia="Arial" w:hAnsi="Arial"/>
          <w:sz w:val="17"/>
          <w:szCs w:val="17"/>
          <w:color w:val="auto"/>
        </w:rPr>
        <w:t>Income from discontinued operations, net of tax, includes funds from the Indemnity Escrow account from</w:t>
      </w:r>
      <w:r>
        <w:rPr>
          <w:rFonts w:ascii="Arial" w:cs="Arial" w:eastAsia="Arial" w:hAnsi="Arial"/>
          <w:sz w:val="17"/>
          <w:szCs w:val="17"/>
          <w:b w:val="1"/>
          <w:bCs w:val="1"/>
          <w:color w:val="auto"/>
        </w:rPr>
        <w:t xml:space="preserve"> </w:t>
      </w:r>
      <w:r>
        <w:rPr>
          <w:rFonts w:ascii="Arial" w:cs="Arial" w:eastAsia="Arial" w:hAnsi="Arial"/>
          <w:sz w:val="17"/>
          <w:szCs w:val="17"/>
          <w:color w:val="auto"/>
        </w:rPr>
        <w:t>Premiere related to the sale of our conferencing services business which was sold on July 1, 2004, income from discontinued operations related to our Canadian audiovisual business and the gain on the sale of our Canadian audiovisual integration business (“OM Video”) which was sold on March 4, 2005, and payment on our note receivable related to the sale to Burk. The income from discontinued operations was $646,000 for the three months ended March 31, 2006, an increase of $258,000 or 66.5 percent, from $388,000 for the three months ended March 31, 2005.</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We received funds from the Indemnity Escrow account from Premiere, net of tax, of $646,000 for the three months ended March 31, 2006.</w:t>
      </w:r>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OM Video services income, net of tax, was $132,000 for the three months ended March 31, 2005 and the gain on the sale of OM Video, net of tax, for the three months ended March 31, 2005 was $112,000. OM Video audiovisual integration services business revenue was $1.4 million for the three months ended March 31, 2005.</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received payment on our Burk note receivable, net of tax, of $144,000 for the three months ended March 31, 2005.</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March 31, 2006 (“First, Second, and Third Quarters of Fiscal 2006”)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Compared to Nine Months Ended March 31, 2005 (“First, Second, and Third Quarters of Fiscal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revenues were $27.9 million for the nine months ended March 31, 2006 compared to revenues of $22.5 million for the nine months ended March 31, 2005. Total revenues increased $5.4 million, or 23.8 percent, in the nine months ended March 31, 2006 compared to the nine months ended March 31, 2005. The increase in revenue was due to continued growth in premium and tabletop conferencing products sales of approximately $2.7 million, professional audio conferencing products sales of approximately $2.6 million, and increased net sales in other product lines of approximately $100,000.</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nine months ended March 31, 2006 and 2005, the net change in deferred revenue based on the net movement of inventory in the channel was a net (deferral) recognition of ($300,000) and $651,000 in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4" w:name="page35"/>
    <w:bookmarkEnd w:id="34"/>
    <w:p>
      <w:pPr>
        <w:ind w:right="40"/>
        <w:spacing w:after="0" w:line="264" w:lineRule="auto"/>
        <w:rPr>
          <w:sz w:val="20"/>
          <w:szCs w:val="20"/>
          <w:color w:val="auto"/>
        </w:rPr>
      </w:pPr>
      <w:r>
        <w:rPr>
          <w:rFonts w:ascii="Arial" w:cs="Arial" w:eastAsia="Arial" w:hAnsi="Arial"/>
          <w:sz w:val="18"/>
          <w:szCs w:val="18"/>
          <w:color w:val="auto"/>
        </w:rPr>
        <w:t>The following table indicates the number of individual unit shipments to our distributors for certain of our product lines for the nine months ended March 31, 2006 and 2005. Due to our current revenue recognition policy, the figures do not tie directly to recognized revenues because revenues are recognized when the return rights lapse rather than at the time of shipment.</w:t>
      </w:r>
    </w:p>
    <w:p>
      <w:pPr>
        <w:spacing w:after="0" w:line="258"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Nine Months Ended March 31,</w:t>
            </w: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(by individual unit)</w:t>
            </w: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conferencing</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9,615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7,720</w:t>
            </w: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7"/>
              </w:rPr>
              <w:t>Premium and tabletop conferencing</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18,309</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6,964</w:t>
            </w:r>
          </w:p>
        </w:tc>
      </w:tr>
    </w:tbl>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revenues from sales outside of the United States accounted for 26.4 percent of total revenue for the nine months ended March 31, 2006 and 27.1 percent of total revenue for the nine months ended March 31,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8"/>
          </w:tcPr>
          <w:p>
            <w:pPr>
              <w:jc w:val="center"/>
              <w:ind w:right="130"/>
              <w:spacing w:after="0"/>
              <w:rPr>
                <w:sz w:val="20"/>
                <w:szCs w:val="20"/>
                <w:color w:val="auto"/>
              </w:rPr>
            </w:pPr>
            <w:r>
              <w:rPr>
                <w:rFonts w:ascii="Arial" w:cs="Arial" w:eastAsia="Arial" w:hAnsi="Arial"/>
                <w:sz w:val="18"/>
                <w:szCs w:val="18"/>
                <w:b w:val="1"/>
                <w:bCs w:val="1"/>
                <w:color w:val="auto"/>
                <w:w w:val="92"/>
              </w:rPr>
              <w:t>Nine Months Ended March 31,</w:t>
            </w:r>
          </w:p>
        </w:tc>
      </w:tr>
      <w:tr>
        <w:trPr>
          <w:trHeight w:val="270"/>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88"/>
              </w:rPr>
              <w:t>(in thousands)</w:t>
            </w:r>
          </w:p>
        </w:tc>
        <w:tc>
          <w:tcPr>
            <w:tcW w:w="740" w:type="dxa"/>
            <w:vAlign w:val="bottom"/>
            <w:tcBorders>
              <w:bottom w:val="single" w:sz="8" w:color="auto"/>
            </w:tcBorders>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2005</w:t>
            </w:r>
          </w:p>
        </w:tc>
      </w:tr>
      <w:tr>
        <w:trPr>
          <w:trHeight w:val="191"/>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 of</w:t>
            </w: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Revenue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Revenue</w:t>
            </w:r>
          </w:p>
        </w:tc>
      </w:tr>
      <w:tr>
        <w:trPr>
          <w:trHeight w:val="237"/>
        </w:trPr>
        <w:tc>
          <w:tcPr>
            <w:tcW w:w="2440" w:type="dxa"/>
            <w:vAlign w:val="bottom"/>
            <w:gridSpan w:val="2"/>
          </w:tcPr>
          <w:p>
            <w:pPr>
              <w:spacing w:after="0"/>
              <w:rPr>
                <w:sz w:val="20"/>
                <w:szCs w:val="20"/>
                <w:color w:val="auto"/>
              </w:rPr>
            </w:pPr>
          </w:p>
        </w:tc>
        <w:tc>
          <w:tcPr>
            <w:tcW w:w="26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14,213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10,925</w:t>
            </w: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48.5%</w:t>
            </w:r>
          </w:p>
        </w:tc>
      </w:tr>
      <w:tr>
        <w:trPr>
          <w:trHeight w:val="224"/>
        </w:trPr>
        <w:tc>
          <w:tcPr>
            <w:tcW w:w="20" w:type="dxa"/>
            <w:vAlign w:val="bottom"/>
          </w:tcPr>
          <w:p>
            <w:pPr>
              <w:spacing w:after="0"/>
              <w:rPr>
                <w:sz w:val="19"/>
                <w:szCs w:val="19"/>
                <w:color w:val="auto"/>
              </w:rPr>
            </w:pPr>
          </w:p>
        </w:tc>
        <w:tc>
          <w:tcPr>
            <w:tcW w:w="2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90"/>
        </w:trPr>
        <w:tc>
          <w:tcPr>
            <w:tcW w:w="2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13,689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49.1%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11,617</w:t>
            </w: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51.5%</w:t>
            </w: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-376555</wp:posOffset>
            </wp:positionV>
            <wp:extent cx="3429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COGS increased by approximately $3.3 million, or 30.1 percent, to $14.2 million for the nine months ended March 31, 2006 compared with $10.9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March 31, 2005. The increase in COGS from the nine months ended March 31, 2005 to the nine months ended March 31, 2006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attributable to the mix and magnitude of the $5.4 million or 23.8 percent increase in total revenue partially offset by an incremental deferral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$206,000 more during the nine months ended March 31, 2006 versus the nine months ended March 31, 2005 in the deferred COGS where return rights had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 lapsed. We had a $193,000 decrease in our write off of product inventory.</w:t>
      </w:r>
    </w:p>
    <w:p>
      <w:pPr>
        <w:spacing w:after="0" w:line="2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COGS for the nine months ended March 31, 2006 and 2005, include $146,000 and ($60,000) in net increases (decreases) related to the deferral of product revenue from the respective deferral at June 30, 2005 and 2004 because return rights had not lapsed.</w:t>
      </w:r>
    </w:p>
    <w:p>
      <w:pPr>
        <w:spacing w:after="0" w:line="22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gross profit from continuing operations was $13.7 million, or 49.1 percent of revenue, for the nine months ended March 31, 2006 compared to $11.6 million, or 51.5 percent of revenue, for the nine months ended March 31, 2005. The increase in gross profit of $2.1 million, or 17.8 percent, is mostly due to the $5.4 million, or 23.8 percent, increase in revenue mix from sales of professional conferencing products and premium and tabletop conferencing products partially offset by the change in deferred gross profit where return rights had not lapsed. Deferred gross profit changed from a net increase in gross profit of $591,000 during the nine months ended March 31, 2005 compared to a net reduction in gross profit of ($154,000) during the nine months ended March 31, 2006. The change in gross profit was also negatively impacted by reduced prices on certain end-of-life products. During the past seven quarters, the gross profit percentage has ranged from a high of 55.8 percent in the three months ended June 30, 2005 to a low of 43.7 percent for the three months ended September 30, 2004. We believe quarterly fluctuations will continue to occur based upon actual product mix.</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operating expenses were $14.4 million for the nine months ended March 31, 2006, an increase of $2.5 million, or 21.1 percent, from $11.9 million for the nine months ended March 31, 2005. The increase in operating expenses from the levels for the nine months ended March 31, 2005 to the levels for the nine months ended March 31, 2006 is primarily related to increased research and product development expenses, the reduced benefit related to the settlement in the shareholders’ class action, and the introduction of compensation cost related the SFAS No. 123R, partially offset by decreased spending in marketing and selling. The following is a more detailed discussion of expenses related to marketing and selling, general and administrative, settlement in shareholders’ class action, and research and product development.</w:t>
      </w:r>
    </w:p>
    <w:p>
      <w:pPr>
        <w:spacing w:after="0" w:line="24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u w:val="single" w:color="auto"/>
          <w:color w:val="auto"/>
        </w:rPr>
        <w:t>Marketing and selling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selling expenses include selling, customer service, and marketing expenses such as employee-related costs,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allocations of overhead expenses, trade shows, and other advertising and selling expenses. Total marketing and selling expenses decreased $1.0 million, or</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15.7 percent, to $5.5 million for the nine months ended March 31, 2006 compared with the nine months ended March 31, 2005 expenses of $6.6 million. As a percentage of revenues, marketing and selling expenses were 19.9 percent for the nine months ended March 31, 2006 and 29.2 percent for the nine months ended March 31, 2005. The decrease in marketing and selling expenses from the nine months ended March 31, 2005 to the nine months ended March 31, 2006 was primarily attributable to a decrease in our international sales offices of approximately $575,000, a decrease in employee related expenses of approximately $275,000, and a decrease of approximately $275,000 of other marketing and selling expenses that were partially offset by the addition of SFAS No. 123R compensation cost of $75,000.</w:t>
      </w:r>
    </w:p>
    <w:p>
      <w:pPr>
        <w:spacing w:after="0" w:line="244"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including costs associated with the SEC investigation and subsequent litigation, and corporate administrative costs, including finance and human resources. Total G&amp;A expenses increased $178,000, or 4.3 percent, to $4.3 million for the nine months ended March 31, 2006 compared with the nine months ended March 31, 2005 expenses of $4.1 million. As a percentage of revenues, G&amp;A expenses were 15.4 percent for the nine months ended March 31, 2006 and 18.2 percent for the nine months ended March 31, 2005. A summary of our general and administrative expenses are as follows:</w:t>
      </w:r>
    </w:p>
    <w:p>
      <w:pPr>
        <w:spacing w:after="0" w:line="208"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March 31,</w:t>
      </w:r>
    </w:p>
    <w:p>
      <w:pPr>
        <w:spacing w:after="0" w:line="45"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17145</wp:posOffset>
            </wp:positionV>
            <wp:extent cx="11493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57"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237"/>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G&amp;A before 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4,363</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OM Video G&amp;A</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(253)</w:t>
            </w:r>
          </w:p>
        </w:tc>
      </w:tr>
      <w:tr>
        <w:trPr>
          <w:trHeight w:val="277"/>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24"/>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8"/>
              </w:rPr>
              <w:t>Professional fees (SEC investigation and subsequent litigation)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801</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Professional fees (Other)</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1,384</w:t>
            </w: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related to SFAS No. 123R</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Other general and administrative expense</w:t>
            </w: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60" w:type="dxa"/>
            <w:vAlign w:val="bottom"/>
          </w:tcPr>
          <w:p>
            <w:pPr>
              <w:spacing w:after="0"/>
              <w:rPr>
                <w:sz w:val="23"/>
                <w:szCs w:val="23"/>
                <w:color w:val="auto"/>
              </w:rPr>
            </w:pPr>
          </w:p>
        </w:tc>
      </w:tr>
      <w:tr>
        <w:trPr>
          <w:trHeight w:val="277"/>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attribute the decrease in G&amp;A as a percentage of revenues to 15.4 percent for the nine months ended March 31, 2006 from 18.2 percent for the nine months ended March 31, 2005 mostly due to the $5.4 million, or 23.8 percent, increase in revenue. The increase in actual expenses is also due to the addition of SFAS No. 123R compensation cost of $598,000 and the increase in professional fees, including accounting and audit fees, of $160,000 partially offset by a $328,000 decrease in SEC investigation and subsequent litigation related fees and a $252,000 decrease in other G&amp;A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36" w:name="page37"/>
    <w:bookmarkEnd w:id="36"/>
    <w:p>
      <w:pPr>
        <w:ind w:right="40"/>
        <w:spacing w:after="0" w:line="255" w:lineRule="auto"/>
        <w:rPr>
          <w:sz w:val="20"/>
          <w:szCs w:val="20"/>
          <w:color w:val="auto"/>
        </w:rPr>
      </w:pPr>
      <w:r>
        <w:rPr>
          <w:rFonts w:ascii="Arial" w:cs="Arial" w:eastAsia="Arial" w:hAnsi="Arial"/>
          <w:sz w:val="18"/>
          <w:szCs w:val="18"/>
          <w:b w:val="1"/>
          <w:bCs w:val="1"/>
          <w:u w:val="single" w:color="auto"/>
          <w:color w:val="auto"/>
        </w:rPr>
        <w:t>Settlement in shareholders’ class action expense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We attribute the decrease in benefit for settlement in shareholders’ class action expense as a</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 of revenue to (4.3) percent for the nine months ended March 31, 2006 from (11.6) percent for the nine months ended March 31, 2005 to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to reflect the current liability amount associated with the 1.2 million shares was based upon the closing price of the Company’s common stock at the end of each quarter through the date the shares were issued on September 29, 2005. Accordingly, we will no longer recognize any expense (benefit) associated with these stock price fluctuations.</w:t>
      </w:r>
    </w:p>
    <w:p>
      <w:pPr>
        <w:spacing w:after="0" w:line="243"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u w:val="single" w:color="auto"/>
          <w:color w:val="auto"/>
        </w:rPr>
        <w:t>Research and product development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product development expenses include research and development, product management,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services, and test and application expenses, including employee-related costs, outside services, expensed materials, depreciation, and an allocation of overhead expenses. Total research and product development expenses increased $2.0 million, or 51.7 percent, to $5.8 million for the nine months ended March 31, 2006 compared with the nine months ended March 31, 2005 expenses of $3.8 million. As a percentage of revenues, research and product development expenses were 20.7 percent for the nine months ended March 31, 2006 and 16.9 percent for the nine months ended March 31, 2005. The increase in product development expenses from the levels for the nine months ended March 31, 2005 to the levels for the nine months ended March 31, 2006 was due to ongoing research and product development efforts and the addition of SFAS No. 123R compensation cost of $131,000.</w:t>
      </w:r>
    </w:p>
    <w:p>
      <w:pPr>
        <w:spacing w:after="0" w:line="216"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For the nine months ended March 31, 2006, our operating loss increased $442,000, or 162.5 percent, to ($714,000) on revenue of</w:t>
      </w:r>
      <w:r>
        <w:rPr>
          <w:rFonts w:ascii="Arial" w:cs="Arial" w:eastAsia="Arial" w:hAnsi="Arial"/>
          <w:sz w:val="17"/>
          <w:szCs w:val="17"/>
          <w:b w:val="1"/>
          <w:bCs w:val="1"/>
          <w:color w:val="auto"/>
        </w:rPr>
        <w:t xml:space="preserve"> </w:t>
      </w:r>
      <w:r>
        <w:rPr>
          <w:rFonts w:ascii="Arial" w:cs="Arial" w:eastAsia="Arial" w:hAnsi="Arial"/>
          <w:sz w:val="17"/>
          <w:szCs w:val="17"/>
          <w:color w:val="auto"/>
        </w:rPr>
        <w:t>$27.9 million, from an operating loss of ($272,000) on revenue of $22.5 million for the nine months ended March 31, 2005. As discussed above, the factors affecting this increase in operating loss were an increase in research and product development expenses of $2.0 million, a decrease in settlement in shareholders’ class action benefit of $1.4 million, and an increase in general and administrative expenses of $178,000 partially offset by an increase in gross margin profit of $2.1 million and a decrease in marketing and selling expenses of $1.0 million.</w:t>
      </w:r>
    </w:p>
    <w:p>
      <w:pPr>
        <w:spacing w:after="0" w:line="22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includes our interest income, interest expense, capital gains, gain (loss) on the disposal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currency gain (loss). Other income was $594,000 for the nine months ended March 31, 2006, an increase of $401,000, or 207.8 percent, from income of $193,000 for the nine months ended March 31, 2005. The increase in other income for the nine months ended March 31, 2006 over the same period in fiscal 2005 was primarily due to an increase in interest income associated with our marketable securities and a decrease in interest expense related to our Oracle system-related note payable.</w:t>
      </w:r>
    </w:p>
    <w:p>
      <w:pPr>
        <w:spacing w:after="0" w:line="238"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Income (loss) from continuing operations before income taxes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(Loss) from continuing operations increased $41,000, or 51.9 percent to ($120,000)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nine months ended March 31, 2006 compared with the nine months ended March 31, 2005 (loss) from continuing operations of ($79,000). As a percentage of revenues, income (loss) from continuing operations was (0.4) percent for the nine months ended March 31, 2006 and for the nine months ended March 31, 2005. We attribute the change in income to the results of operations described above.</w:t>
      </w:r>
    </w:p>
    <w:p>
      <w:pPr>
        <w:spacing w:after="0" w:line="219"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Benefit for income taxes</w:t>
      </w:r>
      <w:r>
        <w:rPr>
          <w:rFonts w:ascii="Arial" w:cs="Arial" w:eastAsia="Arial" w:hAnsi="Arial"/>
          <w:sz w:val="17"/>
          <w:szCs w:val="17"/>
          <w:color w:val="auto"/>
        </w:rPr>
        <w:t>. Benefit for income taxes from continuing operations was $1.1 million for the nine months ended March 31, 2006 and $29,000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nine months ended March 31, 2005. The increase in the benefit is mostly due to the income from discontinued operations during the nine months ended March 31, 2006 being partially offset by our ability to decrease a portion of the valuation allowance against deferred tax assets. Given the Company’s history of consecutive years of losses from continuing operations, we followed the guidance of SFAS No.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and recorded a valuation allowance against certain deferred tax assets where it is not considered more likely than not that the deferred tax assets will be realized. As of March 31, 2006, we have fully reserved against our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spacing w:after="0" w:line="256" w:lineRule="auto"/>
        <w:rPr>
          <w:sz w:val="20"/>
          <w:szCs w:val="20"/>
          <w:color w:val="auto"/>
        </w:rPr>
      </w:pPr>
      <w:r>
        <w:rPr>
          <w:rFonts w:ascii="Arial" w:cs="Arial" w:eastAsia="Arial" w:hAnsi="Arial"/>
          <w:sz w:val="18"/>
          <w:szCs w:val="18"/>
          <w:b w:val="1"/>
          <w:bCs w:val="1"/>
          <w:color w:val="auto"/>
        </w:rPr>
        <w:t xml:space="preserve">Income from discontinued operations, net of tax. </w:t>
      </w:r>
      <w:r>
        <w:rPr>
          <w:rFonts w:ascii="Arial" w:cs="Arial" w:eastAsia="Arial" w:hAnsi="Arial"/>
          <w:sz w:val="18"/>
          <w:szCs w:val="18"/>
          <w:color w:val="auto"/>
        </w:rPr>
        <w:t>Income from discontinued operations, net of tax, includes the gain on the sale of our conferencing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business and the funds from the Indemnity Escrow account from Premiere related to the sale of our conferencing services business which was sold on July 1, 2004; income from discontinued operations related to our Canadian audiovisual integration business (“OM Video”); the gain on the March 4, 2005 sale of OM Video; payments on our note receivable related to the sale of OM Video; and payments on our note receivable related to the sale to Burk. The total income from discontinued operations was $1.7 million for the nine months ended March 31, 2006, a decrease of $12.1 million or 87.8 percent, from $13.8 million for the nine months ended March 31, 2005.</w:t>
      </w:r>
    </w:p>
    <w:p>
      <w:pPr>
        <w:spacing w:after="0" w:line="2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received funds from the Indemnity Escrow account from Premiere, net of tax, of $646,000 for the nine months ended March 31, 2006. We realized a gain, net of tax, on the sale of $13.4 million for the nine months ended March 31, 2005.</w:t>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received payments on our OM Video note receivable, net of tax, of $188,000 for the nine months ended March 31, 2006 while OM Video services income, net of tax, was $173,000 for the nine months ended March 31, 2005 and a gain on the sale of OM Video, net of tax, was $112,000 for the same period in fiscal 2005. OM Video audiovisual integration services business revenue was $3.8 million for the nine months ended March 31, 2005.</w:t>
      </w:r>
    </w:p>
    <w:p>
      <w:pPr>
        <w:spacing w:after="0" w:line="22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On August 22, 2005 we entered into a Mutual Release and Waiver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We realized a gain, net of tax, of $844,000 for the nine months ended March 31, 2006. We received payment on our Burk note receivable, net of tax, of $144,000 for the nine months ended March 31, 2005.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MANUFACTURING AGREEMENT</w:t>
      </w:r>
    </w:p>
    <w:p>
      <w:pPr>
        <w:spacing w:after="0" w:line="28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August 1, 2005, we entered into a Manufacturing Agreement with a third-party manufacturer (“TPM”), pursuant to which we agreed to outsource our Salt Lake City manufacturing operations. The parties also entered into a one-year sublease for approximately 12,000 square feet of manufacturing space located in our headquarters in Salt Lake City, Utah. TPM paid $11,000 per month under the sublease through May 31, 2006, when the sublease was terminated. Costs associated with outsourcing our manufacturing totaled approximately $290,000 including severance payments, facilities we no longer use, and impairment of property and equipment. We recorded the change related to these costs in the fiscal 2005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9"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 xml:space="preserve">Sale of OM Video. </w:t>
      </w:r>
      <w:r>
        <w:rPr>
          <w:rFonts w:ascii="Arial" w:cs="Arial" w:eastAsia="Arial" w:hAnsi="Arial"/>
          <w:sz w:val="18"/>
          <w:szCs w:val="18"/>
          <w:color w:val="auto"/>
        </w:rPr>
        <w:t>Through December 31, 2005, all payments due under the note receivable through such date had been received and $854,000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promissory note remained outstanding; however, OM Purchaser has failed to make any subsequent, required payments under the note receivable and is in default thereunder. We are currently considering our collection options.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March 31, 2006, our cash and cash equivalents were approximately $1.6 million and our marketable securities were approximately $18.9 million, which represented an overall increase of $2.8 million in our balances from June 30, 2005 which were cash and cash equivalents of approximately $1.9 million and our marketable securities of approximately $15.8 million.</w:t>
      </w:r>
    </w:p>
    <w:p>
      <w:pPr>
        <w:spacing w:after="0" w:line="23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Net cash flows provided by operating activities were $1.3 million for the nine months ended March 31, 2006, an increase of $1.9 million, from the net cash flows (used in) operating activities of ($588,000) for the nine months ended March 31, 2005. The year-over-year increase was attributable to a decrease of $1.6 million in cash used changes in working capital and an increase in income from continuing operations of $980,000 partially offset by a decrease of $551,000 in cash provided by in non-cash expenses and a $168,000 decrease in cash provided by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Net cash flows (used in) provided by investing activities were ($1.5 million) for the nine months ended March 31, 2006, a decrease of $2.4 million, from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cash flows provided by investing activities of $886,000 for the nine months ended March 31, 2005. The change was primarily attributable to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discontinued operations of $12.4 million partially offset by a decrease in the net (purchase) of marketable securities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$9.2 million, a decrease in the purchase of property and equipment of $696,000, and an increase in the proceeds from the sale of property and equipment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$74,000. On August 22, 2005 we entered into a Mutual Release and Waiver with Burk pursuant to which Burk paid us $844,000, net of tax, in full satisfaction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promissory note, which is included in net cash provided by discontinued investing activities. In January 2006, we received the $646,000, net of tax,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Indemnity Escrow account from Premiere.</w:t>
      </w:r>
    </w:p>
    <w:p>
      <w:pPr>
        <w:spacing w:after="0" w:line="26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did not have any net cash flows used in financing activities for the nine months ended March 31, 2006, a decrease of $940,000, from the net cash flows (used in) financing activities of ($940,000) for the nine months ended March 31, 2005. This increase was attributable to a $940,000 decrease in cash used in payments on note payable and capital lease obligations.</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no off-balance-sheet financing arrangements with related parties and no unconsolidated subsidiaries. Contractual obligations related to our operating leases at March 31, 2006 are summarized below (in thousands):</w:t>
      </w:r>
    </w:p>
    <w:p>
      <w:pPr>
        <w:spacing w:after="0" w:line="27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360"/>
              <w:spacing w:after="0"/>
              <w:rPr>
                <w:sz w:val="20"/>
                <w:szCs w:val="20"/>
                <w:color w:val="auto"/>
              </w:rPr>
            </w:pPr>
            <w:r>
              <w:rPr>
                <w:rFonts w:ascii="Arial" w:cs="Arial" w:eastAsia="Arial" w:hAnsi="Arial"/>
                <w:sz w:val="18"/>
                <w:szCs w:val="18"/>
                <w:color w:val="auto"/>
              </w:rPr>
              <w:t>Payments Due by Period</w:t>
            </w: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88"/>
              </w:rPr>
              <w:t>Remainder</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color w:val="auto"/>
                <w:w w:val="92"/>
              </w:rPr>
              <w:t>of Fiscal</w:t>
            </w:r>
          </w:p>
        </w:tc>
        <w:tc>
          <w:tcPr>
            <w:tcW w:w="920" w:type="dxa"/>
            <w:vAlign w:val="bottom"/>
            <w:gridSpan w:val="2"/>
          </w:tcPr>
          <w:p>
            <w:pPr>
              <w:spacing w:after="0"/>
              <w:rPr>
                <w:sz w:val="20"/>
                <w:szCs w:val="20"/>
                <w:color w:val="auto"/>
              </w:rPr>
            </w:pPr>
            <w:r>
              <w:rPr>
                <w:rFonts w:ascii="Arial" w:cs="Arial" w:eastAsia="Arial" w:hAnsi="Arial"/>
                <w:sz w:val="18"/>
                <w:szCs w:val="18"/>
                <w:color w:val="auto"/>
                <w:w w:val="95"/>
              </w:rPr>
              <w:t>Fiscal 2007</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w w:val="97"/>
              </w:rPr>
              <w:t>Fiscal 2009</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Contractual Obligations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2006</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and 2008</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5"/>
              </w:rPr>
              <w:t>and 2010</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3"/>
              </w:rPr>
              <w:t>Thereafter</w:t>
            </w:r>
          </w:p>
        </w:tc>
        <w:tc>
          <w:tcPr>
            <w:tcW w:w="8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7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2</w:t>
            </w: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36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63"/>
        </w:trPr>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Contractual Cash Obligations</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2</w:t>
            </w:r>
          </w:p>
        </w:tc>
        <w:tc>
          <w:tcPr>
            <w:tcW w:w="440" w:type="dxa"/>
            <w:vAlign w:val="bottom"/>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March 31, 2006, we had open purchase orders related to our contract manufacturers and other contractual obligations of approximately $5.2 million primarily related to inventory purchases.</w:t>
      </w:r>
    </w:p>
    <w:p>
      <w:pPr>
        <w:spacing w:after="0" w:line="2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have non-cancellable, non-returnable, and long-lead time commitments with our outsourced manufacturers and certain suppliers for inventory components that will be used in production. Our exposure associated with these commitments is approximately $1.6 million, with the fiscal 2006 exposure being approximately $1.0 million and the fiscal 2007 and 2008 exposure being approximately $600,000. We also have certain commitments with our outsourced manufacturers for raw material inventory that is used in production on an on-going basis. Our exposure associated with this inventory is approximately $1.5 million.</w:t>
      </w:r>
    </w:p>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Through December 31, 2005, all payments due under the note receivable from the sale of OM Video through such date had been received and $854,000 of the promissory note remained outstanding; however, OM Purchaser has failed to make any subsequent, required payments under the note receivable and is in default thereunder. We are currently considering our collection options.</w:t>
      </w:r>
    </w:p>
    <w:p>
      <w:pPr>
        <w:spacing w:after="0" w:line="2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31, 2006, we had a net income tax receivable of $3.7 million. The receivable was generated from net operating loss carrybacks related to tax returns for the fiscal year ended June 30, 2004 of $3.1 million and an overpayment of income taxes of approximately $500,000 for the fiscal year ended June 30, 2005. Additionally, we recorded in continuing and discontinued operations a combined tax benefit of $52,000 during the nine months ended March 31, 2006.</w:t>
      </w:r>
    </w:p>
    <w:p>
      <w:pPr>
        <w:spacing w:after="0" w:line="2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Beginning in January 2003 and continuing through the date of this report, we have incurred significant costs with respect to the defense and settlement of legal proceedings and the audits of our consolidated financial statements. The restatement of fiscal 2002 and fiscal 2001 consolidated financial statements and the fiscal 2004 and fiscal 2003 audits were significantly more time consuming and expensive than originally anticipated. The extended time commitment required to complete the restatement of financial information continues to be costly and to divert our resources, as well as to have a material effect on our results of operations. We paid $127,000 in fiscal 2006, $2.5 million in fiscal 2005, and $2.5 million in fiscal 2004 in cash to settle the shareholders’ class action lawsuit. We have incurred legal fees in the amount of approximately $1.9 million from January 2003 through May 2006 and we have incurred audit and tax fees in the amount of approximately $3.6 million from January 2004 through May 2006. We expect that in fiscal 2007 these costs will be substantially less.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9" w:name="page40"/>
    <w:bookmarkEnd w:id="39"/>
    <w:p>
      <w:pPr>
        <w:ind w:right="100"/>
        <w:spacing w:after="0" w:line="259" w:lineRule="auto"/>
        <w:rPr>
          <w:sz w:val="20"/>
          <w:szCs w:val="20"/>
          <w:color w:val="auto"/>
        </w:rPr>
      </w:pPr>
      <w:r>
        <w:rPr>
          <w:rFonts w:ascii="Arial" w:cs="Arial" w:eastAsia="Arial" w:hAnsi="Arial"/>
          <w:sz w:val="18"/>
          <w:szCs w:val="18"/>
          <w:color w:val="auto"/>
        </w:rPr>
        <w:t>During fiscal 2006, we increased our research and development spending for new product development, including the hiring of new engineering and support staff, as well as increased spending on software, hardware, prototype development, and testing. We have also invested in the introduction of new products, including the Converge 560/590, the MaxAttach IP and Max IP, the Tabletop Controller for XAP Platform, as well as the Chat 50, Converge Pro, and Chat 150.</w:t>
      </w: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not exercised our five-year renewal option on our existing Company headquarters. We have entered into a letter of intent on a new corporate headquarters facility that we believe will better meet our current and future requirements. The proposed lease term is seven years, with a five-year exit clause, and a minimum of 36,000 square feet. The lease is anticipated to commence on November 1, 2006.</w:t>
      </w:r>
    </w:p>
    <w:p>
      <w:pPr>
        <w:spacing w:after="0" w:line="23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Our principal source of funding for these and other expenses has been cash generated from operations and from the sale of discontinued operations. We believe that our working capital and cash flows from operating activities will be sufficient to satisfy our operating and capital expenditure requirements through fiscal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Asset Retirement Obligations in the European Union</w:t>
      </w:r>
    </w:p>
    <w:p>
      <w:pPr>
        <w:spacing w:after="0" w:line="2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2005, the FASB issued a FSP interpreting SFAS No. 143, “Accounting for Asset Retirement Obligations,” specifically FSP 143-1, “Accounting for Electronic Equipment Waste Obligations.” FSP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143-1 was effective beginning with our fiscal 2006 financial statements. We do not believe that the adoption of FSP 143-1 had a material effect on our business, results of operations, financial position, or liquidity.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Costs</w:t>
      </w:r>
    </w:p>
    <w:p>
      <w:pPr>
        <w:spacing w:after="0" w:line="28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was effective for our fiscal 2006 financial statements. There was not a significant impact on our business, results of operations, financial position, or liquidity from the adoption of this standard.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 and Error Corrections</w:t>
      </w:r>
    </w:p>
    <w:p>
      <w:pPr>
        <w:spacing w:after="0" w:line="2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We do not believe that the adoption of SFAS No. 154 will have a material effect on our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38"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Other-Than-Temporary Impairment</w:t>
      </w:r>
    </w:p>
    <w:p>
      <w:pPr>
        <w:spacing w:after="0" w:line="28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March 2004, the FASB issued EITF Issue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No.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We do not expect that the adoption of this EITF, when the delay is suspended, will have a material impact on our business, results of operations, financial position, or liquidity.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market risk has not changed materially since June 30, 2005.</w:t>
      </w:r>
    </w:p>
    <w:p>
      <w:pPr>
        <w:spacing w:after="0" w:line="31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Interim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3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required by Rule 13a-15 under the Exchange Act, we have completed an evaluation, under the supervision and with the participation of our management, including the Chief Executive Officer and the Interim Chief Financial Officer, of the effectiveness and the design and operation of our disclosure controls and procedures as of March 31, 2006. Based upon this evaluation and as a result of the material weakness discussed below, our management, including the Chief Executive Officer and the Interim Chief Financial Officer, has concluded that our disclosure controls and procedures were not effective as of March 31, 2006. Management nevertheless has concluded that the condensed consolidated financial statements included in this Form 10-Q present fairly, in all material respects, our results of operations and financial position for the periods presented in conformity with generally accepted accounting principles.</w:t>
      </w:r>
    </w:p>
    <w:p>
      <w:pPr>
        <w:spacing w:after="0" w:line="21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material weakness is a control deficiency, or combination of control deficiencies, that result in more than a remote likelihood that a material misstatement of the annual or interim financial statements will not be prevented or detected in a timely basis by management or employees in the normal course of performing their assigned functions. As of March 31, 2006, we identified the following material weakness in our internal controls:</w:t>
      </w:r>
    </w:p>
    <w:p>
      <w:pPr>
        <w:spacing w:after="0" w:line="220" w:lineRule="exact"/>
        <w:rPr>
          <w:sz w:val="20"/>
          <w:szCs w:val="20"/>
          <w:color w:val="auto"/>
        </w:rPr>
      </w:pPr>
    </w:p>
    <w:p>
      <w:pPr>
        <w:jc w:val="both"/>
        <w:ind w:left="660" w:hanging="139"/>
        <w:spacing w:after="0" w:line="30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Ineffective financial statement close process</w:t>
      </w:r>
      <w:r>
        <w:rPr>
          <w:rFonts w:ascii="Arial" w:cs="Arial" w:eastAsia="Arial" w:hAnsi="Arial"/>
          <w:sz w:val="16"/>
          <w:szCs w:val="16"/>
          <w:color w:val="auto"/>
        </w:rPr>
        <w:t>. We have a material weakness in the timeliness and adequacy of the monthly close process to effect a</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accurate financial statement close with the necessary level of review and supervision. Accounting personnel have not been able to focus full attention to correcting this weakness due to their focus on the preparation, audit, and issuance for the restated fiscal 2001, restated fiscal 2002, and fiscal 2003, 2004, and 2005 consolidated financial statements as well as the interim fiscal 2006 condensed consolidated financial statements.</w:t>
      </w:r>
    </w:p>
    <w:p>
      <w:pPr>
        <w:spacing w:after="0" w:line="20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There were no changes to any reported financial results that have been released by us in this or any other filings as a result of the above-described material weakness; however, the following actions have been commenced since June 30, 2005 in response to the inadequacies noted above: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 w:name="page42"/>
    <w:bookmarkEnd w:id="41"/>
    <w:p>
      <w:pPr>
        <w:ind w:left="820" w:right="20" w:hanging="136"/>
        <w:spacing w:after="0" w:line="274"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Initiation of an evaluation and remediation process with respect to internal controls over financial reporting and related processes designed to identify internal controls that mitigate financial reporting risk and identify control gaps that may require further remediation.</w:t>
      </w:r>
    </w:p>
    <w:p>
      <w:pPr>
        <w:ind w:left="820" w:hanging="136"/>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Evaluation of the staffing, organizational structure, systems, policies and procedures, and other reporting processes, to improve the timeliness of closing the Company’s accounting records and to enhance the level of review and supervision.</w:t>
      </w:r>
    </w:p>
    <w:p>
      <w:pPr>
        <w:ind w:left="820" w:hanging="136"/>
        <w:spacing w:after="0" w:line="250"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Re-evaluation of prior policies and procedures and the establishment of new policies and procedures for such matters as non-routine and complex transactions, account reconciliation procedures, and contract management procedures.</w:t>
      </w:r>
    </w:p>
    <w:p>
      <w:pPr>
        <w:ind w:left="820" w:hanging="13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of additional accounting personnel with experience in accounting matters and financial reporting.</w:t>
      </w:r>
    </w:p>
    <w:p>
      <w:pPr>
        <w:spacing w:after="0" w:line="9" w:lineRule="exact"/>
        <w:rPr>
          <w:rFonts w:ascii="Arial" w:cs="Arial" w:eastAsia="Arial" w:hAnsi="Arial"/>
          <w:sz w:val="18"/>
          <w:szCs w:val="18"/>
          <w:color w:val="auto"/>
        </w:rPr>
      </w:pPr>
    </w:p>
    <w:p>
      <w:pPr>
        <w:ind w:left="820" w:hanging="13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On-going training and monitoring by management to ensure operation of controls as designed.</w:t>
      </w:r>
    </w:p>
    <w:p>
      <w:pPr>
        <w:spacing w:after="0" w:line="26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have committed considerable resources to date to the reviews and remedies described above, although certain of such items are on-going as of this filing date, and it will take time to realize all of the benefits. Additional efforts will be required to remediate the material weakness in our controls. We believe that the steps taken to date, along with certain other remediation plans we are currently undertaking, including those described above, will address the material weakness that affects our internal controls over financial reporting for the fiscal year ending June 30, 2006. We will continue our on-going evaluation and expect to improve our internal controls as necessary to assure their effectiveness.</w:t>
      </w:r>
    </w:p>
    <w:p>
      <w:pPr>
        <w:spacing w:after="0" w:line="22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Other than as described above, since the evaluation date, there has been no change in our internal controls over financial reporting (as defined in Rules 13a-15 and 15d-15 under the Exchange Act)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In addition to the legal proceedings described below, we are also involved from time to time in various claims and other legal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arise in the normal course of business. Such matters are subject to many uncertainties and outcomes that are not predictable. However, based on the information available to us as of June 15, 2006 and after discussions with legal counsel, we do not believe any such other proceedings will have a material, adverse effect on our business, results of operations, financial position, or liquidity, except as described below.</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Shareholders’ Class Action</w:t>
      </w:r>
      <w:r>
        <w:rPr>
          <w:rFonts w:ascii="Arial" w:cs="Arial" w:eastAsia="Arial" w:hAnsi="Arial"/>
          <w:sz w:val="16"/>
          <w:szCs w:val="16"/>
          <w:color w:val="auto"/>
        </w:rPr>
        <w:t>. On June 30, 2003, a consolidated complaint was filed against the Company, eight present or former officers and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an SEC complaint described in the Company’s Annual Report on Form 10-K for the year ended June 30, 2005. On December 4, 2003, the Company, on behalf of itself and all other defendants with the exception of Ernst &amp; Young, entered into a settlement agreement with the class pursuant to which the Company agreed to pay the class $5.0 million and to issue the class 1.2 million shares of its common stock. The cash payment was made in two equal installments, the first on November 10, 2003 (fiscal 2004) and the second on January 14, 2005 (fiscal 2005). On May 23, 2005, the court order was amended to require the Company to pay cash in lieu of stock to those members of the class who would otherwise have been entitled to receive fewer than 100 shares of stock. On September 29, 2005 (fiscal 2006), we completed our obligations under the settlement agreement by issuing a total of 1,148,494 shares of our common stock to the plaintiff class, including 228,000 shares previously issued in November 2004 (fiscal 2005), and we paid an aggregate of $127,000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 The 920,494 shares that were issued on September 29, 2005 were also valued at $2.46 per share.</w:t>
      </w:r>
    </w:p>
    <w:p>
      <w:pPr>
        <w:spacing w:after="0" w:line="22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a quarterly basis, we revalued the un-issued shares to the closing price of the stock on the later of the date the shares were mailed or the last day of the quarter. During the nine months ended March 31, 2006 and 2005, we received a benefit of $1.2 million and $2.6 million, respectively, related to the revaluation of the 1.2 million shares of the Company’s common stock that were issued in November 2004 and September 2005. During the three months ended March 31, 2005, the Company received a benefit of $855,000.</w:t>
      </w:r>
    </w:p>
    <w:p>
      <w:pPr>
        <w:spacing w:after="0" w:line="24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i w:val="1"/>
          <w:iCs w:val="1"/>
          <w:color w:val="auto"/>
        </w:rPr>
        <w:t>The Shareholder Derivative Actions</w:t>
      </w:r>
      <w:r>
        <w:rPr>
          <w:rFonts w:ascii="Arial" w:cs="Arial" w:eastAsia="Arial" w:hAnsi="Arial"/>
          <w:sz w:val="16"/>
          <w:szCs w:val="16"/>
          <w:color w:val="auto"/>
        </w:rPr>
        <w:t>. Between March and August 2003, four shareholder derivative actions were filed by certain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various present and past officers and directors of the Company and against Ernst &amp; Young. The complaints asserted allegations similar to those asserted in an SEC complaint described in the Company’s Annual Report on Form 10-K for the year ended June 30, 2005 and the shareholders’ class action described above and also alleged that the defendant directors and officers violated their fiduciary duties to the Company by causing or allowing the Company to recognize revenue in violation of GAAP and to issue materially misstated financial statements and that Ernst &amp; 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our Board of Directors appointed a special litigation committee of independent directors to evaluate the claims made by these shareholders. That committee determined that the maintenance of the derivative proceedings against the individual defendants was not in the best interest of the Company. Accordingly, on December 12, 2003, we moved to dismiss those claims. In March 2004, our motions to dismiss those claims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ClearOne,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our present and former directors and officers in connection with an SEC complaint described in our Annual Report on Form 10-K for the year ended June 30, 2005, and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relief action, the insurers assert that they are entitled to rescind insurance coverage under the Company’s directors and officers liability insurance policies, $3.0 million of which was provided by National Union and $2.0 million of which was provided by Lumbermens Mutual, based on alleged misstatements in the Company’s insurance applications. In February 2005, we entered into a confidential settlement agreement with Lumbermens Mutual pursuant to which ClearOne and Mr. Bagley received a lump-sum cash amount and the plaintiffs agreed to dismiss their claims against Lumbermens Mutual with prejudice. The cash settlement is held in a segregated account that has not been recorded in the financial statements and will not be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we will ultimately receive, we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$59,000 in expenses. However, due to the Lumbermans Mutual cash proceeds discussed above and the appeal of the summary judgment discussed below, this potential liability has not been recorded in the balance sheet as of March 31, 2006. On February 2, 2006, the Company and Mr. Bagley filed an appeal of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we are paying all litigation expenses except litigation expenses which are solely related to Mr. Bagley’s claims in the litigation.</w:t>
      </w:r>
    </w:p>
    <w:p>
      <w:pPr>
        <w:spacing w:after="0" w:line="23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Wells Submission. </w:t>
      </w:r>
      <w:r>
        <w:rPr>
          <w:rFonts w:ascii="Arial" w:cs="Arial" w:eastAsia="Arial" w:hAnsi="Arial"/>
          <w:sz w:val="16"/>
          <w:szCs w:val="16"/>
          <w:color w:val="auto"/>
        </w:rPr>
        <w:t>We have been advised by the staff of the Salt Lake District Office of the SEC that the staff intended to recommend to the Commission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proceedings be instituted to revoke the registration of the Company’s common stock based on the Company’s failure to timely file annual and quarterly reports with the Commission. We provided the staff with a so-called “Wells Submission” setting forth our position with respect to the staff’s intended recommendation. To date, the Commission has not instituted an administrative proceeding against us; however, there can be no assurance that the Commission will not institute an administrative proceeding in the future or that we would prevail if an administrative proceeding were instituted.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Quarterly Report on Form 10-Q, including our March 31, 2006 unaudited condensed consolidated financial statements and related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We face intense competition in all of the markets for our products and services; our operating results will be adversely affected if we cannot compete effectively against other companies.</w:t>
      </w:r>
    </w:p>
    <w:p>
      <w:pPr>
        <w:spacing w:after="0" w:line="2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described in more detail in the section entitled “Competition,” in our Annual Report on Form 10-K for the year ended June 30, 2005, the markets for our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profits, and market share, each of which could have a materially adverse effect on our business.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gross profit.</w:t>
      </w: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Orders from our distributors and other distribution participants are based on demand from end-users. Prospective end-user demand is seasonal 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4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European Parliament has published a directive on the Restriction on Use of Hazardous Substances Directive (the “RoHS Directive”), which restricts the use of certain hazardous substances in electrical and electronic equipment beginning July 1, 2006. In order to comply with this directive, it has become necessary to re-design the majority of our product line and switch over to components that do not contain the restricted substances, such as lead, mercury, and cadmium. This process involves procurement of the new compliant components, engineering effort to integrate and test them, and re-submitting the products for emissions, safety, and telephone line interface compliance testing and approval. This effort has consumed resources and time that would otherwise have been spent on new product development, which will continue until the product line has been updated.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45" w:name="page46"/>
    <w:bookmarkEnd w:id="45"/>
    <w:p>
      <w:pPr>
        <w:ind w:right="80"/>
        <w:spacing w:after="0" w:line="272" w:lineRule="auto"/>
        <w:rPr>
          <w:sz w:val="20"/>
          <w:szCs w:val="20"/>
          <w:color w:val="auto"/>
        </w:rPr>
      </w:pPr>
      <w:r>
        <w:rPr>
          <w:rFonts w:ascii="Arial" w:cs="Arial" w:eastAsia="Arial" w:hAnsi="Arial"/>
          <w:sz w:val="17"/>
          <w:szCs w:val="17"/>
          <w:color w:val="auto"/>
        </w:rPr>
        <w:t>To date, certain of our products have not been re-designed and are therefore not-compliant with these laws and regulations. Accordingly, sales into the European market beginning July 1, 2006 may be negatively impacted and our results of operations could suffer. We anticipate that most of these product re-designs and launches will be completed during the first half of fiscal 2007. Additionally, certain of our products will not be re-designed. Our outsourced manufacturers may hold us responsible for the cost of purchased components that become obsolete as a result of these re-design efforts. To the extent that we cannot manage these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w:t>
      </w:r>
    </w:p>
    <w:p>
      <w:pPr>
        <w:spacing w:after="0" w:line="23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European Parliament has also published a directive on Electronic and Electrical Waste Management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Many of the products we develop contain sophisticated and complicated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6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Once new products reach the market, they may have defects, which could adversely affect market acceptance of these products and our reputation. If we are not able to manage and minimize such potential difficulties, our business and results of operations could be negatively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sale of our camera business.</w:t>
      </w:r>
    </w:p>
    <w:p>
      <w:pPr>
        <w:spacing w:after="0" w:line="2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2006, we entered into a letter of intent with a potential purchaser of our document and educational camera manufacturing and sales business. We are currently in the due diligence phase and there is no guarantee that an actual sale will be completed. We are actively managing our customer relationships and our camera inventory to meet the needs of our camera customers. If our estimates of future sales and required inventory are not accurate and we experience an unforeseen drop in sales or excess inventory, our revenues and gross profit may be adversely affected. If the proposed sale occurs, future revenues will be negatively affected.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gross profit.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6" w:name="page47"/>
    <w:bookmarkEnd w:id="46"/>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gross profit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2005, we entered into a manufacturing agreement with a manufacturing services provider, to be the exclusive manufacturer of substantially all the products that were previously manufactured at our Salt Lake City, Utah manufacturing facility. This manufacturer is currently the primary manufacturer of many of our products and if this manufacturer experiences difficulties in obtaining sufficient supplies of components, component prices become unreasonable, an interruption in its operations, or otherwise suffers capacity constraints, we would experience a delay in shipping these products which would have a negative impact on our revenues.</w:t>
      </w:r>
    </w:p>
    <w:p>
      <w:pPr>
        <w:spacing w:after="0" w:line="24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an agreement with an international manufacturer for the manufacture of other product lines. We use an offshore facility. Should there be any disruption in services due to natural disaster, economic or political difficulties, quarantines or other restrictions associated with infectious diseases, or other similar events, or any other reason, such disruption would have a material adverse effect on our business. A delay in shipping these products due to an interruption in the manufacturer’s operations would have a negative impact on our revenues.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substantially all of our products.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International sales represent a significant portion of our total product sales. For example, international sales represented 32.4 percent of our total product sales for the three months ended March 31, 2006 and 26.9 percent for the three months ended March 31, 2005. International sales represented 26.4 percent of our total product sales for the nine months ended March 31, 2006 and 27.1 percent for the nine months ended March 31, 2005.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19" w:lineRule="exact"/>
        <w:rPr>
          <w:sz w:val="20"/>
          <w:szCs w:val="20"/>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disruption in services due to natural disaster, economic or political difficulties, quarantines, or other restrictions associated with infectious diseases.</w:t>
      </w: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sales in the international market are generally denominated in U.S. Dollars, with the exception of sales through our wholly owned subsidiary, OM Video, whose sales were denominated in Canadian Dollars until March 4, 2005, when the subsidiary was sold to a third party. Consolidation of OM Video’s financial statements with ours, under U.S. GAAP, required remeasurement of the amounts stated in OM Video’s financial statements to U.S. Dollars, which was subject to exchange rate fluctuations. We did not undertake hedging activities that might have protected us against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8" w:name="page49"/>
    <w:bookmarkEnd w:id="48"/>
    <w:p>
      <w:pPr>
        <w:ind w:right="760"/>
        <w:spacing w:after="0" w:line="277" w:lineRule="auto"/>
        <w:rPr>
          <w:sz w:val="20"/>
          <w:szCs w:val="20"/>
          <w:color w:val="auto"/>
        </w:rPr>
      </w:pPr>
      <w:r>
        <w:rPr>
          <w:rFonts w:ascii="Arial" w:cs="Arial" w:eastAsia="Arial" w:hAnsi="Arial"/>
          <w:sz w:val="18"/>
          <w:szCs w:val="18"/>
          <w:i w:val="1"/>
          <w:iCs w:val="1"/>
          <w:color w:val="auto"/>
        </w:rPr>
        <w:t>We may not be able to hire and retain highly skilled employees, which could affect our ability to compete effectively and may cause our revenue and profitability to decline.</w:t>
      </w:r>
    </w:p>
    <w:p>
      <w:pPr>
        <w:spacing w:after="0" w:line="2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depend on highly skilled technical personnel to research and develop, market, and service new and existing products.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Our inability to hire and retain employees with the skills we seek could hinder our ability to sell our existing products, systems, or services or to develop new products, systems, or services with a consequent adverse effect on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payment obligations. Future losses could be significant and, if incurred, could harm our business and have a material adverse effect on our results of operations or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with any company, our operations are at risk of being interrupted by earthquake, fire, flood, and other natural and human-caused disasters, including terrorist attacks and disease. Our operations are also at risk of power loss, telecommunications failure, and other infrastructure and technology based problems. To help guard against such risks, we carry business interruption loss insurance with coverage of up to $5.4 million to help compensate us for losses that may occur.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660" w:hanging="139"/>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w:t>
      </w: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ectPr>
          <w:pgSz w:w="11900" w:h="16838" w:orient="portrait"/>
          <w:cols w:equalWidth="0" w:num="1">
            <w:col w:w="11420"/>
          </w:cols>
          <w:pgMar w:left="240" w:top="368" w:right="239" w:bottom="1440" w:gutter="0" w:footer="0" w:header="0"/>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Many of our officers and key personnel have recently joined the company or have only worked together for a short period of time.</w:t>
      </w:r>
    </w:p>
    <w:p>
      <w:pPr>
        <w:spacing w:after="0" w:line="2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recently made several significant changes to our senior management team. In July 2004, we named a new President and Chief Executive Officer, who had been serving as our Vice-President of Product Development since December 2003. In addition, we hired a new Chief Financial Officer in July 2004, a Vice-President of Worldwide Sales and Marketing in November 2004, and a Vice-President of Operations in January 2005. In January 2005, we named a new Vice-President of Product Line Management, who had been serving as our Director of Research and Development. In September 2005, our Chief Financial Officer resigned his position and our Corporate Controller, who joined the Company in August 2005, was named our Interim Chief Financial Officer. In February 2006, we eliminated the position of Vice-President of Human Resources. As a result of these recent changes in senior management, many of our officers and other key personnel have only worked together for a short period of time. The failure to successfully integrate senior management could have an adverse impact on our business operations, including reduced sales, and delays in new product introductions.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Although we have committed considerable resources to date to the reviews and remedies over our disclosure and financial reporting internal controls, it will take time and additional expenditures to completely remediate any material weakness in our internal controls. We are always at risk that any future failure of our own internal controls or the internal control at any of our outsourced manufacturers or service providers could result in additional reported material weaknesses. Recent changes to our management team increases the risk of a process breakdown and possible internal control deficiencies as we have many employees performing tasks they have not performed in the past, which could result in errors or lost knowledge. Any future failures of our internal controls could have a material impact on our market capitalization, results of operations, or financial position, or have other adverse consequences.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directors and officers own 18.7 percent of the Company and may exert significant influence over us.</w:t>
      </w:r>
    </w:p>
    <w:p>
      <w:pPr>
        <w:spacing w:after="0" w:line="27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officers and directors together have beneficial ownership of approximately 18.7 percent of our common stock (including options that are currently exercisable or exercisable within 60 days of June 15, 2006). With this significant holding in the aggregate, the officers and directors, acting together, could exert a significant degree of influence over us and may be able to delay or prevent a change in control.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86"/>
        </w:trPr>
        <w:tc>
          <w:tcPr>
            <w:tcW w:w="5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980" w:type="dxa"/>
            <w:vAlign w:val="bottom"/>
          </w:tcPr>
          <w:p>
            <w:pPr>
              <w:ind w:left="180"/>
              <w:spacing w:after="0"/>
              <w:rPr>
                <w:sz w:val="20"/>
                <w:szCs w:val="20"/>
                <w:color w:val="auto"/>
              </w:rPr>
            </w:pPr>
            <w:r>
              <w:rPr>
                <w:rFonts w:ascii="Arial" w:cs="Arial" w:eastAsia="Arial" w:hAnsi="Arial"/>
                <w:sz w:val="18"/>
                <w:szCs w:val="18"/>
                <w:color w:val="auto"/>
              </w:rPr>
              <w:t>SEC Ref.</w:t>
            </w:r>
          </w:p>
        </w:tc>
        <w:tc>
          <w:tcPr>
            <w:tcW w:w="59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No.</w:t>
            </w:r>
          </w:p>
        </w:tc>
        <w:tc>
          <w:tcPr>
            <w:tcW w:w="594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rPr>
              <w:t>Title of Document</w:t>
            </w:r>
          </w:p>
        </w:tc>
        <w:tc>
          <w:tcPr>
            <w:tcW w:w="2280" w:type="dxa"/>
            <w:vAlign w:val="bottom"/>
            <w:tcBorders>
              <w:bottom w:val="single" w:sz="8" w:color="auto"/>
            </w:tcBorders>
          </w:tcPr>
          <w:p>
            <w:pPr>
              <w:jc w:val="center"/>
              <w:ind w:right="162"/>
              <w:spacing w:after="0"/>
              <w:rPr>
                <w:sz w:val="20"/>
                <w:szCs w:val="20"/>
                <w:color w:val="auto"/>
              </w:rPr>
            </w:pPr>
            <w:r>
              <w:rPr>
                <w:rFonts w:ascii="Arial" w:cs="Arial" w:eastAsia="Arial" w:hAnsi="Arial"/>
                <w:sz w:val="18"/>
                <w:szCs w:val="18"/>
                <w:color w:val="auto"/>
                <w:w w:val="93"/>
              </w:rPr>
              <w:t>Location</w:t>
            </w:r>
          </w:p>
        </w:tc>
      </w:tr>
      <w:tr>
        <w:trPr>
          <w:trHeight w:val="196"/>
        </w:trPr>
        <w:tc>
          <w:tcPr>
            <w:tcW w:w="580" w:type="dxa"/>
            <w:vAlign w:val="bottom"/>
          </w:tcPr>
          <w:p>
            <w:pPr>
              <w:spacing w:after="0"/>
              <w:rPr>
                <w:sz w:val="17"/>
                <w:szCs w:val="17"/>
                <w:color w:val="auto"/>
              </w:rPr>
            </w:pPr>
          </w:p>
        </w:tc>
        <w:tc>
          <w:tcPr>
            <w:tcW w:w="1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10.8</w:t>
            </w:r>
          </w:p>
        </w:tc>
        <w:tc>
          <w:tcPr>
            <w:tcW w:w="98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10</w:t>
            </w:r>
          </w:p>
        </w:tc>
        <w:tc>
          <w:tcPr>
            <w:tcW w:w="59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94"/>
              </w:rPr>
              <w:t>Asset Purchase Agreement among Clarinet, Inc., American Teleconferencing</w:t>
            </w:r>
          </w:p>
        </w:tc>
        <w:tc>
          <w:tcPr>
            <w:tcW w:w="2280" w:type="dxa"/>
            <w:vAlign w:val="bottom"/>
            <w:shd w:val="clear" w:color="auto" w:fill="CCEEFF"/>
          </w:tcPr>
          <w:p>
            <w:pPr>
              <w:jc w:val="center"/>
              <w:ind w:right="162"/>
              <w:spacing w:after="0" w:line="197" w:lineRule="exact"/>
              <w:rPr>
                <w:sz w:val="20"/>
                <w:szCs w:val="20"/>
                <w:color w:val="auto"/>
              </w:rPr>
            </w:pPr>
            <w:r>
              <w:rPr>
                <w:rFonts w:ascii="Arial" w:cs="Arial" w:eastAsia="Arial" w:hAnsi="Arial"/>
                <w:sz w:val="14"/>
                <w:szCs w:val="14"/>
                <w:color w:val="auto"/>
              </w:rPr>
              <w:t>Incorp. by reference</w:t>
            </w:r>
            <w:r>
              <w:rPr>
                <w:rFonts w:ascii="Arial" w:cs="Arial" w:eastAsia="Arial" w:hAnsi="Arial"/>
                <w:sz w:val="22"/>
                <w:szCs w:val="22"/>
                <w:color w:val="auto"/>
                <w:vertAlign w:val="superscript"/>
              </w:rPr>
              <w:t>4</w:t>
            </w:r>
          </w:p>
        </w:tc>
      </w:tr>
      <w:tr>
        <w:trPr>
          <w:trHeight w:val="215"/>
        </w:trPr>
        <w:tc>
          <w:tcPr>
            <w:tcW w:w="58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 Ltd. doing business as Premiere Conferencing, and ClearOne</w:t>
            </w:r>
          </w:p>
        </w:tc>
        <w:tc>
          <w:tcPr>
            <w:tcW w:w="228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Communications, Inc., dated July 1, 2004</w:t>
            </w:r>
          </w:p>
        </w:tc>
        <w:tc>
          <w:tcPr>
            <w:tcW w:w="2280" w:type="dxa"/>
            <w:vAlign w:val="bottom"/>
            <w:shd w:val="clear" w:color="auto" w:fill="CCEEFF"/>
          </w:tcPr>
          <w:p>
            <w:pPr>
              <w:spacing w:after="0"/>
              <w:rPr>
                <w:sz w:val="20"/>
                <w:szCs w:val="20"/>
                <w:color w:val="auto"/>
              </w:rPr>
            </w:pPr>
          </w:p>
        </w:tc>
      </w:tr>
      <w:tr>
        <w:trPr>
          <w:trHeight w:val="203"/>
        </w:trPr>
        <w:tc>
          <w:tcPr>
            <w:tcW w:w="58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1"/>
              </w:rPr>
              <w:t>10.9</w:t>
            </w:r>
          </w:p>
        </w:tc>
        <w:tc>
          <w:tcPr>
            <w:tcW w:w="980" w:type="dxa"/>
            <w:vAlign w:val="bottom"/>
          </w:tcPr>
          <w:p>
            <w:pPr>
              <w:ind w:left="440"/>
              <w:spacing w:after="0" w:line="202" w:lineRule="exact"/>
              <w:rPr>
                <w:sz w:val="20"/>
                <w:szCs w:val="20"/>
                <w:color w:val="auto"/>
              </w:rPr>
            </w:pPr>
            <w:r>
              <w:rPr>
                <w:rFonts w:ascii="Arial" w:cs="Arial" w:eastAsia="Arial" w:hAnsi="Arial"/>
                <w:sz w:val="18"/>
                <w:szCs w:val="18"/>
                <w:color w:val="auto"/>
              </w:rPr>
              <w:t>10</w:t>
            </w:r>
          </w:p>
        </w:tc>
        <w:tc>
          <w:tcPr>
            <w:tcW w:w="5940" w:type="dxa"/>
            <w:vAlign w:val="bottom"/>
          </w:tcPr>
          <w:p>
            <w:pPr>
              <w:ind w:left="120"/>
              <w:spacing w:after="0" w:line="202" w:lineRule="exact"/>
              <w:rPr>
                <w:sz w:val="20"/>
                <w:szCs w:val="20"/>
                <w:color w:val="auto"/>
              </w:rPr>
            </w:pPr>
            <w:r>
              <w:rPr>
                <w:rFonts w:ascii="Arial" w:cs="Arial" w:eastAsia="Arial" w:hAnsi="Arial"/>
                <w:sz w:val="18"/>
                <w:szCs w:val="18"/>
                <w:color w:val="auto"/>
                <w:w w:val="95"/>
              </w:rPr>
              <w:t>Stock Purchase Agreement dated March 4, 2005 between 6351352 Canada</w:t>
            </w:r>
          </w:p>
        </w:tc>
        <w:tc>
          <w:tcPr>
            <w:tcW w:w="2280" w:type="dxa"/>
            <w:vAlign w:val="bottom"/>
          </w:tcPr>
          <w:p>
            <w:pPr>
              <w:jc w:val="center"/>
              <w:ind w:right="162"/>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1</w:t>
            </w:r>
          </w:p>
        </w:tc>
      </w:tr>
      <w:tr>
        <w:trPr>
          <w:trHeight w:val="215"/>
        </w:trPr>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Inc. and Gentner Ventures, Inc., a wholly owned subsidiary of ClearOne</w:t>
            </w:r>
          </w:p>
        </w:tc>
        <w:tc>
          <w:tcPr>
            <w:tcW w:w="22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Communications, Inc.</w:t>
            </w:r>
          </w:p>
        </w:tc>
        <w:tc>
          <w:tcPr>
            <w:tcW w:w="228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0860"/>
          </w:cols>
          <w:pgMar w:left="240" w:top="634" w:right="799" w:bottom="1440" w:gutter="0" w:footer="0" w:header="0"/>
        </w:sectPr>
      </w:pPr>
    </w:p>
    <w:tbl>
      <w:tblPr>
        <w:tblLayout w:type="fixed"/>
        <w:tblInd w:w="900" w:type="dxa"/>
        <w:tblCellMar>
          <w:top w:w="0" w:type="dxa"/>
          <w:left w:w="0" w:type="dxa"/>
          <w:bottom w:w="0" w:type="dxa"/>
          <w:right w:w="0" w:type="dxa"/>
        </w:tblCellMar>
      </w:tblPr>
      <w:tr>
        <w:trPr>
          <w:trHeight w:val="202"/>
        </w:trPr>
        <w:tc>
          <w:tcPr>
            <w:tcW w:w="800" w:type="dxa"/>
            <w:vAlign w:val="bottom"/>
            <w:gridSpan w:val="3"/>
          </w:tcPr>
          <w:p>
            <w:pPr>
              <w:jc w:val="center"/>
              <w:ind w:right="400"/>
              <w:spacing w:after="0" w:line="201" w:lineRule="exact"/>
              <w:rPr>
                <w:sz w:val="20"/>
                <w:szCs w:val="20"/>
                <w:color w:val="auto"/>
              </w:rPr>
            </w:pPr>
            <w:r>
              <w:rPr>
                <w:rFonts w:ascii="Arial" w:cs="Arial" w:eastAsia="Arial" w:hAnsi="Arial"/>
                <w:sz w:val="18"/>
                <w:szCs w:val="18"/>
                <w:color w:val="auto"/>
                <w:w w:val="88"/>
              </w:rPr>
              <w:t>10.10</w:t>
            </w:r>
          </w:p>
        </w:tc>
        <w:tc>
          <w:tcPr>
            <w:tcW w:w="82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10</w:t>
            </w:r>
          </w:p>
        </w:tc>
        <w:tc>
          <w:tcPr>
            <w:tcW w:w="580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89"/>
              </w:rPr>
              <w:t>Settlement Agreement and Release between ClearOne Communications, Inc.</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and DeLonie Call dated February 20, 2006*</w:t>
            </w:r>
          </w:p>
        </w:tc>
      </w:tr>
      <w:tr>
        <w:trPr>
          <w:trHeight w:val="216"/>
        </w:trPr>
        <w:tc>
          <w:tcPr>
            <w:tcW w:w="80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10.18</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w w:val="94"/>
              </w:rPr>
              <w:t>Mutual Release and Waiver between ClearOne Communications, Inc. and</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0" w:type="dxa"/>
            <w:vAlign w:val="bottom"/>
            <w:gridSpan w:val="2"/>
          </w:tcPr>
          <w:p>
            <w:pPr>
              <w:ind w:left="240"/>
              <w:spacing w:after="0"/>
              <w:rPr>
                <w:sz w:val="20"/>
                <w:szCs w:val="20"/>
                <w:color w:val="auto"/>
              </w:rPr>
            </w:pPr>
            <w:r>
              <w:rPr>
                <w:rFonts w:ascii="Arial" w:cs="Arial" w:eastAsia="Arial" w:hAnsi="Arial"/>
                <w:sz w:val="18"/>
                <w:szCs w:val="18"/>
                <w:color w:val="auto"/>
              </w:rPr>
              <w:t>Burk Technology, Inc. dated August 22, 2005</w:t>
            </w:r>
          </w:p>
        </w:tc>
      </w:tr>
      <w:tr>
        <w:trPr>
          <w:trHeight w:val="190"/>
        </w:trPr>
        <w:tc>
          <w:tcPr>
            <w:tcW w:w="360" w:type="dxa"/>
            <w:vAlign w:val="bottom"/>
            <w:gridSpan w:val="2"/>
          </w:tcPr>
          <w:p>
            <w:pPr>
              <w:jc w:val="center"/>
              <w:spacing w:after="0" w:line="190"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440" w:type="dxa"/>
            <w:vAlign w:val="bottom"/>
          </w:tcPr>
          <w:p>
            <w:pPr>
              <w:spacing w:after="0"/>
              <w:rPr>
                <w:sz w:val="16"/>
                <w:szCs w:val="16"/>
                <w:color w:val="auto"/>
              </w:rPr>
            </w:pPr>
          </w:p>
        </w:tc>
        <w:tc>
          <w:tcPr>
            <w:tcW w:w="820" w:type="dxa"/>
            <w:vAlign w:val="bottom"/>
          </w:tcPr>
          <w:p>
            <w:pPr>
              <w:jc w:val="right"/>
              <w:ind w:right="150"/>
              <w:spacing w:after="0" w:line="190" w:lineRule="exact"/>
              <w:rPr>
                <w:sz w:val="20"/>
                <w:szCs w:val="20"/>
                <w:color w:val="auto"/>
              </w:rPr>
            </w:pPr>
            <w:r>
              <w:rPr>
                <w:rFonts w:ascii="Arial" w:cs="Arial" w:eastAsia="Arial" w:hAnsi="Arial"/>
                <w:sz w:val="18"/>
                <w:szCs w:val="18"/>
                <w:color w:val="auto"/>
              </w:rPr>
              <w:t>31</w:t>
            </w:r>
          </w:p>
        </w:tc>
        <w:tc>
          <w:tcPr>
            <w:tcW w:w="1120" w:type="dxa"/>
            <w:vAlign w:val="bottom"/>
          </w:tcPr>
          <w:p>
            <w:pPr>
              <w:ind w:left="240"/>
              <w:spacing w:after="0" w:line="190" w:lineRule="exact"/>
              <w:rPr>
                <w:sz w:val="20"/>
                <w:szCs w:val="20"/>
                <w:color w:val="auto"/>
              </w:rPr>
            </w:pPr>
            <w:r>
              <w:rPr>
                <w:rFonts w:ascii="Arial" w:cs="Arial" w:eastAsia="Arial" w:hAnsi="Arial"/>
                <w:sz w:val="18"/>
                <w:szCs w:val="18"/>
                <w:color w:val="auto"/>
                <w:w w:val="90"/>
              </w:rPr>
              <w:t>Section 302</w:t>
            </w:r>
          </w:p>
        </w:tc>
        <w:tc>
          <w:tcPr>
            <w:tcW w:w="4680" w:type="dxa"/>
            <w:vAlign w:val="bottom"/>
          </w:tcPr>
          <w:p>
            <w:pPr>
              <w:ind w:left="20"/>
              <w:spacing w:after="0" w:line="190" w:lineRule="exact"/>
              <w:rPr>
                <w:sz w:val="20"/>
                <w:szCs w:val="20"/>
                <w:color w:val="auto"/>
              </w:rPr>
            </w:pPr>
            <w:r>
              <w:rPr>
                <w:rFonts w:ascii="Arial" w:cs="Arial" w:eastAsia="Arial" w:hAnsi="Arial"/>
                <w:sz w:val="18"/>
                <w:szCs w:val="18"/>
                <w:color w:val="auto"/>
              </w:rPr>
              <w:t>Certification of Chief Executive Officer</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360" w:type="dxa"/>
            <w:vAlign w:val="bottom"/>
            <w:gridSpan w:val="2"/>
          </w:tcPr>
          <w:p>
            <w:pPr>
              <w:jc w:val="center"/>
              <w:spacing w:after="0" w:line="19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440" w:type="dxa"/>
            <w:vAlign w:val="bottom"/>
          </w:tcPr>
          <w:p>
            <w:pPr>
              <w:spacing w:after="0"/>
              <w:rPr>
                <w:sz w:val="17"/>
                <w:szCs w:val="17"/>
                <w:color w:val="auto"/>
              </w:rPr>
            </w:pPr>
          </w:p>
        </w:tc>
        <w:tc>
          <w:tcPr>
            <w:tcW w:w="82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31</w:t>
            </w:r>
          </w:p>
        </w:tc>
        <w:tc>
          <w:tcPr>
            <w:tcW w:w="1120" w:type="dxa"/>
            <w:vAlign w:val="bottom"/>
          </w:tcPr>
          <w:p>
            <w:pPr>
              <w:ind w:left="240"/>
              <w:spacing w:after="0" w:line="196" w:lineRule="exact"/>
              <w:rPr>
                <w:sz w:val="20"/>
                <w:szCs w:val="20"/>
                <w:color w:val="auto"/>
              </w:rPr>
            </w:pPr>
            <w:r>
              <w:rPr>
                <w:rFonts w:ascii="Arial" w:cs="Arial" w:eastAsia="Arial" w:hAnsi="Arial"/>
                <w:sz w:val="18"/>
                <w:szCs w:val="18"/>
                <w:color w:val="auto"/>
                <w:w w:val="90"/>
              </w:rPr>
              <w:t>Section 302</w:t>
            </w:r>
          </w:p>
        </w:tc>
        <w:tc>
          <w:tcPr>
            <w:tcW w:w="4680" w:type="dxa"/>
            <w:vAlign w:val="bottom"/>
          </w:tcPr>
          <w:p>
            <w:pPr>
              <w:ind w:left="20"/>
              <w:spacing w:after="0" w:line="196" w:lineRule="exact"/>
              <w:rPr>
                <w:sz w:val="20"/>
                <w:szCs w:val="20"/>
                <w:color w:val="auto"/>
              </w:rPr>
            </w:pPr>
            <w:r>
              <w:rPr>
                <w:rFonts w:ascii="Arial" w:cs="Arial" w:eastAsia="Arial" w:hAnsi="Arial"/>
                <w:sz w:val="18"/>
                <w:szCs w:val="18"/>
                <w:color w:val="auto"/>
              </w:rPr>
              <w:t>Certification of Interim Chief Financial Officer</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360" w:type="dxa"/>
            <w:vAlign w:val="bottom"/>
            <w:gridSpan w:val="2"/>
          </w:tcPr>
          <w:p>
            <w:pPr>
              <w:jc w:val="center"/>
              <w:spacing w:after="0" w:line="19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440" w:type="dxa"/>
            <w:vAlign w:val="bottom"/>
          </w:tcPr>
          <w:p>
            <w:pPr>
              <w:spacing w:after="0"/>
              <w:rPr>
                <w:sz w:val="17"/>
                <w:szCs w:val="17"/>
                <w:color w:val="auto"/>
              </w:rPr>
            </w:pPr>
          </w:p>
        </w:tc>
        <w:tc>
          <w:tcPr>
            <w:tcW w:w="82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32</w:t>
            </w:r>
          </w:p>
        </w:tc>
        <w:tc>
          <w:tcPr>
            <w:tcW w:w="1120" w:type="dxa"/>
            <w:vAlign w:val="bottom"/>
          </w:tcPr>
          <w:p>
            <w:pPr>
              <w:ind w:left="240"/>
              <w:spacing w:after="0" w:line="196" w:lineRule="exact"/>
              <w:rPr>
                <w:sz w:val="20"/>
                <w:szCs w:val="20"/>
                <w:color w:val="auto"/>
              </w:rPr>
            </w:pPr>
            <w:r>
              <w:rPr>
                <w:rFonts w:ascii="Arial" w:cs="Arial" w:eastAsia="Arial" w:hAnsi="Arial"/>
                <w:sz w:val="18"/>
                <w:szCs w:val="18"/>
                <w:color w:val="auto"/>
                <w:w w:val="90"/>
              </w:rPr>
              <w:t>Section 906</w:t>
            </w:r>
          </w:p>
        </w:tc>
        <w:tc>
          <w:tcPr>
            <w:tcW w:w="4680" w:type="dxa"/>
            <w:vAlign w:val="bottom"/>
          </w:tcPr>
          <w:p>
            <w:pPr>
              <w:ind w:left="20"/>
              <w:spacing w:after="0" w:line="196" w:lineRule="exact"/>
              <w:rPr>
                <w:sz w:val="20"/>
                <w:szCs w:val="20"/>
                <w:color w:val="auto"/>
              </w:rPr>
            </w:pPr>
            <w:r>
              <w:rPr>
                <w:rFonts w:ascii="Arial" w:cs="Arial" w:eastAsia="Arial" w:hAnsi="Arial"/>
                <w:sz w:val="18"/>
                <w:szCs w:val="18"/>
                <w:color w:val="auto"/>
              </w:rPr>
              <w:t>Certification of Chief Executive Officer</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96"/>
        </w:trPr>
        <w:tc>
          <w:tcPr>
            <w:tcW w:w="360" w:type="dxa"/>
            <w:vAlign w:val="bottom"/>
            <w:gridSpan w:val="2"/>
          </w:tcPr>
          <w:p>
            <w:pPr>
              <w:jc w:val="center"/>
              <w:spacing w:after="0" w:line="19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440" w:type="dxa"/>
            <w:vAlign w:val="bottom"/>
          </w:tcPr>
          <w:p>
            <w:pPr>
              <w:spacing w:after="0"/>
              <w:rPr>
                <w:sz w:val="17"/>
                <w:szCs w:val="17"/>
                <w:color w:val="auto"/>
              </w:rPr>
            </w:pPr>
          </w:p>
        </w:tc>
        <w:tc>
          <w:tcPr>
            <w:tcW w:w="82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32</w:t>
            </w:r>
          </w:p>
        </w:tc>
        <w:tc>
          <w:tcPr>
            <w:tcW w:w="1120" w:type="dxa"/>
            <w:vAlign w:val="bottom"/>
          </w:tcPr>
          <w:p>
            <w:pPr>
              <w:ind w:left="240"/>
              <w:spacing w:after="0" w:line="196" w:lineRule="exact"/>
              <w:rPr>
                <w:sz w:val="20"/>
                <w:szCs w:val="20"/>
                <w:color w:val="auto"/>
              </w:rPr>
            </w:pPr>
            <w:r>
              <w:rPr>
                <w:rFonts w:ascii="Arial" w:cs="Arial" w:eastAsia="Arial" w:hAnsi="Arial"/>
                <w:sz w:val="18"/>
                <w:szCs w:val="18"/>
                <w:color w:val="auto"/>
                <w:w w:val="90"/>
              </w:rPr>
              <w:t>Section 906</w:t>
            </w:r>
          </w:p>
        </w:tc>
        <w:tc>
          <w:tcPr>
            <w:tcW w:w="4680" w:type="dxa"/>
            <w:vAlign w:val="bottom"/>
          </w:tcPr>
          <w:p>
            <w:pPr>
              <w:ind w:left="20"/>
              <w:spacing w:after="0" w:line="196" w:lineRule="exact"/>
              <w:rPr>
                <w:sz w:val="20"/>
                <w:szCs w:val="20"/>
                <w:color w:val="auto"/>
              </w:rPr>
            </w:pPr>
            <w:r>
              <w:rPr>
                <w:rFonts w:ascii="Arial" w:cs="Arial" w:eastAsia="Arial" w:hAnsi="Arial"/>
                <w:sz w:val="18"/>
                <w:szCs w:val="18"/>
                <w:color w:val="auto"/>
              </w:rPr>
              <w:t>Certification of Interim Chief Financial Officer</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-1080135</wp:posOffset>
            </wp:positionV>
            <wp:extent cx="651764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17640" cy="27432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-530860</wp:posOffset>
            </wp:positionV>
            <wp:extent cx="651764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-256540</wp:posOffset>
            </wp:positionV>
            <wp:extent cx="651764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3</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2</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filing</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filing</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filing</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filing</w:t>
      </w:r>
    </w:p>
    <w:p>
      <w:pPr>
        <w:spacing w:after="0" w:line="251" w:lineRule="exact"/>
        <w:rPr>
          <w:sz w:val="20"/>
          <w:szCs w:val="20"/>
          <w:color w:val="auto"/>
        </w:rPr>
      </w:pPr>
    </w:p>
    <w:p>
      <w:pPr>
        <w:sectPr>
          <w:pgSz w:w="11900" w:h="16838" w:orient="portrait"/>
          <w:cols w:equalWidth="0" w:num="2">
            <w:col w:w="8320" w:space="520"/>
            <w:col w:w="2020"/>
          </w:cols>
          <w:pgMar w:left="240" w:top="634" w:right="799" w:bottom="1440" w:gutter="0" w:footer="0" w:header="0"/>
          <w:type w:val="continuous"/>
        </w:sect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63" w:lineRule="exact"/>
        <w:rPr>
          <w:sz w:val="20"/>
          <w:szCs w:val="20"/>
          <w:color w:val="auto"/>
        </w:rPr>
      </w:pPr>
    </w:p>
    <w:p>
      <w:pPr>
        <w:ind w:left="660" w:right="4840" w:hanging="652"/>
        <w:spacing w:after="0" w:line="200" w:lineRule="auto"/>
        <w:tabs>
          <w:tab w:leader="none" w:pos="627"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2003.</w:t>
      </w:r>
    </w:p>
    <w:p>
      <w:pPr>
        <w:spacing w:after="0" w:line="26" w:lineRule="exact"/>
        <w:rPr>
          <w:sz w:val="20"/>
          <w:szCs w:val="20"/>
          <w:color w:val="auto"/>
        </w:rPr>
      </w:pPr>
    </w:p>
    <w:p>
      <w:pPr>
        <w:ind w:left="660" w:right="4840" w:hanging="652"/>
        <w:spacing w:after="0" w:line="200" w:lineRule="auto"/>
        <w:tabs>
          <w:tab w:leader="none" w:pos="627"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2004.</w:t>
      </w:r>
    </w:p>
    <w:p>
      <w:pPr>
        <w:spacing w:after="0" w:line="26" w:lineRule="exact"/>
        <w:rPr>
          <w:sz w:val="20"/>
          <w:szCs w:val="20"/>
          <w:color w:val="auto"/>
        </w:rPr>
      </w:pPr>
    </w:p>
    <w:p>
      <w:pPr>
        <w:ind w:left="660" w:right="4840" w:hanging="652"/>
        <w:spacing w:after="0" w:line="200" w:lineRule="auto"/>
        <w:tabs>
          <w:tab w:leader="none" w:pos="627"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2005.</w:t>
      </w:r>
    </w:p>
    <w:p>
      <w:pPr>
        <w:ind w:left="620" w:hanging="612"/>
        <w:spacing w:after="0" w:line="205" w:lineRule="auto"/>
        <w:tabs>
          <w:tab w:leader="none" w:pos="620"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Registrant’s Current Report on Form 8-K filed July 1, 2004.</w:t>
      </w:r>
    </w:p>
    <w:p>
      <w:pPr>
        <w:spacing w:after="0" w:line="200" w:lineRule="exact"/>
        <w:rPr>
          <w:rFonts w:ascii="Arial" w:cs="Arial" w:eastAsia="Arial" w:hAnsi="Arial"/>
          <w:sz w:val="26"/>
          <w:szCs w:val="26"/>
          <w:color w:val="auto"/>
          <w:vertAlign w:val="superscript"/>
        </w:rPr>
      </w:pPr>
    </w:p>
    <w:p>
      <w:pPr>
        <w:spacing w:after="0" w:line="200" w:lineRule="exact"/>
        <w:rPr>
          <w:rFonts w:ascii="Arial" w:cs="Arial" w:eastAsia="Arial" w:hAnsi="Arial"/>
          <w:sz w:val="26"/>
          <w:szCs w:val="26"/>
          <w:color w:val="auto"/>
          <w:vertAlign w:val="superscript"/>
        </w:rPr>
      </w:pPr>
    </w:p>
    <w:p>
      <w:pPr>
        <w:spacing w:after="0" w:line="383" w:lineRule="exact"/>
        <w:rPr>
          <w:rFonts w:ascii="Arial" w:cs="Arial" w:eastAsia="Arial" w:hAnsi="Arial"/>
          <w:sz w:val="26"/>
          <w:szCs w:val="26"/>
          <w:color w:val="auto"/>
          <w:vertAlign w:val="superscript"/>
        </w:rPr>
      </w:pPr>
    </w:p>
    <w:p>
      <w:pPr>
        <w:ind w:left="5620"/>
        <w:spacing w:after="0"/>
        <w:rPr>
          <w:rFonts w:ascii="Arial" w:cs="Arial" w:eastAsia="Arial" w:hAnsi="Arial"/>
          <w:sz w:val="26"/>
          <w:szCs w:val="26"/>
          <w:color w:val="auto"/>
          <w:vertAlign w:val="superscript"/>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634" w:right="79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June 28, 2006</w:t>
            </w:r>
          </w:p>
        </w:tc>
        <w:tc>
          <w:tcPr>
            <w:tcW w:w="2320" w:type="dxa"/>
            <w:vAlign w:val="bottom"/>
          </w:tcPr>
          <w:p>
            <w:pPr>
              <w:ind w:left="17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7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June 28, 2006</w:t>
            </w:r>
          </w:p>
        </w:tc>
        <w:tc>
          <w:tcPr>
            <w:tcW w:w="2320" w:type="dxa"/>
            <w:vAlign w:val="bottom"/>
          </w:tcPr>
          <w:p>
            <w:pPr>
              <w:ind w:left="17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7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30"/>
        </w:trPr>
        <w:tc>
          <w:tcPr>
            <w:tcW w:w="27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r>
        <w:trPr>
          <w:trHeight w:val="243"/>
        </w:trPr>
        <w:tc>
          <w:tcPr>
            <w:tcW w:w="27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32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13"/>
        </w:trPr>
        <w:tc>
          <w:tcPr>
            <w:tcW w:w="2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320" w:type="dxa"/>
            <w:vAlign w:val="bottom"/>
          </w:tcPr>
          <w:p>
            <w:pPr>
              <w:ind w:left="52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28,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Craig E. Peeples, certify that:</w:t>
      </w:r>
    </w:p>
    <w:p>
      <w:pPr>
        <w:spacing w:after="0" w:line="279" w:lineRule="exact"/>
        <w:rPr>
          <w:sz w:val="20"/>
          <w:szCs w:val="20"/>
          <w:color w:val="auto"/>
        </w:rPr>
      </w:pPr>
    </w:p>
    <w:p>
      <w:pPr>
        <w:ind w:left="500" w:hanging="231"/>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Communications, Inc. on Form 10-Q;</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660" w:hanging="234"/>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200" w:lineRule="exact"/>
        <w:rPr>
          <w:rFonts w:ascii="Arial" w:cs="Arial" w:eastAsia="Arial" w:hAnsi="Arial"/>
          <w:sz w:val="17"/>
          <w:szCs w:val="17"/>
          <w:color w:val="auto"/>
        </w:rPr>
      </w:pPr>
    </w:p>
    <w:p>
      <w:pPr>
        <w:ind w:left="500" w:hanging="231"/>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28,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bl>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Quarterly Report of ClearOne Communications, Inc. on Form 10-Q for the three months ended March 31, 2006,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28,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Craig E. Peeples, certify, pursuant to 18 U.S.C. Section 1350, as adopted pursuant to Section 906 of the Sarbanes-Oxley Act of 2002, that the Quarterly Report of ClearOne Communications, Inc. on Form 10-Q for the three months ended March 31, 2006, fully complies with the requirements of Section 13(a) or 15(d) of the Securities Exchange Act of 1934 and that information contained in such Quarterly Report on Form 10-Q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Date: June 28, 2006</w:t>
            </w:r>
          </w:p>
        </w:tc>
        <w:tc>
          <w:tcPr>
            <w:tcW w:w="2120" w:type="dxa"/>
            <w:vAlign w:val="bottom"/>
          </w:tcPr>
          <w:p>
            <w:pPr>
              <w:ind w:left="156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r>
      <w:tr>
        <w:trPr>
          <w:trHeight w:val="222"/>
        </w:trPr>
        <w:tc>
          <w:tcPr>
            <w:tcW w:w="2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Craig E. Peeples</w:t>
            </w:r>
          </w:p>
        </w:tc>
      </w:tr>
      <w:tr>
        <w:trPr>
          <w:trHeight w:val="216"/>
        </w:trPr>
        <w:tc>
          <w:tcPr>
            <w:tcW w:w="2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Interim Chief Financial Officer and Corporate Controller</w:t>
            </w:r>
          </w:p>
        </w:tc>
      </w:tr>
      <w:tr>
        <w:trPr>
          <w:trHeight w:val="230"/>
        </w:trPr>
        <w:tc>
          <w:tcPr>
            <w:tcW w:w="29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61"/>
    </w:lvl>
  </w:abstractNum>
  <w:abstractNum w:abstractNumId="3">
    <w:nsid w:val="216231B"/>
    <w:multiLevelType w:val="hybridMultilevel"/>
    <w:lvl w:ilvl="0">
      <w:lvlJc w:val="left"/>
      <w:lvlText w:val="&amp;"/>
      <w:numFmt w:val="bullet"/>
      <w:start w:val="1"/>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3"/>
      <w:numFmt w:val="bullet"/>
      <w:start w:val="1"/>
    </w:lvl>
  </w:abstractNum>
  <w:abstractNum w:abstractNumId="14">
    <w:nsid w:val="6B68079A"/>
    <w:multiLevelType w:val="hybridMultilevel"/>
    <w:lvl w:ilvl="0">
      <w:lvlJc w:val="left"/>
      <w:lvlText w:val="4"/>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2019-12-13T18:13:27Z</dcterms:created>
  <dcterms:modified xsi:type="dcterms:W3CDTF">2019-12-13T18:13:27Z</dcterms:modified>
</cp:coreProperties>
</file>