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color w:val="auto"/>
        </w:rPr>
        <w:t>(Amendment No. 3)</w:t>
      </w:r>
    </w:p>
    <w:p>
      <w:pPr>
        <w:spacing w:after="0" w:line="222"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Tender Offer Statement under Section 14(d)(1) or 13(e)(1) of the</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Subject Company (Issuer))</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Filing Persons (Issuer))</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185060100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(CUSIP Number of Class of Securities)</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Greg A. LeClaire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ClearOne Communications, Inc.</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address, and telephone numbers of person authorized to receive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notices and communications on behalf of filing persons)</w:t>
      </w: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CALCULATION OF FILING FEE</w:t>
      </w:r>
    </w:p>
    <w:p>
      <w:pPr>
        <w:spacing w:after="0" w:line="247" w:lineRule="exact"/>
        <w:rPr>
          <w:sz w:val="24"/>
          <w:szCs w:val="24"/>
          <w:color w:val="auto"/>
        </w:rPr>
      </w:pPr>
    </w:p>
    <w:tbl>
      <w:tblPr>
        <w:tblLayout w:type="fixed"/>
        <w:tblInd w:w="2880" w:type="dxa"/>
        <w:tblCellMar>
          <w:top w:w="0" w:type="dxa"/>
          <w:left w:w="0" w:type="dxa"/>
          <w:bottom w:w="0" w:type="dxa"/>
          <w:right w:w="0" w:type="dxa"/>
        </w:tblCellMar>
      </w:tblPr>
      <w:tr>
        <w:trPr>
          <w:trHeight w:val="215"/>
        </w:trPr>
        <w:tc>
          <w:tcPr>
            <w:tcW w:w="302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1"/>
              </w:rPr>
              <w:t>Transaction Valuation*</w:t>
            </w:r>
          </w:p>
        </w:tc>
        <w:tc>
          <w:tcPr>
            <w:tcW w:w="2680" w:type="dxa"/>
            <w:vAlign w:val="bottom"/>
            <w:tcBorders>
              <w:top w:val="single" w:sz="8" w:color="auto"/>
            </w:tcBorders>
          </w:tcPr>
          <w:p>
            <w:pPr>
              <w:jc w:val="center"/>
              <w:ind w:left="90"/>
              <w:spacing w:after="0"/>
              <w:rPr>
                <w:sz w:val="20"/>
                <w:szCs w:val="20"/>
                <w:color w:val="auto"/>
              </w:rPr>
            </w:pPr>
            <w:r>
              <w:rPr>
                <w:rFonts w:ascii="Arial" w:cs="Arial" w:eastAsia="Arial" w:hAnsi="Arial"/>
                <w:sz w:val="18"/>
                <w:szCs w:val="18"/>
                <w:color w:val="auto"/>
                <w:w w:val="96"/>
              </w:rPr>
              <w:t>Amount of Filing Fee**</w:t>
            </w:r>
          </w:p>
        </w:tc>
      </w:tr>
      <w:tr>
        <w:trPr>
          <w:trHeight w:val="230"/>
        </w:trPr>
        <w:tc>
          <w:tcPr>
            <w:tcW w:w="3020" w:type="dxa"/>
            <w:vAlign w:val="bottom"/>
          </w:tcPr>
          <w:p>
            <w:pPr>
              <w:jc w:val="right"/>
              <w:ind w:right="870"/>
              <w:spacing w:after="0"/>
              <w:rPr>
                <w:sz w:val="20"/>
                <w:szCs w:val="20"/>
                <w:color w:val="auto"/>
              </w:rPr>
            </w:pPr>
            <w:r>
              <w:rPr>
                <w:rFonts w:ascii="Arial" w:cs="Arial" w:eastAsia="Arial" w:hAnsi="Arial"/>
                <w:sz w:val="18"/>
                <w:szCs w:val="18"/>
                <w:color w:val="auto"/>
              </w:rPr>
              <w:t>$10,000,000</w:t>
            </w:r>
          </w:p>
        </w:tc>
        <w:tc>
          <w:tcPr>
            <w:tcW w:w="2680" w:type="dxa"/>
            <w:vAlign w:val="bottom"/>
          </w:tcPr>
          <w:p>
            <w:pPr>
              <w:jc w:val="right"/>
              <w:ind w:right="970"/>
              <w:spacing w:after="0"/>
              <w:rPr>
                <w:sz w:val="20"/>
                <w:szCs w:val="20"/>
                <w:color w:val="auto"/>
              </w:rPr>
            </w:pPr>
            <w:r>
              <w:rPr>
                <w:rFonts w:ascii="Arial" w:cs="Arial" w:eastAsia="Arial" w:hAnsi="Arial"/>
                <w:sz w:val="18"/>
                <w:szCs w:val="18"/>
                <w:color w:val="auto"/>
              </w:rPr>
              <w:t>$393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0</wp:posOffset>
            </wp:positionV>
            <wp:extent cx="36188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ind w:left="420" w:hanging="412"/>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based on the purchase of 2,000,000 shares of Common Stock, par value $.001, at the maximum tender offer price of $5.00 per share.</w:t>
      </w:r>
    </w:p>
    <w:p>
      <w:pPr>
        <w:spacing w:after="0" w:line="197"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at $39.30 per $1,000,000 of the Transaction Valuation.</w:t>
      </w:r>
    </w:p>
    <w:p>
      <w:pPr>
        <w:spacing w:after="0" w:line="252" w:lineRule="exact"/>
        <w:rPr>
          <w:sz w:val="24"/>
          <w:szCs w:val="24"/>
          <w:color w:val="auto"/>
        </w:rPr>
      </w:pPr>
    </w:p>
    <w:p>
      <w:pPr>
        <w:ind w:left="660" w:right="24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180"/>
          </w:cols>
          <w:pgMar w:left="240" w:top="796" w:right="47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$393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Schedule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ClearOne Communications,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August 18, 2008</w:t>
      </w:r>
    </w:p>
    <w:p>
      <w:pPr>
        <w:spacing w:after="0" w:line="200" w:lineRule="exact"/>
        <w:rPr>
          <w:sz w:val="24"/>
          <w:szCs w:val="24"/>
          <w:color w:val="auto"/>
        </w:rPr>
      </w:pPr>
    </w:p>
    <w:p>
      <w:pPr>
        <w:sectPr>
          <w:pgSz w:w="11900" w:h="16838" w:orient="portrait"/>
          <w:cols w:equalWidth="0" w:num="2">
            <w:col w:w="1880" w:space="200"/>
            <w:col w:w="9100"/>
          </w:cols>
          <w:pgMar w:left="240" w:top="796" w:right="479" w:bottom="1440" w:gutter="0" w:footer="0" w:header="0"/>
          <w:type w:val="continuous"/>
        </w:sectPr>
      </w:pPr>
    </w:p>
    <w:p>
      <w:pPr>
        <w:spacing w:after="0" w:line="38" w:lineRule="exact"/>
        <w:rPr>
          <w:sz w:val="24"/>
          <w:szCs w:val="24"/>
          <w:color w:val="auto"/>
        </w:rPr>
      </w:pPr>
    </w:p>
    <w:p>
      <w:pPr>
        <w:ind w:right="1920" w:firstLine="8"/>
        <w:spacing w:after="0" w:line="513" w:lineRule="auto"/>
        <w:tabs>
          <w:tab w:leader="none" w:pos="43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 to which the statement relates:</w:t>
      </w:r>
    </w:p>
    <w:p>
      <w:pPr>
        <w:spacing w:after="0" w:line="33"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5" w:lineRule="exact"/>
        <w:rPr>
          <w:sz w:val="24"/>
          <w:szCs w:val="24"/>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7" w:lineRule="exact"/>
        <w:rPr>
          <w:rFonts w:ascii="Arial" w:cs="Arial" w:eastAsia="Arial" w:hAnsi="Arial"/>
          <w:sz w:val="18"/>
          <w:szCs w:val="18"/>
          <w:color w:val="auto"/>
        </w:rPr>
      </w:pPr>
    </w:p>
    <w:p>
      <w:pPr>
        <w:jc w:val="both"/>
        <w:ind w:right="7300"/>
        <w:spacing w:after="0" w:line="226"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9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This Amendment No. 3 (this “Amendment”) amends the Schedule TO originally filed with the Securities and Exchange Commission on August 18, 2008, by ClearOne Communications, Inc.,(the “Company”), relating to the offer by the Company to purchase up to 2,000,000 shares of its common stock, par value $0.001 per share, at a price not greater than $5.00 nor less than $4.00 per share, net to the seller in cash, less any applicable withholding taxes and without interest, upon the terms and subject to the conditions set forth in the Offer to Purchase dated August 18, 2008 (the “Offer to Purchase”), and in the Letter of Transmittal (the “Letter of Transmittal”) (which, together with any supplements and amendments thereto, collectively constitute the “Tender Offer”).</w:t>
      </w:r>
    </w:p>
    <w:p>
      <w:pPr>
        <w:spacing w:after="0" w:line="18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 information in the Tender Offer, including all schedules and annexes thereto, which was previously filed with the Schedule TO, is hereby expressly incorporated by reference into this Amendment, except that such information is hereby amended to the extent specifically provided 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Item 11 of the Schedule TO is hereby amended and supplemented by adding the following:</w:t>
      </w:r>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September 23, 2008, the Company issued a press release announcing the final results of the Tender Offer, which expired at 12:00 midnight, Eastern time, on September 16, 2008. A copy of the press release is filed as Exhibit (a)(5)(C) to this Schedule TO and is incorporated herein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hereby amended by adding the following exhibit:</w:t>
      </w:r>
    </w:p>
    <w:p>
      <w:pPr>
        <w:spacing w:after="0" w:line="252" w:lineRule="exact"/>
        <w:rPr>
          <w:sz w:val="20"/>
          <w:szCs w:val="20"/>
          <w:color w:val="auto"/>
        </w:rPr>
      </w:pPr>
    </w:p>
    <w:p>
      <w:pPr>
        <w:ind w:right="4600"/>
        <w:spacing w:after="0" w:line="277" w:lineRule="auto"/>
        <w:rPr>
          <w:sz w:val="20"/>
          <w:szCs w:val="20"/>
          <w:color w:val="auto"/>
        </w:rPr>
      </w:pPr>
      <w:r>
        <w:rPr>
          <w:rFonts w:ascii="Arial" w:cs="Arial" w:eastAsia="Arial" w:hAnsi="Arial"/>
          <w:sz w:val="18"/>
          <w:szCs w:val="18"/>
          <w:color w:val="auto"/>
        </w:rPr>
        <w:t>(a)(5) Press Release, dated September 23, 2008, announcing final results of the Tender Offer (C)</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By: /s/ Greg A. LeClaire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 A. LeClaire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ectPr>
          <w:pgSz w:w="11900" w:h="16838" w:orient="portrait"/>
          <w:cols w:equalWidth="0" w:num="1">
            <w:col w:w="10880"/>
          </w:cols>
          <w:pgMar w:left="240" w:top="513" w:right="779" w:bottom="1440" w:gutter="0" w:footer="0" w:header="0"/>
        </w:sectPr>
      </w:pPr>
    </w:p>
    <w:p>
      <w:pPr>
        <w:spacing w:after="0" w:line="252" w:lineRule="exact"/>
        <w:rPr>
          <w:sz w:val="20"/>
          <w:szCs w:val="20"/>
          <w:color w:val="auto"/>
        </w:rPr>
      </w:pPr>
    </w:p>
    <w:p>
      <w:pPr>
        <w:jc w:val="both"/>
        <w:ind w:left="200" w:firstLine="35"/>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51" w:lineRule="exact"/>
        <w:rPr>
          <w:sz w:val="20"/>
          <w:szCs w:val="20"/>
          <w:color w:val="auto"/>
        </w:rPr>
      </w:pPr>
    </w:p>
    <w:p>
      <w:pPr>
        <w:sectPr>
          <w:pgSz w:w="11900" w:h="16838" w:orient="portrait"/>
          <w:cols w:equalWidth="0" w:num="2">
            <w:col w:w="840" w:space="200"/>
            <w:col w:w="9840"/>
          </w:cols>
          <w:pgMar w:left="240" w:top="513" w:right="779" w:bottom="1440" w:gutter="0" w:footer="0" w:header="0"/>
          <w:type w:val="continuous"/>
        </w:sectPr>
      </w:pPr>
    </w:p>
    <w:p>
      <w:pPr>
        <w:spacing w:after="0"/>
        <w:rPr>
          <w:sz w:val="20"/>
          <w:szCs w:val="20"/>
          <w:color w:val="auto"/>
        </w:rPr>
      </w:pPr>
      <w:r>
        <w:rPr>
          <w:rFonts w:ascii="Arial" w:cs="Arial" w:eastAsia="Arial" w:hAnsi="Arial"/>
          <w:sz w:val="18"/>
          <w:szCs w:val="18"/>
          <w:color w:val="auto"/>
        </w:rPr>
        <w:t>(a)(1)(A)*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(a)(1)(C)*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(a)(1)(D)*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(a)(1)(E)*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(a)(1)(F)*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(a)(5)(A)*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(a)(5)(B)**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(a)(5)(C)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Offer to Purchase, dated August 18,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Letter of Transmittal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of Guaranteed Delivery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Letter to Brokers, Dealers, Commercial Banks, Trust Companies and Other Nominees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Letter to Clients for use by Brokers, Dealers, Commercial Banks, Trust Companies and Other Nominees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Letter to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Advertisement/Press Release, dated August 11, 2008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Advertisement/Press Release announcing preliminary results of the Tender Offer, dated September 17,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Advertisement/Press Release announcing preliminary results of the Tender Offer, dated September 23, 2008</w:t>
      </w:r>
    </w:p>
    <w:p>
      <w:pPr>
        <w:spacing w:after="0" w:line="31" w:lineRule="exact"/>
        <w:rPr>
          <w:sz w:val="20"/>
          <w:szCs w:val="20"/>
          <w:color w:val="auto"/>
        </w:rPr>
      </w:pPr>
    </w:p>
    <w:p>
      <w:pPr>
        <w:sectPr>
          <w:pgSz w:w="11900" w:h="16838" w:orient="portrait"/>
          <w:cols w:equalWidth="0" w:num="2">
            <w:col w:w="840" w:space="200"/>
            <w:col w:w="9840"/>
          </w:cols>
          <w:pgMar w:left="240" w:top="513" w:right="779" w:bottom="1440" w:gutter="0" w:footer="0" w:header="0"/>
          <w:type w:val="continuous"/>
        </w:sect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Margin Loan Agreement, dated September 10, 2008, between ClearOne Communications, Inc. and UBS Financial Services, Inc. (4)</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ClearOne Communications, Inc. 2007 Equity Incentive Plan (1)</w:t>
      </w:r>
    </w:p>
    <w:p>
      <w:pPr>
        <w:spacing w:after="0" w:line="9"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ClearOne Communications, Inc. 1998 Stock Option Plan (2)</w:t>
      </w:r>
    </w:p>
    <w:p>
      <w:pPr>
        <w:spacing w:after="0" w:line="9" w:lineRule="exact"/>
        <w:rPr>
          <w:sz w:val="20"/>
          <w:szCs w:val="20"/>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ClearOne Communications, Inc. 1997 Employee Stock Purchase Plan (3)</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Schedule TO on August 18, 2008</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 with Amendment No. 2 to Schedule TO on September 17, 2008</w:t>
      </w:r>
    </w:p>
    <w:p>
      <w:pPr>
        <w:spacing w:after="0" w:line="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4.7 of the Company’s Registration Statement on Form S-8 filed January 22, 2008 (File No. 333-148789).</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4.8 of the Company’s Registration Statement on Form S-8 filed October 6, 2006 (File No. 333-137859).</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Exhibit 4.9 of the Company’s Registration Statement on Form S-8 filed October 6, 2006 (File No. 333-137859).</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10.20 of the Company’s report on Form 8-K filed September 10, 2008.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880"/>
          </w:cols>
          <w:pgMar w:left="240" w:top="513" w:right="7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(a)(5)(C)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CLRO LOGO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&amp;#</w:t>
            </w:r>
          </w:p>
        </w:tc>
      </w:tr>
      <w:tr>
        <w:trPr>
          <w:trHeight w:val="216"/>
        </w:trPr>
        <w:tc>
          <w:tcPr>
            <w:tcW w:w="3000" w:type="dxa"/>
            <w:vAlign w:val="bottom"/>
          </w:tcPr>
          <w:p>
            <w:pPr>
              <w:jc w:val="right"/>
              <w:ind w:right="2590"/>
              <w:spacing w:after="0"/>
              <w:rPr>
                <w:sz w:val="20"/>
                <w:szCs w:val="20"/>
                <w:color w:val="auto"/>
              </w:rPr>
            </w:pPr>
            <w:r>
              <w:rPr>
                <w:rFonts w:ascii="Arial" w:cs="Arial" w:eastAsia="Arial" w:hAnsi="Arial"/>
                <w:sz w:val="18"/>
                <w:szCs w:val="18"/>
                <w:color w:val="auto"/>
                <w:w w:val="85"/>
              </w:rPr>
              <w:t>160;</w:t>
            </w:r>
          </w:p>
        </w:tc>
        <w:tc>
          <w:tcPr>
            <w:tcW w:w="3500" w:type="dxa"/>
            <w:vAlign w:val="bottom"/>
          </w:tcPr>
          <w:p>
            <w:pPr>
              <w:ind w:left="2660"/>
              <w:spacing w:after="0"/>
              <w:rPr>
                <w:sz w:val="20"/>
                <w:szCs w:val="20"/>
                <w:color w:val="auto"/>
              </w:rPr>
            </w:pPr>
            <w:r>
              <w:rPr>
                <w:rFonts w:ascii="Arial" w:cs="Arial" w:eastAsia="Arial" w:hAnsi="Arial"/>
                <w:sz w:val="18"/>
                <w:szCs w:val="18"/>
                <w:color w:val="auto"/>
              </w:rPr>
              <w:t>Contacts:</w:t>
            </w:r>
          </w:p>
        </w:tc>
        <w:tc>
          <w:tcPr>
            <w:tcW w:w="2480" w:type="dxa"/>
            <w:vAlign w:val="bottom"/>
          </w:tcPr>
          <w:p>
            <w:pPr>
              <w:jc w:val="right"/>
              <w:spacing w:after="0"/>
              <w:rPr>
                <w:sz w:val="20"/>
                <w:szCs w:val="20"/>
                <w:color w:val="auto"/>
              </w:rPr>
            </w:pPr>
            <w:r>
              <w:rPr>
                <w:rFonts w:ascii="Arial" w:cs="Arial" w:eastAsia="Arial" w:hAnsi="Arial"/>
                <w:sz w:val="18"/>
                <w:szCs w:val="18"/>
                <w:color w:val="auto"/>
                <w:w w:val="96"/>
              </w:rPr>
              <w:t>ClearOne Communications, Inc.</w:t>
            </w:r>
          </w:p>
        </w:tc>
      </w:tr>
      <w:tr>
        <w:trPr>
          <w:trHeight w:val="216"/>
        </w:trPr>
        <w:tc>
          <w:tcPr>
            <w:tcW w:w="3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&amp;#</w:t>
            </w:r>
          </w:p>
        </w:tc>
      </w:tr>
      <w:tr>
        <w:trPr>
          <w:trHeight w:val="216"/>
        </w:trPr>
        <w:tc>
          <w:tcPr>
            <w:tcW w:w="3000" w:type="dxa"/>
            <w:vAlign w:val="bottom"/>
          </w:tcPr>
          <w:p>
            <w:pPr>
              <w:jc w:val="right"/>
              <w:ind w:right="2590"/>
              <w:spacing w:after="0"/>
              <w:rPr>
                <w:sz w:val="20"/>
                <w:szCs w:val="20"/>
                <w:color w:val="auto"/>
              </w:rPr>
            </w:pPr>
            <w:r>
              <w:rPr>
                <w:rFonts w:ascii="Arial" w:cs="Arial" w:eastAsia="Arial" w:hAnsi="Arial"/>
                <w:sz w:val="18"/>
                <w:szCs w:val="18"/>
                <w:color w:val="auto"/>
                <w:w w:val="85"/>
              </w:rPr>
              <w:t>160;</w:t>
            </w:r>
          </w:p>
        </w:tc>
        <w:tc>
          <w:tcPr>
            <w:tcW w:w="3500" w:type="dxa"/>
            <w:vAlign w:val="bottom"/>
          </w:tcPr>
          <w:p>
            <w:pPr>
              <w:spacing w:after="0"/>
              <w:rPr>
                <w:sz w:val="18"/>
                <w:szCs w:val="18"/>
                <w:color w:val="auto"/>
              </w:rPr>
            </w:pPr>
          </w:p>
        </w:tc>
        <w:tc>
          <w:tcPr>
            <w:tcW w:w="2480" w:type="dxa"/>
            <w:vAlign w:val="bottom"/>
          </w:tcPr>
          <w:p>
            <w:pPr>
              <w:ind w:left="480"/>
              <w:spacing w:after="0"/>
              <w:rPr>
                <w:sz w:val="20"/>
                <w:szCs w:val="20"/>
                <w:color w:val="auto"/>
              </w:rPr>
            </w:pPr>
            <w:r>
              <w:rPr>
                <w:rFonts w:ascii="Arial" w:cs="Arial" w:eastAsia="Arial" w:hAnsi="Arial"/>
                <w:sz w:val="18"/>
                <w:szCs w:val="18"/>
                <w:color w:val="auto"/>
              </w:rPr>
              <w:t>Investor Relations</w:t>
            </w:r>
          </w:p>
        </w:tc>
      </w:tr>
      <w:tr>
        <w:trPr>
          <w:trHeight w:val="216"/>
        </w:trPr>
        <w:tc>
          <w:tcPr>
            <w:tcW w:w="30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&amp;#</w:t>
            </w:r>
          </w:p>
        </w:tc>
      </w:tr>
      <w:tr>
        <w:trPr>
          <w:trHeight w:val="230"/>
        </w:trPr>
        <w:tc>
          <w:tcPr>
            <w:tcW w:w="3000" w:type="dxa"/>
            <w:vAlign w:val="bottom"/>
          </w:tcPr>
          <w:p>
            <w:pPr>
              <w:jc w:val="right"/>
              <w:ind w:right="2590"/>
              <w:spacing w:after="0"/>
              <w:rPr>
                <w:sz w:val="20"/>
                <w:szCs w:val="20"/>
                <w:color w:val="auto"/>
              </w:rPr>
            </w:pPr>
            <w:r>
              <w:rPr>
                <w:rFonts w:ascii="Arial" w:cs="Arial" w:eastAsia="Arial" w:hAnsi="Arial"/>
                <w:sz w:val="18"/>
                <w:szCs w:val="18"/>
                <w:color w:val="auto"/>
                <w:w w:val="85"/>
              </w:rPr>
              <w:t>160;</w:t>
            </w:r>
          </w:p>
        </w:tc>
        <w:tc>
          <w:tcPr>
            <w:tcW w:w="3500" w:type="dxa"/>
            <w:vAlign w:val="bottom"/>
          </w:tcPr>
          <w:p>
            <w:pPr>
              <w:spacing w:after="0"/>
              <w:rPr>
                <w:sz w:val="20"/>
                <w:szCs w:val="20"/>
                <w:color w:val="auto"/>
              </w:rPr>
            </w:pPr>
          </w:p>
        </w:tc>
        <w:tc>
          <w:tcPr>
            <w:tcW w:w="2480" w:type="dxa"/>
            <w:vAlign w:val="bottom"/>
          </w:tcPr>
          <w:p>
            <w:pPr>
              <w:ind w:left="480"/>
              <w:spacing w:after="0"/>
              <w:rPr>
                <w:sz w:val="20"/>
                <w:szCs w:val="20"/>
                <w:color w:val="auto"/>
              </w:rPr>
            </w:pPr>
            <w:r>
              <w:rPr>
                <w:rFonts w:ascii="Arial" w:cs="Arial" w:eastAsia="Arial" w:hAnsi="Arial"/>
                <w:sz w:val="18"/>
                <w:szCs w:val="18"/>
                <w:color w:val="auto"/>
              </w:rPr>
              <w:t>(801) 303-3555</w:t>
            </w: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ANNOUNCES FINAL RESULTS OF TENDER OFFER</w:t>
      </w:r>
    </w:p>
    <w:p>
      <w:pPr>
        <w:spacing w:after="0" w:line="25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Salt Lake City, UT –September 23, 2008 – </w:t>
      </w:r>
      <w:r>
        <w:rPr>
          <w:rFonts w:ascii="Arial" w:cs="Arial" w:eastAsia="Arial" w:hAnsi="Arial"/>
          <w:sz w:val="18"/>
          <w:szCs w:val="18"/>
          <w:color w:val="auto"/>
        </w:rPr>
        <w:t>ClearOne (NASDAQ: CLRO) today announced the final results of its modified Dutch auction tender offer,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expired at 12:00 midnight, Eastern Time, on Tuesday, September 16, 2008.</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ClearOne has accepted for purchase 1,342,620 shares of its common stock at a price of $5.00 per share, for a total cost including fees of approximately $6.75 million. These shares represent approximately 13 percent of shares outstanding.</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depositary will promptly pay for the shares accepted for purchase. With completion of the tender offer, ClearOne now has approximately 8,888,000 shares of common stock outstanding.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13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x"/>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x"/>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2019-12-13T18:11:45Z</dcterms:created>
  <dcterms:modified xsi:type="dcterms:W3CDTF">2019-12-13T18:11:45Z</dcterms:modified>
</cp:coreProperties>
</file>