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7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tc>
        <w:tc>
          <w:tcPr>
            <w:tcW w:w="168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(CHECK ONE):</w:t>
            </w: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Form 10-K</w:t>
            </w:r>
          </w:p>
        </w:tc>
        <w:tc>
          <w:tcPr>
            <w:tcW w:w="1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 Form 20-F</w:t>
            </w:r>
          </w:p>
        </w:tc>
        <w:tc>
          <w:tcPr>
            <w:tcW w:w="2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 Form 11-K</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 Form 10-Q</w:t>
            </w:r>
          </w:p>
        </w:tc>
        <w:tc>
          <w:tcPr>
            <w:tcW w:w="2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 Form N-SAR</w:t>
            </w:r>
          </w:p>
        </w:tc>
      </w:tr>
      <w:tr>
        <w:trPr>
          <w:trHeight w:val="486"/>
        </w:trPr>
        <w:tc>
          <w:tcPr>
            <w:tcW w:w="2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 Period Ended:</w:t>
            </w:r>
          </w:p>
        </w:tc>
        <w:tc>
          <w:tcPr>
            <w:tcW w:w="1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March 31, 2024</w:t>
            </w:r>
          </w:p>
        </w:tc>
        <w:tc>
          <w:tcPr>
            <w:tcW w:w="15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pacing w:after="0" w:line="198" w:lineRule="exact"/>
        <w:rPr>
          <w:sz w:val="24"/>
          <w:szCs w:val="24"/>
          <w:color w:val="auto"/>
        </w:rPr>
      </w:pPr>
    </w:p>
    <w:p>
      <w:pPr>
        <w:ind w:left="1680" w:hanging="147"/>
        <w:spacing w:after="0"/>
        <w:tabs>
          <w:tab w:leader="none" w:pos="1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Report on Form 10-K</w:t>
      </w:r>
    </w:p>
    <w:p>
      <w:pPr>
        <w:spacing w:after="0" w:line="27" w:lineRule="exact"/>
        <w:rPr>
          <w:rFonts w:ascii="Times New Roman" w:cs="Times New Roman" w:eastAsia="Times New Roman" w:hAnsi="Times New Roman"/>
          <w:sz w:val="18"/>
          <w:szCs w:val="18"/>
          <w:color w:val="auto"/>
        </w:rPr>
      </w:pPr>
    </w:p>
    <w:p>
      <w:pPr>
        <w:ind w:left="1680" w:hanging="147"/>
        <w:spacing w:after="0"/>
        <w:tabs>
          <w:tab w:leader="none" w:pos="1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Report on Form 20-F</w:t>
      </w:r>
    </w:p>
    <w:p>
      <w:pPr>
        <w:spacing w:after="0" w:line="22" w:lineRule="exact"/>
        <w:rPr>
          <w:rFonts w:ascii="Times New Roman" w:cs="Times New Roman" w:eastAsia="Times New Roman" w:hAnsi="Times New Roman"/>
          <w:sz w:val="18"/>
          <w:szCs w:val="18"/>
          <w:color w:val="auto"/>
        </w:rPr>
      </w:pPr>
    </w:p>
    <w:p>
      <w:pPr>
        <w:ind w:left="1680" w:hanging="147"/>
        <w:spacing w:after="0"/>
        <w:tabs>
          <w:tab w:leader="none" w:pos="1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Report on Form 11-K</w:t>
      </w:r>
    </w:p>
    <w:p>
      <w:pPr>
        <w:spacing w:after="0" w:line="22" w:lineRule="exact"/>
        <w:rPr>
          <w:rFonts w:ascii="Times New Roman" w:cs="Times New Roman" w:eastAsia="Times New Roman" w:hAnsi="Times New Roman"/>
          <w:sz w:val="18"/>
          <w:szCs w:val="18"/>
          <w:color w:val="auto"/>
        </w:rPr>
      </w:pPr>
    </w:p>
    <w:p>
      <w:pPr>
        <w:ind w:left="1680" w:hanging="147"/>
        <w:spacing w:after="0"/>
        <w:tabs>
          <w:tab w:leader="none" w:pos="1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Report on Form 10-Q</w:t>
      </w:r>
    </w:p>
    <w:p>
      <w:pPr>
        <w:spacing w:after="0" w:line="22" w:lineRule="exact"/>
        <w:rPr>
          <w:rFonts w:ascii="Times New Roman" w:cs="Times New Roman" w:eastAsia="Times New Roman" w:hAnsi="Times New Roman"/>
          <w:sz w:val="18"/>
          <w:szCs w:val="18"/>
          <w:color w:val="auto"/>
        </w:rPr>
      </w:pPr>
    </w:p>
    <w:p>
      <w:pPr>
        <w:ind w:left="1540" w:right="6980" w:hanging="7"/>
        <w:spacing w:after="0" w:line="323" w:lineRule="auto"/>
        <w:tabs>
          <w:tab w:leader="none" w:pos="169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]Transition Report on Form N-SAR For the Transaction Period Ended:</w:t>
      </w:r>
    </w:p>
    <w:p>
      <w:pPr>
        <w:spacing w:after="0" w:line="140" w:lineRule="exact"/>
        <w:rPr>
          <w:sz w:val="24"/>
          <w:szCs w:val="24"/>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READ INSTRUCTION (ON BACK PAGE) BEFORE PREPARING FORM. PLEASE PRINT OR TYPE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5225 Wiley Post Way, Suite 500</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Salt Lake City, Utah 84116</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 (a) The reasons described in reasonable detail in Part III of this form could not be eliminated without unreasonable effort or expense;</w:t>
      </w:r>
    </w:p>
    <w:p>
      <w:pPr>
        <w:spacing w:after="0" w:line="239" w:lineRule="exact"/>
        <w:rPr>
          <w:sz w:val="20"/>
          <w:szCs w:val="20"/>
          <w:color w:val="auto"/>
        </w:rPr>
      </w:pPr>
    </w:p>
    <w:p>
      <w:pPr>
        <w:ind w:left="600" w:hanging="545"/>
        <w:spacing w:after="0" w:line="266" w:lineRule="auto"/>
        <w:tabs>
          <w:tab w:leader="none" w:pos="3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subject annual report, semi-annual report, transition report on Form 10-K, Form 20-F, 11-K or Form N-SAR,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2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 (c) The accountant’s statement or other exhibit required by Rule 12b-25(c) has been attached if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N-SAR, or the transition report or portion thereof, could not be filed within the prescribed time period.</w:t>
      </w:r>
    </w:p>
    <w:p>
      <w:pPr>
        <w:spacing w:after="0" w:line="162" w:lineRule="exact"/>
        <w:rPr>
          <w:sz w:val="20"/>
          <w:szCs w:val="20"/>
          <w:color w:val="auto"/>
        </w:rPr>
      </w:pPr>
    </w:p>
    <w:p>
      <w:pPr>
        <w:jc w:val="both"/>
        <w:ind w:firstLine="891"/>
        <w:spacing w:after="0" w:line="281" w:lineRule="auto"/>
        <w:rPr>
          <w:sz w:val="20"/>
          <w:szCs w:val="20"/>
          <w:color w:val="auto"/>
        </w:rPr>
      </w:pPr>
      <w:r>
        <w:rPr>
          <w:rFonts w:ascii="Times New Roman" w:cs="Times New Roman" w:eastAsia="Times New Roman" w:hAnsi="Times New Roman"/>
          <w:sz w:val="18"/>
          <w:szCs w:val="18"/>
          <w:color w:val="auto"/>
        </w:rPr>
        <w:t>ClearOne, Inc. (the “Company”) was unable to file its Form 10-Q for the period ended March 31, 2024. The Company could not complete the filing of Form 10-Q without unreasonable effort and expense within the prescribed time due to additional time and resources needed to for the Company’s independent auditor to complete its review procedures in connection with the Form 10-Q.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Simon Brewer</w:t>
            </w:r>
          </w:p>
        </w:tc>
        <w:tc>
          <w:tcPr>
            <w:tcW w:w="358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tcPr>
          <w:p>
            <w:pPr>
              <w:spacing w:after="0"/>
              <w:rPr>
                <w:sz w:val="20"/>
                <w:szCs w:val="20"/>
                <w:color w:val="auto"/>
              </w:rPr>
            </w:pPr>
          </w:p>
        </w:tc>
        <w:tc>
          <w:tcPr>
            <w:tcW w:w="36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975-7200</w:t>
            </w:r>
          </w:p>
        </w:tc>
      </w:tr>
      <w:tr>
        <w:trPr>
          <w:trHeight w:val="234"/>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20"/>
                <w:szCs w:val="20"/>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2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left="260" w:right="40" w:hanging="252"/>
        <w:spacing w:after="0" w:line="266"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216" w:lineRule="exact"/>
        <w:rPr>
          <w:sz w:val="20"/>
          <w:szCs w:val="20"/>
          <w:color w:val="auto"/>
        </w:rPr>
      </w:pPr>
    </w:p>
    <w:p>
      <w:pPr>
        <w:jc w:val="right"/>
        <w:spacing w:after="0"/>
        <w:tabs>
          <w:tab w:leader="none" w:pos="460" w:val="left"/>
        </w:tabs>
        <w:rPr>
          <w:sz w:val="20"/>
          <w:szCs w:val="20"/>
          <w:color w:val="auto"/>
        </w:rPr>
      </w:pPr>
      <w:r>
        <w:rPr>
          <w:rFonts w:ascii="Times New Roman" w:cs="Times New Roman" w:eastAsia="Times New Roman" w:hAnsi="Times New Roman"/>
          <w:sz w:val="18"/>
          <w:szCs w:val="18"/>
          <w:color w:val="auto"/>
        </w:rPr>
        <w:t>[X] Yes</w:t>
      </w:r>
      <w:r>
        <w:rPr>
          <w:sz w:val="20"/>
          <w:szCs w:val="20"/>
          <w:color w:val="auto"/>
        </w:rPr>
        <w:tab/>
      </w:r>
      <w:r>
        <w:rPr>
          <w:rFonts w:ascii="Times New Roman" w:cs="Times New Roman" w:eastAsia="Times New Roman" w:hAnsi="Times New Roman"/>
          <w:sz w:val="18"/>
          <w:szCs w:val="18"/>
          <w:color w:val="auto"/>
        </w:rPr>
        <w:t>[ ] No</w:t>
      </w:r>
    </w:p>
    <w:p>
      <w:pPr>
        <w:spacing w:after="0" w:line="239" w:lineRule="exact"/>
        <w:rPr>
          <w:sz w:val="20"/>
          <w:szCs w:val="20"/>
          <w:color w:val="auto"/>
        </w:rPr>
      </w:pPr>
    </w:p>
    <w:p>
      <w:pPr>
        <w:ind w:left="260" w:right="40" w:hanging="252"/>
        <w:spacing w:after="0" w:line="282" w:lineRule="auto"/>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02" w:lineRule="exact"/>
        <w:rPr>
          <w:sz w:val="20"/>
          <w:szCs w:val="20"/>
          <w:color w:val="auto"/>
        </w:rPr>
      </w:pPr>
    </w:p>
    <w:p>
      <w:pPr>
        <w:jc w:val="right"/>
        <w:spacing w:after="0"/>
        <w:tabs>
          <w:tab w:leader="none" w:pos="500" w:val="left"/>
        </w:tabs>
        <w:rPr>
          <w:sz w:val="20"/>
          <w:szCs w:val="20"/>
          <w:color w:val="auto"/>
        </w:rPr>
      </w:pPr>
      <w:r>
        <w:rPr>
          <w:rFonts w:ascii="Times New Roman" w:cs="Times New Roman" w:eastAsia="Times New Roman" w:hAnsi="Times New Roman"/>
          <w:sz w:val="18"/>
          <w:szCs w:val="18"/>
          <w:color w:val="auto"/>
        </w:rPr>
        <w:t>[ ] Yes</w:t>
      </w:r>
      <w:r>
        <w:rPr>
          <w:sz w:val="20"/>
          <w:szCs w:val="20"/>
          <w:color w:val="auto"/>
        </w:rPr>
        <w:tab/>
      </w:r>
      <w:r>
        <w:rPr>
          <w:rFonts w:ascii="Times New Roman" w:cs="Times New Roman" w:eastAsia="Times New Roman" w:hAnsi="Times New Roman"/>
          <w:sz w:val="18"/>
          <w:szCs w:val="18"/>
          <w:color w:val="auto"/>
        </w:rPr>
        <w:t>[X] No</w:t>
      </w:r>
    </w:p>
    <w:p>
      <w:pPr>
        <w:spacing w:after="0" w:line="239" w:lineRule="exact"/>
        <w:rPr>
          <w:sz w:val="20"/>
          <w:szCs w:val="20"/>
          <w:color w:val="auto"/>
        </w:rPr>
      </w:pPr>
    </w:p>
    <w:p>
      <w:pPr>
        <w:ind w:left="40" w:right="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5"/>
        </w:trPr>
        <w:tc>
          <w:tcPr>
            <w:tcW w:w="2700" w:type="dxa"/>
            <w:vAlign w:val="bottom"/>
            <w:tcBorders>
              <w:bottom w:val="single" w:sz="8" w:color="auto"/>
            </w:tcBorders>
          </w:tcPr>
          <w:p>
            <w:pPr>
              <w:spacing w:after="0"/>
              <w:rPr>
                <w:sz w:val="21"/>
                <w:szCs w:val="21"/>
                <w:color w:val="auto"/>
              </w:rPr>
            </w:pPr>
          </w:p>
        </w:tc>
        <w:tc>
          <w:tcPr>
            <w:tcW w:w="8540" w:type="dxa"/>
            <w:vAlign w:val="bottom"/>
            <w:tcBorders>
              <w:bottom w:val="single" w:sz="8" w:color="auto"/>
            </w:tcBorders>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rPr>
              <w:t>ClearOne, Inc.</w:t>
            </w:r>
          </w:p>
        </w:tc>
      </w:tr>
      <w:tr>
        <w:trPr>
          <w:trHeight w:val="234"/>
        </w:trPr>
        <w:tc>
          <w:tcPr>
            <w:tcW w:w="2700" w:type="dxa"/>
            <w:vAlign w:val="bottom"/>
          </w:tcPr>
          <w:p>
            <w:pPr>
              <w:spacing w:after="0"/>
              <w:rPr>
                <w:sz w:val="20"/>
                <w:szCs w:val="20"/>
                <w:color w:val="auto"/>
              </w:rPr>
            </w:pPr>
          </w:p>
        </w:tc>
        <w:tc>
          <w:tcPr>
            <w:tcW w:w="8540" w:type="dxa"/>
            <w:vAlign w:val="bottom"/>
          </w:tcPr>
          <w:p>
            <w:pPr>
              <w:jc w:val="center"/>
              <w:ind w:right="2590"/>
              <w:spacing w:after="0"/>
              <w:rPr>
                <w:sz w:val="20"/>
                <w:szCs w:val="20"/>
                <w:color w:val="auto"/>
              </w:rPr>
            </w:pPr>
            <w:r>
              <w:rPr>
                <w:rFonts w:ascii="Times New Roman" w:cs="Times New Roman" w:eastAsia="Times New Roman" w:hAnsi="Times New Roman"/>
                <w:sz w:val="18"/>
                <w:szCs w:val="18"/>
                <w:color w:val="auto"/>
              </w:rPr>
              <w:t>(Name of Registrant as Specified in Charter)</w:t>
            </w:r>
          </w:p>
        </w:tc>
      </w:tr>
      <w:tr>
        <w:trPr>
          <w:trHeight w:val="414"/>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tc>
      </w:tr>
      <w:tr>
        <w:trPr>
          <w:trHeight w:val="445"/>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2024</w:t>
            </w:r>
          </w:p>
        </w:tc>
        <w:tc>
          <w:tcPr>
            <w:tcW w:w="854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Simon Brewer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0</wp:posOffset>
            </wp:positionV>
            <wp:extent cx="3360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8"/>
          <w:szCs w:val="18"/>
          <w:color w:val="auto"/>
        </w:rPr>
        <w:t>Simon Brewer, Chief Financial Officer</w:t>
      </w:r>
    </w:p>
    <w:p>
      <w:pPr>
        <w:spacing w:after="0" w:line="21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INSTRUCTION: </w:t>
      </w:r>
      <w:r>
        <w:rPr>
          <w:rFonts w:ascii="Times New Roman" w:cs="Times New Roman" w:eastAsia="Times New Roman" w:hAnsi="Times New Roman"/>
          <w:sz w:val="18"/>
          <w:szCs w:val="18"/>
          <w:color w:val="auto"/>
        </w:rPr>
        <w:t>The form may be signed by an executive officer of the registrant or by any other duly authorized representative. The name and title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7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CONSTITUTE FEDERAL CRIMINAL VIOLATIONS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2024-05-16T08:23:22Z</dcterms:created>
  <dcterms:modified xsi:type="dcterms:W3CDTF">2024-05-16T08:23:22Z</dcterms:modified>
</cp:coreProperties>
</file>