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July 23, 2012</w:t>
      </w: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jc w:val="right"/>
              <w:ind w:right="2130"/>
              <w:spacing w:after="0"/>
              <w:rPr>
                <w:sz w:val="20"/>
                <w:szCs w:val="20"/>
                <w:color w:val="auto"/>
              </w:rPr>
            </w:pPr>
            <w:r>
              <w:rPr>
                <w:rFonts w:ascii="Arial" w:cs="Arial" w:eastAsia="Arial" w:hAnsi="Arial"/>
                <w:sz w:val="18"/>
                <w:szCs w:val="18"/>
                <w:b w:val="1"/>
                <w:bCs w:val="1"/>
                <w:color w:val="auto"/>
              </w:rPr>
              <w:t>001-33660</w:t>
            </w:r>
          </w:p>
        </w:tc>
        <w:tc>
          <w:tcPr>
            <w:tcW w:w="52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5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200" w:type="dxa"/>
            <w:vAlign w:val="bottom"/>
          </w:tcPr>
          <w:p>
            <w:pPr>
              <w:jc w:val="center"/>
              <w:ind w:left="2230"/>
              <w:spacing w:after="0"/>
              <w:rPr>
                <w:sz w:val="20"/>
                <w:szCs w:val="20"/>
                <w:color w:val="auto"/>
              </w:rPr>
            </w:pPr>
            <w:r>
              <w:rPr>
                <w:rFonts w:ascii="Arial" w:cs="Arial" w:eastAsia="Arial" w:hAnsi="Arial"/>
                <w:sz w:val="18"/>
                <w:szCs w:val="18"/>
                <w:b w:val="1"/>
                <w:bCs w:val="1"/>
                <w:color w:val="auto"/>
                <w:w w:val="89"/>
              </w:rPr>
              <w:t>5225 Wiley Post Way, Suite 500</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1"/>
        </w:trPr>
        <w:tc>
          <w:tcPr>
            <w:tcW w:w="5200" w:type="dxa"/>
            <w:vAlign w:val="bottom"/>
          </w:tcPr>
          <w:p>
            <w:pPr>
              <w:jc w:val="center"/>
              <w:ind w:left="2230"/>
              <w:spacing w:after="0"/>
              <w:rPr>
                <w:sz w:val="20"/>
                <w:szCs w:val="20"/>
                <w:color w:val="auto"/>
              </w:rPr>
            </w:pPr>
            <w:r>
              <w:rPr>
                <w:rFonts w:ascii="Arial" w:cs="Arial" w:eastAsia="Arial" w:hAnsi="Arial"/>
                <w:sz w:val="18"/>
                <w:szCs w:val="18"/>
                <w:b w:val="1"/>
                <w:bCs w:val="1"/>
                <w:color w:val="auto"/>
                <w:w w:val="92"/>
              </w:rPr>
              <w:t>Salt Lake City, Utah</w:t>
            </w:r>
          </w:p>
        </w:tc>
        <w:tc>
          <w:tcPr>
            <w:tcW w:w="52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200" w:type="dxa"/>
            <w:vAlign w:val="bottom"/>
            <w:tcBorders>
              <w:top w:val="single" w:sz="8" w:color="auto"/>
            </w:tcBorders>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1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96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976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996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89"/>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9760" w:type="dxa"/>
            <w:vAlign w:val="bottom"/>
          </w:tcPr>
          <w:p>
            <w:pPr>
              <w:ind w:left="60"/>
              <w:spacing w:after="0"/>
              <w:rPr>
                <w:sz w:val="20"/>
                <w:szCs w:val="20"/>
                <w:color w:val="auto"/>
              </w:rPr>
            </w:pPr>
            <w:r>
              <w:rPr>
                <w:rFonts w:ascii="Arial" w:cs="Arial" w:eastAsia="Arial" w:hAnsi="Arial"/>
                <w:sz w:val="22"/>
                <w:szCs w:val="22"/>
                <w:color w:val="auto"/>
                <w:w w:val="89"/>
              </w:rPr>
              <w:t>Pre-commencement communication pursuant to Rule 13e-4(c) under the Exchange Act (17 CFR 240.13e-4(c))</w:t>
            </w:r>
          </w:p>
        </w:tc>
      </w:tr>
    </w:tbl>
    <w:p>
      <w:pPr>
        <w:spacing w:after="0" w:line="200" w:lineRule="exact"/>
        <w:rPr>
          <w:sz w:val="24"/>
          <w:szCs w:val="24"/>
          <w:color w:val="auto"/>
        </w:rPr>
      </w:pPr>
    </w:p>
    <w:p>
      <w:pPr>
        <w:spacing w:after="0" w:line="258"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49" w:lineRule="exact"/>
        <w:rPr>
          <w:sz w:val="24"/>
          <w:szCs w:val="24"/>
          <w:color w:val="auto"/>
        </w:rPr>
      </w:pPr>
    </w:p>
    <w:p>
      <w:pPr>
        <w:jc w:val="both"/>
        <w:ind w:right="140" w:firstLine="8"/>
        <w:spacing w:after="0"/>
        <w:tabs>
          <w:tab w:leader="none" w:pos="510" w:val="left"/>
        </w:tabs>
        <w:numPr>
          <w:ilvl w:val="0"/>
          <w:numId w:val="1"/>
        </w:numPr>
        <w:rPr>
          <w:rFonts w:ascii="Arial" w:cs="Arial" w:eastAsia="Arial" w:hAnsi="Arial"/>
          <w:sz w:val="22"/>
          <w:szCs w:val="22"/>
          <w:color w:val="auto"/>
        </w:rPr>
      </w:pPr>
      <w:r>
        <w:rPr>
          <w:rFonts w:ascii="Arial" w:cs="Arial" w:eastAsia="Arial" w:hAnsi="Arial"/>
          <w:sz w:val="22"/>
          <w:szCs w:val="22"/>
          <w:color w:val="auto"/>
        </w:rPr>
        <w:t>On July 23, 2012, ClearOne Communications, Inc. (the “Company”) replaced its independent registered public accounting firm, Jones Simkins, P.C. (“Jones Simkins”). The decision to replace Jones Simkins was approved by the Audit Committee of the Board of Directors of the Company.</w:t>
      </w:r>
    </w:p>
    <w:p>
      <w:pPr>
        <w:spacing w:after="0" w:line="213" w:lineRule="exact"/>
        <w:rPr>
          <w:sz w:val="24"/>
          <w:szCs w:val="24"/>
          <w:color w:val="auto"/>
        </w:rPr>
      </w:pPr>
    </w:p>
    <w:p>
      <w:pPr>
        <w:jc w:val="both"/>
        <w:ind w:right="200" w:firstLine="441"/>
        <w:spacing w:after="0"/>
        <w:rPr>
          <w:sz w:val="20"/>
          <w:szCs w:val="20"/>
          <w:color w:val="auto"/>
        </w:rPr>
      </w:pPr>
      <w:r>
        <w:rPr>
          <w:rFonts w:ascii="Arial" w:cs="Arial" w:eastAsia="Arial" w:hAnsi="Arial"/>
          <w:sz w:val="22"/>
          <w:szCs w:val="22"/>
          <w:color w:val="auto"/>
        </w:rPr>
        <w:t>Jones Simkins’ reports on the Company’s consolidated financial statements for each of the years ended December 31, 2011 and December 31, 2010 did not contain an adverse opinion or a disclaimer of opinion, nor were they qualified or modified as to uncertainty, audit scope or accounting principles.</w:t>
      </w:r>
    </w:p>
    <w:p>
      <w:pPr>
        <w:spacing w:after="0" w:line="213" w:lineRule="exact"/>
        <w:rPr>
          <w:sz w:val="24"/>
          <w:szCs w:val="24"/>
          <w:color w:val="auto"/>
        </w:rPr>
      </w:pPr>
    </w:p>
    <w:p>
      <w:pPr>
        <w:ind w:firstLine="441"/>
        <w:spacing w:after="0" w:line="235" w:lineRule="auto"/>
        <w:rPr>
          <w:sz w:val="20"/>
          <w:szCs w:val="20"/>
          <w:color w:val="auto"/>
        </w:rPr>
      </w:pPr>
      <w:r>
        <w:rPr>
          <w:rFonts w:ascii="Arial" w:cs="Arial" w:eastAsia="Arial" w:hAnsi="Arial"/>
          <w:sz w:val="22"/>
          <w:szCs w:val="22"/>
          <w:color w:val="auto"/>
        </w:rPr>
        <w:t>During the years ended December 31, 2011 and December 31, 2010 and through July 23, 2012, there were no disagreements between the Company and Jones Simkins on any matter of accounting principles or practices, financial statement disclosure or auditing scope or procedure which, if not resolved to Jones Simkins’ satisfaction, would have caused Jones Simkins to make a reference to the subject matter of the disagreement in connection with its report for such years and subsequent interim periods; and there were no reportable events as defined in Item 304(a)(1)(v) of Regulation S-K for such years and subsequent interim periods through July 23, 2012.</w:t>
      </w:r>
    </w:p>
    <w:p>
      <w:pPr>
        <w:spacing w:after="0" w:line="215" w:lineRule="exact"/>
        <w:rPr>
          <w:sz w:val="24"/>
          <w:szCs w:val="24"/>
          <w:color w:val="auto"/>
        </w:rPr>
      </w:pPr>
    </w:p>
    <w:p>
      <w:pPr>
        <w:ind w:right="100" w:firstLine="441"/>
        <w:spacing w:after="0" w:line="274" w:lineRule="auto"/>
        <w:rPr>
          <w:sz w:val="20"/>
          <w:szCs w:val="20"/>
          <w:color w:val="auto"/>
        </w:rPr>
      </w:pPr>
      <w:r>
        <w:rPr>
          <w:rFonts w:ascii="Arial" w:cs="Arial" w:eastAsia="Arial" w:hAnsi="Arial"/>
          <w:sz w:val="21"/>
          <w:szCs w:val="21"/>
          <w:color w:val="auto"/>
        </w:rPr>
        <w:t>The Company has provided Jones Simkins with a copy of this Current Report on Form 8-K. A copy of Jones Simkins’ letter, dated July 23, 2012, stating its agreement with the above statements is attached hereto as Exhibit 16.1.</w:t>
      </w:r>
    </w:p>
    <w:p>
      <w:pPr>
        <w:spacing w:after="0" w:line="178" w:lineRule="exact"/>
        <w:rPr>
          <w:sz w:val="24"/>
          <w:szCs w:val="24"/>
          <w:color w:val="auto"/>
        </w:rPr>
      </w:pPr>
    </w:p>
    <w:p>
      <w:pPr>
        <w:ind w:right="80" w:firstLine="8"/>
        <w:spacing w:after="0" w:line="297"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July 23, 2012, the Company engaged McGladrey LLP (“McGladrey”) to serve as its new independent registered public accounting firm for the 2012 fiscal year. During the years ended December 31, 2011 and December 31, 2010 and through July 23, 2012, neither the Company nor anyone acting on its behalf consulted McGladrey with respect to the application of accounting</w:t>
      </w:r>
    </w:p>
    <w:p>
      <w:pPr>
        <w:sectPr>
          <w:pgSz w:w="11900" w:h="16863" w:orient="portrait"/>
          <w:cols w:equalWidth="0" w:num="1">
            <w:col w:w="11320"/>
          </w:cols>
          <w:pgMar w:left="240" w:top="477" w:right="339" w:bottom="0" w:gutter="0" w:footer="0" w:header="0"/>
        </w:sectPr>
      </w:pPr>
    </w:p>
    <w:bookmarkStart w:id="1" w:name="page2"/>
    <w:bookmarkEnd w:id="1"/>
    <w:p>
      <w:pPr>
        <w:ind w:right="40"/>
        <w:spacing w:after="0" w:line="241" w:lineRule="auto"/>
        <w:rPr>
          <w:sz w:val="20"/>
          <w:szCs w:val="20"/>
          <w:color w:val="auto"/>
        </w:rPr>
      </w:pPr>
      <w:r>
        <w:rPr>
          <w:rFonts w:ascii="Arial" w:cs="Arial" w:eastAsia="Arial" w:hAnsi="Arial"/>
          <w:sz w:val="22"/>
          <w:szCs w:val="22"/>
          <w:color w:val="auto"/>
        </w:rPr>
        <w:t>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200" w:lineRule="exact"/>
        <w:rPr>
          <w:sz w:val="20"/>
          <w:szCs w:val="20"/>
          <w:color w:val="auto"/>
        </w:rPr>
      </w:pPr>
    </w:p>
    <w:p>
      <w:pPr>
        <w:spacing w:after="0" w:line="2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890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14"/>
                <w:szCs w:val="14"/>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Exhibit 16.1</w:t>
            </w:r>
          </w:p>
        </w:tc>
        <w:tc>
          <w:tcPr>
            <w:tcW w:w="9160" w:type="dxa"/>
            <w:vAlign w:val="bottom"/>
            <w:gridSpan w:val="2"/>
          </w:tcPr>
          <w:p>
            <w:pPr>
              <w:ind w:left="260"/>
              <w:spacing w:after="0"/>
              <w:rPr>
                <w:sz w:val="20"/>
                <w:szCs w:val="20"/>
                <w:color w:val="auto"/>
              </w:rPr>
            </w:pPr>
            <w:r>
              <w:rPr>
                <w:rFonts w:ascii="Arial" w:cs="Arial" w:eastAsia="Arial" w:hAnsi="Arial"/>
                <w:sz w:val="18"/>
                <w:szCs w:val="18"/>
                <w:color w:val="auto"/>
              </w:rPr>
              <w:t>Letter from Jones Simkins, P.C., dated July 25, 2012, regarding the change in certifying accountant.</w:t>
            </w:r>
          </w:p>
        </w:tc>
        <w:tc>
          <w:tcPr>
            <w:tcW w:w="1020" w:type="dxa"/>
            <w:vAlign w:val="bottom"/>
          </w:tcPr>
          <w:p>
            <w:pPr>
              <w:spacing w:after="0"/>
              <w:rPr>
                <w:sz w:val="24"/>
                <w:szCs w:val="24"/>
                <w:color w:val="auto"/>
              </w:rPr>
            </w:pPr>
          </w:p>
        </w:tc>
      </w:tr>
      <w:tr>
        <w:trPr>
          <w:trHeight w:val="1324"/>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9"/>
        </w:trPr>
        <w:tc>
          <w:tcPr>
            <w:tcW w:w="1240" w:type="dxa"/>
            <w:vAlign w:val="bottom"/>
            <w:shd w:val="clear" w:color="auto" w:fill="808080"/>
          </w:tcPr>
          <w:p>
            <w:pPr>
              <w:spacing w:after="0"/>
              <w:rPr>
                <w:sz w:val="12"/>
                <w:szCs w:val="12"/>
                <w:color w:val="auto"/>
              </w:rPr>
            </w:pPr>
          </w:p>
        </w:tc>
        <w:tc>
          <w:tcPr>
            <w:tcW w:w="260" w:type="dxa"/>
            <w:vAlign w:val="bottom"/>
            <w:shd w:val="clear" w:color="auto" w:fill="808080"/>
          </w:tcPr>
          <w:p>
            <w:pPr>
              <w:spacing w:after="0"/>
              <w:rPr>
                <w:sz w:val="12"/>
                <w:szCs w:val="12"/>
                <w:color w:val="auto"/>
              </w:rPr>
            </w:pPr>
          </w:p>
        </w:tc>
        <w:tc>
          <w:tcPr>
            <w:tcW w:w="8900" w:type="dxa"/>
            <w:vAlign w:val="bottom"/>
            <w:shd w:val="clear" w:color="auto" w:fill="808080"/>
          </w:tcPr>
          <w:p>
            <w:pPr>
              <w:spacing w:after="0"/>
              <w:rPr>
                <w:sz w:val="12"/>
                <w:szCs w:val="12"/>
                <w:color w:val="auto"/>
              </w:rPr>
            </w:pPr>
          </w:p>
        </w:tc>
        <w:tc>
          <w:tcPr>
            <w:tcW w:w="1020" w:type="dxa"/>
            <w:vAlign w:val="bottom"/>
            <w:shd w:val="clear" w:color="auto" w:fill="808080"/>
          </w:tcPr>
          <w:p>
            <w:pPr>
              <w:spacing w:after="0"/>
              <w:rPr>
                <w:sz w:val="12"/>
                <w:szCs w:val="12"/>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920" w:val="left"/>
          <w:tab w:leader="none" w:pos="4620" w:val="left"/>
        </w:tabs>
        <w:rPr>
          <w:sz w:val="20"/>
          <w:szCs w:val="20"/>
          <w:color w:val="auto"/>
        </w:rPr>
      </w:pPr>
      <w:r>
        <w:rPr>
          <w:rFonts w:ascii="Arial" w:cs="Arial" w:eastAsia="Arial" w:hAnsi="Arial"/>
          <w:sz w:val="18"/>
          <w:szCs w:val="18"/>
          <w:color w:val="auto"/>
        </w:rPr>
        <w:t>Date: July 26,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6531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60"/>
          </w:cols>
          <w:pgMar w:left="240" w:top="111" w:right="499" w:bottom="1440" w:gutter="0" w:footer="0" w:header="0"/>
        </w:sectPr>
      </w:pPr>
    </w:p>
    <w:bookmarkStart w:id="3" w:name="page4"/>
    <w:bookmarkEnd w:id="3"/>
    <w:p>
      <w:pPr>
        <w:ind w:left="60"/>
        <w:spacing w:after="0"/>
        <w:rPr>
          <w:sz w:val="20"/>
          <w:szCs w:val="20"/>
          <w:color w:val="auto"/>
        </w:rPr>
      </w:pPr>
      <w:r>
        <w:rPr>
          <w:rFonts w:ascii="Arial" w:cs="Arial" w:eastAsia="Arial" w:hAnsi="Arial"/>
          <w:sz w:val="22"/>
          <w:szCs w:val="22"/>
          <w:b w:val="1"/>
          <w:bCs w:val="1"/>
          <w:color w:val="auto"/>
        </w:rPr>
        <w:t>Exhibit 16.1</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[Jones Simkins, P.C. letterhead]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July 25, 2012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Office of the Chief Accountant</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460 Fifth Street N. 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ClearOne Communications,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Commission File Number: 001-33660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received a copy of, and are in agreement with, the statements being made by ClearOne Communications, Inc. in Item 4.01 of its Form 8-K dated July 26, 2012 and captioned “Change in Registrant’s Certifying Accountant” insofar as they relate to our Firm.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hereby consent to the filing of this letter as an exhibit to the foregoing report on Form 8-K.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Jones Simkins, P.C.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Logan, Utah</w:t>
      </w:r>
    </w:p>
    <w:sectPr>
      <w:pgSz w:w="11900" w:h="16838" w:orient="portrait"/>
      <w:cols w:equalWidth="0" w:num="1">
        <w:col w:w="11360"/>
      </w:cols>
      <w:pgMar w:left="240" w:top="1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2019-12-09T10:18:54Z</dcterms:created>
  <dcterms:modified xsi:type="dcterms:W3CDTF">2019-12-09T10:18:54Z</dcterms:modified>
</cp:coreProperties>
</file>