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0"/>
          <w:szCs w:val="10"/>
          <w:b w:val="1"/>
          <w:bCs w:val="1"/>
          <w:color w:val="auto"/>
        </w:rPr>
        <w:t>As filed with the Securities and Exchange Commission on May 7, 2020</w:t>
      </w:r>
    </w:p>
    <w:p>
      <w:pPr>
        <w:jc w:val="right"/>
        <w:ind w:right="140"/>
        <w:spacing w:after="0" w:line="236" w:lineRule="auto"/>
        <w:rPr>
          <w:sz w:val="20"/>
          <w:szCs w:val="20"/>
          <w:color w:val="auto"/>
        </w:rPr>
      </w:pPr>
      <w:r>
        <w:rPr>
          <w:rFonts w:ascii="Arial" w:cs="Arial" w:eastAsia="Arial" w:hAnsi="Arial"/>
          <w:sz w:val="10"/>
          <w:szCs w:val="10"/>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40640</wp:posOffset>
            </wp:positionH>
            <wp:positionV relativeFrom="paragraph">
              <wp:posOffset>10795</wp:posOffset>
            </wp:positionV>
            <wp:extent cx="7086600"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6600" cy="22860"/>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39370</wp:posOffset>
            </wp:positionV>
            <wp:extent cx="708660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6600" cy="5715"/>
                    </a:xfrm>
                    <a:prstGeom prst="rect">
                      <a:avLst/>
                    </a:prstGeom>
                    <a:noFill/>
                  </pic:spPr>
                </pic:pic>
              </a:graphicData>
            </a:graphic>
          </wp:anchor>
        </w:drawing>
      </w:r>
    </w:p>
    <w:p>
      <w:pPr>
        <w:spacing w:after="0" w:line="64" w:lineRule="exact"/>
        <w:rPr>
          <w:sz w:val="24"/>
          <w:szCs w:val="24"/>
          <w:color w:val="auto"/>
        </w:rPr>
      </w:pPr>
    </w:p>
    <w:tbl>
      <w:tblPr>
        <w:tblLayout w:type="fixed"/>
        <w:tblInd w:w="1860" w:type="dxa"/>
        <w:tblCellMar>
          <w:top w:w="0" w:type="dxa"/>
          <w:left w:w="0" w:type="dxa"/>
          <w:bottom w:w="0" w:type="dxa"/>
          <w:right w:w="0" w:type="dxa"/>
        </w:tblCellMar>
      </w:tblPr>
      <w:tr>
        <w:trPr>
          <w:trHeight w:val="198"/>
        </w:trPr>
        <w:tc>
          <w:tcPr>
            <w:tcW w:w="1880" w:type="dxa"/>
            <w:vAlign w:val="bottom"/>
          </w:tcPr>
          <w:p>
            <w:pPr>
              <w:spacing w:after="0"/>
              <w:rPr>
                <w:sz w:val="17"/>
                <w:szCs w:val="17"/>
                <w:color w:val="auto"/>
              </w:rPr>
            </w:pPr>
          </w:p>
        </w:tc>
        <w:tc>
          <w:tcPr>
            <w:tcW w:w="5580" w:type="dxa"/>
            <w:vAlign w:val="bottom"/>
          </w:tcPr>
          <w:p>
            <w:pPr>
              <w:jc w:val="center"/>
              <w:ind w:right="1726"/>
              <w:spacing w:after="0"/>
              <w:rPr>
                <w:sz w:val="20"/>
                <w:szCs w:val="20"/>
                <w:color w:val="auto"/>
              </w:rPr>
            </w:pPr>
            <w:r>
              <w:rPr>
                <w:rFonts w:ascii="Arial" w:cs="Arial" w:eastAsia="Arial" w:hAnsi="Arial"/>
                <w:sz w:val="17"/>
                <w:szCs w:val="17"/>
                <w:b w:val="1"/>
                <w:bCs w:val="1"/>
                <w:color w:val="auto"/>
                <w:w w:val="97"/>
              </w:rPr>
              <w:t>UNITED STATES</w:t>
            </w:r>
          </w:p>
        </w:tc>
        <w:tc>
          <w:tcPr>
            <w:tcW w:w="0" w:type="dxa"/>
            <w:vAlign w:val="bottom"/>
          </w:tcPr>
          <w:p>
            <w:pPr>
              <w:spacing w:after="0"/>
              <w:rPr>
                <w:sz w:val="1"/>
                <w:szCs w:val="1"/>
                <w:color w:val="auto"/>
              </w:rPr>
            </w:pPr>
          </w:p>
        </w:tc>
      </w:tr>
      <w:tr>
        <w:trPr>
          <w:trHeight w:val="198"/>
        </w:trPr>
        <w:tc>
          <w:tcPr>
            <w:tcW w:w="1880" w:type="dxa"/>
            <w:vAlign w:val="bottom"/>
          </w:tcPr>
          <w:p>
            <w:pPr>
              <w:spacing w:after="0"/>
              <w:rPr>
                <w:sz w:val="17"/>
                <w:szCs w:val="17"/>
                <w:color w:val="auto"/>
              </w:rPr>
            </w:pPr>
          </w:p>
        </w:tc>
        <w:tc>
          <w:tcPr>
            <w:tcW w:w="5580" w:type="dxa"/>
            <w:vAlign w:val="bottom"/>
          </w:tcPr>
          <w:p>
            <w:pPr>
              <w:jc w:val="center"/>
              <w:ind w:right="1706"/>
              <w:spacing w:after="0"/>
              <w:rPr>
                <w:sz w:val="20"/>
                <w:szCs w:val="20"/>
                <w:color w:val="auto"/>
              </w:rPr>
            </w:pPr>
            <w:r>
              <w:rPr>
                <w:rFonts w:ascii="Arial" w:cs="Arial" w:eastAsia="Arial" w:hAnsi="Arial"/>
                <w:sz w:val="17"/>
                <w:szCs w:val="17"/>
                <w:b w:val="1"/>
                <w:bCs w:val="1"/>
                <w:color w:val="auto"/>
              </w:rPr>
              <w:t>SECURITIES AND EXCHANGE COMMISSION</w:t>
            </w:r>
          </w:p>
        </w:tc>
        <w:tc>
          <w:tcPr>
            <w:tcW w:w="0" w:type="dxa"/>
            <w:vAlign w:val="bottom"/>
          </w:tcPr>
          <w:p>
            <w:pPr>
              <w:spacing w:after="0"/>
              <w:rPr>
                <w:sz w:val="1"/>
                <w:szCs w:val="1"/>
                <w:color w:val="auto"/>
              </w:rPr>
            </w:pPr>
          </w:p>
        </w:tc>
      </w:tr>
      <w:tr>
        <w:trPr>
          <w:trHeight w:val="123"/>
        </w:trPr>
        <w:tc>
          <w:tcPr>
            <w:tcW w:w="1880" w:type="dxa"/>
            <w:vAlign w:val="bottom"/>
          </w:tcPr>
          <w:p>
            <w:pPr>
              <w:spacing w:after="0"/>
              <w:rPr>
                <w:sz w:val="10"/>
                <w:szCs w:val="10"/>
                <w:color w:val="auto"/>
              </w:rPr>
            </w:pPr>
          </w:p>
        </w:tc>
        <w:tc>
          <w:tcPr>
            <w:tcW w:w="5580" w:type="dxa"/>
            <w:vAlign w:val="bottom"/>
          </w:tcPr>
          <w:p>
            <w:pPr>
              <w:jc w:val="center"/>
              <w:ind w:right="1726"/>
              <w:spacing w:after="0"/>
              <w:rPr>
                <w:sz w:val="20"/>
                <w:szCs w:val="20"/>
                <w:color w:val="auto"/>
              </w:rPr>
            </w:pPr>
            <w:r>
              <w:rPr>
                <w:rFonts w:ascii="Arial" w:cs="Arial" w:eastAsia="Arial" w:hAnsi="Arial"/>
                <w:sz w:val="10"/>
                <w:szCs w:val="10"/>
                <w:b w:val="1"/>
                <w:bCs w:val="1"/>
                <w:color w:val="auto"/>
                <w:w w:val="88"/>
              </w:rPr>
              <w:t>Washington, D.C. 20549</w:t>
            </w:r>
          </w:p>
        </w:tc>
        <w:tc>
          <w:tcPr>
            <w:tcW w:w="0" w:type="dxa"/>
            <w:vAlign w:val="bottom"/>
          </w:tcPr>
          <w:p>
            <w:pPr>
              <w:spacing w:after="0"/>
              <w:rPr>
                <w:sz w:val="1"/>
                <w:szCs w:val="1"/>
                <w:color w:val="auto"/>
              </w:rPr>
            </w:pPr>
          </w:p>
        </w:tc>
      </w:tr>
      <w:tr>
        <w:trPr>
          <w:trHeight w:val="391"/>
        </w:trPr>
        <w:tc>
          <w:tcPr>
            <w:tcW w:w="1880" w:type="dxa"/>
            <w:vAlign w:val="bottom"/>
          </w:tcPr>
          <w:p>
            <w:pPr>
              <w:spacing w:after="0"/>
              <w:rPr>
                <w:sz w:val="24"/>
                <w:szCs w:val="24"/>
                <w:color w:val="auto"/>
              </w:rPr>
            </w:pPr>
          </w:p>
        </w:tc>
        <w:tc>
          <w:tcPr>
            <w:tcW w:w="5580" w:type="dxa"/>
            <w:vAlign w:val="bottom"/>
          </w:tcPr>
          <w:p>
            <w:pPr>
              <w:jc w:val="center"/>
              <w:ind w:right="1706"/>
              <w:spacing w:after="0"/>
              <w:rPr>
                <w:sz w:val="20"/>
                <w:szCs w:val="20"/>
                <w:color w:val="auto"/>
              </w:rPr>
            </w:pPr>
            <w:r>
              <w:rPr>
                <w:rFonts w:ascii="Arial" w:cs="Arial" w:eastAsia="Arial" w:hAnsi="Arial"/>
                <w:sz w:val="17"/>
                <w:szCs w:val="17"/>
                <w:b w:val="1"/>
                <w:bCs w:val="1"/>
                <w:color w:val="auto"/>
                <w:w w:val="95"/>
              </w:rPr>
              <w:t>FORM S-3</w:t>
            </w:r>
          </w:p>
        </w:tc>
        <w:tc>
          <w:tcPr>
            <w:tcW w:w="0" w:type="dxa"/>
            <w:vAlign w:val="bottom"/>
          </w:tcPr>
          <w:p>
            <w:pPr>
              <w:spacing w:after="0"/>
              <w:rPr>
                <w:sz w:val="1"/>
                <w:szCs w:val="1"/>
                <w:color w:val="auto"/>
              </w:rPr>
            </w:pPr>
          </w:p>
        </w:tc>
      </w:tr>
      <w:tr>
        <w:trPr>
          <w:trHeight w:val="153"/>
        </w:trPr>
        <w:tc>
          <w:tcPr>
            <w:tcW w:w="1880" w:type="dxa"/>
            <w:vAlign w:val="bottom"/>
          </w:tcPr>
          <w:p>
            <w:pPr>
              <w:spacing w:after="0"/>
              <w:rPr>
                <w:sz w:val="13"/>
                <w:szCs w:val="13"/>
                <w:color w:val="auto"/>
              </w:rPr>
            </w:pPr>
          </w:p>
        </w:tc>
        <w:tc>
          <w:tcPr>
            <w:tcW w:w="5580" w:type="dxa"/>
            <w:vAlign w:val="bottom"/>
          </w:tcPr>
          <w:p>
            <w:pPr>
              <w:jc w:val="center"/>
              <w:ind w:right="1706"/>
              <w:spacing w:after="0"/>
              <w:rPr>
                <w:sz w:val="20"/>
                <w:szCs w:val="20"/>
                <w:color w:val="auto"/>
              </w:rPr>
            </w:pPr>
            <w:r>
              <w:rPr>
                <w:rFonts w:ascii="Arial" w:cs="Arial" w:eastAsia="Arial" w:hAnsi="Arial"/>
                <w:sz w:val="12"/>
                <w:szCs w:val="12"/>
                <w:b w:val="1"/>
                <w:bCs w:val="1"/>
                <w:color w:val="auto"/>
              </w:rPr>
              <w:t>REGISTRATION STATEMENT UNDER</w:t>
            </w:r>
          </w:p>
        </w:tc>
        <w:tc>
          <w:tcPr>
            <w:tcW w:w="0" w:type="dxa"/>
            <w:vAlign w:val="bottom"/>
          </w:tcPr>
          <w:p>
            <w:pPr>
              <w:spacing w:after="0"/>
              <w:rPr>
                <w:sz w:val="1"/>
                <w:szCs w:val="1"/>
                <w:color w:val="auto"/>
              </w:rPr>
            </w:pPr>
          </w:p>
        </w:tc>
      </w:tr>
      <w:tr>
        <w:trPr>
          <w:trHeight w:val="157"/>
        </w:trPr>
        <w:tc>
          <w:tcPr>
            <w:tcW w:w="1880" w:type="dxa"/>
            <w:vAlign w:val="bottom"/>
          </w:tcPr>
          <w:p>
            <w:pPr>
              <w:spacing w:after="0"/>
              <w:rPr>
                <w:sz w:val="13"/>
                <w:szCs w:val="13"/>
                <w:color w:val="auto"/>
              </w:rPr>
            </w:pPr>
          </w:p>
        </w:tc>
        <w:tc>
          <w:tcPr>
            <w:tcW w:w="5580" w:type="dxa"/>
            <w:vAlign w:val="bottom"/>
          </w:tcPr>
          <w:p>
            <w:pPr>
              <w:jc w:val="center"/>
              <w:ind w:right="1726"/>
              <w:spacing w:after="0"/>
              <w:rPr>
                <w:sz w:val="20"/>
                <w:szCs w:val="20"/>
                <w:color w:val="auto"/>
              </w:rPr>
            </w:pPr>
            <w:r>
              <w:rPr>
                <w:rFonts w:ascii="Arial" w:cs="Arial" w:eastAsia="Arial" w:hAnsi="Arial"/>
                <w:sz w:val="12"/>
                <w:szCs w:val="12"/>
                <w:b w:val="1"/>
                <w:bCs w:val="1"/>
                <w:color w:val="auto"/>
                <w:w w:val="99"/>
              </w:rPr>
              <w:t>THE SECURITIES ACT OF 1933</w:t>
            </w:r>
          </w:p>
        </w:tc>
        <w:tc>
          <w:tcPr>
            <w:tcW w:w="0" w:type="dxa"/>
            <w:vAlign w:val="bottom"/>
          </w:tcPr>
          <w:p>
            <w:pPr>
              <w:spacing w:after="0"/>
              <w:rPr>
                <w:sz w:val="1"/>
                <w:szCs w:val="1"/>
                <w:color w:val="auto"/>
              </w:rPr>
            </w:pPr>
          </w:p>
        </w:tc>
      </w:tr>
      <w:tr>
        <w:trPr>
          <w:trHeight w:val="213"/>
        </w:trPr>
        <w:tc>
          <w:tcPr>
            <w:tcW w:w="1880" w:type="dxa"/>
            <w:vAlign w:val="bottom"/>
          </w:tcPr>
          <w:p>
            <w:pPr>
              <w:spacing w:after="0"/>
              <w:rPr>
                <w:sz w:val="18"/>
                <w:szCs w:val="18"/>
                <w:color w:val="auto"/>
              </w:rPr>
            </w:pPr>
          </w:p>
        </w:tc>
        <w:tc>
          <w:tcPr>
            <w:tcW w:w="5580" w:type="dxa"/>
            <w:vAlign w:val="bottom"/>
          </w:tcPr>
          <w:p>
            <w:pPr>
              <w:jc w:val="center"/>
              <w:ind w:right="1706"/>
              <w:spacing w:after="0"/>
              <w:rPr>
                <w:sz w:val="20"/>
                <w:szCs w:val="20"/>
                <w:color w:val="auto"/>
              </w:rPr>
            </w:pPr>
            <w:r>
              <w:rPr>
                <w:rFonts w:ascii="Arial" w:cs="Arial" w:eastAsia="Arial" w:hAnsi="Arial"/>
                <w:sz w:val="17"/>
                <w:szCs w:val="17"/>
                <w:b w:val="1"/>
                <w:bCs w:val="1"/>
                <w:color w:val="auto"/>
                <w:w w:val="99"/>
              </w:rPr>
              <w:t>CLEARONE, INC.</w:t>
            </w:r>
          </w:p>
        </w:tc>
        <w:tc>
          <w:tcPr>
            <w:tcW w:w="0" w:type="dxa"/>
            <w:vAlign w:val="bottom"/>
          </w:tcPr>
          <w:p>
            <w:pPr>
              <w:spacing w:after="0"/>
              <w:rPr>
                <w:sz w:val="1"/>
                <w:szCs w:val="1"/>
                <w:color w:val="auto"/>
              </w:rPr>
            </w:pPr>
          </w:p>
        </w:tc>
      </w:tr>
      <w:tr>
        <w:trPr>
          <w:trHeight w:val="121"/>
        </w:trPr>
        <w:tc>
          <w:tcPr>
            <w:tcW w:w="1880" w:type="dxa"/>
            <w:vAlign w:val="bottom"/>
          </w:tcPr>
          <w:p>
            <w:pPr>
              <w:spacing w:after="0"/>
              <w:rPr>
                <w:sz w:val="10"/>
                <w:szCs w:val="10"/>
                <w:color w:val="auto"/>
              </w:rPr>
            </w:pPr>
          </w:p>
        </w:tc>
        <w:tc>
          <w:tcPr>
            <w:tcW w:w="5580" w:type="dxa"/>
            <w:vAlign w:val="bottom"/>
          </w:tcPr>
          <w:p>
            <w:pPr>
              <w:jc w:val="center"/>
              <w:ind w:right="1706"/>
              <w:spacing w:after="0"/>
              <w:rPr>
                <w:sz w:val="20"/>
                <w:szCs w:val="20"/>
                <w:color w:val="auto"/>
              </w:rPr>
            </w:pPr>
            <w:r>
              <w:rPr>
                <w:rFonts w:ascii="Arial" w:cs="Arial" w:eastAsia="Arial" w:hAnsi="Arial"/>
                <w:sz w:val="10"/>
                <w:szCs w:val="10"/>
                <w:color w:val="auto"/>
                <w:w w:val="86"/>
              </w:rPr>
              <w:t>(Exact name of registrant as specified in its charter)</w:t>
            </w:r>
          </w:p>
        </w:tc>
        <w:tc>
          <w:tcPr>
            <w:tcW w:w="0" w:type="dxa"/>
            <w:vAlign w:val="bottom"/>
          </w:tcPr>
          <w:p>
            <w:pPr>
              <w:spacing w:after="0"/>
              <w:rPr>
                <w:sz w:val="1"/>
                <w:szCs w:val="1"/>
                <w:color w:val="auto"/>
              </w:rPr>
            </w:pPr>
          </w:p>
        </w:tc>
      </w:tr>
      <w:tr>
        <w:trPr>
          <w:trHeight w:val="104"/>
        </w:trPr>
        <w:tc>
          <w:tcPr>
            <w:tcW w:w="1880" w:type="dxa"/>
            <w:vAlign w:val="bottom"/>
          </w:tcPr>
          <w:p>
            <w:pPr>
              <w:jc w:val="center"/>
              <w:ind w:right="12"/>
              <w:spacing w:after="0" w:line="104" w:lineRule="exact"/>
              <w:rPr>
                <w:sz w:val="20"/>
                <w:szCs w:val="20"/>
                <w:color w:val="auto"/>
              </w:rPr>
            </w:pPr>
            <w:r>
              <w:rPr>
                <w:rFonts w:ascii="Arial" w:cs="Arial" w:eastAsia="Arial" w:hAnsi="Arial"/>
                <w:sz w:val="10"/>
                <w:szCs w:val="10"/>
                <w:b w:val="1"/>
                <w:bCs w:val="1"/>
                <w:color w:val="auto"/>
                <w:w w:val="93"/>
              </w:rPr>
              <w:t>DELAWARE</w:t>
            </w:r>
          </w:p>
        </w:tc>
        <w:tc>
          <w:tcPr>
            <w:tcW w:w="5580" w:type="dxa"/>
            <w:vAlign w:val="bottom"/>
          </w:tcPr>
          <w:p>
            <w:pPr>
              <w:jc w:val="right"/>
              <w:ind w:right="506"/>
              <w:spacing w:after="0" w:line="104" w:lineRule="exact"/>
              <w:rPr>
                <w:sz w:val="20"/>
                <w:szCs w:val="20"/>
                <w:color w:val="auto"/>
              </w:rPr>
            </w:pPr>
            <w:r>
              <w:rPr>
                <w:rFonts w:ascii="Arial" w:cs="Arial" w:eastAsia="Arial" w:hAnsi="Arial"/>
                <w:sz w:val="10"/>
                <w:szCs w:val="10"/>
                <w:b w:val="1"/>
                <w:bCs w:val="1"/>
                <w:color w:val="auto"/>
              </w:rPr>
              <w:t>87-0398877</w:t>
            </w:r>
          </w:p>
        </w:tc>
        <w:tc>
          <w:tcPr>
            <w:tcW w:w="0" w:type="dxa"/>
            <w:vAlign w:val="bottom"/>
          </w:tcPr>
          <w:p>
            <w:pPr>
              <w:spacing w:after="0"/>
              <w:rPr>
                <w:sz w:val="1"/>
                <w:szCs w:val="1"/>
                <w:color w:val="auto"/>
              </w:rPr>
            </w:pPr>
          </w:p>
        </w:tc>
      </w:tr>
      <w:tr>
        <w:trPr>
          <w:trHeight w:val="99"/>
        </w:trPr>
        <w:tc>
          <w:tcPr>
            <w:tcW w:w="1880" w:type="dxa"/>
            <w:vAlign w:val="bottom"/>
          </w:tcPr>
          <w:p>
            <w:pPr>
              <w:jc w:val="center"/>
              <w:ind w:right="32"/>
              <w:spacing w:after="0" w:line="99" w:lineRule="exact"/>
              <w:rPr>
                <w:sz w:val="20"/>
                <w:szCs w:val="20"/>
                <w:color w:val="auto"/>
              </w:rPr>
            </w:pPr>
            <w:r>
              <w:rPr>
                <w:rFonts w:ascii="Arial" w:cs="Arial" w:eastAsia="Arial" w:hAnsi="Arial"/>
                <w:sz w:val="10"/>
                <w:szCs w:val="10"/>
                <w:color w:val="auto"/>
                <w:w w:val="88"/>
              </w:rPr>
              <w:t>(State or Other Jurisdiction of Incorporation or</w:t>
            </w:r>
          </w:p>
        </w:tc>
        <w:tc>
          <w:tcPr>
            <w:tcW w:w="5580" w:type="dxa"/>
            <w:vAlign w:val="bottom"/>
          </w:tcPr>
          <w:p>
            <w:pPr>
              <w:jc w:val="center"/>
              <w:ind w:left="3946"/>
              <w:spacing w:after="0" w:line="99" w:lineRule="exact"/>
              <w:rPr>
                <w:sz w:val="20"/>
                <w:szCs w:val="20"/>
                <w:color w:val="auto"/>
              </w:rPr>
            </w:pPr>
            <w:r>
              <w:rPr>
                <w:rFonts w:ascii="Arial" w:cs="Arial" w:eastAsia="Arial" w:hAnsi="Arial"/>
                <w:sz w:val="10"/>
                <w:szCs w:val="10"/>
                <w:color w:val="auto"/>
                <w:w w:val="90"/>
              </w:rPr>
              <w:t>(I.R.S. Employer Identification Number)</w:t>
            </w:r>
          </w:p>
        </w:tc>
        <w:tc>
          <w:tcPr>
            <w:tcW w:w="0" w:type="dxa"/>
            <w:vAlign w:val="bottom"/>
          </w:tcPr>
          <w:p>
            <w:pPr>
              <w:spacing w:after="0"/>
              <w:rPr>
                <w:sz w:val="1"/>
                <w:szCs w:val="1"/>
                <w:color w:val="auto"/>
              </w:rPr>
            </w:pPr>
          </w:p>
        </w:tc>
      </w:tr>
      <w:tr>
        <w:trPr>
          <w:trHeight w:val="121"/>
        </w:trPr>
        <w:tc>
          <w:tcPr>
            <w:tcW w:w="1880" w:type="dxa"/>
            <w:vAlign w:val="bottom"/>
          </w:tcPr>
          <w:p>
            <w:pPr>
              <w:jc w:val="center"/>
              <w:ind w:right="32"/>
              <w:spacing w:after="0"/>
              <w:rPr>
                <w:sz w:val="20"/>
                <w:szCs w:val="20"/>
                <w:color w:val="auto"/>
              </w:rPr>
            </w:pPr>
            <w:r>
              <w:rPr>
                <w:rFonts w:ascii="Arial" w:cs="Arial" w:eastAsia="Arial" w:hAnsi="Arial"/>
                <w:sz w:val="10"/>
                <w:szCs w:val="10"/>
                <w:color w:val="auto"/>
                <w:w w:val="86"/>
              </w:rPr>
              <w:t>Organization)</w:t>
            </w:r>
          </w:p>
        </w:tc>
        <w:tc>
          <w:tcPr>
            <w:tcW w:w="5580" w:type="dxa"/>
            <w:vAlign w:val="bottom"/>
            <w:vMerge w:val="restart"/>
          </w:tcPr>
          <w:p>
            <w:pPr>
              <w:jc w:val="center"/>
              <w:ind w:right="1706"/>
              <w:spacing w:after="0"/>
              <w:rPr>
                <w:sz w:val="20"/>
                <w:szCs w:val="20"/>
                <w:color w:val="auto"/>
              </w:rPr>
            </w:pPr>
            <w:r>
              <w:rPr>
                <w:rFonts w:ascii="Arial" w:cs="Arial" w:eastAsia="Arial" w:hAnsi="Arial"/>
                <w:sz w:val="10"/>
                <w:szCs w:val="10"/>
                <w:b w:val="1"/>
                <w:bCs w:val="1"/>
                <w:color w:val="auto"/>
                <w:w w:val="86"/>
              </w:rPr>
              <w:t>5225 Wiley Post Way</w:t>
            </w:r>
          </w:p>
        </w:tc>
        <w:tc>
          <w:tcPr>
            <w:tcW w:w="0" w:type="dxa"/>
            <w:vAlign w:val="bottom"/>
          </w:tcPr>
          <w:p>
            <w:pPr>
              <w:spacing w:after="0"/>
              <w:rPr>
                <w:sz w:val="1"/>
                <w:szCs w:val="1"/>
                <w:color w:val="auto"/>
              </w:rPr>
            </w:pPr>
          </w:p>
        </w:tc>
      </w:tr>
      <w:tr>
        <w:trPr>
          <w:trHeight w:val="89"/>
        </w:trPr>
        <w:tc>
          <w:tcPr>
            <w:tcW w:w="1880" w:type="dxa"/>
            <w:vAlign w:val="bottom"/>
          </w:tcPr>
          <w:p>
            <w:pPr>
              <w:spacing w:after="0"/>
              <w:rPr>
                <w:sz w:val="7"/>
                <w:szCs w:val="7"/>
                <w:color w:val="auto"/>
              </w:rPr>
            </w:pPr>
          </w:p>
        </w:tc>
        <w:tc>
          <w:tcPr>
            <w:tcW w:w="5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880" w:type="dxa"/>
            <w:vAlign w:val="bottom"/>
          </w:tcPr>
          <w:p>
            <w:pPr>
              <w:spacing w:after="0"/>
              <w:rPr>
                <w:sz w:val="7"/>
                <w:szCs w:val="7"/>
                <w:color w:val="auto"/>
              </w:rPr>
            </w:pPr>
          </w:p>
        </w:tc>
        <w:tc>
          <w:tcPr>
            <w:tcW w:w="5580" w:type="dxa"/>
            <w:vAlign w:val="bottom"/>
          </w:tcPr>
          <w:p>
            <w:pPr>
              <w:jc w:val="center"/>
              <w:ind w:right="1706"/>
              <w:spacing w:after="0" w:line="90" w:lineRule="exact"/>
              <w:rPr>
                <w:sz w:val="20"/>
                <w:szCs w:val="20"/>
                <w:color w:val="auto"/>
              </w:rPr>
            </w:pPr>
            <w:r>
              <w:rPr>
                <w:rFonts w:ascii="Arial" w:cs="Arial" w:eastAsia="Arial" w:hAnsi="Arial"/>
                <w:sz w:val="10"/>
                <w:szCs w:val="10"/>
                <w:b w:val="1"/>
                <w:bCs w:val="1"/>
                <w:color w:val="auto"/>
                <w:w w:val="86"/>
              </w:rPr>
              <w:t>Suite 500</w:t>
            </w:r>
          </w:p>
        </w:tc>
        <w:tc>
          <w:tcPr>
            <w:tcW w:w="0" w:type="dxa"/>
            <w:vAlign w:val="bottom"/>
          </w:tcPr>
          <w:p>
            <w:pPr>
              <w:spacing w:after="0"/>
              <w:rPr>
                <w:sz w:val="1"/>
                <w:szCs w:val="1"/>
                <w:color w:val="auto"/>
              </w:rPr>
            </w:pPr>
          </w:p>
        </w:tc>
      </w:tr>
      <w:tr>
        <w:trPr>
          <w:trHeight w:val="90"/>
        </w:trPr>
        <w:tc>
          <w:tcPr>
            <w:tcW w:w="1880" w:type="dxa"/>
            <w:vAlign w:val="bottom"/>
          </w:tcPr>
          <w:p>
            <w:pPr>
              <w:spacing w:after="0"/>
              <w:rPr>
                <w:sz w:val="7"/>
                <w:szCs w:val="7"/>
                <w:color w:val="auto"/>
              </w:rPr>
            </w:pPr>
          </w:p>
        </w:tc>
        <w:tc>
          <w:tcPr>
            <w:tcW w:w="5580" w:type="dxa"/>
            <w:vAlign w:val="bottom"/>
          </w:tcPr>
          <w:p>
            <w:pPr>
              <w:jc w:val="center"/>
              <w:ind w:right="1706"/>
              <w:spacing w:after="0" w:line="90" w:lineRule="exact"/>
              <w:rPr>
                <w:sz w:val="20"/>
                <w:szCs w:val="20"/>
                <w:color w:val="auto"/>
              </w:rPr>
            </w:pPr>
            <w:r>
              <w:rPr>
                <w:rFonts w:ascii="Arial" w:cs="Arial" w:eastAsia="Arial" w:hAnsi="Arial"/>
                <w:sz w:val="10"/>
                <w:szCs w:val="10"/>
                <w:b w:val="1"/>
                <w:bCs w:val="1"/>
                <w:color w:val="auto"/>
                <w:w w:val="88"/>
              </w:rPr>
              <w:t>Salt Lake City, Utah 84116</w:t>
            </w:r>
          </w:p>
        </w:tc>
        <w:tc>
          <w:tcPr>
            <w:tcW w:w="0" w:type="dxa"/>
            <w:vAlign w:val="bottom"/>
          </w:tcPr>
          <w:p>
            <w:pPr>
              <w:spacing w:after="0"/>
              <w:rPr>
                <w:sz w:val="1"/>
                <w:szCs w:val="1"/>
                <w:color w:val="auto"/>
              </w:rPr>
            </w:pPr>
          </w:p>
        </w:tc>
      </w:tr>
      <w:tr>
        <w:trPr>
          <w:trHeight w:val="90"/>
        </w:trPr>
        <w:tc>
          <w:tcPr>
            <w:tcW w:w="1880" w:type="dxa"/>
            <w:vAlign w:val="bottom"/>
          </w:tcPr>
          <w:p>
            <w:pPr>
              <w:spacing w:after="0"/>
              <w:rPr>
                <w:sz w:val="7"/>
                <w:szCs w:val="7"/>
                <w:color w:val="auto"/>
              </w:rPr>
            </w:pPr>
          </w:p>
        </w:tc>
        <w:tc>
          <w:tcPr>
            <w:tcW w:w="5580" w:type="dxa"/>
            <w:vAlign w:val="bottom"/>
          </w:tcPr>
          <w:p>
            <w:pPr>
              <w:jc w:val="center"/>
              <w:ind w:right="1726"/>
              <w:spacing w:after="0" w:line="90" w:lineRule="exact"/>
              <w:rPr>
                <w:sz w:val="20"/>
                <w:szCs w:val="20"/>
                <w:color w:val="auto"/>
              </w:rPr>
            </w:pPr>
            <w:r>
              <w:rPr>
                <w:rFonts w:ascii="Arial" w:cs="Arial" w:eastAsia="Arial" w:hAnsi="Arial"/>
                <w:sz w:val="10"/>
                <w:szCs w:val="10"/>
                <w:b w:val="1"/>
                <w:bCs w:val="1"/>
                <w:color w:val="auto"/>
                <w:w w:val="87"/>
              </w:rPr>
              <w:t>(801) 975-7200</w:t>
            </w:r>
          </w:p>
        </w:tc>
        <w:tc>
          <w:tcPr>
            <w:tcW w:w="0" w:type="dxa"/>
            <w:vAlign w:val="bottom"/>
          </w:tcPr>
          <w:p>
            <w:pPr>
              <w:spacing w:after="0"/>
              <w:rPr>
                <w:sz w:val="1"/>
                <w:szCs w:val="1"/>
                <w:color w:val="auto"/>
              </w:rPr>
            </w:pPr>
          </w:p>
        </w:tc>
      </w:tr>
      <w:tr>
        <w:trPr>
          <w:trHeight w:val="90"/>
        </w:trPr>
        <w:tc>
          <w:tcPr>
            <w:tcW w:w="1880" w:type="dxa"/>
            <w:vAlign w:val="bottom"/>
          </w:tcPr>
          <w:p>
            <w:pPr>
              <w:spacing w:after="0"/>
              <w:rPr>
                <w:sz w:val="7"/>
                <w:szCs w:val="7"/>
                <w:color w:val="auto"/>
              </w:rPr>
            </w:pPr>
          </w:p>
        </w:tc>
        <w:tc>
          <w:tcPr>
            <w:tcW w:w="5580" w:type="dxa"/>
            <w:vAlign w:val="bottom"/>
          </w:tcPr>
          <w:p>
            <w:pPr>
              <w:jc w:val="center"/>
              <w:ind w:right="1726"/>
              <w:spacing w:after="0" w:line="90" w:lineRule="exact"/>
              <w:rPr>
                <w:sz w:val="20"/>
                <w:szCs w:val="20"/>
                <w:color w:val="auto"/>
              </w:rPr>
            </w:pPr>
            <w:r>
              <w:rPr>
                <w:rFonts w:ascii="Arial" w:cs="Arial" w:eastAsia="Arial" w:hAnsi="Arial"/>
                <w:sz w:val="10"/>
                <w:szCs w:val="10"/>
                <w:color w:val="auto"/>
                <w:w w:val="87"/>
              </w:rPr>
              <w:t>(Address, including zip code, and telephone number, including</w:t>
            </w:r>
          </w:p>
        </w:tc>
        <w:tc>
          <w:tcPr>
            <w:tcW w:w="0" w:type="dxa"/>
            <w:vAlign w:val="bottom"/>
          </w:tcPr>
          <w:p>
            <w:pPr>
              <w:spacing w:after="0"/>
              <w:rPr>
                <w:sz w:val="1"/>
                <w:szCs w:val="1"/>
                <w:color w:val="auto"/>
              </w:rPr>
            </w:pPr>
          </w:p>
        </w:tc>
      </w:tr>
      <w:tr>
        <w:trPr>
          <w:trHeight w:val="103"/>
        </w:trPr>
        <w:tc>
          <w:tcPr>
            <w:tcW w:w="1880" w:type="dxa"/>
            <w:vAlign w:val="bottom"/>
          </w:tcPr>
          <w:p>
            <w:pPr>
              <w:spacing w:after="0"/>
              <w:rPr>
                <w:sz w:val="8"/>
                <w:szCs w:val="8"/>
                <w:color w:val="auto"/>
              </w:rPr>
            </w:pPr>
          </w:p>
        </w:tc>
        <w:tc>
          <w:tcPr>
            <w:tcW w:w="5580" w:type="dxa"/>
            <w:vAlign w:val="bottom"/>
          </w:tcPr>
          <w:p>
            <w:pPr>
              <w:jc w:val="center"/>
              <w:ind w:right="1706"/>
              <w:spacing w:after="0" w:line="103" w:lineRule="exact"/>
              <w:rPr>
                <w:sz w:val="20"/>
                <w:szCs w:val="20"/>
                <w:color w:val="auto"/>
              </w:rPr>
            </w:pPr>
            <w:r>
              <w:rPr>
                <w:rFonts w:ascii="Arial" w:cs="Arial" w:eastAsia="Arial" w:hAnsi="Arial"/>
                <w:sz w:val="10"/>
                <w:szCs w:val="10"/>
                <w:color w:val="auto"/>
                <w:w w:val="87"/>
              </w:rPr>
              <w:t>area code, of registrant’s principal executive offices)</w:t>
            </w:r>
          </w:p>
        </w:tc>
        <w:tc>
          <w:tcPr>
            <w:tcW w:w="0" w:type="dxa"/>
            <w:vAlign w:val="bottom"/>
          </w:tcPr>
          <w:p>
            <w:pPr>
              <w:spacing w:after="0"/>
              <w:rPr>
                <w:sz w:val="1"/>
                <w:szCs w:val="1"/>
                <w:color w:val="auto"/>
              </w:rPr>
            </w:pPr>
          </w:p>
        </w:tc>
      </w:tr>
      <w:tr>
        <w:trPr>
          <w:trHeight w:val="95"/>
        </w:trPr>
        <w:tc>
          <w:tcPr>
            <w:tcW w:w="1880" w:type="dxa"/>
            <w:vAlign w:val="bottom"/>
          </w:tcPr>
          <w:p>
            <w:pPr>
              <w:spacing w:after="0"/>
              <w:rPr>
                <w:sz w:val="8"/>
                <w:szCs w:val="8"/>
                <w:color w:val="auto"/>
              </w:rPr>
            </w:pPr>
          </w:p>
        </w:tc>
        <w:tc>
          <w:tcPr>
            <w:tcW w:w="5580" w:type="dxa"/>
            <w:vAlign w:val="bottom"/>
          </w:tcPr>
          <w:p>
            <w:pPr>
              <w:jc w:val="center"/>
              <w:ind w:right="1706"/>
              <w:spacing w:after="0" w:line="96" w:lineRule="exact"/>
              <w:rPr>
                <w:sz w:val="20"/>
                <w:szCs w:val="20"/>
                <w:color w:val="auto"/>
              </w:rPr>
            </w:pPr>
            <w:r>
              <w:rPr>
                <w:rFonts w:ascii="Arial" w:cs="Arial" w:eastAsia="Arial" w:hAnsi="Arial"/>
                <w:sz w:val="10"/>
                <w:szCs w:val="10"/>
                <w:b w:val="1"/>
                <w:bCs w:val="1"/>
                <w:color w:val="auto"/>
                <w:w w:val="87"/>
              </w:rPr>
              <w:t>Zeynep Hakimoglu</w:t>
            </w:r>
          </w:p>
        </w:tc>
        <w:tc>
          <w:tcPr>
            <w:tcW w:w="0" w:type="dxa"/>
            <w:vAlign w:val="bottom"/>
          </w:tcPr>
          <w:p>
            <w:pPr>
              <w:spacing w:after="0"/>
              <w:rPr>
                <w:sz w:val="1"/>
                <w:szCs w:val="1"/>
                <w:color w:val="auto"/>
              </w:rPr>
            </w:pPr>
          </w:p>
        </w:tc>
      </w:tr>
      <w:tr>
        <w:trPr>
          <w:trHeight w:val="90"/>
        </w:trPr>
        <w:tc>
          <w:tcPr>
            <w:tcW w:w="1880" w:type="dxa"/>
            <w:vAlign w:val="bottom"/>
          </w:tcPr>
          <w:p>
            <w:pPr>
              <w:spacing w:after="0"/>
              <w:rPr>
                <w:sz w:val="7"/>
                <w:szCs w:val="7"/>
                <w:color w:val="auto"/>
              </w:rPr>
            </w:pPr>
          </w:p>
        </w:tc>
        <w:tc>
          <w:tcPr>
            <w:tcW w:w="5580" w:type="dxa"/>
            <w:vAlign w:val="bottom"/>
          </w:tcPr>
          <w:p>
            <w:pPr>
              <w:jc w:val="center"/>
              <w:ind w:right="1726"/>
              <w:spacing w:after="0" w:line="90" w:lineRule="exact"/>
              <w:rPr>
                <w:sz w:val="20"/>
                <w:szCs w:val="20"/>
                <w:color w:val="auto"/>
              </w:rPr>
            </w:pPr>
            <w:r>
              <w:rPr>
                <w:rFonts w:ascii="Arial" w:cs="Arial" w:eastAsia="Arial" w:hAnsi="Arial"/>
                <w:sz w:val="10"/>
                <w:szCs w:val="10"/>
                <w:b w:val="1"/>
                <w:bCs w:val="1"/>
                <w:color w:val="auto"/>
                <w:w w:val="87"/>
              </w:rPr>
              <w:t>President and Chief Executive Officer</w:t>
            </w:r>
          </w:p>
        </w:tc>
        <w:tc>
          <w:tcPr>
            <w:tcW w:w="0" w:type="dxa"/>
            <w:vAlign w:val="bottom"/>
          </w:tcPr>
          <w:p>
            <w:pPr>
              <w:spacing w:after="0"/>
              <w:rPr>
                <w:sz w:val="1"/>
                <w:szCs w:val="1"/>
                <w:color w:val="auto"/>
              </w:rPr>
            </w:pPr>
          </w:p>
        </w:tc>
      </w:tr>
      <w:tr>
        <w:trPr>
          <w:trHeight w:val="90"/>
        </w:trPr>
        <w:tc>
          <w:tcPr>
            <w:tcW w:w="1880" w:type="dxa"/>
            <w:vAlign w:val="bottom"/>
          </w:tcPr>
          <w:p>
            <w:pPr>
              <w:spacing w:after="0"/>
              <w:rPr>
                <w:sz w:val="7"/>
                <w:szCs w:val="7"/>
                <w:color w:val="auto"/>
              </w:rPr>
            </w:pPr>
          </w:p>
        </w:tc>
        <w:tc>
          <w:tcPr>
            <w:tcW w:w="5580" w:type="dxa"/>
            <w:vAlign w:val="bottom"/>
          </w:tcPr>
          <w:p>
            <w:pPr>
              <w:jc w:val="center"/>
              <w:ind w:right="1726"/>
              <w:spacing w:after="0" w:line="90" w:lineRule="exact"/>
              <w:rPr>
                <w:sz w:val="20"/>
                <w:szCs w:val="20"/>
                <w:color w:val="auto"/>
              </w:rPr>
            </w:pPr>
            <w:r>
              <w:rPr>
                <w:rFonts w:ascii="Arial" w:cs="Arial" w:eastAsia="Arial" w:hAnsi="Arial"/>
                <w:sz w:val="10"/>
                <w:szCs w:val="10"/>
                <w:b w:val="1"/>
                <w:bCs w:val="1"/>
                <w:color w:val="auto"/>
                <w:w w:val="89"/>
              </w:rPr>
              <w:t>ClearOne, Inc.</w:t>
            </w:r>
          </w:p>
        </w:tc>
        <w:tc>
          <w:tcPr>
            <w:tcW w:w="0" w:type="dxa"/>
            <w:vAlign w:val="bottom"/>
          </w:tcPr>
          <w:p>
            <w:pPr>
              <w:spacing w:after="0"/>
              <w:rPr>
                <w:sz w:val="1"/>
                <w:szCs w:val="1"/>
                <w:color w:val="auto"/>
              </w:rPr>
            </w:pPr>
          </w:p>
        </w:tc>
      </w:tr>
      <w:tr>
        <w:trPr>
          <w:trHeight w:val="90"/>
        </w:trPr>
        <w:tc>
          <w:tcPr>
            <w:tcW w:w="1880" w:type="dxa"/>
            <w:vAlign w:val="bottom"/>
          </w:tcPr>
          <w:p>
            <w:pPr>
              <w:spacing w:after="0"/>
              <w:rPr>
                <w:sz w:val="7"/>
                <w:szCs w:val="7"/>
                <w:color w:val="auto"/>
              </w:rPr>
            </w:pPr>
          </w:p>
        </w:tc>
        <w:tc>
          <w:tcPr>
            <w:tcW w:w="5580" w:type="dxa"/>
            <w:vAlign w:val="bottom"/>
          </w:tcPr>
          <w:p>
            <w:pPr>
              <w:jc w:val="center"/>
              <w:ind w:right="1726"/>
              <w:spacing w:after="0" w:line="90" w:lineRule="exact"/>
              <w:rPr>
                <w:sz w:val="20"/>
                <w:szCs w:val="20"/>
                <w:color w:val="auto"/>
              </w:rPr>
            </w:pPr>
            <w:r>
              <w:rPr>
                <w:rFonts w:ascii="Arial" w:cs="Arial" w:eastAsia="Arial" w:hAnsi="Arial"/>
                <w:sz w:val="10"/>
                <w:szCs w:val="10"/>
                <w:b w:val="1"/>
                <w:bCs w:val="1"/>
                <w:color w:val="auto"/>
                <w:w w:val="86"/>
              </w:rPr>
              <w:t>5225 Wiley Post Way, Suite 500</w:t>
            </w:r>
          </w:p>
        </w:tc>
        <w:tc>
          <w:tcPr>
            <w:tcW w:w="0" w:type="dxa"/>
            <w:vAlign w:val="bottom"/>
          </w:tcPr>
          <w:p>
            <w:pPr>
              <w:spacing w:after="0"/>
              <w:rPr>
                <w:sz w:val="1"/>
                <w:szCs w:val="1"/>
                <w:color w:val="auto"/>
              </w:rPr>
            </w:pPr>
          </w:p>
        </w:tc>
      </w:tr>
      <w:tr>
        <w:trPr>
          <w:trHeight w:val="90"/>
        </w:trPr>
        <w:tc>
          <w:tcPr>
            <w:tcW w:w="1880" w:type="dxa"/>
            <w:vAlign w:val="bottom"/>
          </w:tcPr>
          <w:p>
            <w:pPr>
              <w:spacing w:after="0"/>
              <w:rPr>
                <w:sz w:val="7"/>
                <w:szCs w:val="7"/>
                <w:color w:val="auto"/>
              </w:rPr>
            </w:pPr>
          </w:p>
        </w:tc>
        <w:tc>
          <w:tcPr>
            <w:tcW w:w="5580" w:type="dxa"/>
            <w:vAlign w:val="bottom"/>
          </w:tcPr>
          <w:p>
            <w:pPr>
              <w:jc w:val="center"/>
              <w:ind w:right="1706"/>
              <w:spacing w:after="0" w:line="90" w:lineRule="exact"/>
              <w:rPr>
                <w:sz w:val="20"/>
                <w:szCs w:val="20"/>
                <w:color w:val="auto"/>
              </w:rPr>
            </w:pPr>
            <w:r>
              <w:rPr>
                <w:rFonts w:ascii="Arial" w:cs="Arial" w:eastAsia="Arial" w:hAnsi="Arial"/>
                <w:sz w:val="10"/>
                <w:szCs w:val="10"/>
                <w:b w:val="1"/>
                <w:bCs w:val="1"/>
                <w:color w:val="auto"/>
                <w:w w:val="88"/>
              </w:rPr>
              <w:t>Salt Lake City, Utah 84116</w:t>
            </w:r>
          </w:p>
        </w:tc>
        <w:tc>
          <w:tcPr>
            <w:tcW w:w="0" w:type="dxa"/>
            <w:vAlign w:val="bottom"/>
          </w:tcPr>
          <w:p>
            <w:pPr>
              <w:spacing w:after="0"/>
              <w:rPr>
                <w:sz w:val="1"/>
                <w:szCs w:val="1"/>
                <w:color w:val="auto"/>
              </w:rPr>
            </w:pPr>
          </w:p>
        </w:tc>
      </w:tr>
      <w:tr>
        <w:trPr>
          <w:trHeight w:val="90"/>
        </w:trPr>
        <w:tc>
          <w:tcPr>
            <w:tcW w:w="1880" w:type="dxa"/>
            <w:vAlign w:val="bottom"/>
          </w:tcPr>
          <w:p>
            <w:pPr>
              <w:spacing w:after="0"/>
              <w:rPr>
                <w:sz w:val="7"/>
                <w:szCs w:val="7"/>
                <w:color w:val="auto"/>
              </w:rPr>
            </w:pPr>
          </w:p>
        </w:tc>
        <w:tc>
          <w:tcPr>
            <w:tcW w:w="5580" w:type="dxa"/>
            <w:vAlign w:val="bottom"/>
          </w:tcPr>
          <w:p>
            <w:pPr>
              <w:jc w:val="center"/>
              <w:ind w:right="1726"/>
              <w:spacing w:after="0" w:line="90" w:lineRule="exact"/>
              <w:rPr>
                <w:sz w:val="20"/>
                <w:szCs w:val="20"/>
                <w:color w:val="auto"/>
              </w:rPr>
            </w:pPr>
            <w:r>
              <w:rPr>
                <w:rFonts w:ascii="Arial" w:cs="Arial" w:eastAsia="Arial" w:hAnsi="Arial"/>
                <w:sz w:val="10"/>
                <w:szCs w:val="10"/>
                <w:b w:val="1"/>
                <w:bCs w:val="1"/>
                <w:color w:val="auto"/>
                <w:w w:val="87"/>
              </w:rPr>
              <w:t>(801) 975-7200</w:t>
            </w:r>
          </w:p>
        </w:tc>
        <w:tc>
          <w:tcPr>
            <w:tcW w:w="0" w:type="dxa"/>
            <w:vAlign w:val="bottom"/>
          </w:tcPr>
          <w:p>
            <w:pPr>
              <w:spacing w:after="0"/>
              <w:rPr>
                <w:sz w:val="1"/>
                <w:szCs w:val="1"/>
                <w:color w:val="auto"/>
              </w:rPr>
            </w:pPr>
          </w:p>
        </w:tc>
      </w:tr>
      <w:tr>
        <w:trPr>
          <w:trHeight w:val="90"/>
        </w:trPr>
        <w:tc>
          <w:tcPr>
            <w:tcW w:w="1880" w:type="dxa"/>
            <w:vAlign w:val="bottom"/>
          </w:tcPr>
          <w:p>
            <w:pPr>
              <w:spacing w:after="0"/>
              <w:rPr>
                <w:sz w:val="7"/>
                <w:szCs w:val="7"/>
                <w:color w:val="auto"/>
              </w:rPr>
            </w:pPr>
          </w:p>
        </w:tc>
        <w:tc>
          <w:tcPr>
            <w:tcW w:w="5580" w:type="dxa"/>
            <w:vAlign w:val="bottom"/>
          </w:tcPr>
          <w:p>
            <w:pPr>
              <w:jc w:val="center"/>
              <w:ind w:right="1726"/>
              <w:spacing w:after="0" w:line="90" w:lineRule="exact"/>
              <w:rPr>
                <w:sz w:val="20"/>
                <w:szCs w:val="20"/>
                <w:color w:val="auto"/>
              </w:rPr>
            </w:pPr>
            <w:r>
              <w:rPr>
                <w:rFonts w:ascii="Arial" w:cs="Arial" w:eastAsia="Arial" w:hAnsi="Arial"/>
                <w:sz w:val="10"/>
                <w:szCs w:val="10"/>
                <w:color w:val="auto"/>
                <w:w w:val="86"/>
              </w:rPr>
              <w:t>(Name, address, including zip code, and telephone number,</w:t>
            </w:r>
          </w:p>
        </w:tc>
        <w:tc>
          <w:tcPr>
            <w:tcW w:w="0" w:type="dxa"/>
            <w:vAlign w:val="bottom"/>
          </w:tcPr>
          <w:p>
            <w:pPr>
              <w:spacing w:after="0"/>
              <w:rPr>
                <w:sz w:val="1"/>
                <w:szCs w:val="1"/>
                <w:color w:val="auto"/>
              </w:rPr>
            </w:pPr>
          </w:p>
        </w:tc>
      </w:tr>
      <w:tr>
        <w:trPr>
          <w:trHeight w:val="103"/>
        </w:trPr>
        <w:tc>
          <w:tcPr>
            <w:tcW w:w="1880" w:type="dxa"/>
            <w:vAlign w:val="bottom"/>
          </w:tcPr>
          <w:p>
            <w:pPr>
              <w:spacing w:after="0"/>
              <w:rPr>
                <w:sz w:val="8"/>
                <w:szCs w:val="8"/>
                <w:color w:val="auto"/>
              </w:rPr>
            </w:pPr>
          </w:p>
        </w:tc>
        <w:tc>
          <w:tcPr>
            <w:tcW w:w="5580" w:type="dxa"/>
            <w:vAlign w:val="bottom"/>
          </w:tcPr>
          <w:p>
            <w:pPr>
              <w:jc w:val="center"/>
              <w:ind w:right="1706"/>
              <w:spacing w:after="0" w:line="103" w:lineRule="exact"/>
              <w:rPr>
                <w:sz w:val="20"/>
                <w:szCs w:val="20"/>
                <w:color w:val="auto"/>
              </w:rPr>
            </w:pPr>
            <w:r>
              <w:rPr>
                <w:rFonts w:ascii="Arial" w:cs="Arial" w:eastAsia="Arial" w:hAnsi="Arial"/>
                <w:sz w:val="10"/>
                <w:szCs w:val="10"/>
                <w:color w:val="auto"/>
                <w:w w:val="87"/>
              </w:rPr>
              <w:t>including area code, of agent for service)</w:t>
            </w:r>
          </w:p>
        </w:tc>
        <w:tc>
          <w:tcPr>
            <w:tcW w:w="0" w:type="dxa"/>
            <w:vAlign w:val="bottom"/>
          </w:tcPr>
          <w:p>
            <w:pPr>
              <w:spacing w:after="0"/>
              <w:rPr>
                <w:sz w:val="1"/>
                <w:szCs w:val="1"/>
                <w:color w:val="auto"/>
              </w:rPr>
            </w:pPr>
          </w:p>
        </w:tc>
      </w:tr>
      <w:tr>
        <w:trPr>
          <w:trHeight w:val="108"/>
        </w:trPr>
        <w:tc>
          <w:tcPr>
            <w:tcW w:w="1880" w:type="dxa"/>
            <w:vAlign w:val="bottom"/>
          </w:tcPr>
          <w:p>
            <w:pPr>
              <w:spacing w:after="0"/>
              <w:rPr>
                <w:sz w:val="9"/>
                <w:szCs w:val="9"/>
                <w:color w:val="auto"/>
              </w:rPr>
            </w:pPr>
          </w:p>
        </w:tc>
        <w:tc>
          <w:tcPr>
            <w:tcW w:w="5580" w:type="dxa"/>
            <w:vAlign w:val="bottom"/>
          </w:tcPr>
          <w:p>
            <w:pPr>
              <w:jc w:val="center"/>
              <w:ind w:right="1706"/>
              <w:spacing w:after="0" w:line="108" w:lineRule="exact"/>
              <w:rPr>
                <w:sz w:val="20"/>
                <w:szCs w:val="20"/>
                <w:color w:val="auto"/>
              </w:rPr>
            </w:pPr>
            <w:r>
              <w:rPr>
                <w:rFonts w:ascii="Arial" w:cs="Arial" w:eastAsia="Arial" w:hAnsi="Arial"/>
                <w:sz w:val="10"/>
                <w:szCs w:val="10"/>
                <w:b w:val="1"/>
                <w:bCs w:val="1"/>
                <w:color w:val="auto"/>
                <w:w w:val="85"/>
              </w:rPr>
              <w:t>Copies to:</w:t>
            </w:r>
          </w:p>
        </w:tc>
        <w:tc>
          <w:tcPr>
            <w:tcW w:w="0" w:type="dxa"/>
            <w:vAlign w:val="bottom"/>
          </w:tcPr>
          <w:p>
            <w:pPr>
              <w:spacing w:after="0"/>
              <w:rPr>
                <w:sz w:val="1"/>
                <w:szCs w:val="1"/>
                <w:color w:val="auto"/>
              </w:rPr>
            </w:pPr>
          </w:p>
        </w:tc>
      </w:tr>
      <w:tr>
        <w:trPr>
          <w:trHeight w:val="95"/>
        </w:trPr>
        <w:tc>
          <w:tcPr>
            <w:tcW w:w="1880" w:type="dxa"/>
            <w:vAlign w:val="bottom"/>
          </w:tcPr>
          <w:p>
            <w:pPr>
              <w:spacing w:after="0"/>
              <w:rPr>
                <w:sz w:val="8"/>
                <w:szCs w:val="8"/>
                <w:color w:val="auto"/>
              </w:rPr>
            </w:pPr>
          </w:p>
        </w:tc>
        <w:tc>
          <w:tcPr>
            <w:tcW w:w="5580" w:type="dxa"/>
            <w:vAlign w:val="bottom"/>
          </w:tcPr>
          <w:p>
            <w:pPr>
              <w:jc w:val="center"/>
              <w:ind w:right="1726"/>
              <w:spacing w:after="0" w:line="96" w:lineRule="exact"/>
              <w:rPr>
                <w:sz w:val="20"/>
                <w:szCs w:val="20"/>
                <w:color w:val="auto"/>
              </w:rPr>
            </w:pPr>
            <w:r>
              <w:rPr>
                <w:rFonts w:ascii="Arial" w:cs="Arial" w:eastAsia="Arial" w:hAnsi="Arial"/>
                <w:sz w:val="10"/>
                <w:szCs w:val="10"/>
                <w:b w:val="1"/>
                <w:bCs w:val="1"/>
                <w:color w:val="auto"/>
                <w:w w:val="87"/>
              </w:rPr>
              <w:t>Michael Dunn, Esq.</w:t>
            </w:r>
          </w:p>
        </w:tc>
        <w:tc>
          <w:tcPr>
            <w:tcW w:w="0" w:type="dxa"/>
            <w:vAlign w:val="bottom"/>
          </w:tcPr>
          <w:p>
            <w:pPr>
              <w:spacing w:after="0"/>
              <w:rPr>
                <w:sz w:val="1"/>
                <w:szCs w:val="1"/>
                <w:color w:val="auto"/>
              </w:rPr>
            </w:pPr>
          </w:p>
        </w:tc>
      </w:tr>
      <w:tr>
        <w:trPr>
          <w:trHeight w:val="90"/>
        </w:trPr>
        <w:tc>
          <w:tcPr>
            <w:tcW w:w="1880" w:type="dxa"/>
            <w:vAlign w:val="bottom"/>
          </w:tcPr>
          <w:p>
            <w:pPr>
              <w:spacing w:after="0"/>
              <w:rPr>
                <w:sz w:val="7"/>
                <w:szCs w:val="7"/>
                <w:color w:val="auto"/>
              </w:rPr>
            </w:pPr>
          </w:p>
        </w:tc>
        <w:tc>
          <w:tcPr>
            <w:tcW w:w="5580" w:type="dxa"/>
            <w:vAlign w:val="bottom"/>
          </w:tcPr>
          <w:p>
            <w:pPr>
              <w:jc w:val="center"/>
              <w:ind w:right="1726"/>
              <w:spacing w:after="0" w:line="90" w:lineRule="exact"/>
              <w:rPr>
                <w:sz w:val="20"/>
                <w:szCs w:val="20"/>
                <w:color w:val="auto"/>
              </w:rPr>
            </w:pPr>
            <w:r>
              <w:rPr>
                <w:rFonts w:ascii="Arial" w:cs="Arial" w:eastAsia="Arial" w:hAnsi="Arial"/>
                <w:sz w:val="10"/>
                <w:szCs w:val="10"/>
                <w:color w:val="auto"/>
                <w:w w:val="88"/>
              </w:rPr>
              <w:t>Seyfarth Shaw LLP</w:t>
            </w:r>
          </w:p>
        </w:tc>
        <w:tc>
          <w:tcPr>
            <w:tcW w:w="0" w:type="dxa"/>
            <w:vAlign w:val="bottom"/>
          </w:tcPr>
          <w:p>
            <w:pPr>
              <w:spacing w:after="0"/>
              <w:rPr>
                <w:sz w:val="1"/>
                <w:szCs w:val="1"/>
                <w:color w:val="auto"/>
              </w:rPr>
            </w:pPr>
          </w:p>
        </w:tc>
      </w:tr>
      <w:tr>
        <w:trPr>
          <w:trHeight w:val="90"/>
        </w:trPr>
        <w:tc>
          <w:tcPr>
            <w:tcW w:w="1880" w:type="dxa"/>
            <w:vAlign w:val="bottom"/>
          </w:tcPr>
          <w:p>
            <w:pPr>
              <w:spacing w:after="0"/>
              <w:rPr>
                <w:sz w:val="7"/>
                <w:szCs w:val="7"/>
                <w:color w:val="auto"/>
              </w:rPr>
            </w:pPr>
          </w:p>
        </w:tc>
        <w:tc>
          <w:tcPr>
            <w:tcW w:w="5580" w:type="dxa"/>
            <w:vAlign w:val="bottom"/>
          </w:tcPr>
          <w:p>
            <w:pPr>
              <w:jc w:val="center"/>
              <w:ind w:right="1706"/>
              <w:spacing w:after="0" w:line="90" w:lineRule="exact"/>
              <w:rPr>
                <w:sz w:val="20"/>
                <w:szCs w:val="20"/>
                <w:color w:val="auto"/>
              </w:rPr>
            </w:pPr>
            <w:r>
              <w:rPr>
                <w:rFonts w:ascii="Arial" w:cs="Arial" w:eastAsia="Arial" w:hAnsi="Arial"/>
                <w:sz w:val="10"/>
                <w:szCs w:val="10"/>
                <w:color w:val="auto"/>
                <w:w w:val="88"/>
              </w:rPr>
              <w:t>700 Milam Street, Suite 1400</w:t>
            </w:r>
          </w:p>
        </w:tc>
        <w:tc>
          <w:tcPr>
            <w:tcW w:w="0" w:type="dxa"/>
            <w:vAlign w:val="bottom"/>
          </w:tcPr>
          <w:p>
            <w:pPr>
              <w:spacing w:after="0"/>
              <w:rPr>
                <w:sz w:val="1"/>
                <w:szCs w:val="1"/>
                <w:color w:val="auto"/>
              </w:rPr>
            </w:pPr>
          </w:p>
        </w:tc>
      </w:tr>
      <w:tr>
        <w:trPr>
          <w:trHeight w:val="90"/>
        </w:trPr>
        <w:tc>
          <w:tcPr>
            <w:tcW w:w="1880" w:type="dxa"/>
            <w:vAlign w:val="bottom"/>
          </w:tcPr>
          <w:p>
            <w:pPr>
              <w:spacing w:after="0"/>
              <w:rPr>
                <w:sz w:val="7"/>
                <w:szCs w:val="7"/>
                <w:color w:val="auto"/>
              </w:rPr>
            </w:pPr>
          </w:p>
        </w:tc>
        <w:tc>
          <w:tcPr>
            <w:tcW w:w="5580" w:type="dxa"/>
            <w:vAlign w:val="bottom"/>
          </w:tcPr>
          <w:p>
            <w:pPr>
              <w:jc w:val="center"/>
              <w:ind w:right="1726"/>
              <w:spacing w:after="0" w:line="90" w:lineRule="exact"/>
              <w:rPr>
                <w:sz w:val="20"/>
                <w:szCs w:val="20"/>
                <w:color w:val="auto"/>
              </w:rPr>
            </w:pPr>
            <w:r>
              <w:rPr>
                <w:rFonts w:ascii="Arial" w:cs="Arial" w:eastAsia="Arial" w:hAnsi="Arial"/>
                <w:sz w:val="10"/>
                <w:szCs w:val="10"/>
                <w:color w:val="auto"/>
                <w:w w:val="88"/>
              </w:rPr>
              <w:t>Houston, TX 77002</w:t>
            </w:r>
          </w:p>
        </w:tc>
        <w:tc>
          <w:tcPr>
            <w:tcW w:w="0" w:type="dxa"/>
            <w:vAlign w:val="bottom"/>
          </w:tcPr>
          <w:p>
            <w:pPr>
              <w:spacing w:after="0"/>
              <w:rPr>
                <w:sz w:val="1"/>
                <w:szCs w:val="1"/>
                <w:color w:val="auto"/>
              </w:rPr>
            </w:pPr>
          </w:p>
        </w:tc>
      </w:tr>
      <w:tr>
        <w:trPr>
          <w:trHeight w:val="121"/>
        </w:trPr>
        <w:tc>
          <w:tcPr>
            <w:tcW w:w="1880" w:type="dxa"/>
            <w:vAlign w:val="bottom"/>
          </w:tcPr>
          <w:p>
            <w:pPr>
              <w:spacing w:after="0"/>
              <w:rPr>
                <w:sz w:val="10"/>
                <w:szCs w:val="10"/>
                <w:color w:val="auto"/>
              </w:rPr>
            </w:pPr>
          </w:p>
        </w:tc>
        <w:tc>
          <w:tcPr>
            <w:tcW w:w="5580" w:type="dxa"/>
            <w:vAlign w:val="bottom"/>
          </w:tcPr>
          <w:p>
            <w:pPr>
              <w:jc w:val="center"/>
              <w:ind w:right="1726"/>
              <w:spacing w:after="0"/>
              <w:rPr>
                <w:sz w:val="20"/>
                <w:szCs w:val="20"/>
                <w:color w:val="auto"/>
              </w:rPr>
            </w:pPr>
            <w:r>
              <w:rPr>
                <w:rFonts w:ascii="Arial" w:cs="Arial" w:eastAsia="Arial" w:hAnsi="Arial"/>
                <w:sz w:val="10"/>
                <w:szCs w:val="10"/>
                <w:color w:val="auto"/>
                <w:w w:val="87"/>
              </w:rPr>
              <w:t>(713) 238-1817</w:t>
            </w:r>
          </w:p>
        </w:tc>
        <w:tc>
          <w:tcPr>
            <w:tcW w:w="0" w:type="dxa"/>
            <w:vAlign w:val="bottom"/>
          </w:tcPr>
          <w:p>
            <w:pPr>
              <w:spacing w:after="0"/>
              <w:rPr>
                <w:sz w:val="1"/>
                <w:szCs w:val="1"/>
                <w:color w:val="auto"/>
              </w:rPr>
            </w:pPr>
          </w:p>
        </w:tc>
      </w:tr>
    </w:tbl>
    <w:p>
      <w:pPr>
        <w:spacing w:after="0" w:line="143" w:lineRule="exact"/>
        <w:rPr>
          <w:sz w:val="24"/>
          <w:szCs w:val="24"/>
          <w:color w:val="auto"/>
        </w:rPr>
      </w:pPr>
    </w:p>
    <w:p>
      <w:pPr>
        <w:ind w:left="200"/>
        <w:spacing w:after="0"/>
        <w:rPr>
          <w:sz w:val="20"/>
          <w:szCs w:val="20"/>
          <w:color w:val="auto"/>
        </w:rPr>
      </w:pPr>
      <w:r>
        <w:rPr>
          <w:rFonts w:ascii="Arial" w:cs="Arial" w:eastAsia="Arial" w:hAnsi="Arial"/>
          <w:sz w:val="10"/>
          <w:szCs w:val="10"/>
          <w:b w:val="1"/>
          <w:bCs w:val="1"/>
          <w:color w:val="auto"/>
        </w:rPr>
        <w:t>Approximate date of commencement of proposed sale to the public: From time to time after this registration statement becomes effective.</w:t>
      </w:r>
    </w:p>
    <w:p>
      <w:pPr>
        <w:ind w:left="200"/>
        <w:spacing w:after="0" w:line="231" w:lineRule="auto"/>
        <w:rPr>
          <w:sz w:val="20"/>
          <w:szCs w:val="20"/>
          <w:color w:val="auto"/>
        </w:rPr>
      </w:pPr>
      <w:r>
        <w:rPr>
          <w:rFonts w:ascii="Arial" w:cs="Arial" w:eastAsia="Arial" w:hAnsi="Arial"/>
          <w:sz w:val="10"/>
          <w:szCs w:val="10"/>
          <w:color w:val="auto"/>
        </w:rPr>
        <w:t>If the only securities being registered on this form are being offered pursuant to dividend or interest reinvestment plans, please check the following box.</w:t>
      </w:r>
    </w:p>
    <w:p>
      <w:pPr>
        <w:ind w:left="200"/>
        <w:spacing w:after="0"/>
        <w:rPr>
          <w:sz w:val="20"/>
          <w:szCs w:val="20"/>
          <w:color w:val="auto"/>
        </w:rPr>
      </w:pPr>
      <w:r>
        <w:rPr>
          <w:rFonts w:ascii="Arial" w:cs="Arial" w:eastAsia="Arial" w:hAnsi="Arial"/>
          <w:sz w:val="8"/>
          <w:szCs w:val="8"/>
          <w:color w:val="auto"/>
        </w:rPr>
        <w:t>If any of the securities being registered on this form are to be offered on a delayed or continuous basis pursuant to Rule 415 under the Securities Act of 1933, other than securities offered only in connection with dividend or interest reinvestment plans, please check the following box.</w:t>
      </w:r>
    </w:p>
    <w:p>
      <w:pPr>
        <w:spacing w:after="0" w:line="16" w:lineRule="exact"/>
        <w:rPr>
          <w:sz w:val="24"/>
          <w:szCs w:val="24"/>
          <w:color w:val="auto"/>
        </w:rPr>
      </w:pPr>
    </w:p>
    <w:p>
      <w:pPr>
        <w:ind w:left="200"/>
        <w:spacing w:after="0"/>
        <w:rPr>
          <w:sz w:val="20"/>
          <w:szCs w:val="20"/>
          <w:color w:val="auto"/>
        </w:rPr>
      </w:pPr>
      <w:r>
        <w:rPr>
          <w:rFonts w:ascii="Arial" w:cs="Arial" w:eastAsia="Arial" w:hAnsi="Arial"/>
          <w:sz w:val="8"/>
          <w:szCs w:val="8"/>
          <w:color w:val="auto"/>
        </w:rPr>
        <w:t>If this form is filed to register additional securities for an offering pursuant to Rule 462(b) under the Securities Act of 1933, please check the following box and list the Securities Act registration statement number of the earlier effective registration statement for the same offering.</w:t>
      </w:r>
    </w:p>
    <w:p>
      <w:pPr>
        <w:spacing w:after="0" w:line="9" w:lineRule="exact"/>
        <w:rPr>
          <w:sz w:val="24"/>
          <w:szCs w:val="24"/>
          <w:color w:val="auto"/>
        </w:rPr>
      </w:pPr>
    </w:p>
    <w:p>
      <w:pPr>
        <w:ind w:left="200"/>
        <w:spacing w:after="0"/>
        <w:rPr>
          <w:sz w:val="20"/>
          <w:szCs w:val="20"/>
          <w:color w:val="auto"/>
        </w:rPr>
      </w:pPr>
      <w:r>
        <w:rPr>
          <w:rFonts w:ascii="Arial" w:cs="Arial" w:eastAsia="Arial" w:hAnsi="Arial"/>
          <w:sz w:val="10"/>
          <w:szCs w:val="10"/>
          <w:color w:val="auto"/>
        </w:rPr>
        <w:t>If this form is a post-effective amendment filed pursuant to Rule 462(c) under the Securities Act of 1933, check the following box and list the Securities Act registration number of the earlier effective registration statement for the same offering.</w:t>
      </w:r>
    </w:p>
    <w:p>
      <w:pPr>
        <w:ind w:left="200"/>
        <w:spacing w:after="0"/>
        <w:rPr>
          <w:sz w:val="20"/>
          <w:szCs w:val="20"/>
          <w:color w:val="auto"/>
        </w:rPr>
      </w:pPr>
      <w:r>
        <w:rPr>
          <w:rFonts w:ascii="Arial" w:cs="Arial" w:eastAsia="Arial" w:hAnsi="Arial"/>
          <w:sz w:val="8"/>
          <w:szCs w:val="8"/>
          <w:color w:val="auto"/>
        </w:rPr>
        <w:t>If this Form is a registration statement pursuant to General Instruction I.D. or a post-effective amendment thereto that shall become effective upon filing with the Commission pursuant to Rule 462(e) under the Securities Act of 1933, check the following box.</w:t>
      </w:r>
    </w:p>
    <w:p>
      <w:pPr>
        <w:spacing w:after="0" w:line="16" w:lineRule="exact"/>
        <w:rPr>
          <w:sz w:val="24"/>
          <w:szCs w:val="24"/>
          <w:color w:val="auto"/>
        </w:rPr>
      </w:pPr>
    </w:p>
    <w:p>
      <w:pPr>
        <w:ind w:left="200"/>
        <w:spacing w:after="0"/>
        <w:rPr>
          <w:sz w:val="20"/>
          <w:szCs w:val="20"/>
          <w:color w:val="auto"/>
        </w:rPr>
      </w:pPr>
      <w:r>
        <w:rPr>
          <w:rFonts w:ascii="Arial" w:cs="Arial" w:eastAsia="Arial" w:hAnsi="Arial"/>
          <w:sz w:val="8"/>
          <w:szCs w:val="8"/>
          <w:color w:val="auto"/>
        </w:rPr>
        <w:t>If this Form is a post-effective amendment to a registration statement filed pursuant to General Instruction I.D. filed to register additional securities or additional classes of securities pursuant to Rule 413(b) under the Securities Act of 1933, check the following box.</w:t>
      </w: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121"/>
        </w:trPr>
        <w:tc>
          <w:tcPr>
            <w:tcW w:w="3820" w:type="dxa"/>
            <w:vAlign w:val="bottom"/>
          </w:tcPr>
          <w:p>
            <w:pPr>
              <w:spacing w:after="0"/>
              <w:rPr>
                <w:sz w:val="20"/>
                <w:szCs w:val="20"/>
                <w:color w:val="auto"/>
              </w:rPr>
            </w:pPr>
            <w:r>
              <w:rPr>
                <w:rFonts w:ascii="Arial" w:cs="Arial" w:eastAsia="Arial" w:hAnsi="Arial"/>
                <w:sz w:val="10"/>
                <w:szCs w:val="10"/>
                <w:color w:val="auto"/>
              </w:rPr>
              <w:t>Large accelerated filer</w:t>
            </w:r>
          </w:p>
        </w:tc>
        <w:tc>
          <w:tcPr>
            <w:tcW w:w="7480" w:type="dxa"/>
            <w:vAlign w:val="bottom"/>
          </w:tcPr>
          <w:p>
            <w:pPr>
              <w:ind w:left="2960"/>
              <w:spacing w:after="0"/>
              <w:rPr>
                <w:sz w:val="20"/>
                <w:szCs w:val="20"/>
                <w:color w:val="auto"/>
              </w:rPr>
            </w:pPr>
            <w:r>
              <w:rPr>
                <w:rFonts w:ascii="Arial" w:cs="Arial" w:eastAsia="Arial" w:hAnsi="Arial"/>
                <w:sz w:val="10"/>
                <w:szCs w:val="10"/>
                <w:color w:val="auto"/>
              </w:rPr>
              <w:t>Accelerated filer</w:t>
            </w:r>
          </w:p>
        </w:tc>
      </w:tr>
      <w:tr>
        <w:trPr>
          <w:trHeight w:val="167"/>
        </w:trPr>
        <w:tc>
          <w:tcPr>
            <w:tcW w:w="3820" w:type="dxa"/>
            <w:vAlign w:val="bottom"/>
          </w:tcPr>
          <w:p>
            <w:pPr>
              <w:spacing w:after="0"/>
              <w:rPr>
                <w:sz w:val="20"/>
                <w:szCs w:val="20"/>
                <w:color w:val="auto"/>
              </w:rPr>
            </w:pPr>
            <w:r>
              <w:rPr>
                <w:rFonts w:ascii="Arial" w:cs="Arial" w:eastAsia="Arial" w:hAnsi="Arial"/>
                <w:sz w:val="10"/>
                <w:szCs w:val="10"/>
                <w:color w:val="auto"/>
              </w:rPr>
              <w:t>Non-accelerated filer</w:t>
            </w:r>
          </w:p>
        </w:tc>
        <w:tc>
          <w:tcPr>
            <w:tcW w:w="7480" w:type="dxa"/>
            <w:vAlign w:val="bottom"/>
          </w:tcPr>
          <w:p>
            <w:pPr>
              <w:ind w:left="2960"/>
              <w:spacing w:after="0"/>
              <w:rPr>
                <w:sz w:val="20"/>
                <w:szCs w:val="20"/>
                <w:color w:val="auto"/>
              </w:rPr>
            </w:pPr>
            <w:r>
              <w:rPr>
                <w:rFonts w:ascii="Arial" w:cs="Arial" w:eastAsia="Arial" w:hAnsi="Arial"/>
                <w:sz w:val="10"/>
                <w:szCs w:val="10"/>
                <w:color w:val="auto"/>
              </w:rPr>
              <w:t>Smaller reporting company</w:t>
            </w:r>
          </w:p>
        </w:tc>
      </w:tr>
      <w:tr>
        <w:trPr>
          <w:trHeight w:val="121"/>
        </w:trPr>
        <w:tc>
          <w:tcPr>
            <w:tcW w:w="3820" w:type="dxa"/>
            <w:vAlign w:val="bottom"/>
          </w:tcPr>
          <w:p>
            <w:pPr>
              <w:spacing w:after="0"/>
              <w:rPr>
                <w:sz w:val="10"/>
                <w:szCs w:val="10"/>
                <w:color w:val="auto"/>
              </w:rPr>
            </w:pPr>
          </w:p>
        </w:tc>
        <w:tc>
          <w:tcPr>
            <w:tcW w:w="7480" w:type="dxa"/>
            <w:vAlign w:val="bottom"/>
          </w:tcPr>
          <w:p>
            <w:pPr>
              <w:ind w:left="2980"/>
              <w:spacing w:after="0"/>
              <w:rPr>
                <w:sz w:val="20"/>
                <w:szCs w:val="20"/>
                <w:color w:val="auto"/>
              </w:rPr>
            </w:pPr>
            <w:r>
              <w:rPr>
                <w:rFonts w:ascii="Arial" w:cs="Arial" w:eastAsia="Arial" w:hAnsi="Arial"/>
                <w:sz w:val="10"/>
                <w:szCs w:val="10"/>
                <w:color w:val="auto"/>
              </w:rPr>
              <w:t>Emerging growth company</w:t>
            </w:r>
          </w:p>
        </w:tc>
      </w:tr>
      <w:tr>
        <w:trPr>
          <w:trHeight w:val="368"/>
        </w:trPr>
        <w:tc>
          <w:tcPr>
            <w:tcW w:w="3820" w:type="dxa"/>
            <w:vAlign w:val="bottom"/>
            <w:tcBorders>
              <w:bottom w:val="single" w:sz="8" w:color="auto"/>
            </w:tcBorders>
          </w:tcPr>
          <w:p>
            <w:pPr>
              <w:spacing w:after="0"/>
              <w:rPr>
                <w:sz w:val="24"/>
                <w:szCs w:val="24"/>
                <w:color w:val="auto"/>
              </w:rPr>
            </w:pPr>
          </w:p>
        </w:tc>
        <w:tc>
          <w:tcPr>
            <w:tcW w:w="7480" w:type="dxa"/>
            <w:vAlign w:val="bottom"/>
            <w:tcBorders>
              <w:bottom w:val="single" w:sz="8" w:color="auto"/>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227" w:right="299" w:bottom="1440" w:gutter="0" w:footer="0" w:header="0"/>
        </w:sectPr>
      </w:pPr>
    </w:p>
    <w:bookmarkStart w:id="1" w:name="page2"/>
    <w:bookmarkEnd w:id="1"/>
    <w:p>
      <w:pPr>
        <w:jc w:val="center"/>
        <w:ind w:right="-7"/>
        <w:spacing w:after="0"/>
        <w:rPr>
          <w:sz w:val="20"/>
          <w:szCs w:val="20"/>
          <w:color w:val="auto"/>
        </w:rPr>
      </w:pPr>
      <w:r>
        <w:rPr>
          <w:rFonts w:ascii="Arial" w:cs="Arial" w:eastAsia="Arial" w:hAnsi="Arial"/>
          <w:sz w:val="10"/>
          <w:szCs w:val="10"/>
          <w:b w:val="1"/>
          <w:bCs w:val="1"/>
          <w:color w:val="auto"/>
        </w:rPr>
        <w:t>CALCULATION OF REGISTRATION FEE</w:t>
      </w:r>
    </w:p>
    <w:p>
      <w:pPr>
        <w:spacing w:after="0" w:line="77" w:lineRule="exact"/>
        <w:rPr>
          <w:sz w:val="20"/>
          <w:szCs w:val="20"/>
          <w:color w:val="auto"/>
        </w:rPr>
      </w:pPr>
    </w:p>
    <w:tbl>
      <w:tblPr>
        <w:tblLayout w:type="fixed"/>
        <w:tblInd w:w="8" w:type="dxa"/>
        <w:tblCellMar>
          <w:top w:w="0" w:type="dxa"/>
          <w:left w:w="0" w:type="dxa"/>
          <w:bottom w:w="0" w:type="dxa"/>
          <w:right w:w="0" w:type="dxa"/>
        </w:tblCellMar>
      </w:tblPr>
      <w:tr>
        <w:trPr>
          <w:trHeight w:val="112"/>
        </w:trPr>
        <w:tc>
          <w:tcPr>
            <w:tcW w:w="2640" w:type="dxa"/>
            <w:vAlign w:val="bottom"/>
            <w:tcBorders>
              <w:top w:val="single" w:sz="8" w:color="auto"/>
            </w:tcBorders>
          </w:tcPr>
          <w:p>
            <w:pPr>
              <w:spacing w:after="0"/>
              <w:rPr>
                <w:sz w:val="9"/>
                <w:szCs w:val="9"/>
                <w:color w:val="auto"/>
              </w:rPr>
            </w:pPr>
          </w:p>
        </w:tc>
        <w:tc>
          <w:tcPr>
            <w:tcW w:w="1840" w:type="dxa"/>
            <w:vAlign w:val="bottom"/>
            <w:tcBorders>
              <w:top w:val="single" w:sz="8" w:color="auto"/>
            </w:tcBorders>
          </w:tcPr>
          <w:p>
            <w:pPr>
              <w:spacing w:after="0"/>
              <w:rPr>
                <w:sz w:val="9"/>
                <w:szCs w:val="9"/>
                <w:color w:val="auto"/>
              </w:rPr>
            </w:pPr>
          </w:p>
        </w:tc>
        <w:tc>
          <w:tcPr>
            <w:tcW w:w="2080" w:type="dxa"/>
            <w:vAlign w:val="bottom"/>
            <w:tcBorders>
              <w:top w:val="single" w:sz="8" w:color="auto"/>
            </w:tcBorders>
          </w:tcPr>
          <w:p>
            <w:pPr>
              <w:jc w:val="center"/>
              <w:ind w:left="992"/>
              <w:spacing w:after="0" w:line="112" w:lineRule="exact"/>
              <w:rPr>
                <w:sz w:val="20"/>
                <w:szCs w:val="20"/>
                <w:color w:val="auto"/>
              </w:rPr>
            </w:pPr>
            <w:r>
              <w:rPr>
                <w:rFonts w:ascii="Arial" w:cs="Arial" w:eastAsia="Arial" w:hAnsi="Arial"/>
                <w:sz w:val="10"/>
                <w:szCs w:val="10"/>
                <w:b w:val="1"/>
                <w:bCs w:val="1"/>
                <w:color w:val="auto"/>
                <w:w w:val="88"/>
              </w:rPr>
              <w:t>Proposed Maximum</w:t>
            </w:r>
          </w:p>
        </w:tc>
        <w:tc>
          <w:tcPr>
            <w:tcW w:w="660" w:type="dxa"/>
            <w:vAlign w:val="bottom"/>
            <w:tcBorders>
              <w:top w:val="single" w:sz="8" w:color="auto"/>
            </w:tcBorders>
          </w:tcPr>
          <w:p>
            <w:pPr>
              <w:spacing w:after="0"/>
              <w:rPr>
                <w:sz w:val="9"/>
                <w:szCs w:val="9"/>
                <w:color w:val="auto"/>
              </w:rPr>
            </w:pPr>
          </w:p>
        </w:tc>
        <w:tc>
          <w:tcPr>
            <w:tcW w:w="1940" w:type="dxa"/>
            <w:vAlign w:val="bottom"/>
            <w:tcBorders>
              <w:top w:val="single" w:sz="8" w:color="auto"/>
            </w:tcBorders>
          </w:tcPr>
          <w:p>
            <w:pPr>
              <w:jc w:val="center"/>
              <w:ind w:right="412"/>
              <w:spacing w:after="0" w:line="112" w:lineRule="exact"/>
              <w:rPr>
                <w:sz w:val="20"/>
                <w:szCs w:val="20"/>
                <w:color w:val="auto"/>
              </w:rPr>
            </w:pPr>
            <w:r>
              <w:rPr>
                <w:rFonts w:ascii="Arial" w:cs="Arial" w:eastAsia="Arial" w:hAnsi="Arial"/>
                <w:sz w:val="10"/>
                <w:szCs w:val="10"/>
                <w:b w:val="1"/>
                <w:bCs w:val="1"/>
                <w:color w:val="auto"/>
                <w:w w:val="88"/>
              </w:rPr>
              <w:t>Proposed Maximum</w:t>
            </w:r>
          </w:p>
        </w:tc>
        <w:tc>
          <w:tcPr>
            <w:tcW w:w="2140" w:type="dxa"/>
            <w:vAlign w:val="bottom"/>
            <w:tcBorders>
              <w:top w:val="single" w:sz="8" w:color="auto"/>
            </w:tcBorders>
          </w:tcPr>
          <w:p>
            <w:pPr>
              <w:spacing w:after="0"/>
              <w:rPr>
                <w:sz w:val="9"/>
                <w:szCs w:val="9"/>
                <w:color w:val="auto"/>
              </w:rPr>
            </w:pPr>
          </w:p>
        </w:tc>
      </w:tr>
      <w:tr>
        <w:trPr>
          <w:trHeight w:val="113"/>
        </w:trPr>
        <w:tc>
          <w:tcPr>
            <w:tcW w:w="2640" w:type="dxa"/>
            <w:vAlign w:val="bottom"/>
          </w:tcPr>
          <w:p>
            <w:pPr>
              <w:spacing w:after="0" w:line="114" w:lineRule="exact"/>
              <w:rPr>
                <w:sz w:val="20"/>
                <w:szCs w:val="20"/>
                <w:color w:val="auto"/>
              </w:rPr>
            </w:pPr>
            <w:r>
              <w:rPr>
                <w:rFonts w:ascii="Arial" w:cs="Arial" w:eastAsia="Arial" w:hAnsi="Arial"/>
                <w:sz w:val="10"/>
                <w:szCs w:val="10"/>
                <w:b w:val="1"/>
                <w:bCs w:val="1"/>
                <w:color w:val="auto"/>
              </w:rPr>
              <w:t>Title of Each Class of</w:t>
            </w:r>
          </w:p>
        </w:tc>
        <w:tc>
          <w:tcPr>
            <w:tcW w:w="1840" w:type="dxa"/>
            <w:vAlign w:val="bottom"/>
          </w:tcPr>
          <w:p>
            <w:pPr>
              <w:jc w:val="center"/>
              <w:ind w:left="1072"/>
              <w:spacing w:after="0" w:line="114" w:lineRule="exact"/>
              <w:rPr>
                <w:sz w:val="20"/>
                <w:szCs w:val="20"/>
                <w:color w:val="auto"/>
              </w:rPr>
            </w:pPr>
            <w:r>
              <w:rPr>
                <w:rFonts w:ascii="Arial" w:cs="Arial" w:eastAsia="Arial" w:hAnsi="Arial"/>
                <w:sz w:val="10"/>
                <w:szCs w:val="10"/>
                <w:b w:val="1"/>
                <w:bCs w:val="1"/>
                <w:color w:val="auto"/>
                <w:w w:val="87"/>
              </w:rPr>
              <w:t>Amount to</w:t>
            </w:r>
          </w:p>
        </w:tc>
        <w:tc>
          <w:tcPr>
            <w:tcW w:w="2080" w:type="dxa"/>
            <w:vAlign w:val="bottom"/>
          </w:tcPr>
          <w:p>
            <w:pPr>
              <w:jc w:val="center"/>
              <w:ind w:left="992"/>
              <w:spacing w:after="0" w:line="114" w:lineRule="exact"/>
              <w:rPr>
                <w:sz w:val="20"/>
                <w:szCs w:val="20"/>
                <w:color w:val="auto"/>
              </w:rPr>
            </w:pPr>
            <w:r>
              <w:rPr>
                <w:rFonts w:ascii="Arial" w:cs="Arial" w:eastAsia="Arial" w:hAnsi="Arial"/>
                <w:sz w:val="10"/>
                <w:szCs w:val="10"/>
                <w:b w:val="1"/>
                <w:bCs w:val="1"/>
                <w:color w:val="auto"/>
                <w:w w:val="89"/>
              </w:rPr>
              <w:t>Offering Price Per</w:t>
            </w:r>
          </w:p>
        </w:tc>
        <w:tc>
          <w:tcPr>
            <w:tcW w:w="660" w:type="dxa"/>
            <w:vAlign w:val="bottom"/>
          </w:tcPr>
          <w:p>
            <w:pPr>
              <w:spacing w:after="0"/>
              <w:rPr>
                <w:sz w:val="9"/>
                <w:szCs w:val="9"/>
                <w:color w:val="auto"/>
              </w:rPr>
            </w:pPr>
          </w:p>
        </w:tc>
        <w:tc>
          <w:tcPr>
            <w:tcW w:w="1940" w:type="dxa"/>
            <w:vAlign w:val="bottom"/>
          </w:tcPr>
          <w:p>
            <w:pPr>
              <w:jc w:val="center"/>
              <w:ind w:right="392"/>
              <w:spacing w:after="0" w:line="114" w:lineRule="exact"/>
              <w:rPr>
                <w:sz w:val="20"/>
                <w:szCs w:val="20"/>
                <w:color w:val="auto"/>
              </w:rPr>
            </w:pPr>
            <w:r>
              <w:rPr>
                <w:rFonts w:ascii="Arial" w:cs="Arial" w:eastAsia="Arial" w:hAnsi="Arial"/>
                <w:sz w:val="10"/>
                <w:szCs w:val="10"/>
                <w:b w:val="1"/>
                <w:bCs w:val="1"/>
                <w:color w:val="auto"/>
                <w:w w:val="84"/>
              </w:rPr>
              <w:t>Aggregate</w:t>
            </w:r>
          </w:p>
        </w:tc>
        <w:tc>
          <w:tcPr>
            <w:tcW w:w="2140" w:type="dxa"/>
            <w:vAlign w:val="bottom"/>
          </w:tcPr>
          <w:p>
            <w:pPr>
              <w:jc w:val="center"/>
              <w:ind w:right="532"/>
              <w:spacing w:after="0" w:line="114" w:lineRule="exact"/>
              <w:rPr>
                <w:sz w:val="20"/>
                <w:szCs w:val="20"/>
                <w:color w:val="auto"/>
              </w:rPr>
            </w:pPr>
            <w:r>
              <w:rPr>
                <w:rFonts w:ascii="Arial" w:cs="Arial" w:eastAsia="Arial" w:hAnsi="Arial"/>
                <w:sz w:val="10"/>
                <w:szCs w:val="10"/>
                <w:b w:val="1"/>
                <w:bCs w:val="1"/>
                <w:color w:val="auto"/>
                <w:w w:val="87"/>
              </w:rPr>
              <w:t>Amount of</w:t>
            </w:r>
          </w:p>
        </w:tc>
      </w:tr>
      <w:tr>
        <w:trPr>
          <w:trHeight w:val="117"/>
        </w:trPr>
        <w:tc>
          <w:tcPr>
            <w:tcW w:w="26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Securities to Be Registered</w:t>
            </w:r>
          </w:p>
        </w:tc>
        <w:tc>
          <w:tcPr>
            <w:tcW w:w="1840" w:type="dxa"/>
            <w:vAlign w:val="bottom"/>
            <w:tcBorders>
              <w:bottom w:val="single" w:sz="8" w:color="auto"/>
            </w:tcBorders>
          </w:tcPr>
          <w:p>
            <w:pPr>
              <w:jc w:val="center"/>
              <w:ind w:left="1092"/>
              <w:spacing w:after="0" w:line="117" w:lineRule="exact"/>
              <w:rPr>
                <w:sz w:val="20"/>
                <w:szCs w:val="20"/>
                <w:color w:val="auto"/>
              </w:rPr>
            </w:pPr>
            <w:r>
              <w:rPr>
                <w:rFonts w:ascii="Arial" w:cs="Arial" w:eastAsia="Arial" w:hAnsi="Arial"/>
                <w:sz w:val="10"/>
                <w:szCs w:val="10"/>
                <w:b w:val="1"/>
                <w:bCs w:val="1"/>
                <w:color w:val="auto"/>
                <w:w w:val="82"/>
              </w:rPr>
              <w:t xml:space="preserve">Be Registered </w:t>
            </w:r>
            <w:r>
              <w:rPr>
                <w:rFonts w:ascii="Arial" w:cs="Arial" w:eastAsia="Arial" w:hAnsi="Arial"/>
                <w:sz w:val="12"/>
                <w:szCs w:val="12"/>
                <w:color w:val="auto"/>
                <w:w w:val="82"/>
                <w:vertAlign w:val="superscript"/>
              </w:rPr>
              <w:t>(1)</w:t>
            </w:r>
          </w:p>
        </w:tc>
        <w:tc>
          <w:tcPr>
            <w:tcW w:w="2080" w:type="dxa"/>
            <w:vAlign w:val="bottom"/>
            <w:tcBorders>
              <w:bottom w:val="single" w:sz="8" w:color="auto"/>
            </w:tcBorders>
          </w:tcPr>
          <w:p>
            <w:pPr>
              <w:jc w:val="center"/>
              <w:ind w:left="992"/>
              <w:spacing w:after="0" w:line="117" w:lineRule="exact"/>
              <w:rPr>
                <w:sz w:val="20"/>
                <w:szCs w:val="20"/>
                <w:color w:val="auto"/>
              </w:rPr>
            </w:pPr>
            <w:r>
              <w:rPr>
                <w:rFonts w:ascii="Arial" w:cs="Arial" w:eastAsia="Arial" w:hAnsi="Arial"/>
                <w:sz w:val="10"/>
                <w:szCs w:val="10"/>
                <w:b w:val="1"/>
                <w:bCs w:val="1"/>
                <w:color w:val="auto"/>
                <w:w w:val="81"/>
              </w:rPr>
              <w:t>Security</w:t>
            </w:r>
            <w:r>
              <w:rPr>
                <w:rFonts w:ascii="Arial" w:cs="Arial" w:eastAsia="Arial" w:hAnsi="Arial"/>
                <w:sz w:val="12"/>
                <w:szCs w:val="12"/>
                <w:color w:val="auto"/>
                <w:w w:val="81"/>
                <w:vertAlign w:val="superscript"/>
              </w:rPr>
              <w:t>(2)(3)</w:t>
            </w:r>
          </w:p>
        </w:tc>
        <w:tc>
          <w:tcPr>
            <w:tcW w:w="660" w:type="dxa"/>
            <w:vAlign w:val="bottom"/>
            <w:tcBorders>
              <w:bottom w:val="single" w:sz="8" w:color="auto"/>
            </w:tcBorders>
          </w:tcPr>
          <w:p>
            <w:pPr>
              <w:spacing w:after="0"/>
              <w:rPr>
                <w:sz w:val="10"/>
                <w:szCs w:val="10"/>
                <w:color w:val="auto"/>
              </w:rPr>
            </w:pPr>
          </w:p>
        </w:tc>
        <w:tc>
          <w:tcPr>
            <w:tcW w:w="1940" w:type="dxa"/>
            <w:vAlign w:val="bottom"/>
            <w:tcBorders>
              <w:bottom w:val="single" w:sz="8" w:color="auto"/>
            </w:tcBorders>
          </w:tcPr>
          <w:p>
            <w:pPr>
              <w:jc w:val="center"/>
              <w:ind w:right="392"/>
              <w:spacing w:after="0" w:line="117" w:lineRule="exact"/>
              <w:rPr>
                <w:sz w:val="20"/>
                <w:szCs w:val="20"/>
                <w:color w:val="auto"/>
              </w:rPr>
            </w:pPr>
            <w:r>
              <w:rPr>
                <w:rFonts w:ascii="Arial" w:cs="Arial" w:eastAsia="Arial" w:hAnsi="Arial"/>
                <w:sz w:val="10"/>
                <w:szCs w:val="10"/>
                <w:b w:val="1"/>
                <w:bCs w:val="1"/>
                <w:color w:val="auto"/>
                <w:w w:val="86"/>
              </w:rPr>
              <w:t>Offering Price</w:t>
            </w:r>
            <w:r>
              <w:rPr>
                <w:rFonts w:ascii="Arial" w:cs="Arial" w:eastAsia="Arial" w:hAnsi="Arial"/>
                <w:sz w:val="12"/>
                <w:szCs w:val="12"/>
                <w:color w:val="auto"/>
                <w:w w:val="86"/>
                <w:vertAlign w:val="superscript"/>
              </w:rPr>
              <w:t>(2)(3)</w:t>
            </w:r>
          </w:p>
        </w:tc>
        <w:tc>
          <w:tcPr>
            <w:tcW w:w="2140" w:type="dxa"/>
            <w:vAlign w:val="bottom"/>
            <w:tcBorders>
              <w:bottom w:val="single" w:sz="8" w:color="auto"/>
            </w:tcBorders>
          </w:tcPr>
          <w:p>
            <w:pPr>
              <w:jc w:val="center"/>
              <w:ind w:right="552"/>
              <w:spacing w:after="0" w:line="117" w:lineRule="exact"/>
              <w:rPr>
                <w:sz w:val="20"/>
                <w:szCs w:val="20"/>
                <w:color w:val="auto"/>
              </w:rPr>
            </w:pPr>
            <w:r>
              <w:rPr>
                <w:rFonts w:ascii="Arial" w:cs="Arial" w:eastAsia="Arial" w:hAnsi="Arial"/>
                <w:sz w:val="10"/>
                <w:szCs w:val="10"/>
                <w:b w:val="1"/>
                <w:bCs w:val="1"/>
                <w:color w:val="auto"/>
                <w:w w:val="83"/>
              </w:rPr>
              <w:t>Registration Fee</w:t>
            </w:r>
            <w:r>
              <w:rPr>
                <w:rFonts w:ascii="Arial" w:cs="Arial" w:eastAsia="Arial" w:hAnsi="Arial"/>
                <w:sz w:val="12"/>
                <w:szCs w:val="12"/>
                <w:color w:val="auto"/>
                <w:w w:val="83"/>
                <w:vertAlign w:val="superscript"/>
              </w:rPr>
              <w:t>(2)(3)</w:t>
            </w:r>
          </w:p>
        </w:tc>
      </w:tr>
      <w:tr>
        <w:trPr>
          <w:trHeight w:val="106"/>
        </w:trPr>
        <w:tc>
          <w:tcPr>
            <w:tcW w:w="2640" w:type="dxa"/>
            <w:vAlign w:val="bottom"/>
            <w:tcBorders>
              <w:bottom w:val="single" w:sz="8" w:color="auto"/>
            </w:tcBorders>
          </w:tcPr>
          <w:p>
            <w:pPr>
              <w:spacing w:after="0" w:line="106" w:lineRule="exact"/>
              <w:rPr>
                <w:sz w:val="20"/>
                <w:szCs w:val="20"/>
                <w:color w:val="auto"/>
              </w:rPr>
            </w:pPr>
            <w:r>
              <w:rPr>
                <w:rFonts w:ascii="Arial" w:cs="Arial" w:eastAsia="Arial" w:hAnsi="Arial"/>
                <w:sz w:val="10"/>
                <w:szCs w:val="10"/>
                <w:color w:val="auto"/>
              </w:rPr>
              <w:t>Common Stock ($0.001 par value)</w:t>
            </w:r>
            <w:r>
              <w:rPr>
                <w:rFonts w:ascii="Arial" w:cs="Arial" w:eastAsia="Arial" w:hAnsi="Arial"/>
                <w:sz w:val="12"/>
                <w:szCs w:val="12"/>
                <w:color w:val="auto"/>
                <w:vertAlign w:val="superscript"/>
              </w:rPr>
              <w:t>(1)(2)</w:t>
            </w:r>
            <w:r>
              <w:rPr>
                <w:rFonts w:ascii="Arial" w:cs="Arial" w:eastAsia="Arial" w:hAnsi="Arial"/>
                <w:sz w:val="10"/>
                <w:szCs w:val="10"/>
                <w:color w:val="auto"/>
              </w:rPr>
              <w:t>:</w:t>
            </w:r>
          </w:p>
        </w:tc>
        <w:tc>
          <w:tcPr>
            <w:tcW w:w="1840" w:type="dxa"/>
            <w:vAlign w:val="bottom"/>
            <w:tcBorders>
              <w:bottom w:val="single" w:sz="8" w:color="auto"/>
            </w:tcBorders>
          </w:tcPr>
          <w:p>
            <w:pPr>
              <w:spacing w:after="0"/>
              <w:rPr>
                <w:sz w:val="9"/>
                <w:szCs w:val="9"/>
                <w:color w:val="auto"/>
              </w:rPr>
            </w:pPr>
          </w:p>
        </w:tc>
        <w:tc>
          <w:tcPr>
            <w:tcW w:w="2080" w:type="dxa"/>
            <w:vAlign w:val="bottom"/>
            <w:tcBorders>
              <w:bottom w:val="single" w:sz="8" w:color="auto"/>
            </w:tcBorders>
          </w:tcPr>
          <w:p>
            <w:pPr>
              <w:jc w:val="right"/>
              <w:ind w:right="1612"/>
              <w:spacing w:after="0" w:line="106" w:lineRule="exact"/>
              <w:rPr>
                <w:sz w:val="20"/>
                <w:szCs w:val="20"/>
                <w:color w:val="auto"/>
              </w:rPr>
            </w:pPr>
            <w:r>
              <w:rPr>
                <w:rFonts w:ascii="Arial" w:cs="Arial" w:eastAsia="Arial" w:hAnsi="Arial"/>
                <w:sz w:val="10"/>
                <w:szCs w:val="10"/>
                <w:color w:val="auto"/>
                <w:w w:val="89"/>
              </w:rPr>
              <w:t>1,762,710</w:t>
            </w:r>
          </w:p>
        </w:tc>
        <w:tc>
          <w:tcPr>
            <w:tcW w:w="660" w:type="dxa"/>
            <w:vAlign w:val="bottom"/>
            <w:tcBorders>
              <w:bottom w:val="single" w:sz="8" w:color="auto"/>
            </w:tcBorders>
          </w:tcPr>
          <w:p>
            <w:pPr>
              <w:jc w:val="right"/>
              <w:ind w:right="292"/>
              <w:spacing w:after="0" w:line="106" w:lineRule="exact"/>
              <w:rPr>
                <w:sz w:val="20"/>
                <w:szCs w:val="20"/>
                <w:color w:val="auto"/>
              </w:rPr>
            </w:pPr>
            <w:r>
              <w:rPr>
                <w:rFonts w:ascii="Arial" w:cs="Arial" w:eastAsia="Arial" w:hAnsi="Arial"/>
                <w:sz w:val="10"/>
                <w:szCs w:val="10"/>
                <w:color w:val="auto"/>
              </w:rPr>
              <w:t>$1.65</w:t>
            </w:r>
          </w:p>
        </w:tc>
        <w:tc>
          <w:tcPr>
            <w:tcW w:w="1940" w:type="dxa"/>
            <w:vAlign w:val="bottom"/>
            <w:tcBorders>
              <w:bottom w:val="single" w:sz="8" w:color="auto"/>
            </w:tcBorders>
          </w:tcPr>
          <w:p>
            <w:pPr>
              <w:jc w:val="right"/>
              <w:ind w:right="312"/>
              <w:spacing w:after="0" w:line="106" w:lineRule="exact"/>
              <w:rPr>
                <w:sz w:val="20"/>
                <w:szCs w:val="20"/>
                <w:color w:val="auto"/>
              </w:rPr>
            </w:pPr>
            <w:r>
              <w:rPr>
                <w:rFonts w:ascii="Arial" w:cs="Arial" w:eastAsia="Arial" w:hAnsi="Arial"/>
                <w:sz w:val="10"/>
                <w:szCs w:val="10"/>
                <w:color w:val="auto"/>
              </w:rPr>
              <w:t>$2,908,471.50</w:t>
            </w:r>
          </w:p>
        </w:tc>
        <w:tc>
          <w:tcPr>
            <w:tcW w:w="2140" w:type="dxa"/>
            <w:vAlign w:val="bottom"/>
            <w:tcBorders>
              <w:bottom w:val="single" w:sz="8" w:color="auto"/>
            </w:tcBorders>
          </w:tcPr>
          <w:p>
            <w:pPr>
              <w:jc w:val="right"/>
              <w:ind w:right="412"/>
              <w:spacing w:after="0" w:line="106" w:lineRule="exact"/>
              <w:rPr>
                <w:sz w:val="20"/>
                <w:szCs w:val="20"/>
                <w:color w:val="auto"/>
              </w:rPr>
            </w:pPr>
            <w:r>
              <w:rPr>
                <w:rFonts w:ascii="Arial" w:cs="Arial" w:eastAsia="Arial" w:hAnsi="Arial"/>
                <w:sz w:val="10"/>
                <w:szCs w:val="10"/>
                <w:color w:val="auto"/>
              </w:rPr>
              <w:t>$377.52</w:t>
            </w:r>
          </w:p>
        </w:tc>
      </w:tr>
    </w:tbl>
    <w:p>
      <w:pPr>
        <w:spacing w:after="0" w:line="6" w:lineRule="exact"/>
        <w:rPr>
          <w:sz w:val="20"/>
          <w:szCs w:val="20"/>
          <w:color w:val="auto"/>
        </w:rPr>
      </w:pPr>
    </w:p>
    <w:p>
      <w:pPr>
        <w:ind w:left="348" w:right="20" w:hanging="348"/>
        <w:spacing w:after="0" w:line="196" w:lineRule="auto"/>
        <w:tabs>
          <w:tab w:leader="none" w:pos="348" w:val="left"/>
        </w:tabs>
        <w:numPr>
          <w:ilvl w:val="0"/>
          <w:numId w:val="1"/>
        </w:numPr>
        <w:rPr>
          <w:rFonts w:ascii="Arial" w:cs="Arial" w:eastAsia="Arial" w:hAnsi="Arial"/>
          <w:sz w:val="10"/>
          <w:szCs w:val="10"/>
          <w:color w:val="auto"/>
        </w:rPr>
      </w:pPr>
      <w:r>
        <w:rPr>
          <w:rFonts w:ascii="Arial" w:cs="Arial" w:eastAsia="Arial" w:hAnsi="Arial"/>
          <w:sz w:val="10"/>
          <w:szCs w:val="10"/>
          <w:color w:val="auto"/>
        </w:rPr>
        <w:t>This Registration Statement registers the resale of 1,421,801 shares of common stock of ClearOne, Inc. issuable upon conversion of issued and outstanding secured convertible notes and 340,909 shares of common stock of ClearOne, Inc. issuable upon exercise of issued and outstanding warrants. This Registration Statement also relates to such additional securities (i) to be offered or issued in connection with any provision of any securities purported to be registered hereby to be offered pursuant to terms which provide for a change in the amount of securities being offered or issued to prevent dilution resulting from stock splits, stock dividends, or similar transactions and (ii) of the same class as the securities covered by this Registration Statement issued or issuable prior to completion of the distribution of the securities covered by this Registration Statement as a result of a split of, or a stock dividend on, the registered securities.</w:t>
      </w:r>
    </w:p>
    <w:p>
      <w:pPr>
        <w:spacing w:after="0" w:line="1" w:lineRule="exact"/>
        <w:rPr>
          <w:rFonts w:ascii="Arial" w:cs="Arial" w:eastAsia="Arial" w:hAnsi="Arial"/>
          <w:sz w:val="10"/>
          <w:szCs w:val="10"/>
          <w:color w:val="auto"/>
        </w:rPr>
      </w:pPr>
    </w:p>
    <w:p>
      <w:pPr>
        <w:ind w:left="348" w:hanging="348"/>
        <w:spacing w:after="0" w:line="236" w:lineRule="auto"/>
        <w:tabs>
          <w:tab w:leader="none" w:pos="348" w:val="left"/>
        </w:tabs>
        <w:numPr>
          <w:ilvl w:val="0"/>
          <w:numId w:val="1"/>
        </w:numPr>
        <w:rPr>
          <w:rFonts w:ascii="Arial" w:cs="Arial" w:eastAsia="Arial" w:hAnsi="Arial"/>
          <w:sz w:val="10"/>
          <w:szCs w:val="10"/>
          <w:color w:val="auto"/>
        </w:rPr>
      </w:pPr>
      <w:r>
        <w:rPr>
          <w:rFonts w:ascii="Arial" w:cs="Arial" w:eastAsia="Arial" w:hAnsi="Arial"/>
          <w:sz w:val="10"/>
          <w:szCs w:val="10"/>
          <w:color w:val="auto"/>
        </w:rPr>
        <w:t>In U.S. dollars or the equivalent thereof denominated in one or more foreign currencies or units of two or more foreign currencies or composite currencies.</w:t>
      </w:r>
    </w:p>
    <w:p>
      <w:pPr>
        <w:spacing w:after="0" w:line="31" w:lineRule="exact"/>
        <w:rPr>
          <w:rFonts w:ascii="Arial" w:cs="Arial" w:eastAsia="Arial" w:hAnsi="Arial"/>
          <w:sz w:val="10"/>
          <w:szCs w:val="10"/>
          <w:color w:val="auto"/>
        </w:rPr>
      </w:pPr>
    </w:p>
    <w:p>
      <w:pPr>
        <w:ind w:left="348" w:right="100" w:hanging="348"/>
        <w:spacing w:after="0" w:line="230" w:lineRule="auto"/>
        <w:tabs>
          <w:tab w:leader="none" w:pos="348" w:val="left"/>
        </w:tabs>
        <w:numPr>
          <w:ilvl w:val="0"/>
          <w:numId w:val="1"/>
        </w:numPr>
        <w:rPr>
          <w:rFonts w:ascii="Arial" w:cs="Arial" w:eastAsia="Arial" w:hAnsi="Arial"/>
          <w:sz w:val="10"/>
          <w:szCs w:val="10"/>
          <w:color w:val="auto"/>
        </w:rPr>
      </w:pPr>
      <w:r>
        <w:rPr>
          <w:rFonts w:ascii="Arial" w:cs="Arial" w:eastAsia="Arial" w:hAnsi="Arial"/>
          <w:sz w:val="10"/>
          <w:szCs w:val="10"/>
          <w:color w:val="auto"/>
        </w:rPr>
        <w:t>Estimated solely for the purpose of calculating the registration fee in accordance with Rule 457(c) under the Securities Act. The price per share and aggregate offering price are based on the average of the high and low sales prices of the common stock on May 4, 2020, as reported on The NASDAQ Capital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-468630</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10795</wp:posOffset>
            </wp:positionV>
            <wp:extent cx="708660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86600" cy="571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22225</wp:posOffset>
            </wp:positionV>
            <wp:extent cx="7086600" cy="228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86600" cy="22860"/>
                    </a:xfrm>
                    <a:prstGeom prst="rect">
                      <a:avLst/>
                    </a:prstGeom>
                    <a:noFill/>
                  </pic:spPr>
                </pic:pic>
              </a:graphicData>
            </a:graphic>
          </wp:anchor>
        </w:drawing>
      </w:r>
    </w:p>
    <w:p>
      <w:pPr>
        <w:spacing w:after="0" w:line="389" w:lineRule="exact"/>
        <w:rPr>
          <w:sz w:val="20"/>
          <w:szCs w:val="20"/>
          <w:color w:val="auto"/>
        </w:rPr>
      </w:pPr>
    </w:p>
    <w:p>
      <w:pPr>
        <w:jc w:val="both"/>
        <w:ind w:left="8" w:right="20"/>
        <w:spacing w:after="0" w:line="266" w:lineRule="auto"/>
        <w:rPr>
          <w:sz w:val="20"/>
          <w:szCs w:val="20"/>
          <w:color w:val="auto"/>
        </w:rPr>
      </w:pPr>
      <w:r>
        <w:rPr>
          <w:rFonts w:ascii="Arial" w:cs="Arial" w:eastAsia="Arial" w:hAnsi="Arial"/>
          <w:sz w:val="12"/>
          <w:szCs w:val="12"/>
          <w:b w:val="1"/>
          <w:bCs w:val="1"/>
          <w:color w:val="auto"/>
        </w:rPr>
        <w:t>We hereby amend this registration statement (the “Registration Statement”) on such date or dates as may be necessary to delay its effective date until we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231140</wp:posOffset>
            </wp:positionV>
            <wp:extent cx="7178040" cy="11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413" w:right="299" w:bottom="1440" w:gutter="0" w:footer="0" w:header="0"/>
        </w:sectPr>
      </w:pPr>
    </w:p>
    <w:bookmarkStart w:id="2" w:name="page3"/>
    <w:bookmarkEnd w:id="2"/>
    <w:p>
      <w:pPr>
        <w:ind w:left="80" w:right="100"/>
        <w:spacing w:after="0" w:line="387" w:lineRule="auto"/>
        <w:rPr>
          <w:sz w:val="20"/>
          <w:szCs w:val="20"/>
          <w:color w:val="auto"/>
        </w:rPr>
      </w:pPr>
      <w:r>
        <w:rPr>
          <w:rFonts w:ascii="Arial" w:cs="Arial" w:eastAsia="Arial" w:hAnsi="Arial"/>
          <w:sz w:val="10"/>
          <w:szCs w:val="10"/>
          <w:b w:val="1"/>
          <w:bCs w:val="1"/>
          <w:color w:val="F93F26"/>
        </w:rPr>
        <w:drawing>
          <wp:anchor simplePos="0" relativeHeight="251657728" behindDoc="1" locked="0" layoutInCell="0" allowOverlap="1">
            <wp:simplePos x="0" y="0"/>
            <wp:positionH relativeFrom="page">
              <wp:posOffset>210185</wp:posOffset>
            </wp:positionH>
            <wp:positionV relativeFrom="page">
              <wp:posOffset>268605</wp:posOffset>
            </wp:positionV>
            <wp:extent cx="7127875" cy="2527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7875" cy="252730"/>
                    </a:xfrm>
                    <a:prstGeom prst="rect">
                      <a:avLst/>
                    </a:prstGeom>
                    <a:noFill/>
                  </pic:spPr>
                </pic:pic>
              </a:graphicData>
            </a:graphic>
          </wp:anchor>
        </w:drawing>
        <w:t>The information contained in this prospectus is not complete and may be changed. The selling stockholder named in this prospectus may not sell these securities until the Registration Statement filed with the Securities and Exchange Commission is effective. This prospectus is not an offer to sell these securities and is not a solicitation of offers to buy these securities in any jurisdiction where such offer or sale is not permitted.</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color w:val="FF0000"/>
        </w:rPr>
        <w:t>Subject to Completion, Dated May 7, 2020</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PROSPECTUS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CLEARONE,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1,762,710 Shares of Common Stock</w:t>
      </w:r>
    </w:p>
    <w:p>
      <w:pPr>
        <w:spacing w:after="0" w:line="141" w:lineRule="exact"/>
        <w:rPr>
          <w:sz w:val="20"/>
          <w:szCs w:val="20"/>
          <w:color w:val="auto"/>
        </w:rPr>
      </w:pPr>
    </w:p>
    <w:p>
      <w:pPr>
        <w:ind w:firstLine="288"/>
        <w:spacing w:after="0" w:line="298" w:lineRule="auto"/>
        <w:rPr>
          <w:sz w:val="20"/>
          <w:szCs w:val="20"/>
          <w:color w:val="auto"/>
        </w:rPr>
      </w:pPr>
      <w:r>
        <w:rPr>
          <w:rFonts w:ascii="Arial" w:cs="Arial" w:eastAsia="Arial" w:hAnsi="Arial"/>
          <w:sz w:val="11"/>
          <w:szCs w:val="11"/>
          <w:color w:val="auto"/>
        </w:rPr>
        <w:t>This prospectus relates to the possible resale, from time to time, by the selling stockholder identified in this prospectus of up to 1,762,710 shares of our common stock, par value $0.001 per share, initially issued in a private placement transaction. 1,421,801 of the shares offered by this prospectus are issuable upon conversion of $3,000,000 outstanding principal amount of secured convertible notes that are convertible to shares of common stock at an initial conversion price of $2.11 per share. 340,909 of the shares offered by this prospectus are issuable upon exercise of outstanding common stock warrants with an initial exercise price of $1.76 per share.</w:t>
      </w:r>
    </w:p>
    <w:p>
      <w:pPr>
        <w:spacing w:after="0" w:line="69" w:lineRule="exact"/>
        <w:rPr>
          <w:sz w:val="20"/>
          <w:szCs w:val="20"/>
          <w:color w:val="auto"/>
        </w:rPr>
      </w:pPr>
    </w:p>
    <w:p>
      <w:pPr>
        <w:ind w:right="120" w:firstLine="288"/>
        <w:spacing w:after="0" w:line="234" w:lineRule="auto"/>
        <w:rPr>
          <w:sz w:val="20"/>
          <w:szCs w:val="20"/>
          <w:color w:val="auto"/>
        </w:rPr>
      </w:pPr>
      <w:r>
        <w:rPr>
          <w:rFonts w:ascii="Arial" w:cs="Arial" w:eastAsia="Arial" w:hAnsi="Arial"/>
          <w:sz w:val="12"/>
          <w:szCs w:val="12"/>
          <w:color w:val="auto"/>
        </w:rPr>
        <w:t>The selling stockholder may offer the shares from time to time as such selling stockholder may determine through public or private transactions or through other means described in the section entitled “Plan of Distribution” or a supplement to this prospectus. The selling stockholder also sell shares under Rule 144 under the Securities Act of 1933, as amended, if available, rather than under this prospectus.</w:t>
      </w:r>
    </w:p>
    <w:p>
      <w:pPr>
        <w:spacing w:after="0" w:line="82" w:lineRule="exact"/>
        <w:rPr>
          <w:sz w:val="20"/>
          <w:szCs w:val="20"/>
          <w:color w:val="auto"/>
        </w:rPr>
      </w:pPr>
    </w:p>
    <w:p>
      <w:pPr>
        <w:ind w:right="240" w:firstLine="288"/>
        <w:spacing w:after="0" w:line="323" w:lineRule="auto"/>
        <w:rPr>
          <w:sz w:val="20"/>
          <w:szCs w:val="20"/>
          <w:color w:val="auto"/>
        </w:rPr>
      </w:pPr>
      <w:r>
        <w:rPr>
          <w:rFonts w:ascii="Arial" w:cs="Arial" w:eastAsia="Arial" w:hAnsi="Arial"/>
          <w:sz w:val="10"/>
          <w:szCs w:val="10"/>
          <w:color w:val="auto"/>
        </w:rPr>
        <w:t>The registration of these shares does not necessarily mean that the selling stockholder will sell any of its shares or convert any portion of the secured convertible notes or exercise its warrants. We are not offering for sale any shares of our common stock pursuant to this prospectus. We will not receive any cash proceeds from the sale of any of our shares of common stock by the selling stockholder, but we have agreed to pay certain registration expenses.</w:t>
      </w:r>
    </w:p>
    <w:p>
      <w:pPr>
        <w:spacing w:after="0" w:line="41" w:lineRule="exact"/>
        <w:rPr>
          <w:sz w:val="20"/>
          <w:szCs w:val="20"/>
          <w:color w:val="auto"/>
        </w:rPr>
      </w:pPr>
    </w:p>
    <w:p>
      <w:pPr>
        <w:ind w:left="280"/>
        <w:spacing w:after="0"/>
        <w:rPr>
          <w:sz w:val="20"/>
          <w:szCs w:val="20"/>
          <w:color w:val="auto"/>
        </w:rPr>
      </w:pPr>
      <w:r>
        <w:rPr>
          <w:rFonts w:ascii="Arial" w:cs="Arial" w:eastAsia="Arial" w:hAnsi="Arial"/>
          <w:sz w:val="11"/>
          <w:szCs w:val="11"/>
          <w:color w:val="auto"/>
        </w:rPr>
        <w:t>Our common stock is listed on The NASDAQ Capital Market under the symbol “CLRO.” The closing price of our common stock as reported on The NASDAQ Capital Market on May 6, 2020 was $1.77 per share.</w:t>
      </w:r>
    </w:p>
    <w:p>
      <w:pPr>
        <w:spacing w:after="0" w:line="104" w:lineRule="exact"/>
        <w:rPr>
          <w:sz w:val="20"/>
          <w:szCs w:val="20"/>
          <w:color w:val="auto"/>
        </w:rPr>
      </w:pPr>
    </w:p>
    <w:p>
      <w:pPr>
        <w:ind w:right="80" w:firstLine="288"/>
        <w:spacing w:after="0" w:line="238" w:lineRule="auto"/>
        <w:rPr>
          <w:sz w:val="20"/>
          <w:szCs w:val="20"/>
          <w:color w:val="auto"/>
        </w:rPr>
      </w:pPr>
      <w:r>
        <w:rPr>
          <w:rFonts w:ascii="Arial" w:cs="Arial" w:eastAsia="Arial" w:hAnsi="Arial"/>
          <w:sz w:val="12"/>
          <w:szCs w:val="12"/>
          <w:b w:val="1"/>
          <w:bCs w:val="1"/>
          <w:color w:val="auto"/>
        </w:rPr>
        <w:t>You should carefully read and consider the risk factors under Part I, Item 1A contained in our most recent Annual Report on Form 10-K for risks relating to investments in our securities, as such risk factors may be supplemented or amended from time to time under Part II, Item 1A of our Quarterly Reports on Form 10-Q.</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Our mailing address and telephone number are: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5225 Wiley Post Way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Suite 500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Salt Lake City, Utah 84116</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(801) 975-7200</w:t>
      </w:r>
    </w:p>
    <w:p>
      <w:pPr>
        <w:spacing w:after="0" w:line="137" w:lineRule="exact"/>
        <w:rPr>
          <w:sz w:val="20"/>
          <w:szCs w:val="20"/>
          <w:color w:val="auto"/>
        </w:rPr>
      </w:pPr>
    </w:p>
    <w:p>
      <w:pPr>
        <w:ind w:right="680" w:firstLine="288"/>
        <w:spacing w:after="0" w:line="283" w:lineRule="auto"/>
        <w:rPr>
          <w:sz w:val="20"/>
          <w:szCs w:val="20"/>
          <w:color w:val="auto"/>
        </w:rPr>
      </w:pPr>
      <w:r>
        <w:rPr>
          <w:rFonts w:ascii="Arial" w:cs="Arial" w:eastAsia="Arial" w:hAnsi="Arial"/>
          <w:sz w:val="12"/>
          <w:szCs w:val="12"/>
          <w:b w:val="1"/>
          <w:bCs w:val="1"/>
          <w:color w:val="auto"/>
        </w:rPr>
        <w:t>Neither the Securities and Exchange Commission nor any state securities commission has approved or disapproved of these securities or passed upon the accuracy or completeness of this prospectus. Any representation to the contrary is a criminal offense.</w:t>
      </w:r>
    </w:p>
    <w:p>
      <w:pPr>
        <w:spacing w:after="0" w:line="111" w:lineRule="exact"/>
        <w:rPr>
          <w:sz w:val="20"/>
          <w:szCs w:val="20"/>
          <w:color w:val="auto"/>
        </w:rPr>
      </w:pPr>
    </w:p>
    <w:tbl>
      <w:tblPr>
        <w:tblLayout w:type="fixed"/>
        <w:tblInd w:w="4560" w:type="dxa"/>
        <w:tblCellMar>
          <w:top w:w="0" w:type="dxa"/>
          <w:left w:w="0" w:type="dxa"/>
          <w:bottom w:w="0" w:type="dxa"/>
          <w:right w:w="0" w:type="dxa"/>
        </w:tblCellMar>
      </w:tblPr>
      <w:tr>
        <w:trPr>
          <w:trHeight w:val="153"/>
        </w:trPr>
        <w:tc>
          <w:tcPr>
            <w:tcW w:w="1640" w:type="dxa"/>
            <w:vAlign w:val="bottom"/>
          </w:tcPr>
          <w:p>
            <w:pPr>
              <w:spacing w:after="0"/>
              <w:rPr>
                <w:sz w:val="20"/>
                <w:szCs w:val="20"/>
                <w:color w:val="auto"/>
              </w:rPr>
            </w:pPr>
            <w:r>
              <w:rPr>
                <w:rFonts w:ascii="Arial" w:cs="Arial" w:eastAsia="Arial" w:hAnsi="Arial"/>
                <w:sz w:val="12"/>
                <w:szCs w:val="12"/>
                <w:color w:val="auto"/>
              </w:rPr>
              <w:t>The date of this prospectus is</w:t>
            </w:r>
          </w:p>
        </w:tc>
        <w:tc>
          <w:tcPr>
            <w:tcW w:w="540" w:type="dxa"/>
            <w:vAlign w:val="bottom"/>
          </w:tcPr>
          <w:p>
            <w:pPr>
              <w:jc w:val="right"/>
              <w:spacing w:after="0"/>
              <w:rPr>
                <w:sz w:val="20"/>
                <w:szCs w:val="20"/>
                <w:color w:val="auto"/>
              </w:rPr>
            </w:pPr>
            <w:r>
              <w:rPr>
                <w:rFonts w:ascii="Arial" w:cs="Arial" w:eastAsia="Arial" w:hAnsi="Arial"/>
                <w:sz w:val="12"/>
                <w:szCs w:val="12"/>
                <w:color w:val="auto"/>
              </w:rPr>
              <w:t>, 2020</w:t>
            </w:r>
          </w:p>
        </w:tc>
      </w:tr>
    </w:tbl>
    <w:p>
      <w:pPr>
        <w:spacing w:after="0" w:line="15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460" w:right="299" w:bottom="1440" w:gutter="0" w:footer="0" w:header="0"/>
        </w:sectPr>
      </w:pPr>
    </w:p>
    <w:bookmarkStart w:id="3" w:name="page4"/>
    <w:bookmarkEnd w:id="3"/>
    <w:p>
      <w:pPr>
        <w:jc w:val="center"/>
        <w:spacing w:after="0"/>
        <w:rPr>
          <w:sz w:val="20"/>
          <w:szCs w:val="20"/>
          <w:color w:val="auto"/>
        </w:rPr>
      </w:pPr>
      <w:r>
        <w:rPr>
          <w:rFonts w:ascii="Arial" w:cs="Arial" w:eastAsia="Arial" w:hAnsi="Arial"/>
          <w:sz w:val="12"/>
          <w:szCs w:val="12"/>
          <w:b w:val="1"/>
          <w:bCs w:val="1"/>
          <w:color w:val="auto"/>
        </w:rPr>
        <w:t>ABOUT THIS PROSPECTUS</w:t>
      </w:r>
    </w:p>
    <w:p>
      <w:pPr>
        <w:spacing w:after="0" w:line="145" w:lineRule="exact"/>
        <w:rPr>
          <w:sz w:val="20"/>
          <w:szCs w:val="20"/>
          <w:color w:val="auto"/>
        </w:rPr>
      </w:pPr>
    </w:p>
    <w:p>
      <w:pPr>
        <w:ind w:right="100" w:firstLine="288"/>
        <w:spacing w:after="0" w:line="239" w:lineRule="auto"/>
        <w:rPr>
          <w:sz w:val="20"/>
          <w:szCs w:val="20"/>
          <w:color w:val="auto"/>
        </w:rPr>
      </w:pPr>
      <w:r>
        <w:rPr>
          <w:rFonts w:ascii="Arial" w:cs="Arial" w:eastAsia="Arial" w:hAnsi="Arial"/>
          <w:sz w:val="11"/>
          <w:szCs w:val="11"/>
          <w:color w:val="auto"/>
        </w:rPr>
        <w:t>In considering any decision regarding an investment in the shares which are the subject of this prospectus, you should rely only upon the information contained in this prospectus and the information that we incorporate by reference into this prospectus. We have not authorized any persons to provide you with information which is different from the information contained in this prospectus or the information that we incorporate by reference into this prospectus. We take no responsibility for and can provide no assurances as to the reliability of, any other information that you may obtain from other sources. The information contained in this prospectus is accurate only as of the date on the front cover of this prospectus. Any and all information that we incorporate by reference is accurate only as of the date of the referenced document so incorporated.</w:t>
      </w:r>
    </w:p>
    <w:p>
      <w:pPr>
        <w:spacing w:after="0" w:line="81" w:lineRule="exact"/>
        <w:rPr>
          <w:sz w:val="20"/>
          <w:szCs w:val="20"/>
          <w:color w:val="auto"/>
        </w:rPr>
      </w:pPr>
    </w:p>
    <w:p>
      <w:pPr>
        <w:ind w:right="340" w:firstLine="288"/>
        <w:spacing w:after="0" w:line="234" w:lineRule="auto"/>
        <w:rPr>
          <w:sz w:val="20"/>
          <w:szCs w:val="20"/>
          <w:color w:val="auto"/>
        </w:rPr>
      </w:pPr>
      <w:r>
        <w:rPr>
          <w:rFonts w:ascii="Arial" w:cs="Arial" w:eastAsia="Arial" w:hAnsi="Arial"/>
          <w:sz w:val="12"/>
          <w:szCs w:val="12"/>
          <w:color w:val="auto"/>
        </w:rPr>
        <w:t>This prospectus is an offer to sell only the securities that are offered hereby, and only where it is lawful to do so. This prospectus does not offer to sell, or ask for offers to buy, any shares of our common stock in any state or jurisdiction (within or outside the United States) where it would not be lawful or where the person making the offer is not qualified to do so.</w:t>
      </w:r>
    </w:p>
    <w:p>
      <w:pPr>
        <w:spacing w:after="0" w:line="82" w:lineRule="exact"/>
        <w:rPr>
          <w:sz w:val="20"/>
          <w:szCs w:val="20"/>
          <w:color w:val="auto"/>
        </w:rPr>
      </w:pPr>
    </w:p>
    <w:p>
      <w:pPr>
        <w:ind w:right="20" w:firstLine="288"/>
        <w:spacing w:after="0" w:line="234" w:lineRule="auto"/>
        <w:rPr>
          <w:sz w:val="20"/>
          <w:szCs w:val="20"/>
          <w:color w:val="auto"/>
        </w:rPr>
      </w:pPr>
      <w:r>
        <w:rPr>
          <w:rFonts w:ascii="Arial" w:cs="Arial" w:eastAsia="Arial" w:hAnsi="Arial"/>
          <w:sz w:val="12"/>
          <w:szCs w:val="12"/>
          <w:color w:val="auto"/>
        </w:rPr>
        <w:t>This prospectus is part of a registration statement that we filed with the U.S. Securities and Exchange Commission (the "SEC"). Please carefully read both this entire prospectus together with all information that we incorporate by reference. See the section of this prospectus under the caption: "Incorporation of Certain Information by Reference."</w:t>
      </w:r>
    </w:p>
    <w:p>
      <w:pPr>
        <w:spacing w:after="0" w:line="82" w:lineRule="exact"/>
        <w:rPr>
          <w:sz w:val="20"/>
          <w:szCs w:val="20"/>
          <w:color w:val="auto"/>
        </w:rPr>
      </w:pPr>
    </w:p>
    <w:p>
      <w:pPr>
        <w:jc w:val="center"/>
        <w:ind w:left="560" w:right="20"/>
        <w:spacing w:after="0" w:line="406" w:lineRule="auto"/>
        <w:rPr>
          <w:sz w:val="20"/>
          <w:szCs w:val="20"/>
          <w:color w:val="auto"/>
        </w:rPr>
      </w:pPr>
      <w:r>
        <w:rPr>
          <w:rFonts w:ascii="Arial" w:cs="Arial" w:eastAsia="Arial" w:hAnsi="Arial"/>
          <w:sz w:val="12"/>
          <w:szCs w:val="12"/>
          <w:color w:val="auto"/>
        </w:rPr>
        <w:t xml:space="preserve">Except as otherwise indicated herein or as the context otherwise requires, references in this prospectus to "ClearOne," "CLRO," "the Company," "we," "us," "our," and similar references refer to ClearOne, Inc. and its subsidiaries. </w:t>
      </w:r>
      <w:r>
        <w:rPr>
          <w:rFonts w:ascii="Arial" w:cs="Arial" w:eastAsia="Arial" w:hAnsi="Arial"/>
          <w:sz w:val="12"/>
          <w:szCs w:val="12"/>
          <w:b w:val="1"/>
          <w:bCs w:val="1"/>
          <w:color w:val="auto"/>
        </w:rPr>
        <w:t>CAUTIONARY STATEMENT REGARDING FORWARD-LOOKING STATEMENTS</w:t>
      </w:r>
    </w:p>
    <w:p>
      <w:pPr>
        <w:spacing w:after="0" w:line="1" w:lineRule="exact"/>
        <w:rPr>
          <w:sz w:val="20"/>
          <w:szCs w:val="20"/>
          <w:color w:val="auto"/>
        </w:rPr>
      </w:pPr>
    </w:p>
    <w:p>
      <w:pPr>
        <w:ind w:firstLine="288"/>
        <w:spacing w:after="0" w:line="211" w:lineRule="auto"/>
        <w:rPr>
          <w:sz w:val="20"/>
          <w:szCs w:val="20"/>
          <w:color w:val="auto"/>
        </w:rPr>
      </w:pPr>
      <w:r>
        <w:rPr>
          <w:rFonts w:ascii="Arial" w:cs="Arial" w:eastAsia="Arial" w:hAnsi="Arial"/>
          <w:sz w:val="12"/>
          <w:szCs w:val="12"/>
          <w:color w:val="auto"/>
        </w:rPr>
        <w:t>This prospectus and the documents we incorporate by reference into this prospectus may contain forward-looking statements within the meaning of Section 27A of the Securities Act of 1933, as amended, and Section 21E of the Securities Exchange Act of 1934, as amended, about the Company and its subsidiaries. We intend the coverage of our forward-looking statements to be within the safe harbor provisions of the Private Securities Litigation Reform Act of 1995. Forward-looking statements are not statements of historical fact, and can be identified by the use of forward-looking terminology such as "believes," "expects," "may," "will," "could," "should," "projects," "plans," "goal," "targets," "potential," "estimates," "pro forma," "seeks," "intends," or "anticipates" or the negative form of these terms or comparable qualifying words. The basis for our forward-looking statements includes our current expectations and a number of known and unknown risks and uncertainties that could cause actual outcomes to differ materially from our forward-looking statements. We caution readers not to place undue reliance on our forward-looking statements. In light of inherent uncertainties in forward-looking statements, the reader should not interpret inclusion of these statements as any representation by us or any other person that we will achieve or accomplish any of the matters expressed within the scope of any of our forward-looking statements. We assume no obligation to publicly update or revise our forward-looking statements or to advise of any changes regarding the basis of our assumptions and other factors relating to the forward-looking statements.</w:t>
      </w:r>
    </w:p>
    <w:p>
      <w:pPr>
        <w:spacing w:after="0" w:line="82" w:lineRule="exact"/>
        <w:rPr>
          <w:sz w:val="20"/>
          <w:szCs w:val="20"/>
          <w:color w:val="auto"/>
        </w:rPr>
      </w:pPr>
    </w:p>
    <w:p>
      <w:pPr>
        <w:jc w:val="both"/>
        <w:ind w:right="120" w:firstLine="288"/>
        <w:spacing w:after="0" w:line="224" w:lineRule="auto"/>
        <w:rPr>
          <w:sz w:val="20"/>
          <w:szCs w:val="20"/>
          <w:color w:val="auto"/>
        </w:rPr>
      </w:pPr>
      <w:r>
        <w:rPr>
          <w:rFonts w:ascii="Arial" w:cs="Arial" w:eastAsia="Arial" w:hAnsi="Arial"/>
          <w:sz w:val="12"/>
          <w:szCs w:val="12"/>
          <w:color w:val="auto"/>
        </w:rPr>
        <w:t>For further information on factors which could impact us and the statements contained herein, see the “Risk Factors” under Part I, Item 1A in our most recent Annual Report on Form 10-K for risks relating to investments in our securities, as such risk factors may be supplemented or amended from time to time under Part II, Item 1A of our Quarterly Reports on Form 10-Q. We assume no obligation to update and supplement forward-looking statements that become untrue because of subsequent events, new information or otherwise.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60960</wp:posOffset>
            </wp:positionV>
            <wp:extent cx="7178040" cy="11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271" w:right="31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2"/>
          <w:szCs w:val="12"/>
          <w:b w:val="1"/>
          <w:bCs w:val="1"/>
          <w:color w:val="auto"/>
        </w:rPr>
        <w:t>WHERE YOU CAN FIND MORE INFORMATION</w:t>
      </w:r>
    </w:p>
    <w:p>
      <w:pPr>
        <w:spacing w:after="0" w:line="145" w:lineRule="exact"/>
        <w:rPr>
          <w:sz w:val="20"/>
          <w:szCs w:val="20"/>
          <w:color w:val="auto"/>
        </w:rPr>
      </w:pPr>
    </w:p>
    <w:p>
      <w:pPr>
        <w:jc w:val="both"/>
        <w:ind w:right="100" w:firstLine="288"/>
        <w:spacing w:after="0" w:line="212" w:lineRule="auto"/>
        <w:rPr>
          <w:sz w:val="20"/>
          <w:szCs w:val="20"/>
          <w:color w:val="auto"/>
        </w:rPr>
      </w:pPr>
      <w:r>
        <w:rPr>
          <w:rFonts w:ascii="Arial" w:cs="Arial" w:eastAsia="Arial" w:hAnsi="Arial"/>
          <w:sz w:val="12"/>
          <w:szCs w:val="12"/>
          <w:color w:val="auto"/>
        </w:rPr>
        <w:t xml:space="preserve">We are an SEC reporting company and file annual, quarterly and current reports, proxy statements and other information with the SEC. We have filed with the SEC a registration statement on Form S-1 under the Securities Act, with respect to the Common Stock and subscription rights being offered under this prospectus. This prospectus does not contain all of the information set forth in the registration statement and the exhibits to the registration statement. For further information with respect to us and the securities being offered under this prospectus, we refer you to the complete registration statement and the exhibits and schedules filed as a part of the registration statement. You may read and copy the registration statement, as well as our reports, proxy statements and other information, at the SEC's Public Reference Room at 100 F Street, N.E., Washington, D.C. 20549. Please call the SEC at 1-800-SEC-0330 for more information about the operation of the Public Reference Room. The SEC maintains an Internet site that contains reports, proxy and information statements, and other information regarding issuers that file electronically with the SEC. The SEC's Internet site can be found at </w:t>
      </w:r>
      <w:r>
        <w:rPr>
          <w:rFonts w:ascii="Arial" w:cs="Arial" w:eastAsia="Arial" w:hAnsi="Arial"/>
          <w:sz w:val="12"/>
          <w:szCs w:val="12"/>
          <w:i w:val="1"/>
          <w:iCs w:val="1"/>
          <w:color w:val="auto"/>
        </w:rPr>
        <w:t>http://www.sec.gov</w:t>
      </w:r>
      <w:r>
        <w:rPr>
          <w:rFonts w:ascii="Arial" w:cs="Arial" w:eastAsia="Arial" w:hAnsi="Arial"/>
          <w:sz w:val="12"/>
          <w:szCs w:val="12"/>
          <w:color w:val="auto"/>
        </w:rPr>
        <w:t xml:space="preserve">. You can also obtain copies of materials we file with the SEC from our Internet website found at </w:t>
      </w:r>
      <w:r>
        <w:rPr>
          <w:rFonts w:ascii="Arial" w:cs="Arial" w:eastAsia="Arial" w:hAnsi="Arial"/>
          <w:sz w:val="12"/>
          <w:szCs w:val="12"/>
          <w:i w:val="1"/>
          <w:iCs w:val="1"/>
          <w:color w:val="auto"/>
        </w:rPr>
        <w:t>http://www.clearone.com/</w:t>
      </w:r>
      <w:r>
        <w:rPr>
          <w:rFonts w:ascii="Arial" w:cs="Arial" w:eastAsia="Arial" w:hAnsi="Arial"/>
          <w:sz w:val="12"/>
          <w:szCs w:val="12"/>
          <w:color w:val="auto"/>
        </w:rPr>
        <w:t>. The information contained in our website is not a part of this prospectus.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INCORPORATION OF CERTAIN INFORMATION BY REFERENCE</w:t>
      </w:r>
    </w:p>
    <w:p>
      <w:pPr>
        <w:spacing w:after="0" w:line="100" w:lineRule="exact"/>
        <w:rPr>
          <w:sz w:val="20"/>
          <w:szCs w:val="20"/>
          <w:color w:val="auto"/>
        </w:rPr>
      </w:pPr>
    </w:p>
    <w:p>
      <w:pPr>
        <w:ind w:right="460" w:firstLine="288"/>
        <w:spacing w:after="0" w:line="272" w:lineRule="auto"/>
        <w:rPr>
          <w:sz w:val="20"/>
          <w:szCs w:val="20"/>
          <w:color w:val="auto"/>
        </w:rPr>
      </w:pPr>
      <w:r>
        <w:rPr>
          <w:rFonts w:ascii="Arial" w:cs="Arial" w:eastAsia="Arial" w:hAnsi="Arial"/>
          <w:sz w:val="11"/>
          <w:szCs w:val="11"/>
          <w:color w:val="auto"/>
        </w:rPr>
        <w:t>The SEC allows us to "incorporate by reference" information into this prospectus, which means that we can disclose important information to you by referring you to another document filed separately with the SEC. The documents incorporated by reference into this prospectus contain important information that you should read about us. The following documents are incorporated by reference into this prospectus:</w:t>
      </w:r>
    </w:p>
    <w:p>
      <w:pPr>
        <w:spacing w:after="0" w:line="100" w:lineRule="exact"/>
        <w:rPr>
          <w:sz w:val="20"/>
          <w:szCs w:val="20"/>
          <w:color w:val="auto"/>
        </w:rPr>
      </w:pPr>
    </w:p>
    <w:p>
      <w:pPr>
        <w:ind w:left="640" w:hanging="333"/>
        <w:spacing w:after="0"/>
        <w:tabs>
          <w:tab w:leader="none" w:pos="640" w:val="left"/>
        </w:tabs>
        <w:numPr>
          <w:ilvl w:val="0"/>
          <w:numId w:val="2"/>
        </w:numPr>
        <w:rPr>
          <w:rFonts w:ascii="Arial" w:cs="Arial" w:eastAsia="Arial" w:hAnsi="Arial"/>
          <w:sz w:val="12"/>
          <w:szCs w:val="12"/>
          <w:color w:val="auto"/>
        </w:rPr>
      </w:pPr>
      <w:r>
        <w:rPr>
          <w:rFonts w:ascii="Arial" w:cs="Arial" w:eastAsia="Arial" w:hAnsi="Arial"/>
          <w:sz w:val="12"/>
          <w:szCs w:val="12"/>
          <w:color w:val="auto"/>
        </w:rPr>
        <w:t>our Annual Report on Form 10-K for the fiscal year ended December 31, 2019, as filed with the SEC on March 30, 2020;</w:t>
      </w:r>
    </w:p>
    <w:p>
      <w:pPr>
        <w:spacing w:after="0" w:line="42" w:lineRule="exact"/>
        <w:rPr>
          <w:rFonts w:ascii="Arial" w:cs="Arial" w:eastAsia="Arial" w:hAnsi="Arial"/>
          <w:sz w:val="12"/>
          <w:szCs w:val="12"/>
          <w:color w:val="auto"/>
        </w:rPr>
      </w:pPr>
    </w:p>
    <w:p>
      <w:pPr>
        <w:ind w:left="640" w:hanging="333"/>
        <w:spacing w:after="0"/>
        <w:tabs>
          <w:tab w:leader="none" w:pos="640" w:val="left"/>
        </w:tabs>
        <w:numPr>
          <w:ilvl w:val="0"/>
          <w:numId w:val="2"/>
        </w:numPr>
        <w:rPr>
          <w:rFonts w:ascii="Arial" w:cs="Arial" w:eastAsia="Arial" w:hAnsi="Arial"/>
          <w:sz w:val="12"/>
          <w:szCs w:val="12"/>
          <w:color w:val="auto"/>
        </w:rPr>
      </w:pPr>
      <w:r>
        <w:rPr>
          <w:rFonts w:ascii="Arial" w:cs="Arial" w:eastAsia="Arial" w:hAnsi="Arial"/>
          <w:sz w:val="12"/>
          <w:szCs w:val="12"/>
          <w:color w:val="auto"/>
        </w:rPr>
        <w:t>our Current Reports on Form 8-K, as filed with the SEC on January 2, 2020 (Item 5.07) and February 3, 2020 (Items 1.01 and 9.01);</w:t>
      </w:r>
    </w:p>
    <w:p>
      <w:pPr>
        <w:spacing w:after="0" w:line="42" w:lineRule="exact"/>
        <w:rPr>
          <w:rFonts w:ascii="Arial" w:cs="Arial" w:eastAsia="Arial" w:hAnsi="Arial"/>
          <w:sz w:val="12"/>
          <w:szCs w:val="12"/>
          <w:color w:val="auto"/>
        </w:rPr>
      </w:pPr>
    </w:p>
    <w:p>
      <w:pPr>
        <w:ind w:left="640" w:hanging="333"/>
        <w:spacing w:after="0"/>
        <w:tabs>
          <w:tab w:leader="none" w:pos="640" w:val="left"/>
        </w:tabs>
        <w:numPr>
          <w:ilvl w:val="0"/>
          <w:numId w:val="2"/>
        </w:numPr>
        <w:rPr>
          <w:rFonts w:ascii="Arial" w:cs="Arial" w:eastAsia="Arial" w:hAnsi="Arial"/>
          <w:sz w:val="12"/>
          <w:szCs w:val="12"/>
          <w:color w:val="auto"/>
        </w:rPr>
      </w:pPr>
      <w:r>
        <w:rPr>
          <w:rFonts w:ascii="Arial" w:cs="Arial" w:eastAsia="Arial" w:hAnsi="Arial"/>
          <w:sz w:val="12"/>
          <w:szCs w:val="12"/>
          <w:color w:val="auto"/>
        </w:rPr>
        <w:t>our definitive proxy statement on Schedule 14A as filed with the SEC on December 11, 2019; and</w:t>
      </w:r>
    </w:p>
    <w:p>
      <w:pPr>
        <w:spacing w:after="0" w:line="42" w:lineRule="exact"/>
        <w:rPr>
          <w:rFonts w:ascii="Arial" w:cs="Arial" w:eastAsia="Arial" w:hAnsi="Arial"/>
          <w:sz w:val="12"/>
          <w:szCs w:val="12"/>
          <w:color w:val="auto"/>
        </w:rPr>
      </w:pPr>
    </w:p>
    <w:p>
      <w:pPr>
        <w:ind w:left="640" w:hanging="333"/>
        <w:spacing w:after="0"/>
        <w:tabs>
          <w:tab w:leader="none" w:pos="640" w:val="left"/>
        </w:tabs>
        <w:numPr>
          <w:ilvl w:val="0"/>
          <w:numId w:val="2"/>
        </w:numPr>
        <w:rPr>
          <w:rFonts w:ascii="Arial" w:cs="Arial" w:eastAsia="Arial" w:hAnsi="Arial"/>
          <w:sz w:val="12"/>
          <w:szCs w:val="12"/>
          <w:color w:val="auto"/>
        </w:rPr>
      </w:pPr>
      <w:r>
        <w:rPr>
          <w:rFonts w:ascii="Arial" w:cs="Arial" w:eastAsia="Arial" w:hAnsi="Arial"/>
          <w:sz w:val="12"/>
          <w:szCs w:val="12"/>
          <w:color w:val="auto"/>
        </w:rPr>
        <w:t>the description of our common stock set forth in our definitive proxy statement on Schedule 14A as filed with the SEC on September 24, 2018.</w:t>
      </w:r>
    </w:p>
    <w:p>
      <w:pPr>
        <w:spacing w:after="0" w:line="150" w:lineRule="exact"/>
        <w:rPr>
          <w:sz w:val="20"/>
          <w:szCs w:val="20"/>
          <w:color w:val="auto"/>
        </w:rPr>
      </w:pPr>
    </w:p>
    <w:p>
      <w:pPr>
        <w:ind w:right="20" w:firstLine="288"/>
        <w:spacing w:after="0" w:line="239" w:lineRule="auto"/>
        <w:rPr>
          <w:sz w:val="20"/>
          <w:szCs w:val="20"/>
          <w:color w:val="auto"/>
        </w:rPr>
      </w:pPr>
      <w:r>
        <w:rPr>
          <w:rFonts w:ascii="Arial" w:cs="Arial" w:eastAsia="Arial" w:hAnsi="Arial"/>
          <w:sz w:val="11"/>
          <w:szCs w:val="11"/>
          <w:color w:val="auto"/>
        </w:rPr>
        <w:t>All documents subsequently filed by us (other than current reports furnished under Item 2.02 or Item 7.01 of Form 8-K and exhibits filed on such form that are related to such items unless such Form 8-K expressly provides to the contrary) with the SEC pursuant to Section 13(a), 13(c), 14 or 15(d) of the Securities Exchange Act of 1934, as amended, including those made after the date of the initial filing of the registration statement of which this prospectus forms a part and prior to effectiveness of such registration statement, until we file a post-effective amendment that indicates the termination of the offering of the Common Stock made by this prospectus, are deemed to be incorporated by reference into this prospectus. Such future filings will become a part of this prospectus from the respective dates that such documents are filed with the SEC.</w:t>
      </w:r>
    </w:p>
    <w:p>
      <w:pPr>
        <w:spacing w:after="0" w:line="81" w:lineRule="exact"/>
        <w:rPr>
          <w:sz w:val="20"/>
          <w:szCs w:val="20"/>
          <w:color w:val="auto"/>
        </w:rPr>
      </w:pPr>
    </w:p>
    <w:p>
      <w:pPr>
        <w:ind w:firstLine="288"/>
        <w:spacing w:after="0" w:line="224" w:lineRule="auto"/>
        <w:rPr>
          <w:sz w:val="20"/>
          <w:szCs w:val="20"/>
          <w:color w:val="auto"/>
        </w:rPr>
      </w:pPr>
      <w:r>
        <w:rPr>
          <w:rFonts w:ascii="Arial" w:cs="Arial" w:eastAsia="Arial" w:hAnsi="Arial"/>
          <w:sz w:val="12"/>
          <w:szCs w:val="12"/>
          <w:color w:val="auto"/>
        </w:rPr>
        <w:t>Any statement contained herein or in a document incorporated or deemed to be incorporated by reference herein shall be deemed to be modified or superseded for purposes hereof to the extent that such statement contained herein or in any other subsequently filed document, which is also incorporated or deemed to be incorporated herein, modifies or supersedes such statement. Any such statement so modified or superseded shall not be deemed, except as so modified or superseded, to constitute a part of this prospectus.</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60960</wp:posOffset>
            </wp:positionV>
            <wp:extent cx="7178040" cy="11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60"/>
          </w:cols>
          <w:pgMar w:left="300" w:top="271" w:right="339" w:bottom="1440" w:gutter="0" w:footer="0" w:header="0"/>
        </w:sectPr>
      </w:pPr>
    </w:p>
    <w:bookmarkStart w:id="5" w:name="page6"/>
    <w:bookmarkEnd w:id="5"/>
    <w:p>
      <w:pPr>
        <w:ind w:right="300" w:firstLine="288"/>
        <w:spacing w:after="0" w:line="224" w:lineRule="auto"/>
        <w:rPr>
          <w:sz w:val="20"/>
          <w:szCs w:val="20"/>
          <w:color w:val="auto"/>
        </w:rPr>
      </w:pPr>
      <w:r>
        <w:rPr>
          <w:rFonts w:ascii="Arial" w:cs="Arial" w:eastAsia="Arial" w:hAnsi="Arial"/>
          <w:sz w:val="12"/>
          <w:szCs w:val="12"/>
          <w:color w:val="auto"/>
        </w:rPr>
        <w:t xml:space="preserve">The documents incorporated by reference into this prospectus are also available on our corporate website at </w:t>
      </w:r>
      <w:r>
        <w:rPr>
          <w:rFonts w:ascii="Arial" w:cs="Arial" w:eastAsia="Arial" w:hAnsi="Arial"/>
          <w:sz w:val="12"/>
          <w:szCs w:val="12"/>
          <w:i w:val="1"/>
          <w:iCs w:val="1"/>
          <w:color w:val="auto"/>
        </w:rPr>
        <w:t>http://www.clearone.com</w:t>
      </w:r>
      <w:r>
        <w:rPr>
          <w:rFonts w:ascii="Arial" w:cs="Arial" w:eastAsia="Arial" w:hAnsi="Arial"/>
          <w:sz w:val="12"/>
          <w:szCs w:val="12"/>
          <w:color w:val="auto"/>
        </w:rPr>
        <w:t xml:space="preserve"> under the heading "Investor Relations." Information contained on, or that can be accessed through, our website is not part of this prospectus, and you should not consider information on our website to be part of this report unless specifically incorporated herein by reference You may obtain copies of any or all of the documents incorporated by reference in this prospectus from us free of charge by requesting them in writing or by telephone at the following address:</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ClearOne, Inc.</w:t>
      </w:r>
    </w:p>
    <w:p>
      <w:pPr>
        <w:jc w:val="center"/>
        <w:spacing w:after="0" w:line="203" w:lineRule="auto"/>
        <w:rPr>
          <w:sz w:val="20"/>
          <w:szCs w:val="20"/>
          <w:color w:val="auto"/>
        </w:rPr>
      </w:pPr>
      <w:r>
        <w:rPr>
          <w:rFonts w:ascii="Arial" w:cs="Arial" w:eastAsia="Arial" w:hAnsi="Arial"/>
          <w:sz w:val="12"/>
          <w:szCs w:val="12"/>
          <w:color w:val="auto"/>
        </w:rPr>
        <w:t>5225 Wiley Post Way, Suite 500</w:t>
      </w:r>
    </w:p>
    <w:p>
      <w:pPr>
        <w:jc w:val="center"/>
        <w:spacing w:after="0" w:line="203" w:lineRule="auto"/>
        <w:rPr>
          <w:sz w:val="20"/>
          <w:szCs w:val="20"/>
          <w:color w:val="auto"/>
        </w:rPr>
      </w:pPr>
      <w:r>
        <w:rPr>
          <w:rFonts w:ascii="Arial" w:cs="Arial" w:eastAsia="Arial" w:hAnsi="Arial"/>
          <w:sz w:val="12"/>
          <w:szCs w:val="12"/>
          <w:color w:val="auto"/>
        </w:rPr>
        <w:t>Salt Lake City, UT 84116</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(801-975-7200</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INFORMATION ABOUT THE COMPANY</w:t>
      </w:r>
    </w:p>
    <w:p>
      <w:pPr>
        <w:spacing w:after="0" w:line="100" w:lineRule="exact"/>
        <w:rPr>
          <w:sz w:val="20"/>
          <w:szCs w:val="20"/>
          <w:color w:val="auto"/>
        </w:rPr>
      </w:pPr>
    </w:p>
    <w:p>
      <w:pPr>
        <w:jc w:val="both"/>
        <w:ind w:firstLine="288"/>
        <w:spacing w:after="0" w:line="234" w:lineRule="auto"/>
        <w:rPr>
          <w:sz w:val="20"/>
          <w:szCs w:val="20"/>
          <w:color w:val="auto"/>
        </w:rPr>
      </w:pPr>
      <w:r>
        <w:rPr>
          <w:rFonts w:ascii="Arial" w:cs="Arial" w:eastAsia="Arial" w:hAnsi="Arial"/>
          <w:sz w:val="12"/>
          <w:szCs w:val="12"/>
          <w:color w:val="auto"/>
        </w:rPr>
        <w:t>We were incorporated in Utah in 1983 and reincorporated in Delaware on October 25, 2018. The Company is headquartered in Salt Lake City, Utah. The Company has other locations in Gainesville, Florida; Austin, Texas; Zaragoza, Spain; Chennai, India; and Dubai, United Arab Emirates.</w:t>
      </w:r>
    </w:p>
    <w:p>
      <w:pPr>
        <w:spacing w:after="0" w:line="82" w:lineRule="exact"/>
        <w:rPr>
          <w:sz w:val="20"/>
          <w:szCs w:val="20"/>
          <w:color w:val="auto"/>
        </w:rPr>
      </w:pPr>
    </w:p>
    <w:p>
      <w:pPr>
        <w:jc w:val="both"/>
        <w:ind w:right="20" w:firstLine="288"/>
        <w:spacing w:after="0" w:line="234" w:lineRule="auto"/>
        <w:rPr>
          <w:sz w:val="20"/>
          <w:szCs w:val="20"/>
          <w:color w:val="auto"/>
        </w:rPr>
      </w:pPr>
      <w:r>
        <w:rPr>
          <w:rFonts w:ascii="Arial" w:cs="Arial" w:eastAsia="Arial" w:hAnsi="Arial"/>
          <w:sz w:val="12"/>
          <w:szCs w:val="12"/>
          <w:color w:val="auto"/>
        </w:rPr>
        <w:t>We have been a global market leader enabling conferencing, collaboration, and network streaming solutions. We design, develop and sell conferencing, collaboration and network streaming solutions for voice and visual communications. The performance and simplicity of our advanced comprehensive solutions offer unprecedented levels of functionality, reliability and scalability.</w:t>
      </w:r>
    </w:p>
    <w:p>
      <w:pPr>
        <w:spacing w:after="0" w:line="82" w:lineRule="exact"/>
        <w:rPr>
          <w:sz w:val="20"/>
          <w:szCs w:val="20"/>
          <w:color w:val="auto"/>
        </w:rPr>
      </w:pPr>
    </w:p>
    <w:p>
      <w:pPr>
        <w:jc w:val="both"/>
        <w:ind w:firstLine="288"/>
        <w:spacing w:after="0" w:line="234" w:lineRule="auto"/>
        <w:rPr>
          <w:sz w:val="20"/>
          <w:szCs w:val="20"/>
          <w:color w:val="auto"/>
        </w:rPr>
      </w:pPr>
      <w:r>
        <w:rPr>
          <w:rFonts w:ascii="Arial" w:cs="Arial" w:eastAsia="Arial" w:hAnsi="Arial"/>
          <w:sz w:val="12"/>
          <w:szCs w:val="12"/>
          <w:color w:val="auto"/>
        </w:rPr>
        <w:t>Our comprehensive line of high-quality conferencing and collaboration products are targeted for large, medium and small businesses, as well as for personal use. We have been a global market leader in the installed professional audio conferencing market, where our products are used in numerous industries such as enterprise, healthcare, education, government, legal and finance.</w:t>
      </w:r>
    </w:p>
    <w:p>
      <w:pPr>
        <w:spacing w:after="0" w:line="82" w:lineRule="exact"/>
        <w:rPr>
          <w:sz w:val="20"/>
          <w:szCs w:val="20"/>
          <w:color w:val="auto"/>
        </w:rPr>
      </w:pPr>
    </w:p>
    <w:p>
      <w:pPr>
        <w:jc w:val="both"/>
        <w:ind w:firstLine="288"/>
        <w:spacing w:after="0" w:line="215" w:lineRule="auto"/>
        <w:rPr>
          <w:sz w:val="20"/>
          <w:szCs w:val="20"/>
          <w:color w:val="auto"/>
        </w:rPr>
      </w:pPr>
      <w:r>
        <w:rPr>
          <w:rFonts w:ascii="Arial" w:cs="Arial" w:eastAsia="Arial" w:hAnsi="Arial"/>
          <w:sz w:val="12"/>
          <w:szCs w:val="12"/>
          <w:color w:val="auto"/>
        </w:rPr>
        <w:t>We have an established history of product innovation and plan to continue to apply our expertise in audio, video and networked AV to design, develop and introduce innovative new products and enhance our existing products. Our end-users range from some of the world’s largest and most prestigious companies and institutions to small and medium-sized businesses, higher education and government organizations, as well as individual consumers. We sell our commercial products to these end-users through a global network of independent distributors who, in turn, sell our products to dealers, systems integrators and other value-added resellers. We also sell directly to dealers, systems integrators and other value-added resellers. Our solutions save end-users time and money by creating a natural environment for collaboration and communication. Our partners, who are involved in system integration are benefitted with simpler project design and support costs with our products designed and built to work with each other seamlessly.</w:t>
      </w:r>
    </w:p>
    <w:p>
      <w:pPr>
        <w:spacing w:after="0" w:line="84" w:lineRule="exact"/>
        <w:rPr>
          <w:sz w:val="20"/>
          <w:szCs w:val="20"/>
          <w:color w:val="auto"/>
        </w:rPr>
      </w:pPr>
    </w:p>
    <w:p>
      <w:pPr>
        <w:jc w:val="center"/>
        <w:ind w:left="340" w:right="240"/>
        <w:spacing w:after="0" w:line="406" w:lineRule="auto"/>
        <w:rPr>
          <w:sz w:val="20"/>
          <w:szCs w:val="20"/>
          <w:color w:val="auto"/>
        </w:rPr>
      </w:pPr>
      <w:r>
        <w:rPr>
          <w:rFonts w:ascii="Arial" w:cs="Arial" w:eastAsia="Arial" w:hAnsi="Arial"/>
          <w:sz w:val="12"/>
          <w:szCs w:val="12"/>
          <w:color w:val="auto"/>
        </w:rPr>
        <w:t xml:space="preserve">Additional information about the Company can be found in our periodic and current reports that we file with the SEC. See “Where You Can Find More Information” and “Incorporation of Certain Information By Reference.” </w:t>
      </w:r>
      <w:r>
        <w:rPr>
          <w:rFonts w:ascii="Arial" w:cs="Arial" w:eastAsia="Arial" w:hAnsi="Arial"/>
          <w:sz w:val="12"/>
          <w:szCs w:val="12"/>
          <w:b w:val="1"/>
          <w:bCs w:val="1"/>
          <w:color w:val="auto"/>
        </w:rPr>
        <w:t>RISK FACTORS</w:t>
      </w:r>
    </w:p>
    <w:p>
      <w:pPr>
        <w:spacing w:after="0" w:line="1" w:lineRule="exact"/>
        <w:rPr>
          <w:sz w:val="20"/>
          <w:szCs w:val="20"/>
          <w:color w:val="auto"/>
        </w:rPr>
      </w:pPr>
    </w:p>
    <w:p>
      <w:pPr>
        <w:ind w:right="160" w:firstLine="288"/>
        <w:spacing w:after="0" w:line="272" w:lineRule="auto"/>
        <w:rPr>
          <w:sz w:val="20"/>
          <w:szCs w:val="20"/>
          <w:color w:val="auto"/>
        </w:rPr>
      </w:pPr>
      <w:r>
        <w:rPr>
          <w:rFonts w:ascii="Arial" w:cs="Arial" w:eastAsia="Arial" w:hAnsi="Arial"/>
          <w:sz w:val="11"/>
          <w:szCs w:val="11"/>
          <w:color w:val="auto"/>
        </w:rPr>
        <w:t>An investment in our securities involves risks. We urge you to consider carefully the risks identified under “Item IA. Risk Factors” in our Annual Report on Form 10-K for the year ended December 31, 2019, filed with the SEC on March 30, 2020, which report is incorporated by reference in this prospectus, as such information may be amended, supplemented or superseded from time to time by other reports that we subsequently file with the SEC.</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USE OF PROCEEDS</w:t>
      </w:r>
    </w:p>
    <w:p>
      <w:pPr>
        <w:spacing w:after="0" w:line="100" w:lineRule="exact"/>
        <w:rPr>
          <w:sz w:val="20"/>
          <w:szCs w:val="20"/>
          <w:color w:val="auto"/>
        </w:rPr>
      </w:pPr>
    </w:p>
    <w:p>
      <w:pPr>
        <w:ind w:right="20" w:firstLine="288"/>
        <w:spacing w:after="0" w:line="234" w:lineRule="auto"/>
        <w:rPr>
          <w:sz w:val="20"/>
          <w:szCs w:val="20"/>
          <w:color w:val="auto"/>
        </w:rPr>
      </w:pPr>
      <w:r>
        <w:rPr>
          <w:rFonts w:ascii="Arial" w:cs="Arial" w:eastAsia="Arial" w:hAnsi="Arial"/>
          <w:sz w:val="12"/>
          <w:szCs w:val="12"/>
          <w:color w:val="auto"/>
        </w:rPr>
        <w:t>We will not receive any cash proceeds from the sale of shares of our common stock by the selling stockholder pursuant to this prospectus. The selling stockholder will bear any underwriting commissions and discounts attributable to its sale of shares of our common stock.</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60960</wp:posOffset>
            </wp:positionV>
            <wp:extent cx="7178040" cy="11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66" w:right="299" w:bottom="1440" w:gutter="0" w:footer="0" w:header="0"/>
        </w:sectPr>
      </w:pPr>
    </w:p>
    <w:bookmarkStart w:id="6" w:name="page7"/>
    <w:bookmarkEnd w:id="6"/>
    <w:p>
      <w:pPr>
        <w:jc w:val="center"/>
        <w:ind w:right="-7"/>
        <w:spacing w:after="0"/>
        <w:rPr>
          <w:sz w:val="20"/>
          <w:szCs w:val="20"/>
          <w:color w:val="auto"/>
        </w:rPr>
      </w:pPr>
      <w:r>
        <w:rPr>
          <w:rFonts w:ascii="Arial" w:cs="Arial" w:eastAsia="Arial" w:hAnsi="Arial"/>
          <w:sz w:val="12"/>
          <w:szCs w:val="12"/>
          <w:b w:val="1"/>
          <w:bCs w:val="1"/>
          <w:color w:val="auto"/>
        </w:rPr>
        <w:t>SELLING STOCKHOLDER</w:t>
      </w:r>
    </w:p>
    <w:p>
      <w:pPr>
        <w:spacing w:after="0" w:line="100" w:lineRule="exact"/>
        <w:rPr>
          <w:sz w:val="20"/>
          <w:szCs w:val="20"/>
          <w:color w:val="auto"/>
        </w:rPr>
      </w:pPr>
    </w:p>
    <w:p>
      <w:pPr>
        <w:jc w:val="both"/>
        <w:ind w:left="8" w:firstLine="288"/>
        <w:spacing w:after="0" w:line="224" w:lineRule="auto"/>
        <w:rPr>
          <w:sz w:val="20"/>
          <w:szCs w:val="20"/>
          <w:color w:val="auto"/>
        </w:rPr>
      </w:pPr>
      <w:r>
        <w:rPr>
          <w:rFonts w:ascii="Arial" w:cs="Arial" w:eastAsia="Arial" w:hAnsi="Arial"/>
          <w:sz w:val="12"/>
          <w:szCs w:val="12"/>
          <w:color w:val="auto"/>
        </w:rPr>
        <w:t>On December 8, 2019, the Company and certain of its subsidiary guarantors (the “Guarantors”) entered into a Note Purchase Agreement with Edward D. Bagley (the “Note Purchase Agreement”) pursuant to which Mr. Bagley has agreed to purchase $3,000,000 of secured convertible notes of the Company (the “Notes”) and warrants (the “Warrants”) to purchase 340,909 shares (the “Warrant Shares”) of common stock, par value $0.001 per share, of the Company (the “Common Stock”) in a private placement transaction (the “Offering”).</w:t>
      </w:r>
    </w:p>
    <w:p>
      <w:pPr>
        <w:spacing w:after="0" w:line="82" w:lineRule="exact"/>
        <w:rPr>
          <w:sz w:val="20"/>
          <w:szCs w:val="20"/>
          <w:color w:val="auto"/>
        </w:rPr>
      </w:pPr>
    </w:p>
    <w:p>
      <w:pPr>
        <w:ind w:left="8" w:right="20" w:firstLine="288"/>
        <w:spacing w:after="0" w:line="231" w:lineRule="auto"/>
        <w:rPr>
          <w:sz w:val="20"/>
          <w:szCs w:val="20"/>
          <w:color w:val="auto"/>
        </w:rPr>
      </w:pPr>
      <w:r>
        <w:rPr>
          <w:rFonts w:ascii="Arial" w:cs="Arial" w:eastAsia="Arial" w:hAnsi="Arial"/>
          <w:sz w:val="11"/>
          <w:szCs w:val="11"/>
          <w:color w:val="auto"/>
        </w:rPr>
        <w:t>On December 17, 2019, the Company completed the issuance and sale of the Notes to Mr. Bagley in the aggregate principal amount of $3,000,000 and issued the Warrants to Mr. Bagley. The Notes were issued with original issuer discount of 1.5%, or $45,000, for aggregate consideration of $2,955,000. The Notes will mature on December 17, 2023 (the “Maturity Date”) and will earn interest at a variable rate adjusted on a quarterly basis and equal to two and one-half percent (2.5%) over the greater of (x) five and one-quarter percent (5.25%) and (y) the Prime Rate as published in the Wall Street Journal (New York edition) as of the beginning of such calendar quarter. The Notes may be converted into shares of the Company’s Common Stock(the “Conversion Shares”) at any time at the election of Mr. Bagley at an initial conversion price of $2.11 per share (the “Conversion Price”), or 120% of the closing price of the Common Stock on December 6, 2019 as reported on the Nasdaq Capital Market. Also, the Company can cause a mandatory conversion of the Notes if the volume weighted average closing price of the Common Stock over 90 consecutive trading days exceeds 200% of the Conversion Price. In addition, the Notes may be redeemed by the Company for cash at any time after the one year anniversary of the date of issuance of the Notes upon payment of the outstanding principal balance of the Notes and any unpaid and accrued interest. The Company also is required to redeem the Notes upon the occurrence of a change in control of the Company.</w:t>
      </w:r>
    </w:p>
    <w:p>
      <w:pPr>
        <w:spacing w:after="0" w:line="84" w:lineRule="exact"/>
        <w:rPr>
          <w:sz w:val="20"/>
          <w:szCs w:val="20"/>
          <w:color w:val="auto"/>
        </w:rPr>
      </w:pPr>
    </w:p>
    <w:p>
      <w:pPr>
        <w:ind w:left="8" w:right="100" w:firstLine="288"/>
        <w:spacing w:after="0" w:line="224" w:lineRule="auto"/>
        <w:rPr>
          <w:sz w:val="20"/>
          <w:szCs w:val="20"/>
          <w:color w:val="auto"/>
        </w:rPr>
      </w:pPr>
      <w:r>
        <w:rPr>
          <w:rFonts w:ascii="Arial" w:cs="Arial" w:eastAsia="Arial" w:hAnsi="Arial"/>
          <w:sz w:val="12"/>
          <w:szCs w:val="12"/>
          <w:color w:val="auto"/>
        </w:rPr>
        <w:t>The Warrants have an initial exercise price equal to $1.76, the closing price of the Common Stock on December 6, 2019 as reported on the Nasdaq Capital Market, and will be exercisable until December 17, 2026. The Warrants must be exercised for cash, unless at the time of exercise there is not a then effective registration statement for the resale of the shares of Common Stock issuable upon exercise of the Warrants, in which case the Warrants may be exercised via a cashless exercise feature that provides for net settlement of the shares of Common Stock issuable upon exercise.</w:t>
      </w:r>
    </w:p>
    <w:p>
      <w:pPr>
        <w:spacing w:after="0" w:line="82" w:lineRule="exact"/>
        <w:rPr>
          <w:sz w:val="20"/>
          <w:szCs w:val="20"/>
          <w:color w:val="auto"/>
        </w:rPr>
      </w:pPr>
    </w:p>
    <w:p>
      <w:pPr>
        <w:ind w:left="8" w:right="200" w:firstLine="288"/>
        <w:spacing w:after="0" w:line="239" w:lineRule="auto"/>
        <w:rPr>
          <w:sz w:val="20"/>
          <w:szCs w:val="20"/>
          <w:color w:val="auto"/>
        </w:rPr>
      </w:pPr>
      <w:r>
        <w:rPr>
          <w:rFonts w:ascii="Arial" w:cs="Arial" w:eastAsia="Arial" w:hAnsi="Arial"/>
          <w:sz w:val="11"/>
          <w:szCs w:val="11"/>
          <w:color w:val="auto"/>
        </w:rPr>
        <w:t>This prospectus registers the resale by Mr. Bagley of the Conversion Shares and Warrant Shares that may be issued to him from time to time upon his conversion of Notes or exercise of Warrants, respectively. Mr. Bagley is an affiliate of the Company and he may be deemed to be an underwriter with respect to the securities offered by this prospectus as such term is defined in Section 2(a)(11) of the Securities Act. The table below describes the selling stockholder’s beneficial ownership of our common stock (i) as of April 30, 2020, and (ii) assuming the selling stockholder has converted all of the Notes and exercised all of the Warrants to purchase shares of our common stock and resold all such shares of common stock pursuant to this prospectus. The selling stockholder may sell some, all or none of its shares in this offering.</w:t>
      </w:r>
    </w:p>
    <w:p>
      <w:pPr>
        <w:sectPr>
          <w:pgSz w:w="11900" w:h="16838" w:orient="portrait"/>
          <w:cols w:equalWidth="0" w:num="1">
            <w:col w:w="11308"/>
          </w:cols>
          <w:pgMar w:left="292" w:top="379" w:right="299" w:bottom="1440" w:gutter="0" w:footer="0" w:header="0"/>
        </w:sectPr>
      </w:pPr>
    </w:p>
    <w:p>
      <w:pPr>
        <w:spacing w:after="0" w:line="94"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2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20" w:type="dxa"/>
            <w:vAlign w:val="bottom"/>
            <w:gridSpan w:val="3"/>
          </w:tcPr>
          <w:p>
            <w:pPr>
              <w:ind w:left="1160"/>
              <w:spacing w:after="0"/>
              <w:rPr>
                <w:sz w:val="20"/>
                <w:szCs w:val="20"/>
                <w:color w:val="auto"/>
              </w:rPr>
            </w:pPr>
            <w:r>
              <w:rPr>
                <w:rFonts w:ascii="Arial" w:cs="Arial" w:eastAsia="Arial" w:hAnsi="Arial"/>
                <w:sz w:val="10"/>
                <w:szCs w:val="10"/>
                <w:b w:val="1"/>
                <w:bCs w:val="1"/>
                <w:i w:val="1"/>
                <w:iCs w:val="1"/>
                <w:color w:val="auto"/>
                <w:w w:val="84"/>
              </w:rPr>
              <w:t xml:space="preserve">Beneficial Ownership Prior to this Offering </w:t>
            </w:r>
            <w:r>
              <w:rPr>
                <w:rFonts w:ascii="Arial" w:cs="Arial" w:eastAsia="Arial" w:hAnsi="Arial"/>
                <w:sz w:val="15"/>
                <w:szCs w:val="15"/>
                <w:b w:val="1"/>
                <w:bCs w:val="1"/>
                <w:i w:val="1"/>
                <w:iCs w:val="1"/>
                <w:color w:val="auto"/>
                <w:w w:val="84"/>
                <w:vertAlign w:val="superscript"/>
              </w:rPr>
              <w:t>(1)</w:t>
            </w:r>
          </w:p>
        </w:tc>
        <w:tc>
          <w:tcPr>
            <w:tcW w:w="1140" w:type="dxa"/>
            <w:vAlign w:val="bottom"/>
            <w:vMerge w:val="restart"/>
          </w:tcPr>
          <w:p>
            <w:pPr>
              <w:ind w:left="100"/>
              <w:spacing w:after="0"/>
              <w:rPr>
                <w:sz w:val="20"/>
                <w:szCs w:val="20"/>
                <w:color w:val="auto"/>
              </w:rPr>
            </w:pPr>
            <w:r>
              <w:rPr>
                <w:rFonts w:ascii="Arial" w:cs="Arial" w:eastAsia="Arial" w:hAnsi="Arial"/>
                <w:sz w:val="10"/>
                <w:szCs w:val="10"/>
                <w:color w:val="auto"/>
              </w:rPr>
              <w:t>Percentage of</w:t>
            </w:r>
          </w:p>
        </w:tc>
        <w:tc>
          <w:tcPr>
            <w:tcW w:w="0" w:type="dxa"/>
            <w:vAlign w:val="bottom"/>
          </w:tcPr>
          <w:p>
            <w:pPr>
              <w:spacing w:after="0"/>
              <w:rPr>
                <w:sz w:val="1"/>
                <w:szCs w:val="1"/>
                <w:color w:val="auto"/>
              </w:rPr>
            </w:pPr>
          </w:p>
        </w:tc>
      </w:tr>
      <w:tr>
        <w:trPr>
          <w:trHeight w:val="93"/>
        </w:trPr>
        <w:tc>
          <w:tcPr>
            <w:tcW w:w="2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20" w:type="dxa"/>
            <w:vAlign w:val="bottom"/>
            <w:gridSpan w:val="3"/>
          </w:tcPr>
          <w:p>
            <w:pPr>
              <w:ind w:left="460"/>
              <w:spacing w:after="0" w:line="94" w:lineRule="exact"/>
              <w:rPr>
                <w:sz w:val="20"/>
                <w:szCs w:val="20"/>
                <w:color w:val="auto"/>
              </w:rPr>
            </w:pPr>
            <w:r>
              <w:rPr>
                <w:rFonts w:ascii="Arial" w:cs="Arial" w:eastAsia="Arial" w:hAnsi="Arial"/>
                <w:sz w:val="10"/>
                <w:szCs w:val="10"/>
                <w:color w:val="auto"/>
              </w:rPr>
              <w:t>Number of Shares of Common</w:t>
            </w:r>
          </w:p>
        </w:tc>
        <w:tc>
          <w:tcPr>
            <w:tcW w:w="1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5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Name and Address of Selling Stockholder</w:t>
            </w:r>
          </w:p>
        </w:tc>
        <w:tc>
          <w:tcPr>
            <w:tcW w:w="460" w:type="dxa"/>
            <w:vAlign w:val="bottom"/>
          </w:tcPr>
          <w:p>
            <w:pPr>
              <w:spacing w:after="0"/>
              <w:rPr>
                <w:sz w:val="13"/>
                <w:szCs w:val="13"/>
                <w:color w:val="auto"/>
              </w:rPr>
            </w:pPr>
          </w:p>
        </w:tc>
        <w:tc>
          <w:tcPr>
            <w:tcW w:w="3020" w:type="dxa"/>
            <w:vAlign w:val="bottom"/>
            <w:gridSpan w:val="3"/>
          </w:tcPr>
          <w:p>
            <w:pPr>
              <w:jc w:val="right"/>
              <w:ind w:right="1800"/>
              <w:spacing w:after="0" w:line="135" w:lineRule="exact"/>
              <w:rPr>
                <w:sz w:val="20"/>
                <w:szCs w:val="20"/>
                <w:color w:val="auto"/>
              </w:rPr>
            </w:pPr>
            <w:r>
              <w:rPr>
                <w:rFonts w:ascii="Arial" w:cs="Arial" w:eastAsia="Arial" w:hAnsi="Arial"/>
                <w:sz w:val="10"/>
                <w:szCs w:val="10"/>
                <w:color w:val="auto"/>
              </w:rPr>
              <w:t xml:space="preserve">Stock </w:t>
            </w:r>
            <w:r>
              <w:rPr>
                <w:rFonts w:ascii="Arial" w:cs="Arial" w:eastAsia="Arial" w:hAnsi="Arial"/>
                <w:sz w:val="15"/>
                <w:szCs w:val="15"/>
                <w:color w:val="auto"/>
                <w:vertAlign w:val="superscript"/>
              </w:rPr>
              <w:t>(2)</w:t>
            </w:r>
          </w:p>
        </w:tc>
        <w:tc>
          <w:tcPr>
            <w:tcW w:w="1140" w:type="dxa"/>
            <w:vAlign w:val="bottom"/>
          </w:tcPr>
          <w:p>
            <w:pPr>
              <w:ind w:left="20"/>
              <w:spacing w:after="0" w:line="135" w:lineRule="exact"/>
              <w:rPr>
                <w:sz w:val="20"/>
                <w:szCs w:val="20"/>
                <w:color w:val="auto"/>
              </w:rPr>
            </w:pPr>
            <w:r>
              <w:rPr>
                <w:rFonts w:ascii="Arial" w:cs="Arial" w:eastAsia="Arial" w:hAnsi="Arial"/>
                <w:sz w:val="8"/>
                <w:szCs w:val="8"/>
                <w:color w:val="auto"/>
              </w:rPr>
              <w:t>Common Stock</w:t>
            </w:r>
            <w:r>
              <w:rPr>
                <w:rFonts w:ascii="Arial" w:cs="Arial" w:eastAsia="Arial" w:hAnsi="Arial"/>
                <w:sz w:val="12"/>
                <w:szCs w:val="12"/>
                <w:color w:val="auto"/>
                <w:vertAlign w:val="superscript"/>
              </w:rPr>
              <w:t>(</w:t>
            </w:r>
            <w:r>
              <w:rPr>
                <w:rFonts w:ascii="Arial" w:cs="Arial" w:eastAsia="Arial" w:hAnsi="Arial"/>
                <w:sz w:val="15"/>
                <w:szCs w:val="15"/>
                <w:color w:val="auto"/>
                <w:vertAlign w:val="superscript"/>
              </w:rPr>
              <w:t>2)</w:t>
            </w:r>
          </w:p>
        </w:tc>
        <w:tc>
          <w:tcPr>
            <w:tcW w:w="0" w:type="dxa"/>
            <w:vAlign w:val="bottom"/>
          </w:tcPr>
          <w:p>
            <w:pPr>
              <w:spacing w:after="0"/>
              <w:rPr>
                <w:sz w:val="1"/>
                <w:szCs w:val="1"/>
                <w:color w:val="auto"/>
              </w:rPr>
            </w:pPr>
          </w:p>
        </w:tc>
      </w:tr>
      <w:tr>
        <w:trPr>
          <w:trHeight w:val="131"/>
        </w:trPr>
        <w:tc>
          <w:tcPr>
            <w:tcW w:w="2560" w:type="dxa"/>
            <w:vAlign w:val="bottom"/>
          </w:tcPr>
          <w:p>
            <w:pPr>
              <w:spacing w:after="0" w:line="131" w:lineRule="exact"/>
              <w:rPr>
                <w:sz w:val="20"/>
                <w:szCs w:val="20"/>
                <w:color w:val="auto"/>
              </w:rPr>
            </w:pPr>
            <w:r>
              <w:rPr>
                <w:rFonts w:ascii="Arial" w:cs="Arial" w:eastAsia="Arial" w:hAnsi="Arial"/>
                <w:sz w:val="12"/>
                <w:szCs w:val="12"/>
                <w:color w:val="auto"/>
              </w:rPr>
              <w:t>Edward D. Bagley</w:t>
            </w:r>
          </w:p>
        </w:tc>
        <w:tc>
          <w:tcPr>
            <w:tcW w:w="460" w:type="dxa"/>
            <w:vAlign w:val="bottom"/>
          </w:tcPr>
          <w:p>
            <w:pPr>
              <w:spacing w:after="0"/>
              <w:rPr>
                <w:sz w:val="11"/>
                <w:szCs w:val="11"/>
                <w:color w:val="auto"/>
              </w:rPr>
            </w:pPr>
          </w:p>
        </w:tc>
        <w:tc>
          <w:tcPr>
            <w:tcW w:w="2120" w:type="dxa"/>
            <w:vAlign w:val="bottom"/>
            <w:tcBorders>
              <w:top w:val="single" w:sz="8" w:color="auto"/>
            </w:tcBorders>
          </w:tcPr>
          <w:p>
            <w:pPr>
              <w:jc w:val="right"/>
              <w:ind w:right="849"/>
              <w:spacing w:after="0" w:line="131" w:lineRule="exact"/>
              <w:rPr>
                <w:sz w:val="20"/>
                <w:szCs w:val="20"/>
                <w:color w:val="auto"/>
              </w:rPr>
            </w:pPr>
            <w:r>
              <w:rPr>
                <w:rFonts w:ascii="Arial" w:cs="Arial" w:eastAsia="Arial" w:hAnsi="Arial"/>
                <w:sz w:val="12"/>
                <w:szCs w:val="12"/>
                <w:color w:val="auto"/>
              </w:rPr>
              <w:t>7,425,320</w:t>
            </w:r>
          </w:p>
        </w:tc>
        <w:tc>
          <w:tcPr>
            <w:tcW w:w="50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ind w:left="120"/>
              <w:spacing w:after="0" w:line="131" w:lineRule="exact"/>
              <w:rPr>
                <w:sz w:val="20"/>
                <w:szCs w:val="20"/>
                <w:color w:val="auto"/>
              </w:rPr>
            </w:pPr>
            <w:r>
              <w:rPr>
                <w:rFonts w:ascii="Arial" w:cs="Arial" w:eastAsia="Arial" w:hAnsi="Arial"/>
                <w:sz w:val="12"/>
                <w:szCs w:val="12"/>
                <w:color w:val="auto"/>
              </w:rPr>
              <w:t>44.6%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left="900"/>
        <w:spacing w:after="0"/>
        <w:rPr>
          <w:sz w:val="20"/>
          <w:szCs w:val="20"/>
          <w:color w:val="auto"/>
        </w:rPr>
      </w:pPr>
      <w:r>
        <w:rPr>
          <w:rFonts w:ascii="Arial" w:cs="Arial" w:eastAsia="Arial" w:hAnsi="Arial"/>
          <w:sz w:val="10"/>
          <w:szCs w:val="10"/>
          <w:b w:val="1"/>
          <w:bCs w:val="1"/>
          <w:i w:val="1"/>
          <w:iCs w:val="1"/>
          <w:color w:val="auto"/>
        </w:rPr>
        <w:t xml:space="preserve">Beneficial Ownership After this Offering </w:t>
      </w:r>
      <w:r>
        <w:rPr>
          <w:rFonts w:ascii="Arial" w:cs="Arial" w:eastAsia="Arial" w:hAnsi="Arial"/>
          <w:sz w:val="15"/>
          <w:szCs w:val="15"/>
          <w:b w:val="1"/>
          <w:bCs w:val="1"/>
          <w:i w:val="1"/>
          <w:iCs w:val="1"/>
          <w:color w:val="auto"/>
          <w:vertAlign w:val="superscript"/>
        </w:rPr>
        <w:t>(1)</w:t>
      </w:r>
    </w:p>
    <w:tbl>
      <w:tblPr>
        <w:tblLayout w:type="fixed"/>
        <w:tblInd w:w="0" w:type="dxa"/>
        <w:tblCellMar>
          <w:top w:w="0" w:type="dxa"/>
          <w:left w:w="0" w:type="dxa"/>
          <w:bottom w:w="0" w:type="dxa"/>
          <w:right w:w="0" w:type="dxa"/>
        </w:tblCellMar>
      </w:tblPr>
      <w:tr>
        <w:trPr>
          <w:trHeight w:val="103"/>
        </w:trPr>
        <w:tc>
          <w:tcPr>
            <w:tcW w:w="2020" w:type="dxa"/>
            <w:vAlign w:val="bottom"/>
            <w:gridSpan w:val="2"/>
          </w:tcPr>
          <w:p>
            <w:pPr>
              <w:jc w:val="center"/>
              <w:ind w:right="500"/>
              <w:spacing w:after="0" w:line="104" w:lineRule="exact"/>
              <w:rPr>
                <w:sz w:val="20"/>
                <w:szCs w:val="20"/>
                <w:color w:val="auto"/>
              </w:rPr>
            </w:pPr>
            <w:r>
              <w:rPr>
                <w:rFonts w:ascii="Arial" w:cs="Arial" w:eastAsia="Arial" w:hAnsi="Arial"/>
                <w:sz w:val="10"/>
                <w:szCs w:val="10"/>
                <w:color w:val="auto"/>
                <w:w w:val="88"/>
              </w:rPr>
              <w:t>Number of Shares of Common</w:t>
            </w:r>
          </w:p>
        </w:tc>
        <w:tc>
          <w:tcPr>
            <w:tcW w:w="1520" w:type="dxa"/>
            <w:vAlign w:val="bottom"/>
          </w:tcPr>
          <w:p>
            <w:pPr>
              <w:ind w:left="480"/>
              <w:spacing w:after="0" w:line="104" w:lineRule="exact"/>
              <w:rPr>
                <w:sz w:val="20"/>
                <w:szCs w:val="20"/>
                <w:color w:val="auto"/>
              </w:rPr>
            </w:pPr>
            <w:r>
              <w:rPr>
                <w:rFonts w:ascii="Arial" w:cs="Arial" w:eastAsia="Arial" w:hAnsi="Arial"/>
                <w:sz w:val="10"/>
                <w:szCs w:val="10"/>
                <w:color w:val="auto"/>
              </w:rPr>
              <w:t>Percentage of</w:t>
            </w:r>
          </w:p>
        </w:tc>
      </w:tr>
      <w:tr>
        <w:trPr>
          <w:trHeight w:val="144"/>
        </w:trPr>
        <w:tc>
          <w:tcPr>
            <w:tcW w:w="2020" w:type="dxa"/>
            <w:vAlign w:val="bottom"/>
            <w:gridSpan w:val="2"/>
          </w:tcPr>
          <w:p>
            <w:pPr>
              <w:jc w:val="center"/>
              <w:ind w:right="500"/>
              <w:spacing w:after="0" w:line="144" w:lineRule="exact"/>
              <w:rPr>
                <w:sz w:val="20"/>
                <w:szCs w:val="20"/>
                <w:color w:val="auto"/>
              </w:rPr>
            </w:pPr>
            <w:r>
              <w:rPr>
                <w:rFonts w:ascii="Arial" w:cs="Arial" w:eastAsia="Arial" w:hAnsi="Arial"/>
                <w:sz w:val="10"/>
                <w:szCs w:val="10"/>
                <w:color w:val="auto"/>
                <w:w w:val="79"/>
              </w:rPr>
              <w:t xml:space="preserve">Stock </w:t>
            </w:r>
            <w:r>
              <w:rPr>
                <w:rFonts w:ascii="Arial" w:cs="Arial" w:eastAsia="Arial" w:hAnsi="Arial"/>
                <w:sz w:val="15"/>
                <w:szCs w:val="15"/>
                <w:color w:val="auto"/>
                <w:w w:val="79"/>
                <w:vertAlign w:val="superscript"/>
              </w:rPr>
              <w:t>(2)</w:t>
            </w:r>
          </w:p>
        </w:tc>
        <w:tc>
          <w:tcPr>
            <w:tcW w:w="1520" w:type="dxa"/>
            <w:vAlign w:val="bottom"/>
          </w:tcPr>
          <w:p>
            <w:pPr>
              <w:ind w:left="400"/>
              <w:spacing w:after="0" w:line="144" w:lineRule="exact"/>
              <w:rPr>
                <w:sz w:val="20"/>
                <w:szCs w:val="20"/>
                <w:color w:val="auto"/>
              </w:rPr>
            </w:pPr>
            <w:r>
              <w:rPr>
                <w:rFonts w:ascii="Arial" w:cs="Arial" w:eastAsia="Arial" w:hAnsi="Arial"/>
                <w:sz w:val="8"/>
                <w:szCs w:val="8"/>
                <w:color w:val="auto"/>
              </w:rPr>
              <w:t>Common Stock</w:t>
            </w:r>
            <w:r>
              <w:rPr>
                <w:rFonts w:ascii="Arial" w:cs="Arial" w:eastAsia="Arial" w:hAnsi="Arial"/>
                <w:sz w:val="13"/>
                <w:szCs w:val="13"/>
                <w:color w:val="auto"/>
                <w:vertAlign w:val="superscript"/>
              </w:rPr>
              <w:t>(</w:t>
            </w:r>
            <w:r>
              <w:rPr>
                <w:rFonts w:ascii="Arial" w:cs="Arial" w:eastAsia="Arial" w:hAnsi="Arial"/>
                <w:sz w:val="16"/>
                <w:szCs w:val="16"/>
                <w:color w:val="auto"/>
                <w:vertAlign w:val="superscript"/>
              </w:rPr>
              <w:t>2)</w:t>
            </w:r>
          </w:p>
        </w:tc>
      </w:tr>
      <w:tr>
        <w:trPr>
          <w:trHeight w:val="142"/>
        </w:trPr>
        <w:tc>
          <w:tcPr>
            <w:tcW w:w="1520" w:type="dxa"/>
            <w:vAlign w:val="bottom"/>
            <w:tcBorders>
              <w:top w:val="single" w:sz="8" w:color="auto"/>
            </w:tcBorders>
          </w:tcPr>
          <w:p>
            <w:pPr>
              <w:jc w:val="right"/>
              <w:ind w:right="528"/>
              <w:spacing w:after="0"/>
              <w:rPr>
                <w:sz w:val="20"/>
                <w:szCs w:val="20"/>
                <w:color w:val="auto"/>
              </w:rPr>
            </w:pPr>
            <w:r>
              <w:rPr>
                <w:rFonts w:ascii="Arial" w:cs="Arial" w:eastAsia="Arial" w:hAnsi="Arial"/>
                <w:sz w:val="12"/>
                <w:szCs w:val="12"/>
                <w:color w:val="auto"/>
              </w:rPr>
              <w:t>7,766,229</w:t>
            </w:r>
          </w:p>
        </w:tc>
        <w:tc>
          <w:tcPr>
            <w:tcW w:w="500" w:type="dxa"/>
            <w:vAlign w:val="bottom"/>
          </w:tcPr>
          <w:p>
            <w:pPr>
              <w:spacing w:after="0"/>
              <w:rPr>
                <w:sz w:val="12"/>
                <w:szCs w:val="12"/>
                <w:color w:val="auto"/>
              </w:rPr>
            </w:pPr>
          </w:p>
        </w:tc>
        <w:tc>
          <w:tcPr>
            <w:tcW w:w="1520" w:type="dxa"/>
            <w:vAlign w:val="bottom"/>
            <w:tcBorders>
              <w:top w:val="single" w:sz="8" w:color="auto"/>
            </w:tcBorders>
          </w:tcPr>
          <w:p>
            <w:pPr>
              <w:ind w:left="500"/>
              <w:spacing w:after="0"/>
              <w:rPr>
                <w:sz w:val="20"/>
                <w:szCs w:val="20"/>
                <w:color w:val="auto"/>
              </w:rPr>
            </w:pPr>
            <w:r>
              <w:rPr>
                <w:rFonts w:ascii="Arial" w:cs="Arial" w:eastAsia="Arial" w:hAnsi="Arial"/>
                <w:sz w:val="12"/>
                <w:szCs w:val="12"/>
                <w:color w:val="auto"/>
              </w:rPr>
              <w:t>49.9%</w:t>
            </w:r>
          </w:p>
        </w:tc>
      </w:tr>
    </w:tbl>
    <w:p>
      <w:pPr>
        <w:spacing w:after="0" w:line="200" w:lineRule="exact"/>
        <w:rPr>
          <w:sz w:val="20"/>
          <w:szCs w:val="20"/>
          <w:color w:val="auto"/>
        </w:rPr>
      </w:pPr>
    </w:p>
    <w:p>
      <w:pPr>
        <w:sectPr>
          <w:pgSz w:w="11900" w:h="16838" w:orient="portrait"/>
          <w:cols w:equalWidth="0" w:num="2">
            <w:col w:w="7188" w:space="440"/>
            <w:col w:w="3680"/>
          </w:cols>
          <w:pgMar w:left="292" w:top="379" w:right="299" w:bottom="1440" w:gutter="0" w:footer="0" w:header="0"/>
          <w:type w:val="continuous"/>
        </w:sectPr>
      </w:pPr>
    </w:p>
    <w:p>
      <w:pPr>
        <w:spacing w:after="0" w:line="16" w:lineRule="exact"/>
        <w:rPr>
          <w:sz w:val="20"/>
          <w:szCs w:val="20"/>
          <w:color w:val="auto"/>
        </w:rPr>
      </w:pPr>
    </w:p>
    <w:p>
      <w:pPr>
        <w:ind w:left="448" w:right="120" w:hanging="448"/>
        <w:spacing w:after="0" w:line="258" w:lineRule="auto"/>
        <w:tabs>
          <w:tab w:leader="none" w:pos="448" w:val="left"/>
        </w:tabs>
        <w:numPr>
          <w:ilvl w:val="0"/>
          <w:numId w:val="3"/>
        </w:numPr>
        <w:rPr>
          <w:rFonts w:ascii="Arial" w:cs="Arial" w:eastAsia="Arial" w:hAnsi="Arial"/>
          <w:sz w:val="12"/>
          <w:szCs w:val="12"/>
          <w:color w:val="auto"/>
        </w:rPr>
      </w:pPr>
      <w:r>
        <w:rPr>
          <w:rFonts w:ascii="Arial" w:cs="Arial" w:eastAsia="Arial" w:hAnsi="Arial"/>
          <w:sz w:val="12"/>
          <w:szCs w:val="12"/>
          <w:color w:val="auto"/>
        </w:rPr>
        <w:t>Beneficial ownership is determined in accordance with Rule 13d-3(d) promulgated by the SEC under the Exchange Act. In calculating the number of shares beneficially owned by the selling stockholder prior to and after this offering, we have based our calculations on 16,650,725 shares of common stock outstanding as of April 30, 2020.</w:t>
      </w:r>
    </w:p>
    <w:p>
      <w:pPr>
        <w:ind w:left="448" w:hanging="448"/>
        <w:spacing w:after="0"/>
        <w:tabs>
          <w:tab w:leader="none" w:pos="448" w:val="left"/>
        </w:tabs>
        <w:numPr>
          <w:ilvl w:val="0"/>
          <w:numId w:val="3"/>
        </w:numPr>
        <w:rPr>
          <w:rFonts w:ascii="Arial" w:cs="Arial" w:eastAsia="Arial" w:hAnsi="Arial"/>
          <w:sz w:val="12"/>
          <w:szCs w:val="12"/>
          <w:color w:val="auto"/>
        </w:rPr>
      </w:pPr>
      <w:r>
        <w:rPr>
          <w:rFonts w:ascii="Arial" w:cs="Arial" w:eastAsia="Arial" w:hAnsi="Arial"/>
          <w:sz w:val="12"/>
          <w:szCs w:val="12"/>
          <w:color w:val="auto"/>
        </w:rPr>
        <w:t>Assumes the conversion of Notes for Conversion Shares and the exercise of Warrants for Warrant Shares covered by this registration statement.</w:t>
      </w:r>
    </w:p>
    <w:p>
      <w:pPr>
        <w:spacing w:after="0" w:line="159" w:lineRule="exact"/>
        <w:rPr>
          <w:sz w:val="20"/>
          <w:szCs w:val="20"/>
          <w:color w:val="auto"/>
        </w:rPr>
      </w:pPr>
    </w:p>
    <w:p>
      <w:pPr>
        <w:jc w:val="center"/>
        <w:ind w:right="12"/>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60960</wp:posOffset>
            </wp:positionV>
            <wp:extent cx="7178040" cy="11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379" w:right="299" w:bottom="1440" w:gutter="0" w:footer="0" w:header="0"/>
          <w:type w:val="continuous"/>
        </w:sectPr>
      </w:pPr>
    </w:p>
    <w:bookmarkStart w:id="7" w:name="page8"/>
    <w:bookmarkEnd w:id="7"/>
    <w:p>
      <w:pPr>
        <w:jc w:val="center"/>
        <w:ind w:left="420"/>
        <w:spacing w:after="0"/>
        <w:rPr>
          <w:sz w:val="20"/>
          <w:szCs w:val="20"/>
          <w:color w:val="auto"/>
        </w:rPr>
      </w:pPr>
      <w:r>
        <w:rPr>
          <w:rFonts w:ascii="Arial" w:cs="Arial" w:eastAsia="Arial" w:hAnsi="Arial"/>
          <w:sz w:val="12"/>
          <w:szCs w:val="12"/>
          <w:b w:val="1"/>
          <w:bCs w:val="1"/>
          <w:color w:val="auto"/>
        </w:rPr>
        <w:t>DESCRIPTION OF OUR COMMON STOCK</w:t>
      </w:r>
    </w:p>
    <w:p>
      <w:pPr>
        <w:spacing w:after="0" w:line="100" w:lineRule="exact"/>
        <w:rPr>
          <w:sz w:val="20"/>
          <w:szCs w:val="20"/>
          <w:color w:val="auto"/>
        </w:rPr>
      </w:pPr>
    </w:p>
    <w:p>
      <w:pPr>
        <w:ind w:right="160" w:firstLine="288"/>
        <w:spacing w:after="0" w:line="234" w:lineRule="auto"/>
        <w:rPr>
          <w:sz w:val="20"/>
          <w:szCs w:val="20"/>
          <w:color w:val="auto"/>
        </w:rPr>
      </w:pPr>
      <w:r>
        <w:rPr>
          <w:rFonts w:ascii="Arial" w:cs="Arial" w:eastAsia="Arial" w:hAnsi="Arial"/>
          <w:sz w:val="12"/>
          <w:szCs w:val="12"/>
          <w:color w:val="auto"/>
        </w:rPr>
        <w:t>The following is only a summary of the terms and conditions applicable to our Common Stock and it not intended to be complete. Our Company is a Delaware corporation and our Common Stock is subject to the provisions of our Certificate of Incorporation ("Certificate of Incorporation") and our Bylaws ("Bylaws").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Common Stock</w:t>
      </w:r>
    </w:p>
    <w:p>
      <w:pPr>
        <w:spacing w:after="0" w:line="100" w:lineRule="exact"/>
        <w:rPr>
          <w:sz w:val="20"/>
          <w:szCs w:val="20"/>
          <w:color w:val="auto"/>
        </w:rPr>
      </w:pPr>
    </w:p>
    <w:p>
      <w:pPr>
        <w:jc w:val="both"/>
        <w:ind w:right="20" w:firstLine="288"/>
        <w:spacing w:after="0" w:line="224" w:lineRule="auto"/>
        <w:rPr>
          <w:sz w:val="20"/>
          <w:szCs w:val="20"/>
          <w:color w:val="auto"/>
        </w:rPr>
      </w:pPr>
      <w:r>
        <w:rPr>
          <w:rFonts w:ascii="Arial" w:cs="Arial" w:eastAsia="Arial" w:hAnsi="Arial"/>
          <w:sz w:val="12"/>
          <w:szCs w:val="12"/>
          <w:color w:val="auto"/>
        </w:rPr>
        <w:t>The Company has fifty million (50,000,000) shares of common stock, $0.001 par value per share, authorized by its Certificate of Incorporation. The holders of the common stock of the Company shall be entitled at all meetings of shareholders to one vote for each share of such stock held by them. Cumulative voting is expressly prohibited by the Certificate of Incorporation. With respect to any matter, a quorum shall be present at a meeting of shareholders if the holders of a majority of the shares entitled to vote on that matter are represented at the meeting in person or by proxy.</w:t>
      </w:r>
    </w:p>
    <w:p>
      <w:pPr>
        <w:spacing w:after="0" w:line="82" w:lineRule="exact"/>
        <w:rPr>
          <w:sz w:val="20"/>
          <w:szCs w:val="20"/>
          <w:color w:val="auto"/>
        </w:rPr>
      </w:pPr>
    </w:p>
    <w:p>
      <w:pPr>
        <w:ind w:right="200" w:firstLine="288"/>
        <w:spacing w:after="0" w:line="219" w:lineRule="auto"/>
        <w:rPr>
          <w:sz w:val="20"/>
          <w:szCs w:val="20"/>
          <w:color w:val="auto"/>
        </w:rPr>
      </w:pPr>
      <w:r>
        <w:rPr>
          <w:rFonts w:ascii="Arial" w:cs="Arial" w:eastAsia="Arial" w:hAnsi="Arial"/>
          <w:sz w:val="12"/>
          <w:szCs w:val="12"/>
          <w:color w:val="auto"/>
        </w:rPr>
        <w:t>Shareholders of the Company have no preemptive rights to acquire additional shares of common stock or other securities. The common stock is not subject to redemption and carries no subscription or conversion rights. In the event of liquidation of the Company, the shares of common stock are entitled to share equally in corporate assets after satisfaction of all liabilities. Holders of common stock are entitled to receive such dividends as the Board of Directors may from time to time declare out of funds legally available for the payment of dividends. The Company has not paid a cash dividend on our common stock and does not anticipate doing so in the foreseeable future. The Company intends to retain earnings to fund future working capital requirements, infrastructure needs, growth, product development.</w:t>
      </w:r>
    </w:p>
    <w:p>
      <w:pPr>
        <w:spacing w:after="0" w:line="81" w:lineRule="exact"/>
        <w:rPr>
          <w:sz w:val="20"/>
          <w:szCs w:val="20"/>
          <w:color w:val="auto"/>
        </w:rPr>
      </w:pPr>
    </w:p>
    <w:p>
      <w:pPr>
        <w:ind w:right="400" w:firstLine="288"/>
        <w:spacing w:after="0" w:line="234" w:lineRule="auto"/>
        <w:rPr>
          <w:sz w:val="20"/>
          <w:szCs w:val="20"/>
          <w:color w:val="auto"/>
        </w:rPr>
      </w:pPr>
      <w:r>
        <w:rPr>
          <w:rFonts w:ascii="Arial" w:cs="Arial" w:eastAsia="Arial" w:hAnsi="Arial"/>
          <w:sz w:val="12"/>
          <w:szCs w:val="12"/>
          <w:color w:val="auto"/>
        </w:rPr>
        <w:t>The Board of Directors has the authority to issue the authorized but unissued shares of common stock without action by the shareholders. Any future issuance of such shares would reduce the percentage ownership held by existing shareholders and might dilute the book value of their shares.</w:t>
      </w:r>
    </w:p>
    <w:p>
      <w:pPr>
        <w:spacing w:after="0" w:line="82" w:lineRule="exact"/>
        <w:rPr>
          <w:sz w:val="20"/>
          <w:szCs w:val="20"/>
          <w:color w:val="auto"/>
        </w:rPr>
      </w:pPr>
    </w:p>
    <w:p>
      <w:pPr>
        <w:ind w:right="20" w:firstLine="288"/>
        <w:spacing w:after="0" w:line="234" w:lineRule="auto"/>
        <w:rPr>
          <w:sz w:val="20"/>
          <w:szCs w:val="20"/>
          <w:color w:val="auto"/>
        </w:rPr>
      </w:pPr>
      <w:r>
        <w:rPr>
          <w:rFonts w:ascii="Arial" w:cs="Arial" w:eastAsia="Arial" w:hAnsi="Arial"/>
          <w:sz w:val="12"/>
          <w:szCs w:val="12"/>
          <w:color w:val="auto"/>
        </w:rPr>
        <w:t>The shares of our common stock presently outstanding are fully paid and non-assessable, and any shares issued by us pursuant to this prospectus will be fully paid and non-assessable when issued. Our common stock trades on the NASDAQ Capital Market under the symbol “CLRO.”</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Anti-Takeover Provisions</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Certificate of Incorporation and Bylaws</w:t>
      </w:r>
    </w:p>
    <w:p>
      <w:pPr>
        <w:spacing w:after="0" w:line="96" w:lineRule="exact"/>
        <w:rPr>
          <w:sz w:val="20"/>
          <w:szCs w:val="20"/>
          <w:color w:val="auto"/>
        </w:rPr>
      </w:pPr>
    </w:p>
    <w:p>
      <w:pPr>
        <w:ind w:firstLine="288"/>
        <w:spacing w:after="0" w:line="219" w:lineRule="auto"/>
        <w:rPr>
          <w:sz w:val="20"/>
          <w:szCs w:val="20"/>
          <w:color w:val="auto"/>
        </w:rPr>
      </w:pPr>
      <w:r>
        <w:rPr>
          <w:rFonts w:ascii="Arial" w:cs="Arial" w:eastAsia="Arial" w:hAnsi="Arial"/>
          <w:sz w:val="12"/>
          <w:szCs w:val="12"/>
          <w:color w:val="auto"/>
        </w:rPr>
        <w:t>Because our stockholders do not have cumulative voting rights, our stockholders holding a majority of the outstanding shares of Common Stock outstanding will be able to satisfy the quorum requirement and be able to elect all of our directors by a plurality of the voting power of the shares present in person or by proxy. Our Certificate of Incorporation and Bylaws provide that all stockholder actions must be effected at a duly called meeting of stockholders and not by written consent. A special meeting of stockholders may be called by a resolution adopted by a majority of our board, our chair of the board, our chief executive officer or the president in absence of the chief executive officer. Any power of the stockholders to call a special meeting is specifically denied by the terms of our Certificate of Incorporation.</w:t>
      </w:r>
    </w:p>
    <w:p>
      <w:pPr>
        <w:spacing w:after="0" w:line="81" w:lineRule="exact"/>
        <w:rPr>
          <w:sz w:val="20"/>
          <w:szCs w:val="20"/>
          <w:color w:val="auto"/>
        </w:rPr>
      </w:pPr>
    </w:p>
    <w:p>
      <w:pPr>
        <w:ind w:right="20" w:firstLine="288"/>
        <w:spacing w:after="0" w:line="219" w:lineRule="auto"/>
        <w:rPr>
          <w:sz w:val="20"/>
          <w:szCs w:val="20"/>
          <w:color w:val="auto"/>
        </w:rPr>
      </w:pPr>
      <w:r>
        <w:rPr>
          <w:rFonts w:ascii="Arial" w:cs="Arial" w:eastAsia="Arial" w:hAnsi="Arial"/>
          <w:sz w:val="12"/>
          <w:szCs w:val="12"/>
          <w:color w:val="auto"/>
        </w:rPr>
        <w:t>These provisions are intended to enhance the likelihood of continued stability in the composition of our board of directors and its policies and to discourage certain types of transactions that may involve an actual or threatened acquisition of us. These provisions are also designed to reduce our vulnerability to an unsolicited acquisition proposal and to discourage certain tactics that may be used in proxy fights. However, such provisions could have the effect of discouraging others from making tender offers for our shares and may have the effect of deterring hostile takeovers or delaying changes in our control or management. As a consequence, these provisions also may inhibit fluctuations in the market price of our stock that could result from actual or rumored takeover attempts.</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60960</wp:posOffset>
            </wp:positionV>
            <wp:extent cx="7178040" cy="11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379" w:right="319" w:bottom="1440" w:gutter="0" w:footer="0" w:header="0"/>
        </w:sectPr>
      </w:pPr>
    </w:p>
    <w:bookmarkStart w:id="8" w:name="page9"/>
    <w:bookmarkEnd w:id="8"/>
    <w:p>
      <w:pPr>
        <w:spacing w:after="0"/>
        <w:rPr>
          <w:sz w:val="20"/>
          <w:szCs w:val="20"/>
          <w:color w:val="auto"/>
        </w:rPr>
      </w:pPr>
      <w:r>
        <w:rPr>
          <w:rFonts w:ascii="Arial" w:cs="Arial" w:eastAsia="Arial" w:hAnsi="Arial"/>
          <w:sz w:val="12"/>
          <w:szCs w:val="12"/>
          <w:b w:val="1"/>
          <w:bCs w:val="1"/>
          <w:i w:val="1"/>
          <w:iCs w:val="1"/>
          <w:color w:val="auto"/>
        </w:rPr>
        <w:t>Section 203 of the Delaware General Corporation Law</w:t>
      </w:r>
    </w:p>
    <w:p>
      <w:pPr>
        <w:spacing w:after="0" w:line="96" w:lineRule="exact"/>
        <w:rPr>
          <w:sz w:val="20"/>
          <w:szCs w:val="20"/>
          <w:color w:val="auto"/>
        </w:rPr>
      </w:pPr>
    </w:p>
    <w:p>
      <w:pPr>
        <w:ind w:firstLine="288"/>
        <w:spacing w:after="0" w:line="234" w:lineRule="auto"/>
        <w:rPr>
          <w:sz w:val="20"/>
          <w:szCs w:val="20"/>
          <w:color w:val="auto"/>
        </w:rPr>
      </w:pPr>
      <w:r>
        <w:rPr>
          <w:rFonts w:ascii="Arial" w:cs="Arial" w:eastAsia="Arial" w:hAnsi="Arial"/>
          <w:sz w:val="12"/>
          <w:szCs w:val="12"/>
          <w:color w:val="auto"/>
        </w:rPr>
        <w:t>We are subject to Section 203 of the Delaware General Corporation Law,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100" w:lineRule="exact"/>
        <w:rPr>
          <w:sz w:val="20"/>
          <w:szCs w:val="20"/>
          <w:color w:val="auto"/>
        </w:rPr>
      </w:pPr>
    </w:p>
    <w:p>
      <w:pPr>
        <w:ind w:left="560" w:hanging="262"/>
        <w:spacing w:after="0"/>
        <w:tabs>
          <w:tab w:leader="none" w:pos="560" w:val="left"/>
        </w:tabs>
        <w:numPr>
          <w:ilvl w:val="0"/>
          <w:numId w:val="4"/>
        </w:numPr>
        <w:rPr>
          <w:rFonts w:ascii="Arial" w:cs="Arial" w:eastAsia="Arial" w:hAnsi="Arial"/>
          <w:sz w:val="12"/>
          <w:szCs w:val="12"/>
          <w:color w:val="auto"/>
        </w:rPr>
      </w:pPr>
      <w:r>
        <w:rPr>
          <w:rFonts w:ascii="Arial" w:cs="Arial" w:eastAsia="Arial" w:hAnsi="Arial"/>
          <w:sz w:val="12"/>
          <w:szCs w:val="12"/>
          <w:color w:val="auto"/>
        </w:rPr>
        <w:t>Before such date, the board of directors of the corporation approved either the business combination or the transaction that resulted in the stockholder becoming an interested stockholder;</w:t>
      </w:r>
    </w:p>
    <w:p>
      <w:pPr>
        <w:spacing w:after="0" w:line="78" w:lineRule="exact"/>
        <w:rPr>
          <w:rFonts w:ascii="Arial" w:cs="Arial" w:eastAsia="Arial" w:hAnsi="Arial"/>
          <w:sz w:val="12"/>
          <w:szCs w:val="12"/>
          <w:color w:val="auto"/>
        </w:rPr>
      </w:pPr>
    </w:p>
    <w:p>
      <w:pPr>
        <w:ind w:left="560" w:right="140" w:hanging="262"/>
        <w:spacing w:after="0" w:line="313" w:lineRule="auto"/>
        <w:tabs>
          <w:tab w:leader="none" w:pos="560" w:val="left"/>
        </w:tabs>
        <w:numPr>
          <w:ilvl w:val="0"/>
          <w:numId w:val="4"/>
        </w:numPr>
        <w:rPr>
          <w:rFonts w:ascii="Arial" w:cs="Arial" w:eastAsia="Arial" w:hAnsi="Arial"/>
          <w:sz w:val="10"/>
          <w:szCs w:val="10"/>
          <w:color w:val="auto"/>
        </w:rPr>
      </w:pPr>
      <w:r>
        <w:rPr>
          <w:rFonts w:ascii="Arial" w:cs="Arial" w:eastAsia="Arial" w:hAnsi="Arial"/>
          <w:sz w:val="10"/>
          <w:szCs w:val="10"/>
          <w:color w:val="auto"/>
        </w:rPr>
        <w:t>Upon closing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by (i)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9" w:lineRule="exact"/>
        <w:rPr>
          <w:rFonts w:ascii="Arial" w:cs="Arial" w:eastAsia="Arial" w:hAnsi="Arial"/>
          <w:sz w:val="10"/>
          <w:szCs w:val="10"/>
          <w:color w:val="auto"/>
        </w:rPr>
      </w:pPr>
    </w:p>
    <w:p>
      <w:pPr>
        <w:ind w:left="560" w:right="260" w:hanging="262"/>
        <w:spacing w:after="0" w:line="276" w:lineRule="auto"/>
        <w:tabs>
          <w:tab w:leader="none" w:pos="560" w:val="left"/>
        </w:tabs>
        <w:numPr>
          <w:ilvl w:val="0"/>
          <w:numId w:val="4"/>
        </w:numPr>
        <w:rPr>
          <w:rFonts w:ascii="Arial" w:cs="Arial" w:eastAsia="Arial" w:hAnsi="Arial"/>
          <w:sz w:val="12"/>
          <w:szCs w:val="12"/>
          <w:color w:val="auto"/>
        </w:rPr>
      </w:pPr>
      <w:r>
        <w:rPr>
          <w:rFonts w:ascii="Arial" w:cs="Arial" w:eastAsia="Arial" w:hAnsi="Arial"/>
          <w:sz w:val="12"/>
          <w:szCs w:val="12"/>
          <w:color w:val="auto"/>
        </w:rPr>
        <w:t>On or after such date, the business combination is approved by the board of directors and authorized at an annual or special meeting of the stockholders, and not by written consent, by the affirmative vote of at least sixty-six and two-third percent (66 2/3%) of the outstanding voting stock that is not owned by the interested stockholder.</w:t>
      </w:r>
    </w:p>
    <w:p>
      <w:pPr>
        <w:spacing w:after="0" w:line="115" w:lineRule="exact"/>
        <w:rPr>
          <w:sz w:val="20"/>
          <w:szCs w:val="20"/>
          <w:color w:val="auto"/>
        </w:rPr>
      </w:pPr>
    </w:p>
    <w:p>
      <w:pPr>
        <w:ind w:left="280"/>
        <w:spacing w:after="0"/>
        <w:rPr>
          <w:sz w:val="20"/>
          <w:szCs w:val="20"/>
          <w:color w:val="auto"/>
        </w:rPr>
      </w:pPr>
      <w:r>
        <w:rPr>
          <w:rFonts w:ascii="Arial" w:cs="Arial" w:eastAsia="Arial" w:hAnsi="Arial"/>
          <w:sz w:val="12"/>
          <w:szCs w:val="12"/>
          <w:color w:val="auto"/>
        </w:rPr>
        <w:t>In general, Section 203 defines business combination to include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72390</wp:posOffset>
            </wp:positionV>
            <wp:extent cx="188595"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8595" cy="5715"/>
                    </a:xfrm>
                    <a:prstGeom prst="rect">
                      <a:avLst/>
                    </a:prstGeom>
                    <a:noFill/>
                  </pic:spPr>
                </pic:pic>
              </a:graphicData>
            </a:graphic>
          </wp:anchor>
        </w:drawing>
      </w:r>
    </w:p>
    <w:p>
      <w:pPr>
        <w:spacing w:after="0" w:line="68" w:lineRule="exact"/>
        <w:rPr>
          <w:sz w:val="20"/>
          <w:szCs w:val="20"/>
          <w:color w:val="auto"/>
        </w:rPr>
      </w:pPr>
    </w:p>
    <w:p>
      <w:pPr>
        <w:ind w:left="280"/>
        <w:spacing w:after="0"/>
        <w:rPr>
          <w:sz w:val="20"/>
          <w:szCs w:val="20"/>
          <w:color w:val="auto"/>
        </w:rPr>
      </w:pPr>
      <w:r>
        <w:rPr>
          <w:sz w:val="1"/>
          <w:szCs w:val="1"/>
          <w:color w:val="auto"/>
        </w:rPr>
        <w:drawing>
          <wp:inline distT="0" distB="0" distL="0" distR="0">
            <wp:extent cx="5715" cy="1028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15" cy="102870"/>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5715" cy="1028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15" cy="102870"/>
                    </a:xfrm>
                    <a:prstGeom prst="rect">
                      <a:avLst/>
                    </a:prstGeom>
                    <a:noFill/>
                    <a:ln>
                      <a:noFill/>
                    </a:ln>
                  </pic:spPr>
                </pic:pic>
              </a:graphicData>
            </a:graphic>
          </wp:inline>
        </w:drawing>
      </w:r>
      <w:r>
        <w:rPr>
          <w:rFonts w:ascii="Arial" w:cs="Arial" w:eastAsia="Arial" w:hAnsi="Arial"/>
          <w:sz w:val="12"/>
          <w:szCs w:val="12"/>
          <w:color w:val="auto"/>
        </w:rPr>
        <w:t>Any merger or consolidation involving the corporation and the interested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-5080</wp:posOffset>
            </wp:positionV>
            <wp:extent cx="188595"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8595" cy="137160"/>
                    </a:xfrm>
                    <a:prstGeom prst="rect">
                      <a:avLst/>
                    </a:prstGeom>
                    <a:noFill/>
                  </pic:spPr>
                </pic:pic>
              </a:graphicData>
            </a:graphic>
          </wp:anchor>
        </w:drawing>
      </w:r>
    </w:p>
    <w:p>
      <w:pPr>
        <w:ind w:left="280"/>
        <w:spacing w:after="0"/>
        <w:tabs>
          <w:tab w:leader="none" w:pos="560" w:val="left"/>
        </w:tabs>
        <w:rPr>
          <w:sz w:val="20"/>
          <w:szCs w:val="20"/>
          <w:color w:val="auto"/>
        </w:rPr>
      </w:pP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Any sale, lease, exchange, mortgage, transfer, pledge or other disposition of 10% or more of the assets of the corporation involving the interested stockholder;</w:t>
      </w:r>
    </w:p>
    <w:p>
      <w:pPr>
        <w:spacing w:after="0" w:line="35" w:lineRule="exact"/>
        <w:rPr>
          <w:sz w:val="20"/>
          <w:szCs w:val="20"/>
          <w:color w:val="auto"/>
        </w:rPr>
      </w:pPr>
    </w:p>
    <w:p>
      <w:pPr>
        <w:ind w:left="280"/>
        <w:spacing w:after="0"/>
        <w:rPr>
          <w:sz w:val="20"/>
          <w:szCs w:val="20"/>
          <w:color w:val="auto"/>
        </w:rPr>
      </w:pPr>
      <w:r>
        <w:rPr>
          <w:sz w:val="1"/>
          <w:szCs w:val="1"/>
          <w:color w:val="auto"/>
        </w:rPr>
        <w:drawing>
          <wp:inline distT="0" distB="0" distL="0" distR="0">
            <wp:extent cx="5715" cy="13716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15" cy="137160"/>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5715" cy="13716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15" cy="137160"/>
                    </a:xfrm>
                    <a:prstGeom prst="rect">
                      <a:avLst/>
                    </a:prstGeom>
                    <a:noFill/>
                    <a:ln>
                      <a:noFill/>
                    </a:ln>
                  </pic:spPr>
                </pic:pic>
              </a:graphicData>
            </a:graphic>
          </wp:inline>
        </w:drawing>
      </w:r>
      <w:r>
        <w:rPr>
          <w:rFonts w:ascii="Arial" w:cs="Arial" w:eastAsia="Arial" w:hAnsi="Arial"/>
          <w:sz w:val="12"/>
          <w:szCs w:val="12"/>
          <w:color w:val="auto"/>
        </w:rPr>
        <w:t>Subject to certain exceptions, any transaction that results in the issuance or transfer by the corporation of any stock of the corporation to the interested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-5080</wp:posOffset>
            </wp:positionV>
            <wp:extent cx="188595" cy="1028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8595" cy="102870"/>
                    </a:xfrm>
                    <a:prstGeom prst="rect">
                      <a:avLst/>
                    </a:prstGeom>
                    <a:noFill/>
                  </pic:spPr>
                </pic:pic>
              </a:graphicData>
            </a:graphic>
          </wp:anchor>
        </w:drawing>
      </w:r>
    </w:p>
    <w:p>
      <w:pPr>
        <w:ind w:left="280" w:right="800" w:firstLine="9"/>
        <w:spacing w:after="0" w:line="252" w:lineRule="auto"/>
        <w:rPr>
          <w:sz w:val="20"/>
          <w:szCs w:val="20"/>
          <w:color w:val="auto"/>
        </w:rPr>
      </w:pPr>
      <w:r>
        <w:rPr>
          <w:rFonts w:ascii="Arial" w:cs="Arial" w:eastAsia="Arial" w:hAnsi="Arial"/>
          <w:sz w:val="12"/>
          <w:szCs w:val="12"/>
          <w:color w:val="auto"/>
        </w:rPr>
        <w:t xml:space="preserve">● Any transaction involving the corporation that has the effect of increasing the proportionate share of the stock or any class or series of the corporation beneficially owned by the interested stockholder; or </w:t>
      </w:r>
      <w:r>
        <w:rPr>
          <w:sz w:val="1"/>
          <w:szCs w:val="1"/>
          <w:color w:val="auto"/>
        </w:rPr>
        <w:drawing>
          <wp:inline distT="0" distB="0" distL="0" distR="0">
            <wp:extent cx="5715" cy="8572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15" cy="85725"/>
                    </a:xfrm>
                    <a:prstGeom prst="rect">
                      <a:avLst/>
                    </a:prstGeom>
                    <a:noFill/>
                    <a:ln>
                      <a:noFill/>
                    </a:ln>
                  </pic:spPr>
                </pic:pic>
              </a:graphicData>
            </a:graphic>
          </wp:inline>
        </w:drawing>
      </w:r>
      <w:r>
        <w:rPr>
          <w:rFonts w:ascii="Arial" w:cs="Arial" w:eastAsia="Arial" w:hAnsi="Arial"/>
          <w:sz w:val="12"/>
          <w:szCs w:val="12"/>
          <w:color w:val="auto"/>
        </w:rPr>
        <w:t xml:space="preserve">● </w:t>
      </w:r>
      <w:r>
        <w:rPr>
          <w:sz w:val="1"/>
          <w:szCs w:val="1"/>
          <w:color w:val="auto"/>
        </w:rPr>
        <w:drawing>
          <wp:inline distT="0" distB="0" distL="0" distR="0">
            <wp:extent cx="5715" cy="8572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15" cy="85725"/>
                    </a:xfrm>
                    <a:prstGeom prst="rect">
                      <a:avLst/>
                    </a:prstGeom>
                    <a:noFill/>
                    <a:ln>
                      <a:noFill/>
                    </a:ln>
                  </pic:spPr>
                </pic:pic>
              </a:graphicData>
            </a:graphic>
          </wp:inline>
        </w:drawing>
      </w:r>
      <w:r>
        <w:rPr>
          <w:rFonts w:ascii="Arial" w:cs="Arial" w:eastAsia="Arial" w:hAnsi="Arial"/>
          <w:sz w:val="12"/>
          <w:szCs w:val="12"/>
          <w:color w:val="auto"/>
        </w:rPr>
        <w:t>The receipt by the interested stockholder of the benefit of any loss, advances, guarantees, pledges or other financial benefits by or through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-8890</wp:posOffset>
            </wp:positionV>
            <wp:extent cx="188595"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8595" cy="5715"/>
                    </a:xfrm>
                    <a:prstGeom prst="rect">
                      <a:avLst/>
                    </a:prstGeom>
                    <a:noFill/>
                  </pic:spPr>
                </pic:pic>
              </a:graphicData>
            </a:graphic>
          </wp:anchor>
        </w:drawing>
      </w:r>
    </w:p>
    <w:p>
      <w:pPr>
        <w:spacing w:after="0" w:line="73" w:lineRule="exact"/>
        <w:rPr>
          <w:sz w:val="20"/>
          <w:szCs w:val="20"/>
          <w:color w:val="auto"/>
        </w:rPr>
      </w:pPr>
    </w:p>
    <w:p>
      <w:pPr>
        <w:ind w:firstLine="288"/>
        <w:spacing w:after="0" w:line="234" w:lineRule="auto"/>
        <w:rPr>
          <w:sz w:val="20"/>
          <w:szCs w:val="20"/>
          <w:color w:val="auto"/>
        </w:rPr>
      </w:pPr>
      <w:r>
        <w:rPr>
          <w:rFonts w:ascii="Arial" w:cs="Arial" w:eastAsia="Arial" w:hAnsi="Arial"/>
          <w:sz w:val="12"/>
          <w:szCs w:val="12"/>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NASDAQ Capital Market Listing</w:t>
      </w:r>
    </w:p>
    <w:p>
      <w:pPr>
        <w:spacing w:after="0" w:line="82" w:lineRule="exact"/>
        <w:rPr>
          <w:sz w:val="20"/>
          <w:szCs w:val="20"/>
          <w:color w:val="auto"/>
        </w:rPr>
      </w:pPr>
    </w:p>
    <w:p>
      <w:pPr>
        <w:ind w:left="280"/>
        <w:spacing w:after="0"/>
        <w:rPr>
          <w:sz w:val="20"/>
          <w:szCs w:val="20"/>
          <w:color w:val="auto"/>
        </w:rPr>
      </w:pPr>
      <w:r>
        <w:rPr>
          <w:rFonts w:ascii="Arial" w:cs="Arial" w:eastAsia="Arial" w:hAnsi="Arial"/>
          <w:sz w:val="12"/>
          <w:szCs w:val="12"/>
          <w:color w:val="auto"/>
        </w:rPr>
        <w:t>Our common stock is listed on the NASDAQ Capital Market under the trading symbol “CLRO.”</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Transfer Agent and Registrar</w:t>
      </w:r>
    </w:p>
    <w:p>
      <w:pPr>
        <w:spacing w:after="0" w:line="100"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transfer agent and registrar for our common stock is Broadridge.</w:t>
      </w:r>
    </w:p>
    <w:p>
      <w:pPr>
        <w:spacing w:after="0" w:line="123" w:lineRule="exact"/>
        <w:rPr>
          <w:sz w:val="20"/>
          <w:szCs w:val="20"/>
          <w:color w:val="auto"/>
        </w:rPr>
      </w:pPr>
    </w:p>
    <w:p>
      <w:pPr>
        <w:jc w:val="center"/>
        <w:ind w:right="-219"/>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080"/>
          </w:cols>
          <w:pgMar w:left="300" w:top="383" w:right="519" w:bottom="1440" w:gutter="0" w:footer="0" w:header="0"/>
        </w:sectPr>
      </w:pPr>
    </w:p>
    <w:bookmarkStart w:id="9" w:name="page10"/>
    <w:bookmarkEnd w:id="9"/>
    <w:p>
      <w:pPr>
        <w:jc w:val="center"/>
        <w:ind w:right="-99"/>
        <w:spacing w:after="0"/>
        <w:rPr>
          <w:sz w:val="20"/>
          <w:szCs w:val="20"/>
          <w:color w:val="auto"/>
        </w:rPr>
      </w:pPr>
      <w:r>
        <w:rPr>
          <w:rFonts w:ascii="Arial" w:cs="Arial" w:eastAsia="Arial" w:hAnsi="Arial"/>
          <w:sz w:val="12"/>
          <w:szCs w:val="12"/>
          <w:b w:val="1"/>
          <w:bCs w:val="1"/>
          <w:color w:val="auto"/>
        </w:rPr>
        <w:t>PLAN OF DISTRIBUTION</w:t>
      </w:r>
    </w:p>
    <w:p>
      <w:pPr>
        <w:spacing w:after="0" w:line="100" w:lineRule="exact"/>
        <w:rPr>
          <w:sz w:val="20"/>
          <w:szCs w:val="20"/>
          <w:color w:val="auto"/>
        </w:rPr>
      </w:pPr>
    </w:p>
    <w:p>
      <w:pPr>
        <w:ind w:right="40" w:firstLine="288"/>
        <w:spacing w:after="0" w:line="283" w:lineRule="auto"/>
        <w:rPr>
          <w:sz w:val="20"/>
          <w:szCs w:val="20"/>
          <w:color w:val="auto"/>
        </w:rPr>
      </w:pPr>
      <w:r>
        <w:rPr>
          <w:rFonts w:ascii="Arial" w:cs="Arial" w:eastAsia="Arial" w:hAnsi="Arial"/>
          <w:sz w:val="10"/>
          <w:szCs w:val="10"/>
          <w:color w:val="auto"/>
        </w:rPr>
        <w:t>The selling stockholder and any of its pledgees, donees, transferees, assignees or other successors-in-interest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 The selling stockholder may use one or more of the following methods when disposing of the shares or interests therein:</w:t>
      </w:r>
    </w:p>
    <w:p>
      <w:pPr>
        <w:spacing w:after="0" w:line="25" w:lineRule="exact"/>
        <w:rPr>
          <w:sz w:val="20"/>
          <w:szCs w:val="20"/>
          <w:color w:val="auto"/>
        </w:rPr>
      </w:pPr>
    </w:p>
    <w:p>
      <w:pPr>
        <w:ind w:left="880" w:hanging="330"/>
        <w:spacing w:after="0"/>
        <w:tabs>
          <w:tab w:leader="none" w:pos="880" w:val="left"/>
        </w:tabs>
        <w:numPr>
          <w:ilvl w:val="0"/>
          <w:numId w:val="5"/>
        </w:numPr>
        <w:rPr>
          <w:rFonts w:ascii="Arial" w:cs="Arial" w:eastAsia="Arial" w:hAnsi="Arial"/>
          <w:sz w:val="12"/>
          <w:szCs w:val="12"/>
          <w:color w:val="auto"/>
        </w:rPr>
      </w:pPr>
      <w:r>
        <w:rPr>
          <w:rFonts w:ascii="Arial" w:cs="Arial" w:eastAsia="Arial" w:hAnsi="Arial"/>
          <w:sz w:val="12"/>
          <w:szCs w:val="12"/>
          <w:color w:val="auto"/>
        </w:rPr>
        <w:t>ordinary brokerage transactions and transactions in which the broker-dealer solicits purchasers;</w:t>
      </w:r>
    </w:p>
    <w:p>
      <w:pPr>
        <w:spacing w:after="0" w:line="123" w:lineRule="exact"/>
        <w:rPr>
          <w:rFonts w:ascii="Arial" w:cs="Arial" w:eastAsia="Arial" w:hAnsi="Arial"/>
          <w:sz w:val="12"/>
          <w:szCs w:val="12"/>
          <w:color w:val="auto"/>
        </w:rPr>
      </w:pPr>
    </w:p>
    <w:p>
      <w:pPr>
        <w:ind w:left="880" w:hanging="330"/>
        <w:spacing w:after="0"/>
        <w:tabs>
          <w:tab w:leader="none" w:pos="880" w:val="left"/>
        </w:tabs>
        <w:numPr>
          <w:ilvl w:val="0"/>
          <w:numId w:val="5"/>
        </w:numPr>
        <w:rPr>
          <w:rFonts w:ascii="Arial" w:cs="Arial" w:eastAsia="Arial" w:hAnsi="Arial"/>
          <w:sz w:val="12"/>
          <w:szCs w:val="12"/>
          <w:color w:val="auto"/>
        </w:rPr>
      </w:pPr>
      <w:r>
        <w:rPr>
          <w:rFonts w:ascii="Arial" w:cs="Arial" w:eastAsia="Arial" w:hAnsi="Arial"/>
          <w:sz w:val="12"/>
          <w:szCs w:val="12"/>
          <w:color w:val="auto"/>
        </w:rPr>
        <w:t>block trades in which the broker-dealer will attempt to sell the shares as agent but may position and resell a portion of the block as principal to facilitate the transaction;</w:t>
      </w:r>
    </w:p>
    <w:p>
      <w:pPr>
        <w:spacing w:after="0" w:line="78" w:lineRule="exact"/>
        <w:rPr>
          <w:rFonts w:ascii="Arial" w:cs="Arial" w:eastAsia="Arial" w:hAnsi="Arial"/>
          <w:sz w:val="12"/>
          <w:szCs w:val="12"/>
          <w:color w:val="auto"/>
        </w:rPr>
      </w:pPr>
    </w:p>
    <w:p>
      <w:pPr>
        <w:ind w:left="880" w:hanging="330"/>
        <w:spacing w:after="0"/>
        <w:tabs>
          <w:tab w:leader="none" w:pos="88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through brokers, dealers or underwriters that may act solely as agents;</w:t>
      </w:r>
    </w:p>
    <w:p>
      <w:pPr>
        <w:spacing w:after="0" w:line="78" w:lineRule="exact"/>
        <w:rPr>
          <w:rFonts w:ascii="Arial" w:cs="Arial" w:eastAsia="Arial" w:hAnsi="Arial"/>
          <w:sz w:val="12"/>
          <w:szCs w:val="12"/>
          <w:color w:val="auto"/>
        </w:rPr>
      </w:pPr>
    </w:p>
    <w:p>
      <w:pPr>
        <w:ind w:left="880" w:hanging="330"/>
        <w:spacing w:after="0"/>
        <w:tabs>
          <w:tab w:leader="none" w:pos="880" w:val="left"/>
        </w:tabs>
        <w:numPr>
          <w:ilvl w:val="0"/>
          <w:numId w:val="5"/>
        </w:numPr>
        <w:rPr>
          <w:rFonts w:ascii="Arial" w:cs="Arial" w:eastAsia="Arial" w:hAnsi="Arial"/>
          <w:sz w:val="12"/>
          <w:szCs w:val="12"/>
          <w:color w:val="auto"/>
        </w:rPr>
      </w:pPr>
      <w:r>
        <w:rPr>
          <w:rFonts w:ascii="Arial" w:cs="Arial" w:eastAsia="Arial" w:hAnsi="Arial"/>
          <w:sz w:val="12"/>
          <w:szCs w:val="12"/>
          <w:color w:val="auto"/>
        </w:rPr>
        <w:t>purchases by a broker-dealer as principal and resale by the broker-dealer for its account;</w:t>
      </w:r>
    </w:p>
    <w:p>
      <w:pPr>
        <w:spacing w:after="0" w:line="78" w:lineRule="exact"/>
        <w:rPr>
          <w:rFonts w:ascii="Arial" w:cs="Arial" w:eastAsia="Arial" w:hAnsi="Arial"/>
          <w:sz w:val="12"/>
          <w:szCs w:val="12"/>
          <w:color w:val="auto"/>
        </w:rPr>
      </w:pPr>
    </w:p>
    <w:p>
      <w:pPr>
        <w:ind w:left="880" w:hanging="330"/>
        <w:spacing w:after="0"/>
        <w:tabs>
          <w:tab w:leader="none" w:pos="880" w:val="left"/>
        </w:tabs>
        <w:numPr>
          <w:ilvl w:val="0"/>
          <w:numId w:val="5"/>
        </w:numPr>
        <w:rPr>
          <w:rFonts w:ascii="Arial" w:cs="Arial" w:eastAsia="Arial" w:hAnsi="Arial"/>
          <w:sz w:val="12"/>
          <w:szCs w:val="12"/>
          <w:color w:val="auto"/>
        </w:rPr>
      </w:pPr>
      <w:r>
        <w:rPr>
          <w:rFonts w:ascii="Arial" w:cs="Arial" w:eastAsia="Arial" w:hAnsi="Arial"/>
          <w:sz w:val="12"/>
          <w:szCs w:val="12"/>
          <w:color w:val="auto"/>
        </w:rPr>
        <w:t>an exchange distribution in accordance with the rules of the applicable exchange;</w:t>
      </w:r>
    </w:p>
    <w:p>
      <w:pPr>
        <w:spacing w:after="0" w:line="78" w:lineRule="exact"/>
        <w:rPr>
          <w:rFonts w:ascii="Arial" w:cs="Arial" w:eastAsia="Arial" w:hAnsi="Arial"/>
          <w:sz w:val="12"/>
          <w:szCs w:val="12"/>
          <w:color w:val="auto"/>
        </w:rPr>
      </w:pPr>
    </w:p>
    <w:p>
      <w:pPr>
        <w:ind w:left="880" w:hanging="330"/>
        <w:spacing w:after="0"/>
        <w:tabs>
          <w:tab w:leader="none" w:pos="880" w:val="left"/>
        </w:tabs>
        <w:numPr>
          <w:ilvl w:val="0"/>
          <w:numId w:val="5"/>
        </w:numPr>
        <w:rPr>
          <w:rFonts w:ascii="Arial" w:cs="Arial" w:eastAsia="Arial" w:hAnsi="Arial"/>
          <w:sz w:val="12"/>
          <w:szCs w:val="12"/>
          <w:color w:val="auto"/>
        </w:rPr>
      </w:pPr>
      <w:r>
        <w:rPr>
          <w:rFonts w:ascii="Arial" w:cs="Arial" w:eastAsia="Arial" w:hAnsi="Arial"/>
          <w:sz w:val="12"/>
          <w:szCs w:val="12"/>
          <w:color w:val="auto"/>
        </w:rPr>
        <w:t>privately negotiated transactions;</w:t>
      </w:r>
    </w:p>
    <w:p>
      <w:pPr>
        <w:spacing w:after="0" w:line="78" w:lineRule="exact"/>
        <w:rPr>
          <w:rFonts w:ascii="Arial" w:cs="Arial" w:eastAsia="Arial" w:hAnsi="Arial"/>
          <w:sz w:val="12"/>
          <w:szCs w:val="12"/>
          <w:color w:val="auto"/>
        </w:rPr>
      </w:pPr>
    </w:p>
    <w:p>
      <w:pPr>
        <w:ind w:left="880" w:hanging="330"/>
        <w:spacing w:after="0"/>
        <w:tabs>
          <w:tab w:leader="none" w:pos="880" w:val="left"/>
        </w:tabs>
        <w:numPr>
          <w:ilvl w:val="0"/>
          <w:numId w:val="5"/>
        </w:numPr>
        <w:rPr>
          <w:rFonts w:ascii="Arial" w:cs="Arial" w:eastAsia="Arial" w:hAnsi="Arial"/>
          <w:sz w:val="12"/>
          <w:szCs w:val="12"/>
          <w:color w:val="auto"/>
        </w:rPr>
      </w:pPr>
      <w:r>
        <w:rPr>
          <w:rFonts w:ascii="Arial" w:cs="Arial" w:eastAsia="Arial" w:hAnsi="Arial"/>
          <w:sz w:val="12"/>
          <w:szCs w:val="12"/>
          <w:color w:val="auto"/>
        </w:rPr>
        <w:t>short sales;</w:t>
      </w:r>
    </w:p>
    <w:p>
      <w:pPr>
        <w:spacing w:after="0" w:line="78" w:lineRule="exact"/>
        <w:rPr>
          <w:rFonts w:ascii="Arial" w:cs="Arial" w:eastAsia="Arial" w:hAnsi="Arial"/>
          <w:sz w:val="12"/>
          <w:szCs w:val="12"/>
          <w:color w:val="auto"/>
        </w:rPr>
      </w:pPr>
    </w:p>
    <w:p>
      <w:pPr>
        <w:ind w:left="880" w:right="120" w:hanging="330"/>
        <w:spacing w:after="0" w:line="276" w:lineRule="auto"/>
        <w:tabs>
          <w:tab w:leader="none" w:pos="88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through the writing or settlement of options or other hedging transactions entered into after the effective date of the registration statement of which this prospectus is a part, whether through an options exchange or otherwise;</w:t>
      </w:r>
    </w:p>
    <w:p>
      <w:pPr>
        <w:spacing w:after="0" w:line="42" w:lineRule="exact"/>
        <w:rPr>
          <w:rFonts w:ascii="Arial" w:cs="Arial" w:eastAsia="Arial" w:hAnsi="Arial"/>
          <w:sz w:val="12"/>
          <w:szCs w:val="12"/>
          <w:color w:val="auto"/>
        </w:rPr>
      </w:pPr>
    </w:p>
    <w:p>
      <w:pPr>
        <w:ind w:left="880" w:hanging="330"/>
        <w:spacing w:after="0"/>
        <w:tabs>
          <w:tab w:leader="none" w:pos="880" w:val="left"/>
        </w:tabs>
        <w:numPr>
          <w:ilvl w:val="0"/>
          <w:numId w:val="5"/>
        </w:numPr>
        <w:rPr>
          <w:rFonts w:ascii="Arial" w:cs="Arial" w:eastAsia="Arial" w:hAnsi="Arial"/>
          <w:sz w:val="12"/>
          <w:szCs w:val="12"/>
          <w:color w:val="auto"/>
        </w:rPr>
      </w:pPr>
      <w:r>
        <w:rPr>
          <w:rFonts w:ascii="Arial" w:cs="Arial" w:eastAsia="Arial" w:hAnsi="Arial"/>
          <w:sz w:val="12"/>
          <w:szCs w:val="12"/>
          <w:color w:val="auto"/>
        </w:rPr>
        <w:t>broker-dealers may agree with the selling stockholder to sell a specified number of such shares at a stipulated price per share;</w:t>
      </w:r>
    </w:p>
    <w:p>
      <w:pPr>
        <w:spacing w:after="0" w:line="78" w:lineRule="exact"/>
        <w:rPr>
          <w:rFonts w:ascii="Arial" w:cs="Arial" w:eastAsia="Arial" w:hAnsi="Arial"/>
          <w:sz w:val="12"/>
          <w:szCs w:val="12"/>
          <w:color w:val="auto"/>
        </w:rPr>
      </w:pPr>
    </w:p>
    <w:p>
      <w:pPr>
        <w:ind w:left="880" w:hanging="330"/>
        <w:spacing w:after="0"/>
        <w:tabs>
          <w:tab w:leader="none" w:pos="880" w:val="left"/>
        </w:tabs>
        <w:numPr>
          <w:ilvl w:val="0"/>
          <w:numId w:val="5"/>
        </w:numPr>
        <w:rPr>
          <w:rFonts w:ascii="Arial" w:cs="Arial" w:eastAsia="Arial" w:hAnsi="Arial"/>
          <w:sz w:val="12"/>
          <w:szCs w:val="12"/>
          <w:color w:val="auto"/>
        </w:rPr>
      </w:pPr>
      <w:r>
        <w:rPr>
          <w:rFonts w:ascii="Arial" w:cs="Arial" w:eastAsia="Arial" w:hAnsi="Arial"/>
          <w:sz w:val="12"/>
          <w:szCs w:val="12"/>
          <w:color w:val="auto"/>
        </w:rPr>
        <w:t>a combination of any such methods of disposition; and</w:t>
      </w:r>
    </w:p>
    <w:p>
      <w:pPr>
        <w:spacing w:after="0" w:line="78" w:lineRule="exact"/>
        <w:rPr>
          <w:rFonts w:ascii="Arial" w:cs="Arial" w:eastAsia="Arial" w:hAnsi="Arial"/>
          <w:sz w:val="12"/>
          <w:szCs w:val="12"/>
          <w:color w:val="auto"/>
        </w:rPr>
      </w:pPr>
    </w:p>
    <w:p>
      <w:pPr>
        <w:ind w:left="880" w:hanging="330"/>
        <w:spacing w:after="0"/>
        <w:tabs>
          <w:tab w:leader="none" w:pos="880" w:val="left"/>
        </w:tabs>
        <w:numPr>
          <w:ilvl w:val="0"/>
          <w:numId w:val="5"/>
        </w:numPr>
        <w:rPr>
          <w:rFonts w:ascii="Arial" w:cs="Arial" w:eastAsia="Arial" w:hAnsi="Arial"/>
          <w:sz w:val="12"/>
          <w:szCs w:val="12"/>
          <w:color w:val="auto"/>
        </w:rPr>
      </w:pPr>
      <w:r>
        <w:rPr>
          <w:rFonts w:ascii="Arial" w:cs="Arial" w:eastAsia="Arial" w:hAnsi="Arial"/>
          <w:sz w:val="12"/>
          <w:szCs w:val="12"/>
          <w:color w:val="auto"/>
        </w:rPr>
        <w:t>any other method permitted pursuant to applicable law.</w:t>
      </w:r>
    </w:p>
    <w:p>
      <w:pPr>
        <w:spacing w:after="0" w:line="114"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selling stockholder may also sell shares under Rule 144 under the Securities Act, if available, rather than under this prospectus.</w:t>
      </w:r>
    </w:p>
    <w:p>
      <w:pPr>
        <w:spacing w:after="0" w:line="96" w:lineRule="exact"/>
        <w:rPr>
          <w:sz w:val="20"/>
          <w:szCs w:val="20"/>
          <w:color w:val="auto"/>
        </w:rPr>
      </w:pPr>
    </w:p>
    <w:p>
      <w:pPr>
        <w:ind w:right="80" w:firstLine="288"/>
        <w:spacing w:after="0" w:line="272" w:lineRule="auto"/>
        <w:rPr>
          <w:sz w:val="20"/>
          <w:szCs w:val="20"/>
          <w:color w:val="auto"/>
        </w:rPr>
      </w:pPr>
      <w:r>
        <w:rPr>
          <w:rFonts w:ascii="Arial" w:cs="Arial" w:eastAsia="Arial" w:hAnsi="Arial"/>
          <w:sz w:val="11"/>
          <w:szCs w:val="11"/>
          <w:color w:val="auto"/>
        </w:rPr>
        <w:t>Broker-dealers engaged by the selling stockholder may arrange for other broker-dealers to participate in sales. Broker-dealers may receive commissions or discounts from the selling stockholders (or, if any broker-dealer acts as agent for the purchaser of shares, from the purchaser) in amounts to be negotiated. We do not expect these commissions and discounts to exceed what is customary in the types of transactions involved.</w:t>
      </w:r>
    </w:p>
    <w:p>
      <w:pPr>
        <w:spacing w:after="0" w:line="64" w:lineRule="exact"/>
        <w:rPr>
          <w:sz w:val="20"/>
          <w:szCs w:val="20"/>
          <w:color w:val="auto"/>
        </w:rPr>
      </w:pPr>
    </w:p>
    <w:p>
      <w:pPr>
        <w:ind w:firstLine="288"/>
        <w:spacing w:after="0" w:line="247" w:lineRule="auto"/>
        <w:rPr>
          <w:sz w:val="20"/>
          <w:szCs w:val="20"/>
          <w:color w:val="auto"/>
        </w:rPr>
      </w:pPr>
      <w:r>
        <w:rPr>
          <w:rFonts w:ascii="Arial" w:cs="Arial" w:eastAsia="Arial" w:hAnsi="Arial"/>
          <w:sz w:val="11"/>
          <w:szCs w:val="11"/>
          <w:color w:val="auto"/>
        </w:rPr>
        <w:t>The selling stockholder may from time to time pledge or grant a security interest in some or all of the shares of common stock owned by it and, if it defaults in the performance of its secured obligations, the pledgees or secured parties may offer and sell shares of common stock from time to time under this prospectus, or under a supplement or amendment to this prospectus under Rule 424(b)(3) or other applicable provision of the Securities Act amending the section of this prospectus captioned “Selling Stockholder” to include the pledgee, transferee or other successors in interest as selling stockholders under this prospectus.</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60960</wp:posOffset>
            </wp:positionV>
            <wp:extent cx="7178040" cy="114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00"/>
          </w:cols>
          <w:pgMar w:left="300" w:top="262" w:right="399" w:bottom="1440" w:gutter="0" w:footer="0" w:header="0"/>
        </w:sectPr>
      </w:pPr>
    </w:p>
    <w:bookmarkStart w:id="10" w:name="page11"/>
    <w:bookmarkEnd w:id="10"/>
    <w:p>
      <w:pPr>
        <w:ind w:left="8" w:firstLine="288"/>
        <w:spacing w:after="0" w:line="251" w:lineRule="auto"/>
        <w:rPr>
          <w:sz w:val="20"/>
          <w:szCs w:val="20"/>
          <w:color w:val="auto"/>
        </w:rPr>
      </w:pPr>
      <w:r>
        <w:rPr>
          <w:rFonts w:ascii="Arial" w:cs="Arial" w:eastAsia="Arial" w:hAnsi="Arial"/>
          <w:sz w:val="10"/>
          <w:szCs w:val="10"/>
          <w:color w:val="auto"/>
        </w:rPr>
        <w:t>Upon being notified in writing by a selling stockholder that any material arrangement has been entered into with a broker-dealer for the sale of common stock through a block trade, special offering, exchange distribution or secondary distribution or a purchase by a broker or dealer, we will file a supplement to this prospectus, if required, pursuant to Rule 424(b) under the Securities Act, disclosing (i) the name of each such selling stockholder and of the participating broker-dealer(s), (ii) the number of shares involved, (iii) the price at which such shares of common stock were sold, (iv) the commissions paid or discounts or concessions allowed to such broker-dealer(s), where applicable,</w:t>
      </w:r>
    </w:p>
    <w:p>
      <w:pPr>
        <w:ind w:left="8" w:right="100" w:hanging="8"/>
        <w:spacing w:after="0" w:line="253" w:lineRule="auto"/>
        <w:tabs>
          <w:tab w:leader="none" w:pos="178" w:val="left"/>
        </w:tabs>
        <w:numPr>
          <w:ilvl w:val="0"/>
          <w:numId w:val="6"/>
        </w:numPr>
        <w:rPr>
          <w:rFonts w:ascii="Arial" w:cs="Arial" w:eastAsia="Arial" w:hAnsi="Arial"/>
          <w:sz w:val="11"/>
          <w:szCs w:val="11"/>
          <w:color w:val="auto"/>
        </w:rPr>
      </w:pPr>
      <w:r>
        <w:rPr>
          <w:rFonts w:ascii="Arial" w:cs="Arial" w:eastAsia="Arial" w:hAnsi="Arial"/>
          <w:sz w:val="11"/>
          <w:szCs w:val="11"/>
          <w:color w:val="auto"/>
        </w:rPr>
        <w:t>that such broker-dealer(s) did not conduct any investigation to verify the information set out or incorporated by reference in this prospectus, and (vi) other facts material to the transaction. In addition, upon being notified in writing by a selling stockholder that a donee or pledge intends to sell more than 500 shares of common stock, we will file a supplement to this prospectus if then required in accordance with applicable securities law.</w:t>
      </w:r>
    </w:p>
    <w:p>
      <w:pPr>
        <w:spacing w:after="0" w:line="74" w:lineRule="exact"/>
        <w:rPr>
          <w:sz w:val="20"/>
          <w:szCs w:val="20"/>
          <w:color w:val="auto"/>
        </w:rPr>
      </w:pPr>
    </w:p>
    <w:p>
      <w:pPr>
        <w:ind w:left="8" w:right="540" w:firstLine="288"/>
        <w:spacing w:after="0" w:line="234" w:lineRule="auto"/>
        <w:rPr>
          <w:sz w:val="20"/>
          <w:szCs w:val="20"/>
          <w:color w:val="auto"/>
        </w:rPr>
      </w:pPr>
      <w:r>
        <w:rPr>
          <w:rFonts w:ascii="Arial" w:cs="Arial" w:eastAsia="Arial" w:hAnsi="Arial"/>
          <w:sz w:val="12"/>
          <w:szCs w:val="12"/>
          <w:color w:val="auto"/>
        </w:rPr>
        <w:t>A selling stockholder also may transfer the shares of common stock in other circumstances, in which case the transferees, pledgees or other successors in interest will be the selling beneficial owners for purposes of this prospectus.</w:t>
      </w:r>
    </w:p>
    <w:p>
      <w:pPr>
        <w:spacing w:after="0" w:line="82" w:lineRule="exact"/>
        <w:rPr>
          <w:sz w:val="20"/>
          <w:szCs w:val="20"/>
          <w:color w:val="auto"/>
        </w:rPr>
      </w:pPr>
    </w:p>
    <w:p>
      <w:pPr>
        <w:ind w:left="8" w:right="220" w:firstLine="288"/>
        <w:spacing w:after="0" w:line="234" w:lineRule="auto"/>
        <w:rPr>
          <w:sz w:val="20"/>
          <w:szCs w:val="20"/>
          <w:color w:val="auto"/>
        </w:rPr>
      </w:pPr>
      <w:r>
        <w:rPr>
          <w:rFonts w:ascii="Arial" w:cs="Arial" w:eastAsia="Arial" w:hAnsi="Arial"/>
          <w:sz w:val="12"/>
          <w:szCs w:val="12"/>
          <w:color w:val="auto"/>
        </w:rPr>
        <w:t>We have advised the selling stockholder that it is required to comply with Regulation M promulgated under the Securities and Exchange Act during such time as it may be engaged in a distribution of the shares. The foregoing may affect the marketability of the common stock.</w:t>
      </w:r>
    </w:p>
    <w:p>
      <w:pPr>
        <w:spacing w:after="0" w:line="82" w:lineRule="exact"/>
        <w:rPr>
          <w:sz w:val="20"/>
          <w:szCs w:val="20"/>
          <w:color w:val="auto"/>
        </w:rPr>
      </w:pPr>
    </w:p>
    <w:p>
      <w:pPr>
        <w:ind w:left="8" w:right="40" w:firstLine="288"/>
        <w:spacing w:after="0" w:line="272" w:lineRule="auto"/>
        <w:rPr>
          <w:sz w:val="20"/>
          <w:szCs w:val="20"/>
          <w:color w:val="auto"/>
        </w:rPr>
      </w:pPr>
      <w:r>
        <w:rPr>
          <w:rFonts w:ascii="Arial" w:cs="Arial" w:eastAsia="Arial" w:hAnsi="Arial"/>
          <w:sz w:val="11"/>
          <w:szCs w:val="11"/>
          <w:color w:val="auto"/>
        </w:rPr>
        <w:t>The aggregate proceeds to the selling stockholder from the sale of the common stock offered by it will be the purchase price of the common stock less discounts or commissions, if any. The selling stockholder reserves the right to accept and, together with its agents from time to time, to reject, in whole or in part, any proposed purchase of common stock to be made directly or through agents. We will not receive any of the proceeds from this offering.</w:t>
      </w:r>
    </w:p>
    <w:p>
      <w:pPr>
        <w:spacing w:after="0" w:line="64" w:lineRule="exact"/>
        <w:rPr>
          <w:sz w:val="20"/>
          <w:szCs w:val="20"/>
          <w:color w:val="auto"/>
        </w:rPr>
      </w:pPr>
    </w:p>
    <w:p>
      <w:pPr>
        <w:ind w:left="8" w:right="320" w:firstLine="288"/>
        <w:spacing w:after="0" w:line="234" w:lineRule="auto"/>
        <w:rPr>
          <w:sz w:val="20"/>
          <w:szCs w:val="20"/>
          <w:color w:val="auto"/>
        </w:rPr>
      </w:pPr>
      <w:r>
        <w:rPr>
          <w:rFonts w:ascii="Arial" w:cs="Arial" w:eastAsia="Arial" w:hAnsi="Arial"/>
          <w:sz w:val="12"/>
          <w:szCs w:val="12"/>
          <w:color w:val="auto"/>
        </w:rPr>
        <w:t>We are required to pay all fees and expenses incident to the registration of the shares. We have agreed to indemnify the selling stockholder against certain losses, claims, damages and liabilities, including liabilities under the Securities Act or otherwise.</w:t>
      </w:r>
    </w:p>
    <w:p>
      <w:pPr>
        <w:spacing w:after="0" w:line="82" w:lineRule="exact"/>
        <w:rPr>
          <w:sz w:val="20"/>
          <w:szCs w:val="20"/>
          <w:color w:val="auto"/>
        </w:rPr>
      </w:pPr>
    </w:p>
    <w:p>
      <w:pPr>
        <w:ind w:left="8" w:right="140" w:firstLine="288"/>
        <w:spacing w:after="0" w:line="234" w:lineRule="auto"/>
        <w:rPr>
          <w:sz w:val="20"/>
          <w:szCs w:val="20"/>
          <w:color w:val="auto"/>
        </w:rPr>
      </w:pPr>
      <w:r>
        <w:rPr>
          <w:rFonts w:ascii="Arial" w:cs="Arial" w:eastAsia="Arial" w:hAnsi="Arial"/>
          <w:sz w:val="12"/>
          <w:szCs w:val="12"/>
          <w:color w:val="auto"/>
        </w:rPr>
        <w:t>We have agreed with the selling stockholder to keep the registration statement of which this prospectus constitutes a part effective until such time as all of the shares covered by this prospectus have been disposed of pursuant to and in accordance with the registration statement of which this prospectus forms a part or pursuant to Rule 144 of the Securities Act.</w:t>
      </w:r>
    </w:p>
    <w:p>
      <w:pPr>
        <w:spacing w:after="0" w:line="78"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EXPERTS</w:t>
      </w:r>
    </w:p>
    <w:p>
      <w:pPr>
        <w:spacing w:after="0" w:line="100" w:lineRule="exact"/>
        <w:rPr>
          <w:sz w:val="20"/>
          <w:szCs w:val="20"/>
          <w:color w:val="auto"/>
        </w:rPr>
      </w:pPr>
    </w:p>
    <w:p>
      <w:pPr>
        <w:ind w:left="8" w:right="240" w:firstLine="288"/>
        <w:spacing w:after="0" w:line="224" w:lineRule="auto"/>
        <w:rPr>
          <w:sz w:val="20"/>
          <w:szCs w:val="20"/>
          <w:color w:val="auto"/>
        </w:rPr>
      </w:pPr>
      <w:r>
        <w:rPr>
          <w:rFonts w:ascii="Arial" w:cs="Arial" w:eastAsia="Arial" w:hAnsi="Arial"/>
          <w:sz w:val="12"/>
          <w:szCs w:val="12"/>
          <w:color w:val="auto"/>
        </w:rPr>
        <w:t>The consolidated financial statements of ClearOne, Inc. incorporated in this prospectus by reference from ClearOne Inc.'s Annual Report on Form 10-K for the year ended December 31, 2019 were audited by Tanner LLC, an independent registered public accounting firm, as stated in their report which is incorporated herein by reference. Such consolidated statements have been so incorporated in reliance upon the report of such firm given upon their authority as experts in accounting and auditing.</w:t>
      </w:r>
    </w:p>
    <w:p>
      <w:pPr>
        <w:spacing w:after="0" w:line="78"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LEGAL MATTERS</w:t>
      </w:r>
    </w:p>
    <w:p>
      <w:pPr>
        <w:spacing w:after="0" w:line="100" w:lineRule="exact"/>
        <w:rPr>
          <w:sz w:val="20"/>
          <w:szCs w:val="20"/>
          <w:color w:val="auto"/>
        </w:rPr>
      </w:pPr>
    </w:p>
    <w:p>
      <w:pPr>
        <w:ind w:left="288"/>
        <w:spacing w:after="0"/>
        <w:rPr>
          <w:sz w:val="20"/>
          <w:szCs w:val="20"/>
          <w:color w:val="auto"/>
        </w:rPr>
      </w:pPr>
      <w:r>
        <w:rPr>
          <w:rFonts w:ascii="Arial" w:cs="Arial" w:eastAsia="Arial" w:hAnsi="Arial"/>
          <w:sz w:val="12"/>
          <w:szCs w:val="12"/>
          <w:color w:val="auto"/>
        </w:rPr>
        <w:t>The validity of the securities being offered hereby will be passed upon by Seyfarth Shaw LLP.</w:t>
      </w:r>
    </w:p>
    <w:p>
      <w:pPr>
        <w:spacing w:after="0" w:line="12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60960</wp:posOffset>
            </wp:positionV>
            <wp:extent cx="7178040" cy="114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8"/>
          </w:cols>
          <w:pgMar w:left="292" w:top="266" w:right="319" w:bottom="1440" w:gutter="0" w:footer="0" w:header="0"/>
        </w:sectPr>
      </w:pPr>
    </w:p>
    <w:bookmarkStart w:id="11" w:name="page12"/>
    <w:bookmarkEnd w:id="11"/>
    <w:p>
      <w:pPr>
        <w:jc w:val="center"/>
        <w:spacing w:after="0"/>
        <w:rPr>
          <w:sz w:val="20"/>
          <w:szCs w:val="20"/>
          <w:color w:val="auto"/>
        </w:rPr>
      </w:pPr>
      <w:r>
        <w:rPr>
          <w:rFonts w:ascii="Arial" w:cs="Arial" w:eastAsia="Arial" w:hAnsi="Arial"/>
          <w:sz w:val="12"/>
          <w:szCs w:val="12"/>
          <w:b w:val="1"/>
          <w:bCs w:val="1"/>
          <w:color w:val="auto"/>
        </w:rPr>
        <w:t>PART II.</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INFORMATION NOT REQUIRED IN PROSPECTUS.</w:t>
      </w:r>
    </w:p>
    <w:p>
      <w:pPr>
        <w:spacing w:after="0" w:line="96" w:lineRule="exact"/>
        <w:rPr>
          <w:sz w:val="20"/>
          <w:szCs w:val="20"/>
          <w:color w:val="auto"/>
        </w:rPr>
      </w:pPr>
    </w:p>
    <w:p>
      <w:pPr>
        <w:spacing w:after="0"/>
        <w:tabs>
          <w:tab w:leader="none" w:pos="680" w:val="left"/>
        </w:tabs>
        <w:rPr>
          <w:sz w:val="20"/>
          <w:szCs w:val="20"/>
          <w:color w:val="auto"/>
        </w:rPr>
      </w:pPr>
      <w:r>
        <w:rPr>
          <w:rFonts w:ascii="Arial" w:cs="Arial" w:eastAsia="Arial" w:hAnsi="Arial"/>
          <w:sz w:val="12"/>
          <w:szCs w:val="12"/>
          <w:b w:val="1"/>
          <w:bCs w:val="1"/>
          <w:color w:val="auto"/>
        </w:rPr>
        <w:t>ITEM 14.</w:t>
      </w:r>
      <w:r>
        <w:rPr>
          <w:sz w:val="20"/>
          <w:szCs w:val="20"/>
          <w:color w:val="auto"/>
        </w:rPr>
        <w:tab/>
      </w:r>
      <w:r>
        <w:rPr>
          <w:rFonts w:ascii="Arial" w:cs="Arial" w:eastAsia="Arial" w:hAnsi="Arial"/>
          <w:sz w:val="11"/>
          <w:szCs w:val="11"/>
          <w:b w:val="1"/>
          <w:bCs w:val="1"/>
          <w:color w:val="auto"/>
        </w:rPr>
        <w:t>OTHER EXPENSES OF ISSUANCE AND DISTRIBUTION.</w:t>
      </w:r>
    </w:p>
    <w:p>
      <w:pPr>
        <w:spacing w:after="0" w:line="100" w:lineRule="exact"/>
        <w:rPr>
          <w:sz w:val="20"/>
          <w:szCs w:val="20"/>
          <w:color w:val="auto"/>
        </w:rPr>
      </w:pPr>
    </w:p>
    <w:p>
      <w:pPr>
        <w:ind w:right="180" w:firstLine="384"/>
        <w:spacing w:after="0" w:line="234" w:lineRule="auto"/>
        <w:rPr>
          <w:sz w:val="20"/>
          <w:szCs w:val="20"/>
          <w:color w:val="auto"/>
        </w:rPr>
      </w:pPr>
      <w:r>
        <w:rPr>
          <w:rFonts w:ascii="Arial" w:cs="Arial" w:eastAsia="Arial" w:hAnsi="Arial"/>
          <w:sz w:val="12"/>
          <w:szCs w:val="12"/>
          <w:color w:val="auto"/>
        </w:rPr>
        <w:t>Set forth below is an estimate (except in the case of the registration fee) of the amount of fees and expenses to be incurred in connection with the issuance and distribution of the offered securities registered hereby, other than underwriting discounts and commission, if any, incurred in connection with the sale of the offered securities. All such amounts will be borne by ClearOne, Inc.</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420" w:type="dxa"/>
            <w:vAlign w:val="bottom"/>
            <w:shd w:val="clear" w:color="auto" w:fill="CCEEFF"/>
          </w:tcPr>
          <w:p>
            <w:pPr>
              <w:spacing w:after="0"/>
              <w:rPr>
                <w:sz w:val="20"/>
                <w:szCs w:val="20"/>
                <w:color w:val="auto"/>
              </w:rPr>
            </w:pPr>
            <w:r>
              <w:rPr>
                <w:rFonts w:ascii="Arial" w:cs="Arial" w:eastAsia="Arial" w:hAnsi="Arial"/>
                <w:sz w:val="12"/>
                <w:szCs w:val="12"/>
                <w:color w:val="auto"/>
              </w:rPr>
              <w:t>SEC Registration Fee</w:t>
            </w:r>
          </w:p>
        </w:tc>
        <w:tc>
          <w:tcPr>
            <w:tcW w:w="37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378</w:t>
            </w:r>
          </w:p>
        </w:tc>
      </w:tr>
      <w:tr>
        <w:trPr>
          <w:trHeight w:val="162"/>
        </w:trPr>
        <w:tc>
          <w:tcPr>
            <w:tcW w:w="5420" w:type="dxa"/>
            <w:vAlign w:val="bottom"/>
          </w:tcPr>
          <w:p>
            <w:pPr>
              <w:spacing w:after="0"/>
              <w:rPr>
                <w:sz w:val="20"/>
                <w:szCs w:val="20"/>
                <w:color w:val="auto"/>
              </w:rPr>
            </w:pPr>
            <w:r>
              <w:rPr>
                <w:rFonts w:ascii="Arial" w:cs="Arial" w:eastAsia="Arial" w:hAnsi="Arial"/>
                <w:sz w:val="12"/>
                <w:szCs w:val="12"/>
                <w:color w:val="auto"/>
              </w:rPr>
              <w:t>Accounting Fees and Expenses</w:t>
            </w:r>
          </w:p>
        </w:tc>
        <w:tc>
          <w:tcPr>
            <w:tcW w:w="3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Arial" w:cs="Arial" w:eastAsia="Arial" w:hAnsi="Arial"/>
                <w:sz w:val="12"/>
                <w:szCs w:val="12"/>
                <w:color w:val="auto"/>
              </w:rPr>
              <w:t>5,000</w:t>
            </w:r>
          </w:p>
        </w:tc>
      </w:tr>
      <w:tr>
        <w:trPr>
          <w:trHeight w:val="162"/>
        </w:trPr>
        <w:tc>
          <w:tcPr>
            <w:tcW w:w="5420" w:type="dxa"/>
            <w:vAlign w:val="bottom"/>
            <w:shd w:val="clear" w:color="auto" w:fill="CCEEFF"/>
          </w:tcPr>
          <w:p>
            <w:pPr>
              <w:spacing w:after="0"/>
              <w:rPr>
                <w:sz w:val="20"/>
                <w:szCs w:val="20"/>
                <w:color w:val="auto"/>
              </w:rPr>
            </w:pPr>
            <w:r>
              <w:rPr>
                <w:rFonts w:ascii="Arial" w:cs="Arial" w:eastAsia="Arial" w:hAnsi="Arial"/>
                <w:sz w:val="12"/>
                <w:szCs w:val="12"/>
                <w:color w:val="auto"/>
              </w:rPr>
              <w:t>Legal Fees and Expenses</w:t>
            </w:r>
          </w:p>
        </w:tc>
        <w:tc>
          <w:tcPr>
            <w:tcW w:w="37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10,000</w:t>
            </w:r>
          </w:p>
        </w:tc>
      </w:tr>
      <w:tr>
        <w:trPr>
          <w:trHeight w:val="162"/>
        </w:trPr>
        <w:tc>
          <w:tcPr>
            <w:tcW w:w="54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Miscellaneous Fees and Expenses</w:t>
            </w:r>
          </w:p>
        </w:tc>
        <w:tc>
          <w:tcPr>
            <w:tcW w:w="37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1,000</w:t>
            </w:r>
          </w:p>
        </w:tc>
      </w:tr>
      <w:tr>
        <w:trPr>
          <w:trHeight w:val="151"/>
        </w:trPr>
        <w:tc>
          <w:tcPr>
            <w:tcW w:w="5420" w:type="dxa"/>
            <w:vAlign w:val="bottom"/>
            <w:tcBorders>
              <w:bottom w:val="single" w:sz="8" w:color="CCEEFF"/>
            </w:tcBorders>
            <w:shd w:val="clear" w:color="auto" w:fill="CCEEFF"/>
          </w:tcPr>
          <w:p>
            <w:pPr>
              <w:spacing w:after="0"/>
              <w:rPr>
                <w:sz w:val="13"/>
                <w:szCs w:val="13"/>
                <w:color w:val="auto"/>
              </w:rPr>
            </w:pPr>
          </w:p>
        </w:tc>
        <w:tc>
          <w:tcPr>
            <w:tcW w:w="37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188"/>
              <w:spacing w:after="0" w:line="151" w:lineRule="exact"/>
              <w:rPr>
                <w:sz w:val="20"/>
                <w:szCs w:val="20"/>
                <w:color w:val="auto"/>
              </w:rPr>
            </w:pPr>
            <w:r>
              <w:rPr>
                <w:rFonts w:ascii="Arial" w:cs="Arial" w:eastAsia="Arial" w:hAnsi="Arial"/>
                <w:sz w:val="14"/>
                <w:szCs w:val="14"/>
                <w:color w:val="auto"/>
                <w:w w:val="76"/>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16,378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-530860</wp:posOffset>
            </wp:positionV>
            <wp:extent cx="5766435" cy="914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66435" cy="91440"/>
                    </a:xfrm>
                    <a:prstGeom prst="rect">
                      <a:avLst/>
                    </a:prstGeom>
                    <a:noFill/>
                  </pic:spPr>
                </pic:pic>
              </a:graphicData>
            </a:graphic>
          </wp:anchor>
        </w:drawing>
        <w:drawing>
          <wp:anchor simplePos="0" relativeHeight="251657728" behindDoc="1" locked="0" layoutInCell="0" allowOverlap="1">
            <wp:simplePos x="0" y="0"/>
            <wp:positionH relativeFrom="column">
              <wp:posOffset>80645</wp:posOffset>
            </wp:positionH>
            <wp:positionV relativeFrom="paragraph">
              <wp:posOffset>-325120</wp:posOffset>
            </wp:positionV>
            <wp:extent cx="5766435" cy="914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66435" cy="91440"/>
                    </a:xfrm>
                    <a:prstGeom prst="rect">
                      <a:avLst/>
                    </a:prstGeom>
                    <a:noFill/>
                  </pic:spPr>
                </pic:pic>
              </a:graphicData>
            </a:graphic>
          </wp:anchor>
        </w:drawing>
      </w:r>
    </w:p>
    <w:p>
      <w:pPr>
        <w:spacing w:after="0" w:line="174" w:lineRule="exact"/>
        <w:rPr>
          <w:sz w:val="20"/>
          <w:szCs w:val="20"/>
          <w:color w:val="auto"/>
        </w:rPr>
      </w:pPr>
    </w:p>
    <w:p>
      <w:pPr>
        <w:spacing w:after="0"/>
        <w:tabs>
          <w:tab w:leader="none" w:pos="680" w:val="left"/>
        </w:tabs>
        <w:rPr>
          <w:sz w:val="20"/>
          <w:szCs w:val="20"/>
          <w:color w:val="auto"/>
        </w:rPr>
      </w:pPr>
      <w:r>
        <w:rPr>
          <w:rFonts w:ascii="Arial" w:cs="Arial" w:eastAsia="Arial" w:hAnsi="Arial"/>
          <w:sz w:val="12"/>
          <w:szCs w:val="12"/>
          <w:b w:val="1"/>
          <w:bCs w:val="1"/>
          <w:color w:val="auto"/>
        </w:rPr>
        <w:t>ITEM 15.</w:t>
      </w:r>
      <w:r>
        <w:rPr>
          <w:sz w:val="20"/>
          <w:szCs w:val="20"/>
          <w:color w:val="auto"/>
        </w:rPr>
        <w:tab/>
      </w:r>
      <w:r>
        <w:rPr>
          <w:rFonts w:ascii="Arial" w:cs="Arial" w:eastAsia="Arial" w:hAnsi="Arial"/>
          <w:sz w:val="12"/>
          <w:szCs w:val="12"/>
          <w:b w:val="1"/>
          <w:bCs w:val="1"/>
          <w:color w:val="auto"/>
        </w:rPr>
        <w:t>INDEMNIFICATION OF DIRECTORS AND OFFICERS.</w:t>
      </w:r>
    </w:p>
    <w:p>
      <w:pPr>
        <w:spacing w:after="0" w:line="100" w:lineRule="exact"/>
        <w:rPr>
          <w:sz w:val="20"/>
          <w:szCs w:val="20"/>
          <w:color w:val="auto"/>
        </w:rPr>
      </w:pPr>
    </w:p>
    <w:p>
      <w:pPr>
        <w:ind w:right="60" w:firstLine="288"/>
        <w:spacing w:after="0" w:line="212" w:lineRule="auto"/>
        <w:rPr>
          <w:sz w:val="20"/>
          <w:szCs w:val="20"/>
          <w:color w:val="auto"/>
        </w:rPr>
      </w:pPr>
      <w:r>
        <w:rPr>
          <w:rFonts w:ascii="Arial" w:cs="Arial" w:eastAsia="Arial" w:hAnsi="Arial"/>
          <w:sz w:val="12"/>
          <w:szCs w:val="12"/>
          <w:color w:val="auto"/>
        </w:rPr>
        <w:t>We are incorporated under the laws of the State of Delaware. Section 145 of the Delaware General Corporation Law provides that a Delaware corporation may indemnify any persons who were, are, or are threatened to be made, parties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an officer, director, employee or agent of another corporation, partnership, joint venture, trust or other enterprise. The indemnification may include expenses (including attorneys’ fees), judgments, fines and amounts paid in settlement actually and reasonably incurred by such person in connection with defending or settling such action, suit or proceeding, provided that such person acted in good faith and in a manner he or she reasonably believed to be in or not opposed to the corporation’s best interests except that no indemnification is permitted without judicial approval if the officer or director is adjudged to be liable to the corporation. Where an officer or director is successful on the merits or otherwise in the defense of any action referred to above, the corporation must indemnify him or her against the expenses (including attorneys’ fees) actually and reasonably incurred.</w:t>
      </w:r>
    </w:p>
    <w:p>
      <w:pPr>
        <w:spacing w:after="0" w:line="83" w:lineRule="exact"/>
        <w:rPr>
          <w:sz w:val="20"/>
          <w:szCs w:val="20"/>
          <w:color w:val="auto"/>
        </w:rPr>
      </w:pPr>
    </w:p>
    <w:p>
      <w:pPr>
        <w:ind w:left="280"/>
        <w:spacing w:after="0"/>
        <w:rPr>
          <w:sz w:val="20"/>
          <w:szCs w:val="20"/>
          <w:color w:val="auto"/>
        </w:rPr>
      </w:pPr>
      <w:r>
        <w:rPr>
          <w:rFonts w:ascii="Arial" w:cs="Arial" w:eastAsia="Arial" w:hAnsi="Arial"/>
          <w:sz w:val="12"/>
          <w:szCs w:val="12"/>
          <w:color w:val="auto"/>
        </w:rPr>
        <w:t>Our certificate of incorporation and bylaws provide for the indemnification of its directors and officers to the fullest extent permitted under the Delaware General Corporation Law.</w:t>
      </w:r>
    </w:p>
    <w:p>
      <w:pPr>
        <w:spacing w:after="0" w:line="96" w:lineRule="exact"/>
        <w:rPr>
          <w:sz w:val="20"/>
          <w:szCs w:val="20"/>
          <w:color w:val="auto"/>
        </w:rPr>
      </w:pPr>
    </w:p>
    <w:p>
      <w:pPr>
        <w:ind w:right="140" w:firstLine="288"/>
        <w:spacing w:after="0" w:line="234" w:lineRule="auto"/>
        <w:rPr>
          <w:sz w:val="20"/>
          <w:szCs w:val="20"/>
          <w:color w:val="auto"/>
        </w:rPr>
      </w:pPr>
      <w:r>
        <w:rPr>
          <w:rFonts w:ascii="Arial" w:cs="Arial" w:eastAsia="Arial" w:hAnsi="Arial"/>
          <w:sz w:val="12"/>
          <w:szCs w:val="12"/>
          <w:color w:val="auto"/>
        </w:rPr>
        <w:t>Section 102(b)(7) of the Delaware General Corporation Law permits a corporation to provide in its certificate of incorporation that a director of the corporation shall not be personally liable to the corporation or its stockholders for monetary damages for breach of fiduciary duties as a director, except for liability for any:</w:t>
      </w:r>
    </w:p>
    <w:p>
      <w:pPr>
        <w:spacing w:after="0" w:line="82" w:lineRule="exact"/>
        <w:rPr>
          <w:sz w:val="20"/>
          <w:szCs w:val="20"/>
          <w:color w:val="auto"/>
        </w:rPr>
      </w:pPr>
    </w:p>
    <w:p>
      <w:pPr>
        <w:ind w:left="500" w:hanging="220"/>
        <w:spacing w:after="0"/>
        <w:tabs>
          <w:tab w:leader="none" w:pos="500" w:val="left"/>
        </w:tabs>
        <w:numPr>
          <w:ilvl w:val="0"/>
          <w:numId w:val="7"/>
        </w:numPr>
        <w:rPr>
          <w:rFonts w:ascii="Arial" w:cs="Arial" w:eastAsia="Arial" w:hAnsi="Arial"/>
          <w:sz w:val="12"/>
          <w:szCs w:val="12"/>
          <w:color w:val="auto"/>
        </w:rPr>
      </w:pPr>
      <w:r>
        <w:rPr>
          <w:rFonts w:ascii="Arial" w:cs="Arial" w:eastAsia="Arial" w:hAnsi="Arial"/>
          <w:sz w:val="12"/>
          <w:szCs w:val="12"/>
          <w:color w:val="auto"/>
        </w:rPr>
        <w:t>Breach of director’s duty of loyalty to the corporation or its stockholders.</w:t>
      </w:r>
    </w:p>
    <w:p>
      <w:pPr>
        <w:spacing w:after="0" w:line="51" w:lineRule="exact"/>
        <w:rPr>
          <w:rFonts w:ascii="Arial" w:cs="Arial" w:eastAsia="Arial" w:hAnsi="Arial"/>
          <w:sz w:val="12"/>
          <w:szCs w:val="12"/>
          <w:color w:val="auto"/>
        </w:rPr>
      </w:pPr>
    </w:p>
    <w:p>
      <w:pPr>
        <w:ind w:left="500" w:hanging="220"/>
        <w:spacing w:after="0"/>
        <w:tabs>
          <w:tab w:leader="none" w:pos="500" w:val="left"/>
        </w:tabs>
        <w:numPr>
          <w:ilvl w:val="0"/>
          <w:numId w:val="7"/>
        </w:numPr>
        <w:rPr>
          <w:rFonts w:ascii="Arial" w:cs="Arial" w:eastAsia="Arial" w:hAnsi="Arial"/>
          <w:sz w:val="12"/>
          <w:szCs w:val="12"/>
          <w:color w:val="auto"/>
        </w:rPr>
      </w:pPr>
      <w:r>
        <w:rPr>
          <w:rFonts w:ascii="Arial" w:cs="Arial" w:eastAsia="Arial" w:hAnsi="Arial"/>
          <w:sz w:val="12"/>
          <w:szCs w:val="12"/>
          <w:color w:val="auto"/>
        </w:rPr>
        <w:t>Act or omission not in good faith or that involves intentional misconduct or a knowing violation of law;</w:t>
      </w:r>
    </w:p>
    <w:p>
      <w:pPr>
        <w:spacing w:after="0" w:line="51" w:lineRule="exact"/>
        <w:rPr>
          <w:rFonts w:ascii="Arial" w:cs="Arial" w:eastAsia="Arial" w:hAnsi="Arial"/>
          <w:sz w:val="12"/>
          <w:szCs w:val="12"/>
          <w:color w:val="auto"/>
        </w:rPr>
      </w:pPr>
    </w:p>
    <w:p>
      <w:pPr>
        <w:ind w:left="500" w:hanging="220"/>
        <w:spacing w:after="0"/>
        <w:tabs>
          <w:tab w:leader="none" w:pos="500" w:val="left"/>
        </w:tabs>
        <w:numPr>
          <w:ilvl w:val="0"/>
          <w:numId w:val="7"/>
        </w:numPr>
        <w:rPr>
          <w:rFonts w:ascii="Arial" w:cs="Arial" w:eastAsia="Arial" w:hAnsi="Arial"/>
          <w:sz w:val="12"/>
          <w:szCs w:val="12"/>
          <w:color w:val="auto"/>
        </w:rPr>
      </w:pPr>
      <w:r>
        <w:rPr>
          <w:rFonts w:ascii="Arial" w:cs="Arial" w:eastAsia="Arial" w:hAnsi="Arial"/>
          <w:sz w:val="12"/>
          <w:szCs w:val="12"/>
          <w:color w:val="auto"/>
        </w:rPr>
        <w:t>Unlawful payment of dividends or unlawful purchase or redemption of shares; or</w:t>
      </w:r>
    </w:p>
    <w:p>
      <w:pPr>
        <w:spacing w:after="0" w:line="51" w:lineRule="exact"/>
        <w:rPr>
          <w:rFonts w:ascii="Arial" w:cs="Arial" w:eastAsia="Arial" w:hAnsi="Arial"/>
          <w:sz w:val="12"/>
          <w:szCs w:val="12"/>
          <w:color w:val="auto"/>
        </w:rPr>
      </w:pPr>
    </w:p>
    <w:p>
      <w:pPr>
        <w:ind w:left="500" w:hanging="220"/>
        <w:spacing w:after="0"/>
        <w:tabs>
          <w:tab w:leader="none" w:pos="500" w:val="left"/>
        </w:tabs>
        <w:numPr>
          <w:ilvl w:val="0"/>
          <w:numId w:val="7"/>
        </w:numPr>
        <w:rPr>
          <w:rFonts w:ascii="Arial" w:cs="Arial" w:eastAsia="Arial" w:hAnsi="Arial"/>
          <w:sz w:val="12"/>
          <w:szCs w:val="12"/>
          <w:color w:val="auto"/>
        </w:rPr>
      </w:pPr>
      <w:r>
        <w:rPr>
          <w:rFonts w:ascii="Arial" w:cs="Arial" w:eastAsia="Arial" w:hAnsi="Arial"/>
          <w:sz w:val="12"/>
          <w:szCs w:val="12"/>
          <w:color w:val="auto"/>
        </w:rPr>
        <w:t>Transaction from which the director derives an improper personal benefit;</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60960</wp:posOffset>
            </wp:positionV>
            <wp:extent cx="7178040" cy="114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334" w:right="319" w:bottom="1440" w:gutter="0" w:footer="0" w:header="0"/>
        </w:sectPr>
      </w:pPr>
    </w:p>
    <w:bookmarkStart w:id="12" w:name="page13"/>
    <w:bookmarkEnd w:id="12"/>
    <w:p>
      <w:pPr>
        <w:ind w:left="8" w:right="100" w:firstLine="288"/>
        <w:spacing w:after="0" w:line="272" w:lineRule="auto"/>
        <w:rPr>
          <w:sz w:val="20"/>
          <w:szCs w:val="20"/>
          <w:color w:val="auto"/>
        </w:rPr>
      </w:pPr>
      <w:r>
        <w:rPr>
          <w:rFonts w:ascii="Arial" w:cs="Arial" w:eastAsia="Arial" w:hAnsi="Arial"/>
          <w:sz w:val="11"/>
          <w:szCs w:val="11"/>
          <w:color w:val="auto"/>
        </w:rPr>
        <w:t>Our certificate of incorporation includes such a provision. Expenses incurred by any officer or director in defending any such action, suit or proceeding in advance of its final disposition shall be paid by us upon delivery to us of an undertaking, by or on behalf of such director or officer, to repay all amounts so advanced if we shall ultimately be determined that such director or officer is not entitled to be indemnified by us.</w:t>
      </w:r>
    </w:p>
    <w:p>
      <w:pPr>
        <w:spacing w:after="0" w:line="64" w:lineRule="exact"/>
        <w:rPr>
          <w:sz w:val="20"/>
          <w:szCs w:val="20"/>
          <w:color w:val="auto"/>
        </w:rPr>
      </w:pPr>
    </w:p>
    <w:p>
      <w:pPr>
        <w:ind w:left="8" w:firstLine="288"/>
        <w:spacing w:after="0" w:line="247" w:lineRule="auto"/>
        <w:rPr>
          <w:sz w:val="20"/>
          <w:szCs w:val="20"/>
          <w:color w:val="auto"/>
        </w:rPr>
      </w:pPr>
      <w:r>
        <w:rPr>
          <w:rFonts w:ascii="Arial" w:cs="Arial" w:eastAsia="Arial" w:hAnsi="Arial"/>
          <w:sz w:val="11"/>
          <w:szCs w:val="11"/>
          <w:color w:val="auto"/>
        </w:rPr>
        <w:t>Section 174 of the Delaware General Corporation Law provides, among other things, that a director who willfully or negligently approves of an unlawful payment of dividends or an unlawful stock purchase or redemption, may be held jointly and severally liable for such actions. A director who was either absent when the unlawful actions were approved or dissented at the time may avoid liability by causing his or her dissent to such actions to be entered in the books containing minutes of the meetings of the board of directors at the time such action occurred or immediately after such absent director receives notice of the unlawful acts.</w:t>
      </w:r>
    </w:p>
    <w:p>
      <w:pPr>
        <w:spacing w:after="0" w:line="77" w:lineRule="exact"/>
        <w:rPr>
          <w:sz w:val="20"/>
          <w:szCs w:val="20"/>
          <w:color w:val="auto"/>
        </w:rPr>
      </w:pPr>
    </w:p>
    <w:p>
      <w:pPr>
        <w:ind w:left="8" w:right="180" w:firstLine="288"/>
        <w:spacing w:after="0" w:line="234" w:lineRule="auto"/>
        <w:rPr>
          <w:sz w:val="20"/>
          <w:szCs w:val="20"/>
          <w:color w:val="auto"/>
        </w:rPr>
      </w:pPr>
      <w:r>
        <w:rPr>
          <w:rFonts w:ascii="Arial" w:cs="Arial" w:eastAsia="Arial" w:hAnsi="Arial"/>
          <w:sz w:val="12"/>
          <w:szCs w:val="12"/>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w:t>
      </w:r>
    </w:p>
    <w:p>
      <w:pPr>
        <w:spacing w:after="0" w:line="78" w:lineRule="exact"/>
        <w:rPr>
          <w:sz w:val="20"/>
          <w:szCs w:val="20"/>
          <w:color w:val="auto"/>
        </w:rPr>
      </w:pPr>
    </w:p>
    <w:p>
      <w:pPr>
        <w:ind w:left="8"/>
        <w:spacing w:after="0"/>
        <w:tabs>
          <w:tab w:leader="none" w:pos="668" w:val="left"/>
        </w:tabs>
        <w:rPr>
          <w:sz w:val="20"/>
          <w:szCs w:val="20"/>
          <w:color w:val="auto"/>
        </w:rPr>
      </w:pPr>
      <w:r>
        <w:rPr>
          <w:rFonts w:ascii="Arial" w:cs="Arial" w:eastAsia="Arial" w:hAnsi="Arial"/>
          <w:sz w:val="12"/>
          <w:szCs w:val="12"/>
          <w:b w:val="1"/>
          <w:bCs w:val="1"/>
          <w:color w:val="auto"/>
        </w:rPr>
        <w:t>ITEM 16.</w:t>
        <w:tab/>
        <w:t>EXHIBITS.</w:t>
      </w:r>
    </w:p>
    <w:p>
      <w:pPr>
        <w:spacing w:after="0" w:line="100" w:lineRule="exact"/>
        <w:rPr>
          <w:sz w:val="20"/>
          <w:szCs w:val="20"/>
          <w:color w:val="auto"/>
        </w:rPr>
      </w:pPr>
    </w:p>
    <w:p>
      <w:pPr>
        <w:ind w:left="288"/>
        <w:spacing w:after="0"/>
        <w:rPr>
          <w:sz w:val="20"/>
          <w:szCs w:val="20"/>
          <w:color w:val="auto"/>
        </w:rPr>
      </w:pPr>
      <w:r>
        <w:rPr>
          <w:rFonts w:ascii="Arial" w:cs="Arial" w:eastAsia="Arial" w:hAnsi="Arial"/>
          <w:sz w:val="12"/>
          <w:szCs w:val="12"/>
          <w:color w:val="auto"/>
        </w:rPr>
        <w:t>See the Exhibit Index to this Registration Statement on Form S-3 which is incorporated herein by reference.</w:t>
      </w:r>
    </w:p>
    <w:p>
      <w:pPr>
        <w:spacing w:after="0" w:line="92" w:lineRule="exact"/>
        <w:rPr>
          <w:sz w:val="20"/>
          <w:szCs w:val="20"/>
          <w:color w:val="auto"/>
        </w:rPr>
      </w:pPr>
    </w:p>
    <w:p>
      <w:pPr>
        <w:ind w:left="8"/>
        <w:spacing w:after="0"/>
        <w:tabs>
          <w:tab w:leader="none" w:pos="668" w:val="left"/>
        </w:tabs>
        <w:rPr>
          <w:sz w:val="20"/>
          <w:szCs w:val="20"/>
          <w:color w:val="auto"/>
        </w:rPr>
      </w:pPr>
      <w:r>
        <w:rPr>
          <w:rFonts w:ascii="Arial" w:cs="Arial" w:eastAsia="Arial" w:hAnsi="Arial"/>
          <w:sz w:val="12"/>
          <w:szCs w:val="12"/>
          <w:b w:val="1"/>
          <w:bCs w:val="1"/>
          <w:color w:val="auto"/>
        </w:rPr>
        <w:t>ITEM 17.</w:t>
      </w:r>
      <w:r>
        <w:rPr>
          <w:sz w:val="20"/>
          <w:szCs w:val="20"/>
          <w:color w:val="auto"/>
        </w:rPr>
        <w:tab/>
      </w:r>
      <w:r>
        <w:rPr>
          <w:rFonts w:ascii="Arial" w:cs="Arial" w:eastAsia="Arial" w:hAnsi="Arial"/>
          <w:sz w:val="11"/>
          <w:szCs w:val="11"/>
          <w:b w:val="1"/>
          <w:bCs w:val="1"/>
          <w:color w:val="auto"/>
        </w:rPr>
        <w:t>UNDERTAKINGS.</w:t>
      </w:r>
    </w:p>
    <w:p>
      <w:pPr>
        <w:spacing w:after="0" w:line="100" w:lineRule="exact"/>
        <w:rPr>
          <w:sz w:val="20"/>
          <w:szCs w:val="20"/>
          <w:color w:val="auto"/>
        </w:rPr>
      </w:pPr>
    </w:p>
    <w:p>
      <w:pPr>
        <w:ind w:left="488" w:hanging="488"/>
        <w:spacing w:after="0"/>
        <w:tabs>
          <w:tab w:leader="none" w:pos="488"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undersigned registrant hereby undertakes:</w:t>
      </w:r>
    </w:p>
    <w:p>
      <w:pPr>
        <w:spacing w:after="0" w:line="96" w:lineRule="exact"/>
        <w:rPr>
          <w:rFonts w:ascii="Arial" w:cs="Arial" w:eastAsia="Arial" w:hAnsi="Arial"/>
          <w:sz w:val="12"/>
          <w:szCs w:val="12"/>
          <w:color w:val="auto"/>
        </w:rPr>
      </w:pPr>
    </w:p>
    <w:p>
      <w:pPr>
        <w:ind w:left="948" w:hanging="473"/>
        <w:spacing w:after="0"/>
        <w:tabs>
          <w:tab w:leader="none" w:pos="948" w:val="left"/>
        </w:tabs>
        <w:numPr>
          <w:ilvl w:val="1"/>
          <w:numId w:val="8"/>
        </w:numPr>
        <w:rPr>
          <w:rFonts w:ascii="Arial" w:cs="Arial" w:eastAsia="Arial" w:hAnsi="Arial"/>
          <w:sz w:val="12"/>
          <w:szCs w:val="12"/>
          <w:color w:val="auto"/>
        </w:rPr>
      </w:pPr>
      <w:r>
        <w:rPr>
          <w:rFonts w:ascii="Arial" w:cs="Arial" w:eastAsia="Arial" w:hAnsi="Arial"/>
          <w:sz w:val="12"/>
          <w:szCs w:val="12"/>
          <w:color w:val="auto"/>
        </w:rPr>
        <w:t>To file, during any period in which offers or sales are being made, a post-effective amendment to this registration statement:</w:t>
      </w:r>
    </w:p>
    <w:p>
      <w:pPr>
        <w:spacing w:after="0" w:line="96" w:lineRule="exact"/>
        <w:rPr>
          <w:rFonts w:ascii="Arial" w:cs="Arial" w:eastAsia="Arial" w:hAnsi="Arial"/>
          <w:sz w:val="12"/>
          <w:szCs w:val="12"/>
          <w:color w:val="auto"/>
        </w:rPr>
      </w:pPr>
    </w:p>
    <w:p>
      <w:pPr>
        <w:ind w:left="1448" w:hanging="498"/>
        <w:spacing w:after="0"/>
        <w:tabs>
          <w:tab w:leader="none" w:pos="1448" w:val="left"/>
        </w:tabs>
        <w:numPr>
          <w:ilvl w:val="2"/>
          <w:numId w:val="8"/>
        </w:numPr>
        <w:rPr>
          <w:rFonts w:ascii="Arial" w:cs="Arial" w:eastAsia="Arial" w:hAnsi="Arial"/>
          <w:sz w:val="12"/>
          <w:szCs w:val="12"/>
          <w:color w:val="auto"/>
        </w:rPr>
      </w:pPr>
      <w:r>
        <w:rPr>
          <w:rFonts w:ascii="Arial" w:cs="Arial" w:eastAsia="Arial" w:hAnsi="Arial"/>
          <w:sz w:val="12"/>
          <w:szCs w:val="12"/>
          <w:color w:val="auto"/>
        </w:rPr>
        <w:t>To include any prospectus required by Section 10(a)(3) of the Securities Act of 1933;</w:t>
      </w:r>
    </w:p>
    <w:p>
      <w:pPr>
        <w:spacing w:after="0" w:line="96" w:lineRule="exact"/>
        <w:rPr>
          <w:rFonts w:ascii="Arial" w:cs="Arial" w:eastAsia="Arial" w:hAnsi="Arial"/>
          <w:sz w:val="12"/>
          <w:szCs w:val="12"/>
          <w:color w:val="auto"/>
        </w:rPr>
      </w:pPr>
    </w:p>
    <w:p>
      <w:pPr>
        <w:ind w:left="1428" w:hanging="478"/>
        <w:spacing w:after="0" w:line="215" w:lineRule="auto"/>
        <w:tabs>
          <w:tab w:leader="none" w:pos="1423" w:val="left"/>
        </w:tabs>
        <w:numPr>
          <w:ilvl w:val="2"/>
          <w:numId w:val="8"/>
        </w:numPr>
        <w:rPr>
          <w:rFonts w:ascii="Arial" w:cs="Arial" w:eastAsia="Arial" w:hAnsi="Arial"/>
          <w:sz w:val="12"/>
          <w:szCs w:val="12"/>
          <w:color w:val="auto"/>
        </w:rPr>
      </w:pPr>
      <w:r>
        <w:rPr>
          <w:rFonts w:ascii="Arial" w:cs="Arial" w:eastAsia="Arial" w:hAnsi="Arial"/>
          <w:sz w:val="12"/>
          <w:szCs w:val="12"/>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83" w:lineRule="exact"/>
        <w:rPr>
          <w:rFonts w:ascii="Arial" w:cs="Arial" w:eastAsia="Arial" w:hAnsi="Arial"/>
          <w:sz w:val="12"/>
          <w:szCs w:val="12"/>
          <w:color w:val="auto"/>
        </w:rPr>
      </w:pPr>
    </w:p>
    <w:p>
      <w:pPr>
        <w:ind w:left="1448" w:hanging="498"/>
        <w:spacing w:after="0"/>
        <w:tabs>
          <w:tab w:leader="none" w:pos="1448" w:val="left"/>
        </w:tabs>
        <w:numPr>
          <w:ilvl w:val="2"/>
          <w:numId w:val="8"/>
        </w:numPr>
        <w:rPr>
          <w:rFonts w:ascii="Arial" w:cs="Arial" w:eastAsia="Arial" w:hAnsi="Arial"/>
          <w:sz w:val="11"/>
          <w:szCs w:val="11"/>
          <w:color w:val="auto"/>
        </w:rPr>
      </w:pPr>
      <w:r>
        <w:rPr>
          <w:rFonts w:ascii="Arial" w:cs="Arial" w:eastAsia="Arial" w:hAnsi="Arial"/>
          <w:sz w:val="11"/>
          <w:szCs w:val="11"/>
          <w:color w:val="auto"/>
        </w:rPr>
        <w:t>To include any material information with respect to the plan of distribution not previously disclosed in the registration statement or any material change to such information in the registration statement;</w:t>
      </w:r>
    </w:p>
    <w:p>
      <w:pPr>
        <w:spacing w:after="0" w:line="108" w:lineRule="exact"/>
        <w:rPr>
          <w:sz w:val="20"/>
          <w:szCs w:val="20"/>
          <w:color w:val="auto"/>
        </w:rPr>
      </w:pPr>
    </w:p>
    <w:p>
      <w:pPr>
        <w:ind w:left="948" w:right="120"/>
        <w:spacing w:after="0" w:line="224" w:lineRule="auto"/>
        <w:rPr>
          <w:sz w:val="20"/>
          <w:szCs w:val="20"/>
          <w:color w:val="auto"/>
        </w:rPr>
      </w:pPr>
      <w:r>
        <w:rPr>
          <w:rFonts w:ascii="Arial" w:cs="Arial" w:eastAsia="Arial" w:hAnsi="Arial"/>
          <w:sz w:val="12"/>
          <w:szCs w:val="12"/>
          <w:i w:val="1"/>
          <w:iCs w:val="1"/>
          <w:color w:val="auto"/>
        </w:rPr>
        <w:t>provided, however</w:t>
      </w:r>
      <w:r>
        <w:rPr>
          <w:rFonts w:ascii="Arial" w:cs="Arial" w:eastAsia="Arial" w:hAnsi="Arial"/>
          <w:sz w:val="12"/>
          <w:szCs w:val="12"/>
          <w:color w:val="auto"/>
        </w:rPr>
        <w:t>, that paragraphs (i), (ii) and (iii) do not apply if the information required to be included in a post-effective amendment by those paragraphs is contained in reports filed with or furnished to the</w:t>
      </w:r>
      <w:r>
        <w:rPr>
          <w:rFonts w:ascii="Arial" w:cs="Arial" w:eastAsia="Arial" w:hAnsi="Arial"/>
          <w:sz w:val="12"/>
          <w:szCs w:val="12"/>
          <w:i w:val="1"/>
          <w:iCs w:val="1"/>
          <w:color w:val="auto"/>
        </w:rPr>
        <w:t xml:space="preserve"> </w:t>
      </w:r>
      <w:r>
        <w:rPr>
          <w:rFonts w:ascii="Arial" w:cs="Arial" w:eastAsia="Arial" w:hAnsi="Arial"/>
          <w:sz w:val="12"/>
          <w:szCs w:val="12"/>
          <w:color w:val="auto"/>
        </w:rPr>
        <w:t>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0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60960</wp:posOffset>
            </wp:positionV>
            <wp:extent cx="7178040" cy="114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8"/>
          </w:cols>
          <w:pgMar w:left="292" w:top="239" w:right="319" w:bottom="1440" w:gutter="0" w:footer="0" w:header="0"/>
        </w:sectPr>
      </w:pPr>
    </w:p>
    <w:bookmarkStart w:id="13" w:name="page14"/>
    <w:bookmarkEnd w:id="13"/>
    <w:p>
      <w:pPr>
        <w:ind w:left="480" w:hanging="473"/>
        <w:spacing w:after="0" w:line="234" w:lineRule="auto"/>
        <w:tabs>
          <w:tab w:leader="none" w:pos="482" w:val="left"/>
        </w:tabs>
        <w:numPr>
          <w:ilvl w:val="0"/>
          <w:numId w:val="9"/>
        </w:numPr>
        <w:rPr>
          <w:rFonts w:ascii="Arial" w:cs="Arial" w:eastAsia="Arial" w:hAnsi="Arial"/>
          <w:sz w:val="12"/>
          <w:szCs w:val="12"/>
          <w:color w:val="auto"/>
        </w:rPr>
      </w:pPr>
      <w:r>
        <w:rPr>
          <w:rFonts w:ascii="Arial" w:cs="Arial" w:eastAsia="Arial" w:hAnsi="Arial"/>
          <w:sz w:val="12"/>
          <w:szCs w:val="12"/>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81" w:lineRule="exact"/>
        <w:rPr>
          <w:rFonts w:ascii="Arial" w:cs="Arial" w:eastAsia="Arial" w:hAnsi="Arial"/>
          <w:sz w:val="12"/>
          <w:szCs w:val="12"/>
          <w:color w:val="auto"/>
        </w:rPr>
      </w:pPr>
    </w:p>
    <w:p>
      <w:pPr>
        <w:ind w:left="480" w:hanging="473"/>
        <w:spacing w:after="0"/>
        <w:tabs>
          <w:tab w:leader="none" w:pos="480" w:val="left"/>
        </w:tabs>
        <w:numPr>
          <w:ilvl w:val="0"/>
          <w:numId w:val="9"/>
        </w:numPr>
        <w:rPr>
          <w:rFonts w:ascii="Arial" w:cs="Arial" w:eastAsia="Arial" w:hAnsi="Arial"/>
          <w:sz w:val="12"/>
          <w:szCs w:val="12"/>
          <w:color w:val="auto"/>
        </w:rPr>
      </w:pPr>
      <w:r>
        <w:rPr>
          <w:rFonts w:ascii="Arial" w:cs="Arial" w:eastAsia="Arial" w:hAnsi="Arial"/>
          <w:sz w:val="12"/>
          <w:szCs w:val="12"/>
          <w:color w:val="auto"/>
        </w:rPr>
        <w:t>To remove from registration by means of a post-effective amendment any of the securities being registered which remain unsold at the termination of the offering.</w:t>
      </w:r>
    </w:p>
    <w:p>
      <w:pPr>
        <w:spacing w:after="0" w:line="96" w:lineRule="exact"/>
        <w:rPr>
          <w:rFonts w:ascii="Arial" w:cs="Arial" w:eastAsia="Arial" w:hAnsi="Arial"/>
          <w:sz w:val="12"/>
          <w:szCs w:val="12"/>
          <w:color w:val="auto"/>
        </w:rPr>
      </w:pPr>
    </w:p>
    <w:p>
      <w:pPr>
        <w:ind w:left="480" w:hanging="473"/>
        <w:spacing w:after="0"/>
        <w:tabs>
          <w:tab w:leader="none" w:pos="480" w:val="left"/>
        </w:tabs>
        <w:numPr>
          <w:ilvl w:val="0"/>
          <w:numId w:val="9"/>
        </w:numPr>
        <w:rPr>
          <w:rFonts w:ascii="Arial" w:cs="Arial" w:eastAsia="Arial" w:hAnsi="Arial"/>
          <w:sz w:val="12"/>
          <w:szCs w:val="12"/>
          <w:color w:val="auto"/>
        </w:rPr>
      </w:pPr>
      <w:r>
        <w:rPr>
          <w:rFonts w:ascii="Arial" w:cs="Arial" w:eastAsia="Arial" w:hAnsi="Arial"/>
          <w:sz w:val="12"/>
          <w:szCs w:val="12"/>
          <w:color w:val="auto"/>
        </w:rPr>
        <w:t>That, for the purpose of determining liability under the Securities Act of 1933 to any purchaser:</w:t>
      </w:r>
    </w:p>
    <w:p>
      <w:pPr>
        <w:spacing w:after="0" w:line="96" w:lineRule="exact"/>
        <w:rPr>
          <w:rFonts w:ascii="Arial" w:cs="Arial" w:eastAsia="Arial" w:hAnsi="Arial"/>
          <w:sz w:val="12"/>
          <w:szCs w:val="12"/>
          <w:color w:val="auto"/>
        </w:rPr>
      </w:pPr>
    </w:p>
    <w:p>
      <w:pPr>
        <w:ind w:left="960" w:right="480" w:hanging="452"/>
        <w:spacing w:after="0" w:line="234" w:lineRule="auto"/>
        <w:tabs>
          <w:tab w:leader="none" w:pos="975" w:val="left"/>
        </w:tabs>
        <w:numPr>
          <w:ilvl w:val="2"/>
          <w:numId w:val="9"/>
        </w:numPr>
        <w:rPr>
          <w:rFonts w:ascii="Arial" w:cs="Arial" w:eastAsia="Arial" w:hAnsi="Arial"/>
          <w:sz w:val="12"/>
          <w:szCs w:val="12"/>
          <w:color w:val="auto"/>
        </w:rPr>
      </w:pPr>
      <w:r>
        <w:rPr>
          <w:rFonts w:ascii="Arial" w:cs="Arial" w:eastAsia="Arial" w:hAnsi="Arial"/>
          <w:sz w:val="12"/>
          <w:szCs w:val="12"/>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81" w:lineRule="exact"/>
        <w:rPr>
          <w:rFonts w:ascii="Arial" w:cs="Arial" w:eastAsia="Arial" w:hAnsi="Arial"/>
          <w:sz w:val="12"/>
          <w:szCs w:val="12"/>
          <w:color w:val="auto"/>
        </w:rPr>
      </w:pPr>
    </w:p>
    <w:p>
      <w:pPr>
        <w:ind w:left="940" w:hanging="432"/>
        <w:spacing w:after="0"/>
        <w:tabs>
          <w:tab w:leader="none" w:pos="940" w:val="left"/>
        </w:tabs>
        <w:numPr>
          <w:ilvl w:val="2"/>
          <w:numId w:val="9"/>
        </w:numPr>
        <w:rPr>
          <w:rFonts w:ascii="Arial" w:cs="Arial" w:eastAsia="Arial" w:hAnsi="Arial"/>
          <w:sz w:val="10"/>
          <w:szCs w:val="10"/>
          <w:color w:val="auto"/>
        </w:rPr>
      </w:pPr>
      <w:r>
        <w:rPr>
          <w:rFonts w:ascii="Arial" w:cs="Arial" w:eastAsia="Arial" w:hAnsi="Arial"/>
          <w:sz w:val="10"/>
          <w:szCs w:val="10"/>
          <w:color w:val="auto"/>
        </w:rPr>
        <w:t>Each prospectus required to be filed pursuant to Rule 424(b)(2), (b)(5) or (b)(7) as part of a registration statement in reliance on Rule 430B relating to an offering made pursuant to Rule 415(a)(1)(i), (vii) or</w:t>
      </w:r>
    </w:p>
    <w:p>
      <w:pPr>
        <w:spacing w:after="0" w:line="12" w:lineRule="exact"/>
        <w:rPr>
          <w:rFonts w:ascii="Arial" w:cs="Arial" w:eastAsia="Arial" w:hAnsi="Arial"/>
          <w:sz w:val="10"/>
          <w:szCs w:val="10"/>
          <w:color w:val="auto"/>
        </w:rPr>
      </w:pPr>
    </w:p>
    <w:p>
      <w:pPr>
        <w:ind w:left="960" w:right="40" w:hanging="2"/>
        <w:spacing w:after="0" w:line="229" w:lineRule="auto"/>
        <w:tabs>
          <w:tab w:leader="none" w:pos="1130" w:val="left"/>
        </w:tabs>
        <w:numPr>
          <w:ilvl w:val="3"/>
          <w:numId w:val="9"/>
        </w:numPr>
        <w:rPr>
          <w:rFonts w:ascii="Arial" w:cs="Arial" w:eastAsia="Arial" w:hAnsi="Arial"/>
          <w:sz w:val="11"/>
          <w:szCs w:val="11"/>
          <w:color w:val="auto"/>
        </w:rPr>
      </w:pPr>
      <w:r>
        <w:rPr>
          <w:rFonts w:ascii="Arial" w:cs="Arial" w:eastAsia="Arial" w:hAnsi="Arial"/>
          <w:sz w:val="11"/>
          <w:szCs w:val="11"/>
          <w:color w:val="auto"/>
        </w:rPr>
        <w:t xml:space="preserve">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bona fide offering thereof. </w:t>
      </w:r>
      <w:r>
        <w:rPr>
          <w:rFonts w:ascii="Arial" w:cs="Arial" w:eastAsia="Arial" w:hAnsi="Arial"/>
          <w:sz w:val="11"/>
          <w:szCs w:val="11"/>
          <w:i w:val="1"/>
          <w:iCs w:val="1"/>
          <w:color w:val="auto"/>
        </w:rPr>
        <w:t>Provided, however</w:t>
      </w:r>
      <w:r>
        <w:rPr>
          <w:rFonts w:ascii="Arial" w:cs="Arial" w:eastAsia="Arial" w:hAnsi="Arial"/>
          <w:sz w:val="11"/>
          <w:szCs w:val="11"/>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81" w:lineRule="exact"/>
        <w:rPr>
          <w:rFonts w:ascii="Arial" w:cs="Arial" w:eastAsia="Arial" w:hAnsi="Arial"/>
          <w:sz w:val="11"/>
          <w:szCs w:val="11"/>
          <w:color w:val="auto"/>
        </w:rPr>
      </w:pPr>
    </w:p>
    <w:p>
      <w:pPr>
        <w:ind w:left="480" w:right="120" w:hanging="473"/>
        <w:spacing w:after="0" w:line="247" w:lineRule="auto"/>
        <w:tabs>
          <w:tab w:leader="none" w:pos="482" w:val="left"/>
        </w:tabs>
        <w:numPr>
          <w:ilvl w:val="0"/>
          <w:numId w:val="9"/>
        </w:numPr>
        <w:rPr>
          <w:rFonts w:ascii="Arial" w:cs="Arial" w:eastAsia="Arial" w:hAnsi="Arial"/>
          <w:sz w:val="11"/>
          <w:szCs w:val="11"/>
          <w:color w:val="auto"/>
        </w:rPr>
      </w:pPr>
      <w:r>
        <w:rPr>
          <w:rFonts w:ascii="Arial" w:cs="Arial" w:eastAsia="Arial" w:hAnsi="Arial"/>
          <w:sz w:val="11"/>
          <w:szCs w:val="11"/>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7" w:lineRule="exact"/>
        <w:rPr>
          <w:rFonts w:ascii="Arial" w:cs="Arial" w:eastAsia="Arial" w:hAnsi="Arial"/>
          <w:sz w:val="11"/>
          <w:szCs w:val="11"/>
          <w:color w:val="auto"/>
        </w:rPr>
      </w:pPr>
    </w:p>
    <w:p>
      <w:pPr>
        <w:ind w:left="980" w:hanging="498"/>
        <w:spacing w:after="0"/>
        <w:tabs>
          <w:tab w:leader="none" w:pos="980" w:val="left"/>
        </w:tabs>
        <w:numPr>
          <w:ilvl w:val="1"/>
          <w:numId w:val="9"/>
        </w:numPr>
        <w:rPr>
          <w:rFonts w:ascii="Arial" w:cs="Arial" w:eastAsia="Arial" w:hAnsi="Arial"/>
          <w:sz w:val="12"/>
          <w:szCs w:val="12"/>
          <w:color w:val="auto"/>
        </w:rPr>
      </w:pPr>
      <w:r>
        <w:rPr>
          <w:rFonts w:ascii="Arial" w:cs="Arial" w:eastAsia="Arial" w:hAnsi="Arial"/>
          <w:sz w:val="12"/>
          <w:szCs w:val="12"/>
          <w:color w:val="auto"/>
        </w:rPr>
        <w:t>Any preliminary prospectus or prospectus of the undersigned registrant relating to the offering required to be filed pursuant to Rule 424;</w:t>
      </w:r>
    </w:p>
    <w:p>
      <w:pPr>
        <w:spacing w:after="0" w:line="96" w:lineRule="exact"/>
        <w:rPr>
          <w:rFonts w:ascii="Arial" w:cs="Arial" w:eastAsia="Arial" w:hAnsi="Arial"/>
          <w:sz w:val="12"/>
          <w:szCs w:val="12"/>
          <w:color w:val="auto"/>
        </w:rPr>
      </w:pPr>
    </w:p>
    <w:p>
      <w:pPr>
        <w:ind w:left="980" w:hanging="498"/>
        <w:spacing w:after="0"/>
        <w:tabs>
          <w:tab w:leader="none" w:pos="980" w:val="left"/>
        </w:tabs>
        <w:numPr>
          <w:ilvl w:val="1"/>
          <w:numId w:val="9"/>
        </w:numPr>
        <w:rPr>
          <w:rFonts w:ascii="Arial" w:cs="Arial" w:eastAsia="Arial" w:hAnsi="Arial"/>
          <w:sz w:val="12"/>
          <w:szCs w:val="12"/>
          <w:color w:val="auto"/>
        </w:rPr>
      </w:pPr>
      <w:r>
        <w:rPr>
          <w:rFonts w:ascii="Arial" w:cs="Arial" w:eastAsia="Arial" w:hAnsi="Arial"/>
          <w:sz w:val="12"/>
          <w:szCs w:val="12"/>
          <w:color w:val="auto"/>
        </w:rPr>
        <w:t>Any free writing prospectus relating to the offering prepared by or on behalf of the undersigned registrant or used or referred to by the undersigned registrant;</w:t>
      </w:r>
    </w:p>
    <w:p>
      <w:pPr>
        <w:spacing w:after="0" w:line="96" w:lineRule="exact"/>
        <w:rPr>
          <w:rFonts w:ascii="Arial" w:cs="Arial" w:eastAsia="Arial" w:hAnsi="Arial"/>
          <w:sz w:val="12"/>
          <w:szCs w:val="12"/>
          <w:color w:val="auto"/>
        </w:rPr>
      </w:pPr>
    </w:p>
    <w:p>
      <w:pPr>
        <w:ind w:left="960" w:right="400" w:hanging="478"/>
        <w:spacing w:after="0" w:line="234" w:lineRule="auto"/>
        <w:tabs>
          <w:tab w:leader="none" w:pos="989" w:val="left"/>
        </w:tabs>
        <w:numPr>
          <w:ilvl w:val="1"/>
          <w:numId w:val="9"/>
        </w:numPr>
        <w:rPr>
          <w:rFonts w:ascii="Arial" w:cs="Arial" w:eastAsia="Arial" w:hAnsi="Arial"/>
          <w:sz w:val="12"/>
          <w:szCs w:val="12"/>
          <w:color w:val="auto"/>
        </w:rPr>
      </w:pPr>
      <w:r>
        <w:rPr>
          <w:rFonts w:ascii="Arial" w:cs="Arial" w:eastAsia="Arial" w:hAnsi="Arial"/>
          <w:sz w:val="12"/>
          <w:szCs w:val="12"/>
          <w:color w:val="auto"/>
        </w:rPr>
        <w:t>The portion of any other free writing prospectus relating to the offering containing material information about the undersigned registrant or its securities provided by or on behalf of the undersigned registrant; and</w:t>
      </w:r>
    </w:p>
    <w:p>
      <w:pPr>
        <w:spacing w:after="0" w:line="81" w:lineRule="exact"/>
        <w:rPr>
          <w:rFonts w:ascii="Arial" w:cs="Arial" w:eastAsia="Arial" w:hAnsi="Arial"/>
          <w:sz w:val="12"/>
          <w:szCs w:val="12"/>
          <w:color w:val="auto"/>
        </w:rPr>
      </w:pPr>
    </w:p>
    <w:p>
      <w:pPr>
        <w:ind w:left="980" w:hanging="498"/>
        <w:spacing w:after="0"/>
        <w:tabs>
          <w:tab w:leader="none" w:pos="980" w:val="left"/>
        </w:tabs>
        <w:numPr>
          <w:ilvl w:val="1"/>
          <w:numId w:val="9"/>
        </w:numPr>
        <w:rPr>
          <w:rFonts w:ascii="Arial" w:cs="Arial" w:eastAsia="Arial" w:hAnsi="Arial"/>
          <w:sz w:val="12"/>
          <w:szCs w:val="12"/>
          <w:color w:val="auto"/>
        </w:rPr>
      </w:pPr>
      <w:r>
        <w:rPr>
          <w:rFonts w:ascii="Arial" w:cs="Arial" w:eastAsia="Arial" w:hAnsi="Arial"/>
          <w:sz w:val="12"/>
          <w:szCs w:val="12"/>
          <w:color w:val="auto"/>
        </w:rPr>
        <w:t>Any other communication that is an offer in the offering made by the undersigned registrant to the purchaser.</w:t>
      </w:r>
    </w:p>
    <w:p>
      <w:pPr>
        <w:spacing w:after="0" w:line="123" w:lineRule="exact"/>
        <w:rPr>
          <w:sz w:val="20"/>
          <w:szCs w:val="20"/>
          <w:color w:val="auto"/>
        </w:rPr>
      </w:pPr>
    </w:p>
    <w:p>
      <w:pPr>
        <w:jc w:val="center"/>
        <w:ind w:right="460"/>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60960</wp:posOffset>
            </wp:positionV>
            <wp:extent cx="7178040" cy="114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820"/>
          </w:cols>
          <w:pgMar w:left="760" w:top="356" w:right="319" w:bottom="1440" w:gutter="0" w:footer="0" w:header="0"/>
        </w:sectPr>
      </w:pPr>
    </w:p>
    <w:bookmarkStart w:id="14" w:name="page15"/>
    <w:bookmarkEnd w:id="14"/>
    <w:p>
      <w:pPr>
        <w:jc w:val="both"/>
        <w:ind w:left="468" w:right="260" w:hanging="468"/>
        <w:spacing w:after="0" w:line="283" w:lineRule="auto"/>
        <w:tabs>
          <w:tab w:leader="none" w:pos="472" w:val="left"/>
        </w:tabs>
        <w:numPr>
          <w:ilvl w:val="0"/>
          <w:numId w:val="10"/>
        </w:numPr>
        <w:rPr>
          <w:rFonts w:ascii="Arial" w:cs="Arial" w:eastAsia="Arial" w:hAnsi="Arial"/>
          <w:sz w:val="10"/>
          <w:szCs w:val="10"/>
          <w:color w:val="auto"/>
        </w:rPr>
      </w:pPr>
      <w:r>
        <w:rPr>
          <w:rFonts w:ascii="Arial" w:cs="Arial" w:eastAsia="Arial" w:hAnsi="Arial"/>
          <w:sz w:val="10"/>
          <w:szCs w:val="10"/>
          <w:color w:val="auto"/>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0"/>
          <w:szCs w:val="10"/>
          <w:i w:val="1"/>
          <w:iCs w:val="1"/>
          <w:color w:val="auto"/>
        </w:rPr>
        <w:t>bona fide</w:t>
      </w:r>
      <w:r>
        <w:rPr>
          <w:rFonts w:ascii="Arial" w:cs="Arial" w:eastAsia="Arial" w:hAnsi="Arial"/>
          <w:sz w:val="10"/>
          <w:szCs w:val="10"/>
          <w:color w:val="auto"/>
        </w:rPr>
        <w:t xml:space="preserve"> offering thereof.</w:t>
      </w:r>
    </w:p>
    <w:p>
      <w:pPr>
        <w:spacing w:after="0" w:line="61" w:lineRule="exact"/>
        <w:rPr>
          <w:rFonts w:ascii="Arial" w:cs="Arial" w:eastAsia="Arial" w:hAnsi="Arial"/>
          <w:sz w:val="10"/>
          <w:szCs w:val="10"/>
          <w:color w:val="auto"/>
        </w:rPr>
      </w:pPr>
    </w:p>
    <w:p>
      <w:pPr>
        <w:ind w:left="468" w:hanging="468"/>
        <w:spacing w:after="0" w:line="235" w:lineRule="auto"/>
        <w:tabs>
          <w:tab w:leader="none" w:pos="472" w:val="left"/>
        </w:tabs>
        <w:numPr>
          <w:ilvl w:val="0"/>
          <w:numId w:val="10"/>
        </w:numPr>
        <w:rPr>
          <w:rFonts w:ascii="Arial" w:cs="Arial" w:eastAsia="Arial" w:hAnsi="Arial"/>
          <w:sz w:val="11"/>
          <w:szCs w:val="11"/>
          <w:color w:val="auto"/>
        </w:rPr>
      </w:pPr>
      <w:r>
        <w:rPr>
          <w:rFonts w:ascii="Arial" w:cs="Arial" w:eastAsia="Arial" w:hAnsi="Arial"/>
          <w:sz w:val="11"/>
          <w:szCs w:val="11"/>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27" w:lineRule="exact"/>
        <w:rPr>
          <w:sz w:val="20"/>
          <w:szCs w:val="20"/>
          <w:color w:val="auto"/>
        </w:rPr>
      </w:pPr>
    </w:p>
    <w:p>
      <w:pPr>
        <w:jc w:val="center"/>
        <w:ind w:right="-47"/>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60960</wp:posOffset>
            </wp:positionV>
            <wp:extent cx="7178040" cy="114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8"/>
          </w:cols>
          <w:pgMar w:left="292" w:top="356" w:right="359" w:bottom="1440" w:gutter="0" w:footer="0" w:header="0"/>
        </w:sectPr>
      </w:pPr>
    </w:p>
    <w:bookmarkStart w:id="15" w:name="page16"/>
    <w:bookmarkEnd w:id="15"/>
    <w:p>
      <w:pPr>
        <w:jc w:val="center"/>
        <w:spacing w:after="0"/>
        <w:rPr>
          <w:sz w:val="20"/>
          <w:szCs w:val="20"/>
          <w:color w:val="auto"/>
        </w:rPr>
      </w:pPr>
      <w:r>
        <w:rPr>
          <w:rFonts w:ascii="Arial" w:cs="Arial" w:eastAsia="Arial" w:hAnsi="Arial"/>
          <w:sz w:val="12"/>
          <w:szCs w:val="12"/>
          <w:b w:val="1"/>
          <w:bCs w:val="1"/>
          <w:color w:val="auto"/>
        </w:rPr>
        <w:t>SIGNATURES</w:t>
      </w:r>
    </w:p>
    <w:p>
      <w:pPr>
        <w:spacing w:after="0" w:line="100" w:lineRule="exact"/>
        <w:rPr>
          <w:sz w:val="20"/>
          <w:szCs w:val="20"/>
          <w:color w:val="auto"/>
        </w:rPr>
      </w:pPr>
    </w:p>
    <w:p>
      <w:pPr>
        <w:ind w:right="120" w:firstLine="288"/>
        <w:spacing w:after="0" w:line="234" w:lineRule="auto"/>
        <w:rPr>
          <w:sz w:val="20"/>
          <w:szCs w:val="20"/>
          <w:color w:val="auto"/>
        </w:rPr>
      </w:pPr>
      <w:r>
        <w:rPr>
          <w:rFonts w:ascii="Arial" w:cs="Arial" w:eastAsia="Arial" w:hAnsi="Arial"/>
          <w:sz w:val="12"/>
          <w:szCs w:val="12"/>
          <w:color w:val="auto"/>
        </w:rPr>
        <w:t>Pursuant to the requirements of the Securities Act, the registrant hereby certifies that it has reasonable grounds to believe that it meets all of the requirements for filing on Form S-3 and has duly caused this registration statement to be signed on its behalf by the undersigned, thereunto duly authorized, in the city of Salt Lake City, Utah on this 7th day of May, 2020.</w:t>
      </w:r>
    </w:p>
    <w:p>
      <w:pPr>
        <w:spacing w:after="0" w:line="91" w:lineRule="exact"/>
        <w:rPr>
          <w:sz w:val="20"/>
          <w:szCs w:val="20"/>
          <w:color w:val="auto"/>
        </w:rPr>
      </w:pPr>
    </w:p>
    <w:p>
      <w:pPr>
        <w:ind w:left="6120"/>
        <w:spacing w:after="0"/>
        <w:rPr>
          <w:sz w:val="20"/>
          <w:szCs w:val="20"/>
          <w:color w:val="auto"/>
        </w:rPr>
      </w:pPr>
      <w:r>
        <w:rPr>
          <w:rFonts w:ascii="Arial" w:cs="Arial" w:eastAsia="Arial" w:hAnsi="Arial"/>
          <w:sz w:val="12"/>
          <w:szCs w:val="12"/>
          <w:u w:val="single" w:color="auto"/>
          <w:color w:val="auto"/>
        </w:rPr>
        <w:t>CLEARONE, INC.</w:t>
      </w:r>
    </w:p>
    <w:p>
      <w:pPr>
        <w:spacing w:after="0" w:line="15" w:lineRule="exact"/>
        <w:rPr>
          <w:sz w:val="20"/>
          <w:szCs w:val="20"/>
          <w:color w:val="auto"/>
        </w:rPr>
      </w:pPr>
    </w:p>
    <w:p>
      <w:pPr>
        <w:ind w:left="6120"/>
        <w:spacing w:after="0"/>
        <w:rPr>
          <w:sz w:val="20"/>
          <w:szCs w:val="20"/>
          <w:color w:val="auto"/>
        </w:rPr>
      </w:pPr>
      <w:r>
        <w:rPr>
          <w:rFonts w:ascii="Arial" w:cs="Arial" w:eastAsia="Arial" w:hAnsi="Arial"/>
          <w:sz w:val="12"/>
          <w:szCs w:val="12"/>
          <w:color w:val="auto"/>
        </w:rPr>
        <w:t>(Registrant)</w:t>
      </w:r>
    </w:p>
    <w:p>
      <w:pPr>
        <w:spacing w:after="0" w:line="168" w:lineRule="exact"/>
        <w:rPr>
          <w:sz w:val="20"/>
          <w:szCs w:val="20"/>
          <w:color w:val="auto"/>
        </w:rPr>
      </w:pPr>
    </w:p>
    <w:p>
      <w:pPr>
        <w:ind w:left="5660"/>
        <w:spacing w:after="0"/>
        <w:tabs>
          <w:tab w:leader="none" w:pos="610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3886835</wp:posOffset>
            </wp:positionH>
            <wp:positionV relativeFrom="paragraph">
              <wp:posOffset>15240</wp:posOffset>
            </wp:positionV>
            <wp:extent cx="3286125"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86125" cy="5715"/>
                    </a:xfrm>
                    <a:prstGeom prst="rect">
                      <a:avLst/>
                    </a:prstGeom>
                    <a:noFill/>
                  </pic:spPr>
                </pic:pic>
              </a:graphicData>
            </a:graphic>
          </wp:anchor>
        </w:drawing>
      </w:r>
    </w:p>
    <w:p>
      <w:pPr>
        <w:spacing w:after="0" w:line="4" w:lineRule="exact"/>
        <w:rPr>
          <w:sz w:val="20"/>
          <w:szCs w:val="20"/>
          <w:color w:val="auto"/>
        </w:rPr>
      </w:pPr>
    </w:p>
    <w:p>
      <w:pPr>
        <w:ind w:left="6120"/>
        <w:spacing w:after="0"/>
        <w:rPr>
          <w:sz w:val="20"/>
          <w:szCs w:val="20"/>
          <w:color w:val="auto"/>
        </w:rPr>
      </w:pPr>
      <w:r>
        <w:rPr>
          <w:rFonts w:ascii="Arial" w:cs="Arial" w:eastAsia="Arial" w:hAnsi="Arial"/>
          <w:sz w:val="12"/>
          <w:szCs w:val="12"/>
          <w:color w:val="auto"/>
        </w:rPr>
        <w:t>Zeynep Hakimoglu</w:t>
      </w:r>
    </w:p>
    <w:p>
      <w:pPr>
        <w:spacing w:after="0" w:line="15" w:lineRule="exact"/>
        <w:rPr>
          <w:sz w:val="20"/>
          <w:szCs w:val="20"/>
          <w:color w:val="auto"/>
        </w:rPr>
      </w:pPr>
    </w:p>
    <w:p>
      <w:pPr>
        <w:ind w:left="6120"/>
        <w:spacing w:after="0"/>
        <w:rPr>
          <w:sz w:val="20"/>
          <w:szCs w:val="20"/>
          <w:color w:val="auto"/>
        </w:rPr>
      </w:pPr>
      <w:r>
        <w:rPr>
          <w:rFonts w:ascii="Arial" w:cs="Arial" w:eastAsia="Arial" w:hAnsi="Arial"/>
          <w:sz w:val="12"/>
          <w:szCs w:val="12"/>
          <w:color w:val="auto"/>
        </w:rPr>
        <w:t>President and Chief Executive Officer</w:t>
      </w:r>
    </w:p>
    <w:p>
      <w:pPr>
        <w:spacing w:after="0" w:line="6" w:lineRule="exact"/>
        <w:rPr>
          <w:sz w:val="20"/>
          <w:szCs w:val="20"/>
          <w:color w:val="auto"/>
        </w:rPr>
      </w:pPr>
    </w:p>
    <w:p>
      <w:pPr>
        <w:ind w:left="6120"/>
        <w:spacing w:after="0"/>
        <w:rPr>
          <w:sz w:val="20"/>
          <w:szCs w:val="20"/>
          <w:color w:val="auto"/>
        </w:rPr>
      </w:pPr>
      <w:r>
        <w:rPr>
          <w:rFonts w:ascii="Arial" w:cs="Arial" w:eastAsia="Arial" w:hAnsi="Arial"/>
          <w:sz w:val="12"/>
          <w:szCs w:val="12"/>
          <w:color w:val="auto"/>
        </w:rPr>
        <w:t>(principal executive officer)</w:t>
      </w:r>
    </w:p>
    <w:p>
      <w:pPr>
        <w:spacing w:after="0" w:line="272" w:lineRule="exact"/>
        <w:rPr>
          <w:sz w:val="20"/>
          <w:szCs w:val="20"/>
          <w:color w:val="auto"/>
        </w:rPr>
      </w:pPr>
    </w:p>
    <w:p>
      <w:pPr>
        <w:ind w:right="40" w:firstLine="288"/>
        <w:spacing w:after="0" w:line="237" w:lineRule="auto"/>
        <w:rPr>
          <w:sz w:val="20"/>
          <w:szCs w:val="20"/>
          <w:color w:val="auto"/>
        </w:rPr>
      </w:pPr>
      <w:r>
        <w:rPr>
          <w:rFonts w:ascii="Arial" w:cs="Arial" w:eastAsia="Arial" w:hAnsi="Arial"/>
          <w:sz w:val="11"/>
          <w:szCs w:val="11"/>
          <w:b w:val="1"/>
          <w:bCs w:val="1"/>
          <w:color w:val="auto"/>
        </w:rPr>
        <w:t>KNOW ALL MEN BY THESE PRESENTS</w:t>
      </w:r>
      <w:r>
        <w:rPr>
          <w:rFonts w:ascii="Arial" w:cs="Arial" w:eastAsia="Arial" w:hAnsi="Arial"/>
          <w:sz w:val="11"/>
          <w:szCs w:val="11"/>
          <w:color w:val="auto"/>
        </w:rPr>
        <w:t>, that each person whose signature appears below hereby constitutes and appoints Zeynep Hakimoglu, Narsi Narayanan, or any one of them, his or her attorneys-in-fact and agents,</w:t>
      </w:r>
      <w:r>
        <w:rPr>
          <w:rFonts w:ascii="Arial" w:cs="Arial" w:eastAsia="Arial" w:hAnsi="Arial"/>
          <w:sz w:val="11"/>
          <w:szCs w:val="11"/>
          <w:b w:val="1"/>
          <w:bCs w:val="1"/>
          <w:color w:val="auto"/>
        </w:rPr>
        <w:t xml:space="preserve"> </w:t>
      </w:r>
      <w:r>
        <w:rPr>
          <w:rFonts w:ascii="Arial" w:cs="Arial" w:eastAsia="Arial" w:hAnsi="Arial"/>
          <w:sz w:val="11"/>
          <w:szCs w:val="11"/>
          <w:color w:val="auto"/>
        </w:rPr>
        <w:t>each with full power of substitution and re-substitution for him in any and all capacities, to sign any or all amendments or post-effective amendments to this registration statement on Form S-3 or a registration statement prepared in accordance with Rule 462 of the Securities Act of 1933, as amended, and to file the same, with exhibits thereto and other documents in connection herewith or in connection with the registration of the offered securities under the Securities Exchange Act of 1934, as amended, with the Securities and Exchange Commission, granting unto each of such attorneys-in-fact and agents full power to do and perform each and every act and thing requisite and necessary in connection with such matters and hereby ratifying and confirming all that each of such attorneys-in-fact and agents or his substitutes may do or cause to be done by virtue hereof.</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180" w:type="dxa"/>
            <w:vAlign w:val="bottom"/>
          </w:tcPr>
          <w:p>
            <w:pPr>
              <w:spacing w:after="0"/>
              <w:rPr>
                <w:sz w:val="20"/>
                <w:szCs w:val="20"/>
                <w:color w:val="auto"/>
              </w:rPr>
            </w:pPr>
            <w:r>
              <w:rPr>
                <w:rFonts w:ascii="Arial" w:cs="Arial" w:eastAsia="Arial" w:hAnsi="Arial"/>
                <w:sz w:val="9"/>
                <w:szCs w:val="9"/>
                <w:b w:val="1"/>
                <w:bCs w:val="1"/>
                <w:color w:val="auto"/>
                <w:w w:val="81"/>
              </w:rPr>
              <w:t>Date</w:t>
            </w:r>
          </w:p>
        </w:tc>
        <w:tc>
          <w:tcPr>
            <w:tcW w:w="1740" w:type="dxa"/>
            <w:vAlign w:val="bottom"/>
          </w:tcPr>
          <w:p>
            <w:pPr>
              <w:spacing w:after="0"/>
              <w:rPr>
                <w:sz w:val="8"/>
                <w:szCs w:val="8"/>
                <w:color w:val="auto"/>
              </w:rPr>
            </w:pPr>
          </w:p>
        </w:tc>
        <w:tc>
          <w:tcPr>
            <w:tcW w:w="9380" w:type="dxa"/>
            <w:vAlign w:val="bottom"/>
            <w:gridSpan w:val="2"/>
          </w:tcPr>
          <w:p>
            <w:pPr>
              <w:spacing w:after="0"/>
              <w:rPr>
                <w:sz w:val="20"/>
                <w:szCs w:val="20"/>
                <w:color w:val="auto"/>
              </w:rPr>
            </w:pPr>
            <w:r>
              <w:rPr>
                <w:rFonts w:ascii="Arial" w:cs="Arial" w:eastAsia="Arial" w:hAnsi="Arial"/>
                <w:sz w:val="9"/>
                <w:szCs w:val="9"/>
                <w:b w:val="1"/>
                <w:bCs w:val="1"/>
                <w:color w:val="auto"/>
              </w:rPr>
              <w:t>Signatures</w:t>
            </w:r>
          </w:p>
        </w:tc>
        <w:tc>
          <w:tcPr>
            <w:tcW w:w="0" w:type="dxa"/>
            <w:vAlign w:val="bottom"/>
          </w:tcPr>
          <w:p>
            <w:pPr>
              <w:spacing w:after="0"/>
              <w:rPr>
                <w:sz w:val="1"/>
                <w:szCs w:val="1"/>
                <w:color w:val="auto"/>
              </w:rPr>
            </w:pPr>
          </w:p>
        </w:tc>
      </w:tr>
      <w:tr>
        <w:trPr>
          <w:trHeight w:val="20"/>
        </w:trPr>
        <w:tc>
          <w:tcPr>
            <w:tcW w:w="180" w:type="dxa"/>
            <w:vAlign w:val="bottom"/>
            <w:shd w:val="clear" w:color="auto" w:fill="000000"/>
          </w:tcPr>
          <w:p>
            <w:pPr>
              <w:spacing w:after="0" w:line="20" w:lineRule="exact"/>
              <w:rPr>
                <w:sz w:val="1"/>
                <w:szCs w:val="1"/>
                <w:color w:val="auto"/>
              </w:rPr>
            </w:pPr>
          </w:p>
        </w:tc>
        <w:tc>
          <w:tcPr>
            <w:tcW w:w="1740" w:type="dxa"/>
            <w:vAlign w:val="bottom"/>
            <w:vMerge w:val="restart"/>
          </w:tcPr>
          <w:p>
            <w:pPr>
              <w:jc w:val="right"/>
              <w:ind w:right="1260"/>
              <w:spacing w:after="0"/>
              <w:rPr>
                <w:sz w:val="20"/>
                <w:szCs w:val="20"/>
                <w:color w:val="auto"/>
              </w:rPr>
            </w:pPr>
            <w:r>
              <w:rPr>
                <w:rFonts w:ascii="Arial" w:cs="Arial" w:eastAsia="Arial" w:hAnsi="Arial"/>
                <w:sz w:val="12"/>
                <w:szCs w:val="12"/>
                <w:color w:val="auto"/>
                <w:w w:val="99"/>
              </w:rPr>
              <w:t>7, 2020</w:t>
            </w:r>
          </w:p>
        </w:tc>
        <w:tc>
          <w:tcPr>
            <w:tcW w:w="400" w:type="dxa"/>
            <w:vAlign w:val="bottom"/>
            <w:shd w:val="clear" w:color="auto" w:fill="000000"/>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80" w:type="dxa"/>
            <w:vAlign w:val="bottom"/>
          </w:tcPr>
          <w:p>
            <w:pPr>
              <w:spacing w:after="0" w:line="124" w:lineRule="exact"/>
              <w:rPr>
                <w:sz w:val="20"/>
                <w:szCs w:val="20"/>
                <w:color w:val="auto"/>
              </w:rPr>
            </w:pPr>
            <w:r>
              <w:rPr>
                <w:rFonts w:ascii="Arial" w:cs="Arial" w:eastAsia="Arial" w:hAnsi="Arial"/>
                <w:sz w:val="12"/>
                <w:szCs w:val="12"/>
                <w:color w:val="auto"/>
                <w:w w:val="70"/>
              </w:rPr>
              <w:t>May</w:t>
            </w:r>
          </w:p>
        </w:tc>
        <w:tc>
          <w:tcPr>
            <w:tcW w:w="1740" w:type="dxa"/>
            <w:vAlign w:val="bottom"/>
            <w:vMerge w:val="continue"/>
          </w:tcPr>
          <w:p>
            <w:pPr>
              <w:spacing w:after="0"/>
              <w:rPr>
                <w:sz w:val="10"/>
                <w:szCs w:val="10"/>
                <w:color w:val="auto"/>
              </w:rPr>
            </w:pPr>
          </w:p>
        </w:tc>
        <w:tc>
          <w:tcPr>
            <w:tcW w:w="9380" w:type="dxa"/>
            <w:vAlign w:val="bottom"/>
            <w:gridSpan w:val="2"/>
          </w:tcPr>
          <w:p>
            <w:pPr>
              <w:spacing w:after="0" w:line="124" w:lineRule="exact"/>
              <w:rPr>
                <w:sz w:val="20"/>
                <w:szCs w:val="20"/>
                <w:color w:val="auto"/>
              </w:rPr>
            </w:pPr>
            <w:r>
              <w:rPr>
                <w:rFonts w:ascii="Arial" w:cs="Arial" w:eastAsia="Arial" w:hAnsi="Arial"/>
                <w:sz w:val="12"/>
                <w:szCs w:val="12"/>
                <w:color w:val="auto"/>
              </w:rPr>
              <w:t>/s/ Zeynep Hakimoglu</w:t>
            </w:r>
          </w:p>
        </w:tc>
        <w:tc>
          <w:tcPr>
            <w:tcW w:w="0" w:type="dxa"/>
            <w:vAlign w:val="bottom"/>
          </w:tcPr>
          <w:p>
            <w:pPr>
              <w:spacing w:after="0"/>
              <w:rPr>
                <w:sz w:val="1"/>
                <w:szCs w:val="1"/>
                <w:color w:val="auto"/>
              </w:rPr>
            </w:pPr>
          </w:p>
        </w:tc>
      </w:tr>
      <w:tr>
        <w:trPr>
          <w:trHeight w:val="144"/>
        </w:trPr>
        <w:tc>
          <w:tcPr>
            <w:tcW w:w="1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9380" w:type="dxa"/>
            <w:vAlign w:val="bottom"/>
            <w:gridSpan w:val="2"/>
          </w:tcPr>
          <w:p>
            <w:pPr>
              <w:spacing w:after="0"/>
              <w:rPr>
                <w:sz w:val="20"/>
                <w:szCs w:val="20"/>
                <w:color w:val="auto"/>
              </w:rPr>
            </w:pPr>
            <w:r>
              <w:rPr>
                <w:rFonts w:ascii="Arial" w:cs="Arial" w:eastAsia="Arial" w:hAnsi="Arial"/>
                <w:sz w:val="12"/>
                <w:szCs w:val="12"/>
                <w:color w:val="auto"/>
              </w:rPr>
              <w:t>Zeynep Hakimoglu, Chairman of the Board of Directors, President and Chief Executive Officer</w:t>
            </w:r>
          </w:p>
        </w:tc>
        <w:tc>
          <w:tcPr>
            <w:tcW w:w="0" w:type="dxa"/>
            <w:vAlign w:val="bottom"/>
          </w:tcPr>
          <w:p>
            <w:pPr>
              <w:spacing w:after="0"/>
              <w:rPr>
                <w:sz w:val="1"/>
                <w:szCs w:val="1"/>
                <w:color w:val="auto"/>
              </w:rPr>
            </w:pPr>
          </w:p>
        </w:tc>
      </w:tr>
      <w:tr>
        <w:trPr>
          <w:trHeight w:val="153"/>
        </w:trPr>
        <w:tc>
          <w:tcPr>
            <w:tcW w:w="1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380" w:type="dxa"/>
            <w:vAlign w:val="bottom"/>
            <w:gridSpan w:val="2"/>
          </w:tcPr>
          <w:p>
            <w:pPr>
              <w:spacing w:after="0"/>
              <w:rPr>
                <w:sz w:val="20"/>
                <w:szCs w:val="20"/>
                <w:color w:val="auto"/>
              </w:rPr>
            </w:pPr>
            <w:r>
              <w:rPr>
                <w:rFonts w:ascii="Arial" w:cs="Arial" w:eastAsia="Arial" w:hAnsi="Arial"/>
                <w:sz w:val="12"/>
                <w:szCs w:val="12"/>
                <w:color w:val="auto"/>
              </w:rPr>
              <w:t>(Principal Executive Officer)</w:t>
            </w:r>
          </w:p>
        </w:tc>
        <w:tc>
          <w:tcPr>
            <w:tcW w:w="0" w:type="dxa"/>
            <w:vAlign w:val="bottom"/>
          </w:tcPr>
          <w:p>
            <w:pPr>
              <w:spacing w:after="0"/>
              <w:rPr>
                <w:sz w:val="1"/>
                <w:szCs w:val="1"/>
                <w:color w:val="auto"/>
              </w:rPr>
            </w:pPr>
          </w:p>
        </w:tc>
      </w:tr>
      <w:tr>
        <w:trPr>
          <w:trHeight w:val="324"/>
        </w:trPr>
        <w:tc>
          <w:tcPr>
            <w:tcW w:w="1920" w:type="dxa"/>
            <w:vAlign w:val="bottom"/>
            <w:gridSpan w:val="2"/>
          </w:tcPr>
          <w:p>
            <w:pPr>
              <w:spacing w:after="0"/>
              <w:rPr>
                <w:sz w:val="20"/>
                <w:szCs w:val="20"/>
                <w:color w:val="auto"/>
              </w:rPr>
            </w:pPr>
            <w:r>
              <w:rPr>
                <w:rFonts w:ascii="Arial" w:cs="Arial" w:eastAsia="Arial" w:hAnsi="Arial"/>
                <w:sz w:val="12"/>
                <w:szCs w:val="12"/>
                <w:color w:val="auto"/>
              </w:rPr>
              <w:t>May 7, 2020</w:t>
            </w:r>
          </w:p>
        </w:tc>
        <w:tc>
          <w:tcPr>
            <w:tcW w:w="9380" w:type="dxa"/>
            <w:vAlign w:val="bottom"/>
            <w:gridSpan w:val="2"/>
          </w:tcPr>
          <w:p>
            <w:pPr>
              <w:spacing w:after="0"/>
              <w:rPr>
                <w:sz w:val="20"/>
                <w:szCs w:val="20"/>
                <w:color w:val="auto"/>
              </w:rPr>
            </w:pPr>
            <w:r>
              <w:rPr>
                <w:rFonts w:ascii="Arial" w:cs="Arial" w:eastAsia="Arial" w:hAnsi="Arial"/>
                <w:sz w:val="12"/>
                <w:szCs w:val="12"/>
                <w:color w:val="auto"/>
              </w:rPr>
              <w:t>/s/ Narsi Narayanan</w:t>
            </w:r>
          </w:p>
        </w:tc>
        <w:tc>
          <w:tcPr>
            <w:tcW w:w="0" w:type="dxa"/>
            <w:vAlign w:val="bottom"/>
          </w:tcPr>
          <w:p>
            <w:pPr>
              <w:spacing w:after="0"/>
              <w:rPr>
                <w:sz w:val="1"/>
                <w:szCs w:val="1"/>
                <w:color w:val="auto"/>
              </w:rPr>
            </w:pPr>
          </w:p>
        </w:tc>
      </w:tr>
      <w:tr>
        <w:trPr>
          <w:trHeight w:val="144"/>
        </w:trPr>
        <w:tc>
          <w:tcPr>
            <w:tcW w:w="1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9380" w:type="dxa"/>
            <w:vAlign w:val="bottom"/>
            <w:gridSpan w:val="2"/>
          </w:tcPr>
          <w:p>
            <w:pPr>
              <w:spacing w:after="0"/>
              <w:rPr>
                <w:sz w:val="20"/>
                <w:szCs w:val="20"/>
                <w:color w:val="auto"/>
              </w:rPr>
            </w:pPr>
            <w:r>
              <w:rPr>
                <w:rFonts w:ascii="Arial" w:cs="Arial" w:eastAsia="Arial" w:hAnsi="Arial"/>
                <w:sz w:val="12"/>
                <w:szCs w:val="12"/>
                <w:color w:val="auto"/>
              </w:rPr>
              <w:t>Narsi Narayanan, Senior Vice President of Finance</w:t>
            </w:r>
          </w:p>
        </w:tc>
        <w:tc>
          <w:tcPr>
            <w:tcW w:w="0" w:type="dxa"/>
            <w:vAlign w:val="bottom"/>
          </w:tcPr>
          <w:p>
            <w:pPr>
              <w:spacing w:after="0"/>
              <w:rPr>
                <w:sz w:val="1"/>
                <w:szCs w:val="1"/>
                <w:color w:val="auto"/>
              </w:rPr>
            </w:pPr>
          </w:p>
        </w:tc>
      </w:tr>
      <w:tr>
        <w:trPr>
          <w:trHeight w:val="153"/>
        </w:trPr>
        <w:tc>
          <w:tcPr>
            <w:tcW w:w="1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380" w:type="dxa"/>
            <w:vAlign w:val="bottom"/>
            <w:gridSpan w:val="2"/>
          </w:tcPr>
          <w:p>
            <w:pPr>
              <w:spacing w:after="0"/>
              <w:rPr>
                <w:sz w:val="20"/>
                <w:szCs w:val="20"/>
                <w:color w:val="auto"/>
              </w:rPr>
            </w:pPr>
            <w:r>
              <w:rPr>
                <w:rFonts w:ascii="Arial" w:cs="Arial" w:eastAsia="Arial" w:hAnsi="Arial"/>
                <w:sz w:val="12"/>
                <w:szCs w:val="12"/>
                <w:color w:val="auto"/>
              </w:rPr>
              <w:t>(Principal Financial and Principal Accounting Officer)</w:t>
            </w:r>
          </w:p>
        </w:tc>
        <w:tc>
          <w:tcPr>
            <w:tcW w:w="0" w:type="dxa"/>
            <w:vAlign w:val="bottom"/>
          </w:tcPr>
          <w:p>
            <w:pPr>
              <w:spacing w:after="0"/>
              <w:rPr>
                <w:sz w:val="1"/>
                <w:szCs w:val="1"/>
                <w:color w:val="auto"/>
              </w:rPr>
            </w:pPr>
          </w:p>
        </w:tc>
      </w:tr>
      <w:tr>
        <w:trPr>
          <w:trHeight w:val="387"/>
        </w:trPr>
        <w:tc>
          <w:tcPr>
            <w:tcW w:w="1920" w:type="dxa"/>
            <w:vAlign w:val="bottom"/>
            <w:gridSpan w:val="2"/>
          </w:tcPr>
          <w:p>
            <w:pPr>
              <w:spacing w:after="0"/>
              <w:rPr>
                <w:sz w:val="20"/>
                <w:szCs w:val="20"/>
                <w:color w:val="auto"/>
              </w:rPr>
            </w:pPr>
            <w:r>
              <w:rPr>
                <w:rFonts w:ascii="Arial" w:cs="Arial" w:eastAsia="Arial" w:hAnsi="Arial"/>
                <w:sz w:val="12"/>
                <w:szCs w:val="12"/>
                <w:color w:val="auto"/>
              </w:rPr>
              <w:t>May 7, 2020</w:t>
            </w:r>
          </w:p>
        </w:tc>
        <w:tc>
          <w:tcPr>
            <w:tcW w:w="9380" w:type="dxa"/>
            <w:vAlign w:val="bottom"/>
            <w:gridSpan w:val="2"/>
          </w:tcPr>
          <w:p>
            <w:pPr>
              <w:spacing w:after="0"/>
              <w:rPr>
                <w:sz w:val="20"/>
                <w:szCs w:val="20"/>
                <w:color w:val="auto"/>
              </w:rPr>
            </w:pPr>
            <w:r>
              <w:rPr>
                <w:rFonts w:ascii="Arial" w:cs="Arial" w:eastAsia="Arial" w:hAnsi="Arial"/>
                <w:sz w:val="12"/>
                <w:szCs w:val="12"/>
                <w:color w:val="auto"/>
              </w:rPr>
              <w:t>/s/ Larry R. Hendricks</w:t>
            </w:r>
          </w:p>
        </w:tc>
        <w:tc>
          <w:tcPr>
            <w:tcW w:w="0" w:type="dxa"/>
            <w:vAlign w:val="bottom"/>
          </w:tcPr>
          <w:p>
            <w:pPr>
              <w:spacing w:after="0"/>
              <w:rPr>
                <w:sz w:val="1"/>
                <w:szCs w:val="1"/>
                <w:color w:val="auto"/>
              </w:rPr>
            </w:pPr>
          </w:p>
        </w:tc>
      </w:tr>
      <w:tr>
        <w:trPr>
          <w:trHeight w:val="153"/>
        </w:trPr>
        <w:tc>
          <w:tcPr>
            <w:tcW w:w="1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380" w:type="dxa"/>
            <w:vAlign w:val="bottom"/>
            <w:gridSpan w:val="2"/>
          </w:tcPr>
          <w:p>
            <w:pPr>
              <w:spacing w:after="0"/>
              <w:rPr>
                <w:sz w:val="20"/>
                <w:szCs w:val="20"/>
                <w:color w:val="auto"/>
              </w:rPr>
            </w:pPr>
            <w:r>
              <w:rPr>
                <w:rFonts w:ascii="Arial" w:cs="Arial" w:eastAsia="Arial" w:hAnsi="Arial"/>
                <w:sz w:val="12"/>
                <w:szCs w:val="12"/>
                <w:color w:val="auto"/>
              </w:rPr>
              <w:t>Larry R. Hendricks, Director</w:t>
            </w:r>
          </w:p>
        </w:tc>
        <w:tc>
          <w:tcPr>
            <w:tcW w:w="0" w:type="dxa"/>
            <w:vAlign w:val="bottom"/>
          </w:tcPr>
          <w:p>
            <w:pPr>
              <w:spacing w:after="0"/>
              <w:rPr>
                <w:sz w:val="1"/>
                <w:szCs w:val="1"/>
                <w:color w:val="auto"/>
              </w:rPr>
            </w:pPr>
          </w:p>
        </w:tc>
      </w:tr>
      <w:tr>
        <w:trPr>
          <w:trHeight w:val="315"/>
        </w:trPr>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380" w:type="dxa"/>
            <w:vAlign w:val="bottom"/>
            <w:gridSpan w:val="2"/>
          </w:tcPr>
          <w:p>
            <w:pPr>
              <w:spacing w:after="0"/>
              <w:rPr>
                <w:sz w:val="20"/>
                <w:szCs w:val="20"/>
                <w:color w:val="auto"/>
              </w:rPr>
            </w:pPr>
            <w:r>
              <w:rPr>
                <w:rFonts w:ascii="Arial" w:cs="Arial" w:eastAsia="Arial" w:hAnsi="Arial"/>
                <w:sz w:val="12"/>
                <w:szCs w:val="12"/>
                <w:color w:val="auto"/>
              </w:rPr>
              <w:t>/s/ Eric L. Robinson</w:t>
            </w:r>
          </w:p>
        </w:tc>
        <w:tc>
          <w:tcPr>
            <w:tcW w:w="0" w:type="dxa"/>
            <w:vAlign w:val="bottom"/>
          </w:tcPr>
          <w:p>
            <w:pPr>
              <w:spacing w:after="0"/>
              <w:rPr>
                <w:sz w:val="1"/>
                <w:szCs w:val="1"/>
                <w:color w:val="auto"/>
              </w:rPr>
            </w:pPr>
          </w:p>
        </w:tc>
      </w:tr>
      <w:tr>
        <w:trPr>
          <w:trHeight w:val="153"/>
        </w:trPr>
        <w:tc>
          <w:tcPr>
            <w:tcW w:w="1920" w:type="dxa"/>
            <w:vAlign w:val="bottom"/>
            <w:gridSpan w:val="2"/>
          </w:tcPr>
          <w:p>
            <w:pPr>
              <w:spacing w:after="0"/>
              <w:rPr>
                <w:sz w:val="20"/>
                <w:szCs w:val="20"/>
                <w:color w:val="auto"/>
              </w:rPr>
            </w:pPr>
            <w:r>
              <w:rPr>
                <w:rFonts w:ascii="Arial" w:cs="Arial" w:eastAsia="Arial" w:hAnsi="Arial"/>
                <w:sz w:val="12"/>
                <w:szCs w:val="12"/>
                <w:color w:val="auto"/>
              </w:rPr>
              <w:t>May 7, 2020</w:t>
            </w:r>
          </w:p>
        </w:tc>
        <w:tc>
          <w:tcPr>
            <w:tcW w:w="9380" w:type="dxa"/>
            <w:vAlign w:val="bottom"/>
            <w:gridSpan w:val="2"/>
          </w:tcPr>
          <w:p>
            <w:pPr>
              <w:spacing w:after="0"/>
              <w:rPr>
                <w:sz w:val="20"/>
                <w:szCs w:val="20"/>
                <w:color w:val="auto"/>
              </w:rPr>
            </w:pPr>
            <w:r>
              <w:rPr>
                <w:rFonts w:ascii="Arial" w:cs="Arial" w:eastAsia="Arial" w:hAnsi="Arial"/>
                <w:sz w:val="12"/>
                <w:szCs w:val="12"/>
                <w:color w:val="auto"/>
              </w:rPr>
              <w:t>Eric L. Robinson, Director</w:t>
            </w:r>
          </w:p>
        </w:tc>
        <w:tc>
          <w:tcPr>
            <w:tcW w:w="0" w:type="dxa"/>
            <w:vAlign w:val="bottom"/>
          </w:tcPr>
          <w:p>
            <w:pPr>
              <w:spacing w:after="0"/>
              <w:rPr>
                <w:sz w:val="1"/>
                <w:szCs w:val="1"/>
                <w:color w:val="auto"/>
              </w:rPr>
            </w:pPr>
          </w:p>
        </w:tc>
      </w:tr>
      <w:tr>
        <w:trPr>
          <w:trHeight w:val="315"/>
        </w:trPr>
        <w:tc>
          <w:tcPr>
            <w:tcW w:w="1920" w:type="dxa"/>
            <w:vAlign w:val="bottom"/>
            <w:gridSpan w:val="2"/>
            <w:vMerge w:val="restart"/>
          </w:tcPr>
          <w:p>
            <w:pPr>
              <w:spacing w:after="0"/>
              <w:rPr>
                <w:sz w:val="20"/>
                <w:szCs w:val="20"/>
                <w:color w:val="auto"/>
              </w:rPr>
            </w:pPr>
            <w:r>
              <w:rPr>
                <w:rFonts w:ascii="Arial" w:cs="Arial" w:eastAsia="Arial" w:hAnsi="Arial"/>
                <w:sz w:val="12"/>
                <w:szCs w:val="12"/>
                <w:color w:val="auto"/>
              </w:rPr>
              <w:t>May 7, 2020</w:t>
            </w:r>
          </w:p>
        </w:tc>
        <w:tc>
          <w:tcPr>
            <w:tcW w:w="9380" w:type="dxa"/>
            <w:vAlign w:val="bottom"/>
            <w:gridSpan w:val="2"/>
          </w:tcPr>
          <w:p>
            <w:pPr>
              <w:spacing w:after="0"/>
              <w:rPr>
                <w:sz w:val="20"/>
                <w:szCs w:val="20"/>
                <w:color w:val="auto"/>
              </w:rPr>
            </w:pPr>
            <w:r>
              <w:rPr>
                <w:rFonts w:ascii="Arial" w:cs="Arial" w:eastAsia="Arial" w:hAnsi="Arial"/>
                <w:sz w:val="12"/>
                <w:szCs w:val="12"/>
                <w:color w:val="auto"/>
              </w:rPr>
              <w:t>/s/ Bruce Whaley</w:t>
            </w:r>
          </w:p>
        </w:tc>
        <w:tc>
          <w:tcPr>
            <w:tcW w:w="0" w:type="dxa"/>
            <w:vAlign w:val="bottom"/>
          </w:tcPr>
          <w:p>
            <w:pPr>
              <w:spacing w:after="0"/>
              <w:rPr>
                <w:sz w:val="1"/>
                <w:szCs w:val="1"/>
                <w:color w:val="auto"/>
              </w:rPr>
            </w:pPr>
          </w:p>
        </w:tc>
      </w:tr>
      <w:tr>
        <w:trPr>
          <w:trHeight w:val="153"/>
        </w:trPr>
        <w:tc>
          <w:tcPr>
            <w:tcW w:w="1920" w:type="dxa"/>
            <w:vAlign w:val="bottom"/>
            <w:gridSpan w:val="2"/>
            <w:vMerge w:val="continue"/>
          </w:tcPr>
          <w:p>
            <w:pPr>
              <w:spacing w:after="0"/>
              <w:rPr>
                <w:sz w:val="13"/>
                <w:szCs w:val="13"/>
                <w:color w:val="auto"/>
              </w:rPr>
            </w:pPr>
          </w:p>
        </w:tc>
        <w:tc>
          <w:tcPr>
            <w:tcW w:w="9380" w:type="dxa"/>
            <w:vAlign w:val="bottom"/>
            <w:gridSpan w:val="2"/>
          </w:tcPr>
          <w:p>
            <w:pPr>
              <w:spacing w:after="0"/>
              <w:rPr>
                <w:sz w:val="20"/>
                <w:szCs w:val="20"/>
                <w:color w:val="auto"/>
              </w:rPr>
            </w:pPr>
            <w:r>
              <w:rPr>
                <w:rFonts w:ascii="Arial" w:cs="Arial" w:eastAsia="Arial" w:hAnsi="Arial"/>
                <w:sz w:val="12"/>
                <w:szCs w:val="12"/>
                <w:color w:val="auto"/>
              </w:rPr>
              <w:t>Bruce Whaley, Director</w:t>
            </w:r>
          </w:p>
        </w:tc>
        <w:tc>
          <w:tcPr>
            <w:tcW w:w="0" w:type="dxa"/>
            <w:vAlign w:val="bottom"/>
          </w:tcPr>
          <w:p>
            <w:pPr>
              <w:spacing w:after="0"/>
              <w:rPr>
                <w:sz w:val="1"/>
                <w:szCs w:val="1"/>
                <w:color w:val="auto"/>
              </w:rPr>
            </w:pPr>
          </w:p>
        </w:tc>
      </w:tr>
      <w:tr>
        <w:trPr>
          <w:trHeight w:val="648"/>
        </w:trPr>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380" w:type="dxa"/>
            <w:vAlign w:val="bottom"/>
            <w:gridSpan w:val="2"/>
          </w:tcPr>
          <w:p>
            <w:pPr>
              <w:ind w:left="3660"/>
              <w:spacing w:after="0"/>
              <w:rPr>
                <w:sz w:val="20"/>
                <w:szCs w:val="20"/>
                <w:color w:val="auto"/>
              </w:rPr>
            </w:pPr>
            <w:r>
              <w:rPr>
                <w:rFonts w:ascii="Arial" w:cs="Arial" w:eastAsia="Arial" w:hAnsi="Arial"/>
                <w:sz w:val="12"/>
                <w:szCs w:val="12"/>
                <w:color w:val="auto"/>
              </w:rPr>
              <w:t>14</w:t>
            </w:r>
          </w:p>
        </w:tc>
        <w:tc>
          <w:tcPr>
            <w:tcW w:w="0" w:type="dxa"/>
            <w:vAlign w:val="bottom"/>
          </w:tcPr>
          <w:p>
            <w:pPr>
              <w:spacing w:after="0"/>
              <w:rPr>
                <w:sz w:val="1"/>
                <w:szCs w:val="1"/>
                <w:color w:val="auto"/>
              </w:rPr>
            </w:pPr>
          </w:p>
        </w:tc>
      </w:tr>
      <w:tr>
        <w:trPr>
          <w:trHeight w:val="81"/>
        </w:trPr>
        <w:tc>
          <w:tcPr>
            <w:tcW w:w="18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89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262" w:right="299" w:bottom="1440" w:gutter="0" w:footer="0" w:header="0"/>
        </w:sectPr>
      </w:pPr>
    </w:p>
    <w:bookmarkStart w:id="16" w:name="page17"/>
    <w:bookmarkEnd w:id="16"/>
    <w:p>
      <w:pPr>
        <w:jc w:val="center"/>
        <w:ind w:right="-219"/>
        <w:spacing w:after="0"/>
        <w:rPr>
          <w:sz w:val="20"/>
          <w:szCs w:val="20"/>
          <w:color w:val="auto"/>
        </w:rPr>
      </w:pPr>
      <w:r>
        <w:rPr>
          <w:rFonts w:ascii="Arial" w:cs="Arial" w:eastAsia="Arial" w:hAnsi="Arial"/>
          <w:sz w:val="12"/>
          <w:szCs w:val="12"/>
          <w:b w:val="1"/>
          <w:bCs w:val="1"/>
          <w:color w:val="auto"/>
        </w:rPr>
        <w:t>EXHIBIT INDEX</w:t>
      </w:r>
    </w:p>
    <w:p>
      <w:pPr>
        <w:spacing w:after="0" w:line="352" w:lineRule="exact"/>
        <w:rPr>
          <w:sz w:val="20"/>
          <w:szCs w:val="20"/>
          <w:color w:val="auto"/>
        </w:rPr>
      </w:pPr>
    </w:p>
    <w:p>
      <w:pPr>
        <w:ind w:left="840" w:hanging="440"/>
        <w:spacing w:after="0" w:line="266" w:lineRule="auto"/>
        <w:tabs>
          <w:tab w:leader="none" w:pos="820" w:val="left"/>
        </w:tabs>
        <w:rPr>
          <w:rFonts w:ascii="Arial" w:cs="Arial" w:eastAsia="Arial" w:hAnsi="Arial"/>
          <w:sz w:val="12"/>
          <w:szCs w:val="12"/>
          <w:u w:val="single" w:color="auto"/>
          <w:color w:val="0000EE"/>
        </w:rPr>
      </w:pPr>
      <w:r>
        <w:rPr>
          <w:rFonts w:ascii="Arial" w:cs="Arial" w:eastAsia="Arial" w:hAnsi="Arial"/>
          <w:sz w:val="12"/>
          <w:szCs w:val="12"/>
          <w:color w:val="auto"/>
        </w:rPr>
        <w:t>4.1</w:t>
      </w:r>
      <w:r>
        <w:rPr>
          <w:sz w:val="20"/>
          <w:szCs w:val="20"/>
          <w:color w:val="auto"/>
        </w:rPr>
        <w:tab/>
      </w:r>
      <w:hyperlink r:id="rId45">
        <w:r>
          <w:rPr>
            <w:rFonts w:ascii="Arial" w:cs="Arial" w:eastAsia="Arial" w:hAnsi="Arial"/>
            <w:sz w:val="12"/>
            <w:szCs w:val="12"/>
            <w:u w:val="single" w:color="auto"/>
            <w:color w:val="0000EE"/>
          </w:rPr>
          <w:t>Description of Securities Registered Pursuant to Section 12 of the Securities Exchange Act of 1934 (filed as Exhibit 4.1 to ClearOne, Inc.’s Annual Report on Form 10-K for the year ended December 31, 2019 and</w:t>
        </w:r>
      </w:hyperlink>
      <w:r>
        <w:rPr>
          <w:rFonts w:ascii="Arial" w:cs="Arial" w:eastAsia="Arial" w:hAnsi="Arial"/>
          <w:sz w:val="12"/>
          <w:szCs w:val="12"/>
          <w:u w:val="single" w:color="auto"/>
          <w:color w:val="0000EE"/>
        </w:rPr>
        <w:t xml:space="preserve"> </w:t>
      </w:r>
      <w:hyperlink r:id="rId45">
        <w:r>
          <w:rPr>
            <w:rFonts w:ascii="Arial" w:cs="Arial" w:eastAsia="Arial" w:hAnsi="Arial"/>
            <w:sz w:val="12"/>
            <w:szCs w:val="12"/>
            <w:u w:val="single" w:color="auto"/>
            <w:color w:val="0000EE"/>
          </w:rPr>
          <w:t>incorporated herein by reference).</w:t>
        </w:r>
      </w:hyperlink>
    </w:p>
    <w:p>
      <w:pPr>
        <w:ind w:left="400"/>
        <w:spacing w:after="0"/>
        <w:tabs>
          <w:tab w:leader="none" w:pos="820" w:val="left"/>
        </w:tabs>
        <w:rPr>
          <w:rFonts w:ascii="Arial" w:cs="Arial" w:eastAsia="Arial" w:hAnsi="Arial"/>
          <w:sz w:val="11"/>
          <w:szCs w:val="11"/>
          <w:u w:val="single" w:color="auto"/>
          <w:color w:val="0000EE"/>
        </w:rPr>
      </w:pPr>
      <w:r>
        <w:rPr>
          <w:rFonts w:ascii="Arial" w:cs="Arial" w:eastAsia="Arial" w:hAnsi="Arial"/>
          <w:sz w:val="12"/>
          <w:szCs w:val="12"/>
          <w:color w:val="auto"/>
        </w:rPr>
        <w:t>5.1</w:t>
      </w:r>
      <w:r>
        <w:rPr>
          <w:sz w:val="20"/>
          <w:szCs w:val="20"/>
          <w:color w:val="auto"/>
        </w:rPr>
        <w:tab/>
      </w:r>
      <w:hyperlink w:anchor="page18">
        <w:r>
          <w:rPr>
            <w:rFonts w:ascii="Arial" w:cs="Arial" w:eastAsia="Arial" w:hAnsi="Arial"/>
            <w:sz w:val="11"/>
            <w:szCs w:val="11"/>
            <w:u w:val="single" w:color="auto"/>
            <w:color w:val="0000EE"/>
          </w:rPr>
          <w:t>Opinion of Seyfarth Shaw LLP regarding the validity of the securities being issued.*</w:t>
        </w:r>
      </w:hyperlink>
    </w:p>
    <w:p>
      <w:pPr>
        <w:spacing w:after="0" w:line="150" w:lineRule="exact"/>
        <w:rPr>
          <w:sz w:val="20"/>
          <w:szCs w:val="20"/>
          <w:color w:val="auto"/>
        </w:rPr>
      </w:pPr>
    </w:p>
    <w:p>
      <w:pPr>
        <w:ind w:left="400"/>
        <w:spacing w:after="0"/>
        <w:tabs>
          <w:tab w:leader="none" w:pos="820" w:val="left"/>
        </w:tabs>
        <w:rPr>
          <w:rFonts w:ascii="Arial" w:cs="Arial" w:eastAsia="Arial" w:hAnsi="Arial"/>
          <w:sz w:val="11"/>
          <w:szCs w:val="11"/>
          <w:u w:val="single" w:color="auto"/>
          <w:color w:val="0000EE"/>
        </w:rPr>
      </w:pPr>
      <w:r>
        <w:rPr>
          <w:rFonts w:ascii="Arial" w:cs="Arial" w:eastAsia="Arial" w:hAnsi="Arial"/>
          <w:sz w:val="12"/>
          <w:szCs w:val="12"/>
          <w:color w:val="auto"/>
        </w:rPr>
        <w:t>23.1</w:t>
      </w:r>
      <w:r>
        <w:rPr>
          <w:sz w:val="20"/>
          <w:szCs w:val="20"/>
          <w:color w:val="auto"/>
        </w:rPr>
        <w:tab/>
      </w:r>
      <w:hyperlink w:anchor="page20">
        <w:r>
          <w:rPr>
            <w:rFonts w:ascii="Arial" w:cs="Arial" w:eastAsia="Arial" w:hAnsi="Arial"/>
            <w:sz w:val="11"/>
            <w:szCs w:val="11"/>
            <w:u w:val="single" w:color="auto"/>
            <w:color w:val="0000EE"/>
          </w:rPr>
          <w:t>Consent of Tanner LLC</w:t>
        </w:r>
      </w:hyperlink>
      <w:r>
        <w:rPr>
          <w:rFonts w:ascii="Arial" w:cs="Arial" w:eastAsia="Arial" w:hAnsi="Arial"/>
          <w:sz w:val="11"/>
          <w:szCs w:val="11"/>
          <w:color w:val="000000"/>
        </w:rPr>
        <w:t>*</w:t>
      </w:r>
    </w:p>
    <w:p>
      <w:pPr>
        <w:spacing w:after="0" w:line="168" w:lineRule="exact"/>
        <w:rPr>
          <w:sz w:val="20"/>
          <w:szCs w:val="20"/>
          <w:color w:val="auto"/>
        </w:rPr>
      </w:pPr>
    </w:p>
    <w:p>
      <w:pPr>
        <w:ind w:left="400"/>
        <w:spacing w:after="0"/>
        <w:tabs>
          <w:tab w:leader="none" w:pos="820" w:val="left"/>
        </w:tabs>
        <w:rPr>
          <w:rFonts w:ascii="Arial" w:cs="Arial" w:eastAsia="Arial" w:hAnsi="Arial"/>
          <w:sz w:val="11"/>
          <w:szCs w:val="11"/>
          <w:color w:val="auto"/>
        </w:rPr>
      </w:pPr>
      <w:r>
        <w:rPr>
          <w:rFonts w:ascii="Arial" w:cs="Arial" w:eastAsia="Arial" w:hAnsi="Arial"/>
          <w:sz w:val="12"/>
          <w:szCs w:val="12"/>
          <w:color w:val="auto"/>
        </w:rPr>
        <w:t>23.2</w:t>
      </w:r>
      <w:r>
        <w:rPr>
          <w:sz w:val="20"/>
          <w:szCs w:val="20"/>
          <w:color w:val="auto"/>
        </w:rPr>
        <w:tab/>
      </w:r>
      <w:r>
        <w:rPr>
          <w:rFonts w:ascii="Arial" w:cs="Arial" w:eastAsia="Arial" w:hAnsi="Arial"/>
          <w:sz w:val="11"/>
          <w:szCs w:val="11"/>
          <w:color w:val="auto"/>
        </w:rPr>
        <w:t xml:space="preserve">Consent of Seyfarth Shaw LLP (Included in </w:t>
      </w:r>
      <w:hyperlink w:anchor="page18">
        <w:r>
          <w:rPr>
            <w:rFonts w:ascii="Arial" w:cs="Arial" w:eastAsia="Arial" w:hAnsi="Arial"/>
            <w:sz w:val="11"/>
            <w:szCs w:val="11"/>
            <w:u w:val="single" w:color="auto"/>
            <w:color w:val="0000EE"/>
          </w:rPr>
          <w:t>Exhibit 5.1</w:t>
        </w:r>
      </w:hyperlink>
      <w:r>
        <w:rPr>
          <w:rFonts w:ascii="Arial" w:cs="Arial" w:eastAsia="Arial" w:hAnsi="Arial"/>
          <w:sz w:val="11"/>
          <w:szCs w:val="11"/>
          <w:color w:val="auto"/>
        </w:rPr>
        <w:t>).</w:t>
      </w:r>
    </w:p>
    <w:p>
      <w:pPr>
        <w:spacing w:after="0" w:line="150" w:lineRule="exact"/>
        <w:rPr>
          <w:sz w:val="20"/>
          <w:szCs w:val="20"/>
          <w:color w:val="auto"/>
        </w:rPr>
      </w:pPr>
    </w:p>
    <w:p>
      <w:pPr>
        <w:ind w:left="400"/>
        <w:spacing w:after="0"/>
        <w:tabs>
          <w:tab w:leader="none" w:pos="820" w:val="left"/>
        </w:tabs>
        <w:rPr>
          <w:sz w:val="20"/>
          <w:szCs w:val="20"/>
          <w:color w:val="auto"/>
        </w:rPr>
      </w:pPr>
      <w:r>
        <w:rPr>
          <w:rFonts w:ascii="Arial" w:cs="Arial" w:eastAsia="Arial" w:hAnsi="Arial"/>
          <w:sz w:val="12"/>
          <w:szCs w:val="12"/>
          <w:color w:val="auto"/>
        </w:rPr>
        <w:t>24.1</w:t>
      </w:r>
      <w:r>
        <w:rPr>
          <w:sz w:val="20"/>
          <w:szCs w:val="20"/>
          <w:color w:val="auto"/>
        </w:rPr>
        <w:tab/>
      </w:r>
      <w:r>
        <w:rPr>
          <w:rFonts w:ascii="Arial" w:cs="Arial" w:eastAsia="Arial" w:hAnsi="Arial"/>
          <w:sz w:val="11"/>
          <w:szCs w:val="11"/>
          <w:color w:val="auto"/>
        </w:rPr>
        <w:t>Power of Attorney (Included on signature page).</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 filed herewith</w:t>
      </w:r>
    </w:p>
    <w:p>
      <w:pPr>
        <w:spacing w:after="0" w:line="168" w:lineRule="exact"/>
        <w:rPr>
          <w:sz w:val="20"/>
          <w:szCs w:val="20"/>
          <w:color w:val="auto"/>
        </w:rPr>
      </w:pPr>
    </w:p>
    <w:p>
      <w:pPr>
        <w:jc w:val="center"/>
        <w:ind w:right="-219"/>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60960</wp:posOffset>
            </wp:positionV>
            <wp:extent cx="7178040" cy="114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060"/>
          </w:cols>
          <w:pgMar w:left="300" w:top="415" w:right="539" w:bottom="1440" w:gutter="0" w:footer="0" w:header="0"/>
        </w:sectPr>
      </w:pPr>
    </w:p>
    <w:bookmarkStart w:id="17" w:name="page18"/>
    <w:bookmarkEnd w:id="17"/>
    <w:p>
      <w:pPr>
        <w:jc w:val="right"/>
        <w:spacing w:after="0"/>
        <w:rPr>
          <w:sz w:val="20"/>
          <w:szCs w:val="20"/>
          <w:color w:val="auto"/>
        </w:rPr>
      </w:pPr>
      <w:r>
        <w:rPr>
          <w:rFonts w:ascii="Arial" w:cs="Arial" w:eastAsia="Arial" w:hAnsi="Arial"/>
          <w:sz w:val="12"/>
          <w:szCs w:val="12"/>
          <w:b w:val="1"/>
          <w:bCs w:val="1"/>
          <w:color w:val="auto"/>
        </w:rPr>
        <w:t>Exhibit 5.1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[LETTERHEAD OF SEYFARTH SHAW LLP]</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May 7, 2020</w:t>
      </w:r>
    </w:p>
    <w:p>
      <w:pPr>
        <w:spacing w:after="0" w:line="85" w:lineRule="exact"/>
        <w:rPr>
          <w:sz w:val="20"/>
          <w:szCs w:val="20"/>
          <w:color w:val="auto"/>
        </w:rPr>
      </w:pPr>
    </w:p>
    <w:p>
      <w:pPr>
        <w:spacing w:after="0"/>
        <w:rPr>
          <w:sz w:val="20"/>
          <w:szCs w:val="20"/>
          <w:color w:val="auto"/>
        </w:rPr>
      </w:pPr>
      <w:r>
        <w:rPr>
          <w:rFonts w:ascii="Arial" w:cs="Arial" w:eastAsia="Arial" w:hAnsi="Arial"/>
          <w:sz w:val="12"/>
          <w:szCs w:val="12"/>
          <w:color w:val="auto"/>
        </w:rPr>
        <w:t>ClearOne, Inc.</w:t>
      </w:r>
    </w:p>
    <w:p>
      <w:pPr>
        <w:spacing w:after="0" w:line="203" w:lineRule="auto"/>
        <w:rPr>
          <w:sz w:val="20"/>
          <w:szCs w:val="20"/>
          <w:color w:val="auto"/>
        </w:rPr>
      </w:pPr>
      <w:r>
        <w:rPr>
          <w:rFonts w:ascii="Arial" w:cs="Arial" w:eastAsia="Arial" w:hAnsi="Arial"/>
          <w:sz w:val="12"/>
          <w:szCs w:val="12"/>
          <w:color w:val="auto"/>
        </w:rPr>
        <w:t>5225 Wiley Post Way</w:t>
      </w:r>
    </w:p>
    <w:p>
      <w:pPr>
        <w:spacing w:after="0" w:line="203" w:lineRule="auto"/>
        <w:rPr>
          <w:sz w:val="20"/>
          <w:szCs w:val="20"/>
          <w:color w:val="auto"/>
        </w:rPr>
      </w:pPr>
      <w:r>
        <w:rPr>
          <w:rFonts w:ascii="Arial" w:cs="Arial" w:eastAsia="Arial" w:hAnsi="Arial"/>
          <w:sz w:val="12"/>
          <w:szCs w:val="12"/>
          <w:color w:val="auto"/>
        </w:rPr>
        <w:t>Suite 500</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Salt Lake City, UT 84116</w:t>
      </w:r>
    </w:p>
    <w:p>
      <w:pPr>
        <w:spacing w:after="0" w:line="86" w:lineRule="exact"/>
        <w:rPr>
          <w:sz w:val="20"/>
          <w:szCs w:val="20"/>
          <w:color w:val="auto"/>
        </w:rPr>
      </w:pPr>
    </w:p>
    <w:p>
      <w:pPr>
        <w:ind w:left="420"/>
        <w:spacing w:after="0"/>
        <w:tabs>
          <w:tab w:leader="none" w:pos="1000" w:val="left"/>
        </w:tabs>
        <w:rPr>
          <w:sz w:val="20"/>
          <w:szCs w:val="20"/>
          <w:color w:val="auto"/>
        </w:rPr>
      </w:pPr>
      <w:r>
        <w:rPr>
          <w:rFonts w:ascii="Arial" w:cs="Arial" w:eastAsia="Arial" w:hAnsi="Arial"/>
          <w:sz w:val="12"/>
          <w:szCs w:val="12"/>
          <w:color w:val="auto"/>
        </w:rPr>
        <w:t>Re:</w:t>
      </w:r>
      <w:r>
        <w:rPr>
          <w:sz w:val="20"/>
          <w:szCs w:val="20"/>
          <w:color w:val="auto"/>
        </w:rPr>
        <w:tab/>
      </w:r>
      <w:r>
        <w:rPr>
          <w:rFonts w:ascii="Arial" w:cs="Arial" w:eastAsia="Arial" w:hAnsi="Arial"/>
          <w:sz w:val="12"/>
          <w:szCs w:val="12"/>
          <w:u w:val="single" w:color="auto"/>
          <w:color w:val="auto"/>
        </w:rPr>
        <w:t>Registration Statement on Form S-3</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color w:val="auto"/>
        </w:rPr>
        <w:t>Ladies and Gentlemen:</w:t>
      </w:r>
    </w:p>
    <w:p>
      <w:pPr>
        <w:spacing w:after="0" w:line="96" w:lineRule="exact"/>
        <w:rPr>
          <w:sz w:val="20"/>
          <w:szCs w:val="20"/>
          <w:color w:val="auto"/>
        </w:rPr>
      </w:pPr>
    </w:p>
    <w:p>
      <w:pPr>
        <w:jc w:val="both"/>
        <w:ind w:firstLine="576"/>
        <w:spacing w:after="0" w:line="231" w:lineRule="auto"/>
        <w:rPr>
          <w:sz w:val="20"/>
          <w:szCs w:val="20"/>
          <w:color w:val="auto"/>
        </w:rPr>
      </w:pPr>
      <w:r>
        <w:rPr>
          <w:rFonts w:ascii="Arial" w:cs="Arial" w:eastAsia="Arial" w:hAnsi="Arial"/>
          <w:sz w:val="11"/>
          <w:szCs w:val="11"/>
          <w:color w:val="auto"/>
        </w:rPr>
        <w:t>We have acted as counsel to ClearOne, Inc., a Delaware corporation (the “Company”), in connection with the Company’s registration statement on Form S-3 filed with the Securities and Exchange Commission (the “Registration Statement”) under the Securities Act of 1933, as amended (the “Securities Act”), relating to an aggregate of up to 1,762,710 shares of common stock, par value $0.001 per share, of the Company (the “Common Stock”) that may be sold or delivered by the party listed as selling stockholder in the Registration Statement (the “Selling Stockholder”), which Securities consist of (i) 1,421,801 shares of Common Stock (the “Conversion Shares”) issuable by the Company upon conversion of issued and outstanding secured convertible notes (the “Notes”), and (ii) 340,909 shares of Common Stock (the “Warrant Shares,” and together with the Conversion Shares, the “Shares”) issuable by the Company upon the exercise of issued and outstanding warrants (the “Warrants”) currently held by the Selling Stockholder. The Conversion Shares, after conversion of the Notes in accordance with the terms thereof, and the Warrant Shares, after exercise of the Warrants in accordance with the terms thereof, may each be sold or delivered, from time to time as set forth in the Registration Statement, any amendment thereto, the prospectus contained therein (the “Prospectus”) and supplements to the Prospectus, and pursuant to Rule 415 under the Securities Act.</w:t>
      </w:r>
    </w:p>
    <w:p>
      <w:pPr>
        <w:spacing w:after="0" w:line="156" w:lineRule="exact"/>
        <w:rPr>
          <w:sz w:val="20"/>
          <w:szCs w:val="20"/>
          <w:color w:val="auto"/>
        </w:rPr>
      </w:pPr>
    </w:p>
    <w:p>
      <w:pPr>
        <w:ind w:left="560"/>
        <w:spacing w:after="0"/>
        <w:rPr>
          <w:sz w:val="20"/>
          <w:szCs w:val="20"/>
          <w:color w:val="auto"/>
        </w:rPr>
      </w:pPr>
      <w:r>
        <w:rPr>
          <w:rFonts w:ascii="Arial" w:cs="Arial" w:eastAsia="Arial" w:hAnsi="Arial"/>
          <w:sz w:val="12"/>
          <w:szCs w:val="12"/>
          <w:color w:val="auto"/>
        </w:rPr>
        <w:t>In our capacity as counsel to the Company and for purposes of this opinion, we have examined originals, or copies certified or otherwise identified to our satisfaction, of the following documents:</w:t>
      </w:r>
    </w:p>
    <w:p>
      <w:pPr>
        <w:spacing w:after="0" w:line="213" w:lineRule="exact"/>
        <w:rPr>
          <w:sz w:val="20"/>
          <w:szCs w:val="20"/>
          <w:color w:val="auto"/>
        </w:rPr>
      </w:pPr>
    </w:p>
    <w:p>
      <w:pPr>
        <w:ind w:left="1120" w:hanging="525"/>
        <w:spacing w:after="0"/>
        <w:tabs>
          <w:tab w:leader="none" w:pos="11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Certificate of Incorporation of the Company, as in effect on the date hereof (the “Charter”);</w:t>
      </w:r>
    </w:p>
    <w:p>
      <w:pPr>
        <w:spacing w:after="0" w:line="42" w:lineRule="exact"/>
        <w:rPr>
          <w:rFonts w:ascii="Arial" w:cs="Arial" w:eastAsia="Arial" w:hAnsi="Arial"/>
          <w:sz w:val="12"/>
          <w:szCs w:val="12"/>
          <w:color w:val="auto"/>
        </w:rPr>
      </w:pPr>
    </w:p>
    <w:p>
      <w:pPr>
        <w:ind w:left="1120" w:hanging="525"/>
        <w:spacing w:after="0"/>
        <w:tabs>
          <w:tab w:leader="none" w:pos="11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Bylaws of the Company, as in effect on the date hereof (the “By-Laws”);</w:t>
      </w:r>
    </w:p>
    <w:p>
      <w:pPr>
        <w:spacing w:after="0" w:line="42" w:lineRule="exact"/>
        <w:rPr>
          <w:rFonts w:ascii="Arial" w:cs="Arial" w:eastAsia="Arial" w:hAnsi="Arial"/>
          <w:sz w:val="12"/>
          <w:szCs w:val="12"/>
          <w:color w:val="auto"/>
        </w:rPr>
      </w:pPr>
    </w:p>
    <w:p>
      <w:pPr>
        <w:ind w:left="1120" w:hanging="525"/>
        <w:spacing w:after="0"/>
        <w:tabs>
          <w:tab w:leader="none" w:pos="11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Notes and Warrants by and between the Company and the Selling Stockholder as in effect on the date hereof, including all such amendments, supplements and waivers thereto;</w:t>
      </w:r>
    </w:p>
    <w:p>
      <w:pPr>
        <w:spacing w:after="0" w:line="42" w:lineRule="exact"/>
        <w:rPr>
          <w:rFonts w:ascii="Arial" w:cs="Arial" w:eastAsia="Arial" w:hAnsi="Arial"/>
          <w:sz w:val="12"/>
          <w:szCs w:val="12"/>
          <w:color w:val="auto"/>
        </w:rPr>
      </w:pPr>
    </w:p>
    <w:p>
      <w:pPr>
        <w:ind w:left="1120" w:hanging="525"/>
        <w:spacing w:after="0"/>
        <w:tabs>
          <w:tab w:leader="none" w:pos="11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Registration Statement and all exhibits thereto;</w:t>
      </w:r>
    </w:p>
    <w:p>
      <w:pPr>
        <w:spacing w:after="0" w:line="42" w:lineRule="exact"/>
        <w:rPr>
          <w:rFonts w:ascii="Arial" w:cs="Arial" w:eastAsia="Arial" w:hAnsi="Arial"/>
          <w:sz w:val="12"/>
          <w:szCs w:val="12"/>
          <w:color w:val="auto"/>
        </w:rPr>
      </w:pPr>
    </w:p>
    <w:p>
      <w:pPr>
        <w:ind w:left="1120" w:hanging="525"/>
        <w:spacing w:after="0"/>
        <w:tabs>
          <w:tab w:leader="none" w:pos="11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corporate proceedings of the Company with respect to the authorization of the issuance of the Notes, Warrants and Shares; and</w:t>
      </w:r>
    </w:p>
    <w:p>
      <w:pPr>
        <w:spacing w:after="0" w:line="42" w:lineRule="exact"/>
        <w:rPr>
          <w:rFonts w:ascii="Arial" w:cs="Arial" w:eastAsia="Arial" w:hAnsi="Arial"/>
          <w:sz w:val="12"/>
          <w:szCs w:val="12"/>
          <w:color w:val="auto"/>
        </w:rPr>
      </w:pPr>
    </w:p>
    <w:p>
      <w:pPr>
        <w:ind w:left="1120" w:right="740" w:hanging="525"/>
        <w:spacing w:after="0" w:line="276" w:lineRule="auto"/>
        <w:tabs>
          <w:tab w:leader="none" w:pos="11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such other corporate records, documents and other instruments as we have deemed necessary or appropriate to express the opinions set forth in this letter, subject to the assumptions, limitations and qualifications stated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198755</wp:posOffset>
            </wp:positionV>
            <wp:extent cx="5715" cy="1028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5715" cy="102870"/>
                    </a:xfrm>
                    <a:prstGeom prst="rect">
                      <a:avLst/>
                    </a:prstGeom>
                    <a:noFill/>
                  </pic:spPr>
                </pic:pic>
              </a:graphicData>
            </a:graphic>
          </wp:anchor>
        </w:drawing>
        <w:drawing>
          <wp:anchor simplePos="0" relativeHeight="251657728" behindDoc="1" locked="0" layoutInCell="0" allowOverlap="1">
            <wp:simplePos x="0" y="0"/>
            <wp:positionH relativeFrom="column">
              <wp:posOffset>7167245</wp:posOffset>
            </wp:positionH>
            <wp:positionV relativeFrom="paragraph">
              <wp:posOffset>198755</wp:posOffset>
            </wp:positionV>
            <wp:extent cx="5715" cy="1028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5715" cy="10287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49530</wp:posOffset>
            </wp:positionV>
            <wp:extent cx="7178040" cy="114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45" w:right="299" w:bottom="1440" w:gutter="0" w:footer="0" w:header="0"/>
        </w:sectPr>
      </w:pPr>
    </w:p>
    <w:bookmarkStart w:id="18" w:name="page19"/>
    <w:bookmarkEnd w:id="18"/>
    <w:p>
      <w:pPr>
        <w:ind w:left="560"/>
        <w:spacing w:after="0"/>
        <w:rPr>
          <w:sz w:val="20"/>
          <w:szCs w:val="20"/>
          <w:color w:val="auto"/>
        </w:rPr>
      </w:pPr>
      <w:r>
        <w:rPr>
          <w:rFonts w:ascii="Arial" w:cs="Arial" w:eastAsia="Arial" w:hAnsi="Arial"/>
          <w:sz w:val="12"/>
          <w:szCs w:val="12"/>
          <w:color w:val="auto"/>
        </w:rPr>
        <w:t>As to questions of fact material to this opinion, we have relied on certificates or comparable documents of public officials and of officers and representatives of the Company.</w:t>
      </w:r>
    </w:p>
    <w:p>
      <w:pPr>
        <w:spacing w:after="0" w:line="96" w:lineRule="exact"/>
        <w:rPr>
          <w:sz w:val="20"/>
          <w:szCs w:val="20"/>
          <w:color w:val="auto"/>
        </w:rPr>
      </w:pPr>
    </w:p>
    <w:p>
      <w:pPr>
        <w:jc w:val="both"/>
        <w:ind w:firstLine="576"/>
        <w:spacing w:after="0" w:line="234" w:lineRule="auto"/>
        <w:rPr>
          <w:sz w:val="20"/>
          <w:szCs w:val="20"/>
          <w:color w:val="auto"/>
        </w:rPr>
      </w:pPr>
      <w:r>
        <w:rPr>
          <w:rFonts w:ascii="Arial" w:cs="Arial" w:eastAsia="Arial" w:hAnsi="Arial"/>
          <w:sz w:val="12"/>
          <w:szCs w:val="12"/>
          <w:color w:val="auto"/>
        </w:rPr>
        <w:t>We have assumed the genuineness of all signatures, the conformity to the originals of all documents reviewed by us as copies, the authenticity and completeness of all original documents reviewed by us in original or copy form and the legal competence of each individual executing any document.</w:t>
      </w:r>
    </w:p>
    <w:p>
      <w:pPr>
        <w:spacing w:after="0" w:line="82" w:lineRule="exact"/>
        <w:rPr>
          <w:sz w:val="20"/>
          <w:szCs w:val="20"/>
          <w:color w:val="auto"/>
        </w:rPr>
      </w:pPr>
    </w:p>
    <w:p>
      <w:pPr>
        <w:jc w:val="both"/>
        <w:ind w:firstLine="576"/>
        <w:spacing w:after="0" w:line="219" w:lineRule="auto"/>
        <w:rPr>
          <w:sz w:val="20"/>
          <w:szCs w:val="20"/>
          <w:color w:val="auto"/>
        </w:rPr>
      </w:pPr>
      <w:r>
        <w:rPr>
          <w:rFonts w:ascii="Arial" w:cs="Arial" w:eastAsia="Arial" w:hAnsi="Arial"/>
          <w:sz w:val="12"/>
          <w:szCs w:val="12"/>
          <w:color w:val="auto"/>
        </w:rPr>
        <w:t>The scope of this opinion is limited to the laws of the State of Delaware, including without limitation applicable provisions of the Delaware Constitution and reported judicial decisions interpreting these laws. This opinion letter is issued as of the date hereof and is necessarily limited to laws now in effect and facts and circumstances presently existing and brought to our attention. We have assumed that, at or prior to the time of the issuance and delivery of any Shares, that there will not have occurred any change in law, change in the Notes, Warrants or the Company’s Charter, or further action by the Company’s board of directors, in each case affecting the validity of the issuance of the Shares.</w:t>
      </w:r>
    </w:p>
    <w:p>
      <w:pPr>
        <w:spacing w:after="0" w:line="81" w:lineRule="exact"/>
        <w:rPr>
          <w:sz w:val="20"/>
          <w:szCs w:val="20"/>
          <w:color w:val="auto"/>
        </w:rPr>
      </w:pPr>
    </w:p>
    <w:p>
      <w:pPr>
        <w:ind w:left="560"/>
        <w:spacing w:after="0"/>
        <w:rPr>
          <w:sz w:val="20"/>
          <w:szCs w:val="20"/>
          <w:color w:val="auto"/>
        </w:rPr>
      </w:pPr>
      <w:r>
        <w:rPr>
          <w:rFonts w:ascii="Arial" w:cs="Arial" w:eastAsia="Arial" w:hAnsi="Arial"/>
          <w:sz w:val="12"/>
          <w:szCs w:val="12"/>
          <w:color w:val="auto"/>
        </w:rPr>
        <w:t>Based on the foregoing, and subject to the assumptions, limitations and qualifications set forth herein, we are of the opinion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72390</wp:posOffset>
            </wp:positionV>
            <wp:extent cx="6600825" cy="2228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6600825" cy="222885"/>
                    </a:xfrm>
                    <a:prstGeom prst="rect">
                      <a:avLst/>
                    </a:prstGeom>
                    <a:noFill/>
                  </pic:spPr>
                </pic:pic>
              </a:graphicData>
            </a:graphic>
          </wp:anchor>
        </w:drawing>
      </w:r>
    </w:p>
    <w:p>
      <w:pPr>
        <w:spacing w:after="0" w:line="68" w:lineRule="exact"/>
        <w:rPr>
          <w:sz w:val="20"/>
          <w:szCs w:val="20"/>
          <w:color w:val="auto"/>
        </w:rPr>
      </w:pPr>
    </w:p>
    <w:p>
      <w:pPr>
        <w:ind w:left="560"/>
        <w:spacing w:after="0"/>
        <w:rPr>
          <w:sz w:val="20"/>
          <w:szCs w:val="20"/>
          <w:color w:val="auto"/>
        </w:rPr>
      </w:pPr>
      <w:r>
        <w:rPr>
          <w:sz w:val="1"/>
          <w:szCs w:val="1"/>
          <w:color w:val="auto"/>
        </w:rPr>
        <w:drawing>
          <wp:inline distT="0" distB="0" distL="0" distR="0">
            <wp:extent cx="5715" cy="11430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5715" cy="114300"/>
                    </a:xfrm>
                    <a:prstGeom prst="rect">
                      <a:avLst/>
                    </a:prstGeom>
                    <a:noFill/>
                    <a:ln>
                      <a:noFill/>
                    </a:ln>
                  </pic:spPr>
                </pic:pic>
              </a:graphicData>
            </a:graphic>
          </wp:inline>
        </w:drawing>
      </w:r>
      <w:r>
        <w:rPr>
          <w:rFonts w:ascii="Arial" w:cs="Arial" w:eastAsia="Arial" w:hAnsi="Arial"/>
          <w:sz w:val="12"/>
          <w:szCs w:val="12"/>
          <w:color w:val="auto"/>
        </w:rPr>
        <w:t xml:space="preserve">1.    </w:t>
      </w:r>
      <w:r>
        <w:rPr>
          <w:sz w:val="1"/>
          <w:szCs w:val="1"/>
          <w:color w:val="auto"/>
        </w:rPr>
        <w:drawing>
          <wp:inline distT="0" distB="0" distL="0" distR="0">
            <wp:extent cx="5715" cy="11430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5715" cy="114300"/>
                    </a:xfrm>
                    <a:prstGeom prst="rect">
                      <a:avLst/>
                    </a:prstGeom>
                    <a:noFill/>
                    <a:ln>
                      <a:noFill/>
                    </a:ln>
                  </pic:spPr>
                </pic:pic>
              </a:graphicData>
            </a:graphic>
          </wp:inline>
        </w:drawing>
      </w:r>
      <w:r>
        <w:rPr>
          <w:rFonts w:ascii="Arial" w:cs="Arial" w:eastAsia="Arial" w:hAnsi="Arial"/>
          <w:sz w:val="12"/>
          <w:szCs w:val="12"/>
          <w:color w:val="auto"/>
        </w:rPr>
        <w:t>the Conversion Shares, when issued after conversion of the Notes in accordance with the terms thereof, will be validly issued, fully paid and nonassessable.</w:t>
      </w:r>
    </w:p>
    <w:p>
      <w:pPr>
        <w:ind w:left="580"/>
        <w:spacing w:after="0"/>
        <w:tabs>
          <w:tab w:leader="none" w:pos="880" w:val="left"/>
        </w:tabs>
        <w:rPr>
          <w:sz w:val="20"/>
          <w:szCs w:val="20"/>
          <w:color w:val="auto"/>
        </w:rPr>
      </w:pPr>
      <w:r>
        <w:rPr>
          <w:rFonts w:ascii="Arial" w:cs="Arial" w:eastAsia="Arial" w:hAnsi="Arial"/>
          <w:sz w:val="12"/>
          <w:szCs w:val="12"/>
          <w:color w:val="auto"/>
        </w:rPr>
        <w:t>2.</w:t>
      </w:r>
      <w:r>
        <w:rPr>
          <w:sz w:val="20"/>
          <w:szCs w:val="20"/>
          <w:color w:val="auto"/>
        </w:rPr>
        <w:tab/>
      </w:r>
      <w:r>
        <w:rPr>
          <w:rFonts w:ascii="Arial" w:cs="Arial" w:eastAsia="Arial" w:hAnsi="Arial"/>
          <w:sz w:val="12"/>
          <w:szCs w:val="12"/>
          <w:color w:val="auto"/>
        </w:rPr>
        <w:t>the Warrant Shares, when issued after exercise of the Warrants in accordance with the terms thereof, will be validly issued, fully paid and nonassessable.</w:t>
      </w:r>
    </w:p>
    <w:p>
      <w:pPr>
        <w:spacing w:after="0" w:line="132" w:lineRule="exact"/>
        <w:rPr>
          <w:sz w:val="20"/>
          <w:szCs w:val="20"/>
          <w:color w:val="auto"/>
        </w:rPr>
      </w:pPr>
    </w:p>
    <w:p>
      <w:pPr>
        <w:jc w:val="both"/>
        <w:ind w:firstLine="576"/>
        <w:spacing w:after="0" w:line="219" w:lineRule="auto"/>
        <w:rPr>
          <w:sz w:val="20"/>
          <w:szCs w:val="20"/>
          <w:color w:val="auto"/>
        </w:rPr>
      </w:pPr>
      <w:r>
        <w:rPr>
          <w:rFonts w:ascii="Arial" w:cs="Arial" w:eastAsia="Arial" w:hAnsi="Arial"/>
          <w:sz w:val="12"/>
          <w:szCs w:val="12"/>
          <w:color w:val="auto"/>
        </w:rPr>
        <w:t>We consent to the use of this opinion as an exhibit to the Registration Statement and further consent to the reference to us under the heading "Legal Matters" in the Registration Statement, the prospectus constituting a part thereof and any amendments or supplements thereto, as incorporated by reference in the Registration Statement. In giving this consent, we do not admit that we are in the category of persons whose consent is required under Section 7 of the Securities Act, or the rules and regulations promulgated thereunder. In rendering the opinions set forth above, we are opining only as to the specific legal issues expressly set forth therein, and no opinion shall be inferred as to any other matter or matters.</w:t>
      </w:r>
    </w:p>
    <w:p>
      <w:pPr>
        <w:spacing w:after="0" w:line="81" w:lineRule="exact"/>
        <w:rPr>
          <w:sz w:val="20"/>
          <w:szCs w:val="20"/>
          <w:color w:val="auto"/>
        </w:rPr>
      </w:pPr>
    </w:p>
    <w:p>
      <w:pPr>
        <w:ind w:left="560"/>
        <w:spacing w:after="0"/>
        <w:rPr>
          <w:sz w:val="20"/>
          <w:szCs w:val="20"/>
          <w:color w:val="auto"/>
        </w:rPr>
      </w:pPr>
      <w:r>
        <w:rPr>
          <w:rFonts w:ascii="Arial" w:cs="Arial" w:eastAsia="Arial" w:hAnsi="Arial"/>
          <w:sz w:val="12"/>
          <w:szCs w:val="12"/>
          <w:color w:val="auto"/>
        </w:rPr>
        <w:t>This opinion is intended solely for use in connection with the issuance and sale of the Shares that are the subject of the Registration Statement and is not to be relied upon for any other purpose.</w:t>
      </w:r>
    </w:p>
    <w:p>
      <w:pPr>
        <w:spacing w:after="0" w:line="96" w:lineRule="exact"/>
        <w:rPr>
          <w:sz w:val="20"/>
          <w:szCs w:val="20"/>
          <w:color w:val="auto"/>
        </w:rPr>
      </w:pPr>
    </w:p>
    <w:p>
      <w:pPr>
        <w:ind w:left="2580"/>
        <w:spacing w:after="0"/>
        <w:rPr>
          <w:sz w:val="20"/>
          <w:szCs w:val="20"/>
          <w:color w:val="auto"/>
        </w:rPr>
      </w:pPr>
      <w:r>
        <w:rPr>
          <w:rFonts w:ascii="Arial" w:cs="Arial" w:eastAsia="Arial" w:hAnsi="Arial"/>
          <w:sz w:val="12"/>
          <w:szCs w:val="12"/>
          <w:color w:val="auto"/>
        </w:rPr>
        <w:t>Very truly yours,</w:t>
      </w:r>
    </w:p>
    <w:p>
      <w:pPr>
        <w:spacing w:after="0" w:line="96" w:lineRule="exact"/>
        <w:rPr>
          <w:sz w:val="20"/>
          <w:szCs w:val="20"/>
          <w:color w:val="auto"/>
        </w:rPr>
      </w:pPr>
    </w:p>
    <w:p>
      <w:pPr>
        <w:ind w:left="2580"/>
        <w:spacing w:after="0"/>
        <w:rPr>
          <w:sz w:val="20"/>
          <w:szCs w:val="20"/>
          <w:color w:val="auto"/>
        </w:rPr>
      </w:pPr>
      <w:r>
        <w:rPr>
          <w:rFonts w:ascii="Arial" w:cs="Arial" w:eastAsia="Arial" w:hAnsi="Arial"/>
          <w:sz w:val="12"/>
          <w:szCs w:val="12"/>
          <w:u w:val="single" w:color="auto"/>
          <w:color w:val="auto"/>
        </w:rPr>
        <w:t>/s/ SEYFARTH SHAW LLP</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60960</wp:posOffset>
            </wp:positionV>
            <wp:extent cx="7178040" cy="114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410" w:right="299" w:bottom="1440" w:gutter="0" w:footer="0" w:header="0"/>
        </w:sectPr>
      </w:pPr>
    </w:p>
    <w:bookmarkStart w:id="19" w:name="page20"/>
    <w:bookmarkEnd w:id="19"/>
    <w:p>
      <w:pPr>
        <w:jc w:val="right"/>
        <w:spacing w:after="0"/>
        <w:rPr>
          <w:sz w:val="20"/>
          <w:szCs w:val="20"/>
          <w:color w:val="auto"/>
        </w:rPr>
      </w:pPr>
      <w:r>
        <w:rPr>
          <w:rFonts w:ascii="Arial" w:cs="Arial" w:eastAsia="Arial" w:hAnsi="Arial"/>
          <w:sz w:val="13"/>
          <w:szCs w:val="13"/>
          <w:b w:val="1"/>
          <w:bCs w:val="1"/>
          <w:color w:val="auto"/>
        </w:rPr>
        <w:t>Exhibit 23.1</w:t>
      </w:r>
    </w:p>
    <w:p>
      <w:pPr>
        <w:spacing w:after="0" w:line="156" w:lineRule="exact"/>
        <w:rPr>
          <w:sz w:val="20"/>
          <w:szCs w:val="20"/>
          <w:color w:val="auto"/>
        </w:rPr>
      </w:pPr>
    </w:p>
    <w:p>
      <w:pPr>
        <w:jc w:val="center"/>
        <w:ind w:right="-159"/>
        <w:spacing w:after="0"/>
        <w:rPr>
          <w:sz w:val="20"/>
          <w:szCs w:val="20"/>
          <w:color w:val="auto"/>
        </w:rPr>
      </w:pPr>
      <w:r>
        <w:rPr>
          <w:rFonts w:ascii="Arial" w:cs="Arial" w:eastAsia="Arial" w:hAnsi="Arial"/>
          <w:sz w:val="13"/>
          <w:szCs w:val="13"/>
          <w:b w:val="1"/>
          <w:bCs w:val="1"/>
          <w:color w:val="auto"/>
        </w:rPr>
        <w:t>CONSENT OF INDEPENDENT REGISTERED</w:t>
      </w:r>
    </w:p>
    <w:p>
      <w:pPr>
        <w:spacing w:after="0" w:line="18" w:lineRule="exact"/>
        <w:rPr>
          <w:sz w:val="20"/>
          <w:szCs w:val="20"/>
          <w:color w:val="auto"/>
        </w:rPr>
      </w:pPr>
    </w:p>
    <w:p>
      <w:pPr>
        <w:jc w:val="center"/>
        <w:ind w:right="-159"/>
        <w:spacing w:after="0"/>
        <w:rPr>
          <w:sz w:val="20"/>
          <w:szCs w:val="20"/>
          <w:color w:val="auto"/>
        </w:rPr>
      </w:pPr>
      <w:r>
        <w:rPr>
          <w:rFonts w:ascii="Arial" w:cs="Arial" w:eastAsia="Arial" w:hAnsi="Arial"/>
          <w:sz w:val="13"/>
          <w:szCs w:val="13"/>
          <w:b w:val="1"/>
          <w:bCs w:val="1"/>
          <w:color w:val="auto"/>
        </w:rPr>
        <w:t>PUBLIC ACCOUNTING FIRM</w:t>
      </w:r>
    </w:p>
    <w:p>
      <w:pPr>
        <w:spacing w:after="0" w:line="292" w:lineRule="exact"/>
        <w:rPr>
          <w:sz w:val="20"/>
          <w:szCs w:val="20"/>
          <w:color w:val="auto"/>
        </w:rPr>
      </w:pPr>
    </w:p>
    <w:p>
      <w:pPr>
        <w:ind w:right="200" w:firstLine="576"/>
        <w:spacing w:after="0" w:line="263" w:lineRule="auto"/>
        <w:rPr>
          <w:sz w:val="20"/>
          <w:szCs w:val="20"/>
          <w:color w:val="auto"/>
        </w:rPr>
      </w:pPr>
      <w:r>
        <w:rPr>
          <w:rFonts w:ascii="Arial" w:cs="Arial" w:eastAsia="Arial" w:hAnsi="Arial"/>
          <w:sz w:val="12"/>
          <w:szCs w:val="12"/>
          <w:color w:val="auto"/>
        </w:rPr>
        <w:t>We hereby consent to the incorporation by reference in this Registration Statement on Form S-3 of our report dated March 30, 2020, with respect to the consolidated balance sheets of ClearOne, Inc. and subsidiaries as of December 31, 2019 and 2018, and the related consolidated statements of operations and comprehensive loss, shareholders’ equity, and cash flows for each of the years in the two-year period ended December 31, 2019, and to the reference to our firm under the heading “Experts” in this Registration Statement on Form S-3.</w:t>
      </w:r>
    </w:p>
    <w:p>
      <w:pPr>
        <w:spacing w:after="0" w:line="266" w:lineRule="exact"/>
        <w:rPr>
          <w:sz w:val="20"/>
          <w:szCs w:val="20"/>
          <w:color w:val="auto"/>
        </w:rPr>
      </w:pPr>
    </w:p>
    <w:p>
      <w:pPr>
        <w:spacing w:after="0"/>
        <w:rPr>
          <w:sz w:val="20"/>
          <w:szCs w:val="20"/>
          <w:color w:val="auto"/>
        </w:rPr>
      </w:pPr>
      <w:r>
        <w:rPr>
          <w:rFonts w:ascii="Arial" w:cs="Arial" w:eastAsia="Arial" w:hAnsi="Arial"/>
          <w:sz w:val="12"/>
          <w:szCs w:val="12"/>
          <w:color w:val="auto"/>
        </w:rPr>
        <w:t>/s/ TANNER LLC</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Salt Lake City, Utah</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May 7, 2020</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60960</wp:posOffset>
            </wp:positionV>
            <wp:extent cx="7178040" cy="114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sectPr>
      <w:pgSz w:w="11900" w:h="16838" w:orient="portrait"/>
      <w:cols w:equalWidth="0" w:num="1">
        <w:col w:w="11300"/>
      </w:cols>
      <w:pgMar w:left="300" w:top="125"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abstractNum>
  <w:abstractNum w:abstractNumId="1">
    <w:nsid w:val="2EB141F2"/>
    <w:multiLevelType w:val="hybridMultilevel"/>
    <w:lvl w:ilvl="0">
      <w:lvlJc w:val="left"/>
      <w:lvlText w:val="(%1)"/>
      <w:numFmt w:val="lowerLetter"/>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lowerRoman"/>
      <w:start w:val="5"/>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8">
    <w:nsid w:val="4DB127F8"/>
    <w:multiLevelType w:val="hybridMultilevel"/>
    <w:lvl w:ilvl="0">
      <w:lvlJc w:val="left"/>
      <w:lvlText w:val="%1."/>
      <w:numFmt w:val="decimal"/>
      <w:start w:val="2"/>
    </w:lvl>
    <w:lvl w:ilvl="1">
      <w:lvlJc w:val="left"/>
      <w:lvlText w:val="(%2)"/>
      <w:numFmt w:val="lowerRoman"/>
      <w:start w:val="1"/>
    </w:lvl>
    <w:lvl w:ilvl="2">
      <w:lvlJc w:val="left"/>
      <w:lvlText w:val="(%3)"/>
      <w:numFmt w:val="lowerRoman"/>
      <w:start w:val="1"/>
    </w:lvl>
    <w:lvl w:ilvl="3">
      <w:lvlJc w:val="left"/>
      <w:lvlText w:val="(%4)"/>
      <w:numFmt w:val="lowerRoman"/>
      <w:start w:val="10"/>
    </w:lvl>
  </w:abstractNum>
  <w:abstractNum w:abstractNumId="9">
    <w:nsid w:val="216231B"/>
    <w:multiLevelType w:val="hybridMultilevel"/>
    <w:lvl w:ilvl="0">
      <w:lvlJc w:val="left"/>
      <w:lvlText w:val="%1."/>
      <w:numFmt w:val="upperLetter"/>
      <w:start w:val="2"/>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45" Type="http://schemas.openxmlformats.org/officeDocument/2006/relationships/hyperlink" Target="http://www.sec.gov/Archives/edgar/data/840715/000175392620000071/ex41_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2020-05-07T16:21:48Z</dcterms:created>
  <dcterms:modified xsi:type="dcterms:W3CDTF">2020-05-07T16:21:48Z</dcterms:modified>
</cp:coreProperties>
</file>