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80" w:right="1680" w:hanging="372"/>
        <w:spacing w:after="0" w:line="282"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2021</w:t>
      </w:r>
    </w:p>
    <w:p>
      <w:pPr>
        <w:spacing w:after="0" w:line="162" w:lineRule="exact"/>
        <w:rPr>
          <w:sz w:val="24"/>
          <w:szCs w:val="24"/>
          <w:color w:val="auto"/>
        </w:rPr>
      </w:pPr>
    </w:p>
    <w:p>
      <w:pPr>
        <w:ind w:left="380" w:right="1700" w:hanging="372"/>
        <w:spacing w:after="0" w:line="282" w:lineRule="auto"/>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_______ to _______</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w:t>
      </w:r>
      <w:r>
        <w:rPr>
          <w:rFonts w:ascii="Arial" w:cs="Arial" w:eastAsia="Arial" w:hAnsi="Arial"/>
          <w:sz w:val="18"/>
          <w:szCs w:val="18"/>
          <w:b w:val="1"/>
          <w:bCs w:val="1"/>
          <w:u w:val="single" w:color="auto"/>
          <w:color w:val="auto"/>
        </w:rPr>
        <w:t>001-33660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CLEARONE, INC.</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91"/>
              </w:rPr>
              <w:t>Delaware</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492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540" w:type="dxa"/>
            <w:vAlign w:val="bottom"/>
            <w:gridSpan w:val="3"/>
          </w:tcPr>
          <w:p>
            <w:pPr>
              <w:jc w:val="center"/>
              <w:ind w:right="870"/>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49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3"/>
          </w:tcPr>
          <w:p>
            <w:pPr>
              <w:jc w:val="right"/>
              <w:ind w:right="2430"/>
              <w:spacing w:after="0"/>
              <w:rPr>
                <w:sz w:val="20"/>
                <w:szCs w:val="20"/>
                <w:color w:val="auto"/>
              </w:rPr>
            </w:pPr>
            <w:r>
              <w:rPr>
                <w:rFonts w:ascii="Arial" w:cs="Arial" w:eastAsia="Arial" w:hAnsi="Arial"/>
                <w:sz w:val="18"/>
                <w:szCs w:val="18"/>
                <w:b w:val="1"/>
                <w:bCs w:val="1"/>
                <w:color w:val="auto"/>
              </w:rPr>
              <w:t>84116</w:t>
            </w:r>
          </w:p>
        </w:tc>
      </w:tr>
      <w:tr>
        <w:trPr>
          <w:trHeight w:val="224"/>
        </w:trPr>
        <w:tc>
          <w:tcPr>
            <w:tcW w:w="4920" w:type="dxa"/>
            <w:vAlign w:val="bottom"/>
            <w:gridSpan w:val="4"/>
          </w:tcPr>
          <w:p>
            <w:pPr>
              <w:jc w:val="center"/>
              <w:ind w:left="510"/>
              <w:spacing w:after="0"/>
              <w:rPr>
                <w:sz w:val="20"/>
                <w:szCs w:val="20"/>
                <w:color w:val="auto"/>
              </w:rPr>
            </w:pPr>
            <w:r>
              <w:rPr>
                <w:rFonts w:ascii="Arial" w:cs="Arial" w:eastAsia="Arial" w:hAnsi="Arial"/>
                <w:sz w:val="18"/>
                <w:szCs w:val="18"/>
                <w:color w:val="auto"/>
                <w:w w:val="92"/>
              </w:rPr>
              <w:t>(Address of principal executive offices)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r>
        <w:trPr>
          <w:trHeight w:val="377"/>
        </w:trPr>
        <w:tc>
          <w:tcPr>
            <w:tcW w:w="4920" w:type="dxa"/>
            <w:vAlign w:val="bottom"/>
            <w:gridSpan w:val="4"/>
          </w:tcPr>
          <w:p>
            <w:pPr>
              <w:spacing w:after="0"/>
              <w:rPr>
                <w:sz w:val="20"/>
                <w:szCs w:val="20"/>
                <w:color w:val="auto"/>
              </w:rPr>
            </w:pPr>
            <w:r>
              <w:rPr>
                <w:rFonts w:ascii="Arial" w:cs="Arial" w:eastAsia="Arial" w:hAnsi="Arial"/>
                <w:sz w:val="18"/>
                <w:szCs w:val="18"/>
                <w:color w:val="auto"/>
                <w:w w:val="90"/>
              </w:rPr>
              <w:t>Registrant’s telephone number, including area code: (801) 975-7200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3800" w:type="dxa"/>
            <w:vAlign w:val="bottom"/>
            <w:gridSpan w:val="2"/>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53"/>
        </w:trPr>
        <w:tc>
          <w:tcPr>
            <w:tcW w:w="492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4920" w:type="dxa"/>
            <w:vAlign w:val="bottom"/>
            <w:gridSpan w:val="4"/>
          </w:tcPr>
          <w:p>
            <w:pPr>
              <w:jc w:val="center"/>
              <w:ind w:right="1300"/>
              <w:spacing w:after="0"/>
              <w:rPr>
                <w:sz w:val="20"/>
                <w:szCs w:val="20"/>
                <w:color w:val="auto"/>
              </w:rPr>
            </w:pPr>
            <w:r>
              <w:rPr>
                <w:rFonts w:ascii="Arial" w:cs="Arial" w:eastAsia="Arial" w:hAnsi="Arial"/>
                <w:sz w:val="18"/>
                <w:szCs w:val="18"/>
                <w:b w:val="1"/>
                <w:bCs w:val="1"/>
                <w:color w:val="auto"/>
                <w:w w:val="86"/>
              </w:rPr>
              <w:t>Title of each class</w:t>
            </w:r>
          </w:p>
        </w:tc>
        <w:tc>
          <w:tcPr>
            <w:tcW w:w="17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Trading Symbol(s)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3"/>
          </w:tcPr>
          <w:p>
            <w:pPr>
              <w:jc w:val="center"/>
              <w:ind w:right="340"/>
              <w:spacing w:after="0"/>
              <w:rPr>
                <w:sz w:val="20"/>
                <w:szCs w:val="20"/>
                <w:color w:val="auto"/>
              </w:rPr>
            </w:pPr>
            <w:r>
              <w:rPr>
                <w:rFonts w:ascii="Arial" w:cs="Arial" w:eastAsia="Arial" w:hAnsi="Arial"/>
                <w:sz w:val="18"/>
                <w:szCs w:val="18"/>
                <w:color w:val="auto"/>
                <w:w w:val="95"/>
              </w:rPr>
              <w:t>CLRO</w:t>
            </w: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220" w:right="339" w:bottom="144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Larger Accelerated Filer </w:t>
      </w:r>
      <w:r>
        <w:rPr>
          <w:rFonts w:ascii="MS PGothic" w:cs="MS PGothic" w:eastAsia="MS PGothic" w:hAnsi="MS PGothic"/>
          <w:sz w:val="16"/>
          <w:szCs w:val="16"/>
          <w:color w:val="auto"/>
        </w:rPr>
        <w:t>☐</w:t>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20"/>
          </w:cols>
          <w:pgMar w:left="320" w:top="220" w:right="339" w:bottom="1440" w:gutter="0" w:footer="0" w:header="0"/>
          <w:type w:val="continuous"/>
        </w:sectPr>
      </w:pPr>
    </w:p>
    <w:p>
      <w:pPr>
        <w:spacing w:after="0" w:line="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August 10, 2021 was 18,779,781.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JUNE 30,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9340" w:type="dxa"/>
            <w:vAlign w:val="bottom"/>
            <w:gridSpan w:val="17"/>
            <w:shd w:val="clear" w:color="auto" w:fill="CCEEFF"/>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20" w:type="dxa"/>
            <w:vAlign w:val="bottom"/>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20" w:type="dxa"/>
            <w:vAlign w:val="bottom"/>
          </w:tcPr>
          <w:p>
            <w:pPr>
              <w:spacing w:after="0"/>
              <w:rPr>
                <w:sz w:val="18"/>
                <w:szCs w:val="18"/>
                <w:color w:val="auto"/>
              </w:rPr>
            </w:pPr>
          </w:p>
        </w:tc>
        <w:tc>
          <w:tcPr>
            <w:tcW w:w="934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0" w:type="dxa"/>
            <w:vAlign w:val="bottom"/>
            <w:vMerge w:val="continue"/>
          </w:tcPr>
          <w:p>
            <w:pPr>
              <w:spacing w:after="0"/>
              <w:rPr>
                <w:sz w:val="18"/>
                <w:szCs w:val="18"/>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934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June 30, 2021 and December 31, 2020</w:t>
              </w:r>
            </w:hyperlink>
          </w:p>
        </w:tc>
        <w:tc>
          <w:tcPr>
            <w:tcW w:w="20" w:type="dxa"/>
            <w:vAlign w:val="bottom"/>
            <w:vMerge w:val="continue"/>
          </w:tcPr>
          <w:p>
            <w:pPr>
              <w:spacing w:after="0"/>
              <w:rPr>
                <w:sz w:val="18"/>
                <w:szCs w:val="18"/>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9340" w:type="dxa"/>
            <w:vAlign w:val="bottom"/>
            <w:gridSpan w:val="17"/>
            <w:shd w:val="clear" w:color="auto" w:fill="CCEEFF"/>
          </w:tcPr>
          <w:p>
            <w:pPr>
              <w:spacing w:after="0" w:line="17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Condensed Consolidated Statements of Operations and Comprehensive Loss for the three and six months ended June</w:t>
              </w:r>
            </w:hyperlink>
          </w:p>
        </w:tc>
        <w:tc>
          <w:tcPr>
            <w:tcW w:w="20" w:type="dxa"/>
            <w:vAlign w:val="bottom"/>
          </w:tcPr>
          <w:p>
            <w:pPr>
              <w:spacing w:after="0"/>
              <w:rPr>
                <w:sz w:val="15"/>
                <w:szCs w:val="15"/>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9220" w:type="dxa"/>
            <w:vAlign w:val="bottom"/>
            <w:tcBorders>
              <w:top w:val="single" w:sz="8" w:color="0000EE"/>
            </w:tcBorders>
            <w:gridSpan w:val="16"/>
            <w:vMerge w:val="restart"/>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30, 2021 and 2020</w:t>
              </w:r>
            </w:hyperlink>
          </w:p>
        </w:tc>
        <w:tc>
          <w:tcPr>
            <w:tcW w:w="120" w:type="dxa"/>
            <w:vAlign w:val="bottom"/>
            <w:tcBorders>
              <w:top w:val="single" w:sz="8" w:color="CCEEFF"/>
            </w:tcBorders>
            <w:vMerge w:val="restart"/>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top w:val="single" w:sz="8" w:color="CCEEFF"/>
            </w:tcBorders>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9220" w:type="dxa"/>
            <w:vAlign w:val="bottom"/>
            <w:gridSpan w:val="16"/>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9340" w:type="dxa"/>
            <w:vAlign w:val="bottom"/>
            <w:gridSpan w:val="1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 for the six months ended June 30, 2021 and 2020</w:t>
              </w:r>
            </w:hyperlink>
          </w:p>
        </w:tc>
        <w:tc>
          <w:tcPr>
            <w:tcW w:w="20" w:type="dxa"/>
            <w:vAlign w:val="bottom"/>
            <w:vMerge w:val="continue"/>
          </w:tcPr>
          <w:p>
            <w:pPr>
              <w:spacing w:after="0"/>
              <w:rPr>
                <w:sz w:val="18"/>
                <w:szCs w:val="18"/>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9340" w:type="dxa"/>
            <w:vAlign w:val="bottom"/>
            <w:gridSpan w:val="17"/>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Notes to Condensed Consolidated Financial Statements</w:t>
              </w:r>
            </w:hyperlink>
          </w:p>
        </w:tc>
        <w:tc>
          <w:tcPr>
            <w:tcW w:w="20" w:type="dxa"/>
            <w:vAlign w:val="bottom"/>
            <w:vMerge w:val="continue"/>
          </w:tcPr>
          <w:p>
            <w:pPr>
              <w:spacing w:after="0"/>
              <w:rPr>
                <w:sz w:val="18"/>
                <w:szCs w:val="18"/>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20" w:type="dxa"/>
            <w:vAlign w:val="bottom"/>
          </w:tcPr>
          <w:p>
            <w:pPr>
              <w:spacing w:after="0"/>
              <w:rPr>
                <w:sz w:val="18"/>
                <w:szCs w:val="18"/>
                <w:color w:val="auto"/>
              </w:rPr>
            </w:pPr>
          </w:p>
        </w:tc>
        <w:tc>
          <w:tcPr>
            <w:tcW w:w="9340" w:type="dxa"/>
            <w:vAlign w:val="bottom"/>
            <w:gridSpan w:val="17"/>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20" w:type="dxa"/>
            <w:vAlign w:val="bottom"/>
            <w:vMerge w:val="continue"/>
          </w:tcPr>
          <w:p>
            <w:pPr>
              <w:spacing w:after="0"/>
              <w:rPr>
                <w:sz w:val="18"/>
                <w:szCs w:val="18"/>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80" w:type="dxa"/>
            <w:vAlign w:val="bottom"/>
            <w:tcBorders>
              <w:top w:val="single" w:sz="8" w:color="0000EE"/>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20" w:type="dxa"/>
            <w:vAlign w:val="bottom"/>
          </w:tcPr>
          <w:p>
            <w:pPr>
              <w:spacing w:after="0"/>
              <w:rPr>
                <w:sz w:val="18"/>
                <w:szCs w:val="18"/>
                <w:color w:val="auto"/>
              </w:rPr>
            </w:pPr>
          </w:p>
        </w:tc>
        <w:tc>
          <w:tcPr>
            <w:tcW w:w="9340" w:type="dxa"/>
            <w:vAlign w:val="bottom"/>
            <w:gridSpan w:val="17"/>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20" w:type="dxa"/>
            <w:vAlign w:val="bottom"/>
            <w:vMerge w:val="continue"/>
          </w:tcPr>
          <w:p>
            <w:pPr>
              <w:spacing w:after="0"/>
              <w:rPr>
                <w:sz w:val="18"/>
                <w:szCs w:val="18"/>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20" w:type="dxa"/>
            <w:vAlign w:val="bottom"/>
          </w:tcPr>
          <w:p>
            <w:pPr>
              <w:spacing w:after="0"/>
              <w:rPr>
                <w:sz w:val="18"/>
                <w:szCs w:val="18"/>
                <w:color w:val="auto"/>
              </w:rPr>
            </w:pPr>
          </w:p>
        </w:tc>
        <w:tc>
          <w:tcPr>
            <w:tcW w:w="9340" w:type="dxa"/>
            <w:vAlign w:val="bottom"/>
            <w:gridSpan w:val="17"/>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20" w:type="dxa"/>
            <w:vAlign w:val="bottom"/>
            <w:vMerge w:val="continue"/>
          </w:tcPr>
          <w:p>
            <w:pPr>
              <w:spacing w:after="0"/>
              <w:rPr>
                <w:sz w:val="18"/>
                <w:szCs w:val="18"/>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934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 OTHER INFORMATION</w:t>
              </w:r>
            </w:hyperlink>
          </w:p>
        </w:tc>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20" w:type="dxa"/>
            <w:vAlign w:val="bottom"/>
          </w:tcPr>
          <w:p>
            <w:pPr>
              <w:spacing w:after="0"/>
              <w:rPr>
                <w:sz w:val="18"/>
                <w:szCs w:val="18"/>
                <w:color w:val="auto"/>
              </w:rPr>
            </w:pPr>
          </w:p>
        </w:tc>
        <w:tc>
          <w:tcPr>
            <w:tcW w:w="9340" w:type="dxa"/>
            <w:vAlign w:val="bottom"/>
            <w:gridSpan w:val="1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20" w:type="dxa"/>
            <w:vAlign w:val="bottom"/>
            <w:vMerge w:val="continue"/>
          </w:tcPr>
          <w:p>
            <w:pPr>
              <w:spacing w:after="0"/>
              <w:rPr>
                <w:sz w:val="18"/>
                <w:szCs w:val="18"/>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20" w:type="dxa"/>
            <w:vAlign w:val="bottom"/>
          </w:tcPr>
          <w:p>
            <w:pPr>
              <w:spacing w:after="0"/>
              <w:rPr>
                <w:sz w:val="18"/>
                <w:szCs w:val="18"/>
                <w:color w:val="auto"/>
              </w:rPr>
            </w:pPr>
          </w:p>
        </w:tc>
        <w:tc>
          <w:tcPr>
            <w:tcW w:w="9340" w:type="dxa"/>
            <w:vAlign w:val="bottom"/>
            <w:gridSpan w:val="1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20" w:type="dxa"/>
            <w:vAlign w:val="bottom"/>
            <w:vMerge w:val="continue"/>
          </w:tcPr>
          <w:p>
            <w:pPr>
              <w:spacing w:after="0"/>
              <w:rPr>
                <w:sz w:val="18"/>
                <w:szCs w:val="18"/>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20" w:type="dxa"/>
            <w:vAlign w:val="bottom"/>
          </w:tcPr>
          <w:p>
            <w:pPr>
              <w:spacing w:after="0"/>
              <w:rPr>
                <w:sz w:val="18"/>
                <w:szCs w:val="18"/>
                <w:color w:val="auto"/>
              </w:rPr>
            </w:pPr>
          </w:p>
        </w:tc>
        <w:tc>
          <w:tcPr>
            <w:tcW w:w="9340" w:type="dxa"/>
            <w:vAlign w:val="bottom"/>
            <w:gridSpan w:val="1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20" w:type="dxa"/>
            <w:vAlign w:val="bottom"/>
            <w:vMerge w:val="continue"/>
          </w:tcPr>
          <w:p>
            <w:pPr>
              <w:spacing w:after="0"/>
              <w:rPr>
                <w:sz w:val="18"/>
                <w:szCs w:val="18"/>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20" w:type="dxa"/>
            <w:vAlign w:val="bottom"/>
          </w:tcPr>
          <w:p>
            <w:pPr>
              <w:spacing w:after="0"/>
              <w:rPr>
                <w:sz w:val="18"/>
                <w:szCs w:val="18"/>
                <w:color w:val="auto"/>
              </w:rPr>
            </w:pPr>
          </w:p>
        </w:tc>
        <w:tc>
          <w:tcPr>
            <w:tcW w:w="9340" w:type="dxa"/>
            <w:vAlign w:val="bottom"/>
            <w:gridSpan w:val="1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20" w:type="dxa"/>
            <w:vAlign w:val="bottom"/>
            <w:vMerge w:val="continue"/>
          </w:tcPr>
          <w:p>
            <w:pPr>
              <w:spacing w:after="0"/>
              <w:rPr>
                <w:sz w:val="18"/>
                <w:szCs w:val="18"/>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20" w:type="dxa"/>
            <w:vAlign w:val="bottom"/>
          </w:tcPr>
          <w:p>
            <w:pPr>
              <w:spacing w:after="0"/>
              <w:rPr>
                <w:sz w:val="18"/>
                <w:szCs w:val="18"/>
                <w:color w:val="auto"/>
              </w:rPr>
            </w:pPr>
          </w:p>
        </w:tc>
        <w:tc>
          <w:tcPr>
            <w:tcW w:w="9340" w:type="dxa"/>
            <w:vAlign w:val="bottom"/>
            <w:gridSpan w:val="1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20" w:type="dxa"/>
            <w:vAlign w:val="bottom"/>
            <w:vMerge w:val="continue"/>
          </w:tcPr>
          <w:p>
            <w:pPr>
              <w:spacing w:after="0"/>
              <w:rPr>
                <w:sz w:val="18"/>
                <w:szCs w:val="18"/>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20" w:type="dxa"/>
            <w:vAlign w:val="bottom"/>
          </w:tcPr>
          <w:p>
            <w:pPr>
              <w:spacing w:after="0"/>
              <w:rPr>
                <w:sz w:val="18"/>
                <w:szCs w:val="18"/>
                <w:color w:val="auto"/>
              </w:rPr>
            </w:pPr>
          </w:p>
        </w:tc>
        <w:tc>
          <w:tcPr>
            <w:tcW w:w="9340" w:type="dxa"/>
            <w:vAlign w:val="bottom"/>
            <w:gridSpan w:val="1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20" w:type="dxa"/>
            <w:vAlign w:val="bottom"/>
            <w:vMerge w:val="continue"/>
          </w:tcPr>
          <w:p>
            <w:pPr>
              <w:spacing w:after="0"/>
              <w:rPr>
                <w:sz w:val="18"/>
                <w:szCs w:val="18"/>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20" w:type="dxa"/>
            <w:vAlign w:val="bottom"/>
          </w:tcPr>
          <w:p>
            <w:pPr>
              <w:spacing w:after="0"/>
              <w:rPr>
                <w:sz w:val="18"/>
                <w:szCs w:val="18"/>
                <w:color w:val="auto"/>
              </w:rPr>
            </w:pPr>
          </w:p>
        </w:tc>
        <w:tc>
          <w:tcPr>
            <w:tcW w:w="9340" w:type="dxa"/>
            <w:vAlign w:val="bottom"/>
            <w:gridSpan w:val="17"/>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20" w:type="dxa"/>
            <w:vAlign w:val="bottom"/>
            <w:vMerge w:val="continue"/>
          </w:tcPr>
          <w:p>
            <w:pPr>
              <w:spacing w:after="0"/>
              <w:rPr>
                <w:sz w:val="18"/>
                <w:szCs w:val="18"/>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180" w:type="dxa"/>
            <w:vAlign w:val="bottom"/>
            <w:tcBorders>
              <w:top w:val="single" w:sz="8" w:color="CCEEFF"/>
            </w:tcBorders>
            <w:gridSpan w:val="11"/>
          </w:tcPr>
          <w:p>
            <w:pPr>
              <w:jc w:val="right"/>
              <w:ind w:right="60"/>
              <w:spacing w:after="0"/>
              <w:rPr>
                <w:sz w:val="20"/>
                <w:szCs w:val="20"/>
                <w:color w:val="auto"/>
              </w:rPr>
            </w:pPr>
            <w:r>
              <w:rPr>
                <w:rFonts w:ascii="Arial" w:cs="Arial" w:eastAsia="Arial" w:hAnsi="Arial"/>
                <w:sz w:val="18"/>
                <w:szCs w:val="18"/>
                <w:color w:val="auto"/>
              </w:rPr>
              <w:t>1</w:t>
            </w:r>
          </w:p>
        </w:tc>
        <w:tc>
          <w:tcPr>
            <w:tcW w:w="16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June 30, 2021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8000" w:type="dxa"/>
            <w:vAlign w:val="bottom"/>
            <w:tcBorders>
              <w:top w:val="single" w:sz="8" w:color="CCEEFF"/>
            </w:tcBorders>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3,803</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1,117</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$506</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5,194</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9,203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10,463</w:t>
            </w: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7,169</w:t>
            </w: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1,273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1,536</w:t>
            </w:r>
          </w:p>
        </w:tc>
      </w:tr>
      <w:tr>
        <w:trPr>
          <w:trHeight w:val="209"/>
        </w:trPr>
        <w:tc>
          <w:tcPr>
            <w:tcW w:w="80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1,762</w:t>
            </w: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4,590</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906</w:t>
            </w: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 right of use assets, net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Intangibles, net</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21,547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19,248</w:t>
            </w:r>
          </w:p>
        </w:tc>
      </w:tr>
      <w:tr>
        <w:trPr>
          <w:trHeight w:val="24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4,599</w:t>
            </w:r>
          </w:p>
        </w:tc>
      </w:tr>
      <w:tr>
        <w:trPr>
          <w:trHeight w:val="263"/>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59,610</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62,323</w:t>
            </w:r>
          </w:p>
        </w:tc>
        <w:tc>
          <w:tcPr>
            <w:tcW w:w="100" w:type="dxa"/>
            <w:vAlign w:val="bottom"/>
            <w:tcBorders>
              <w:bottom w:val="single" w:sz="8" w:color="CCEEFF"/>
            </w:tcBorders>
          </w:tcPr>
          <w:p>
            <w:pPr>
              <w:spacing w:after="0"/>
              <w:rPr>
                <w:sz w:val="22"/>
                <w:szCs w:val="22"/>
                <w:color w:val="auto"/>
              </w:rPr>
            </w:pPr>
          </w:p>
        </w:tc>
      </w:tr>
      <w:tr>
        <w:trPr>
          <w:trHeight w:val="196"/>
        </w:trPr>
        <w:tc>
          <w:tcPr>
            <w:tcW w:w="8000" w:type="dxa"/>
            <w:vAlign w:val="bottom"/>
            <w:shd w:val="clear" w:color="auto" w:fill="CCEEFF"/>
          </w:tcPr>
          <w:p>
            <w:pPr>
              <w:ind w:left="200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3,162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2,352</w:t>
            </w:r>
          </w:p>
        </w:tc>
      </w:tr>
      <w:tr>
        <w:trPr>
          <w:trHeight w:val="24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product revenue</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Short-term debt</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r>
      <w:tr>
        <w:trPr>
          <w:trHeight w:val="209"/>
        </w:trPr>
        <w:tc>
          <w:tcPr>
            <w:tcW w:w="80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Long-term debt, net</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2,609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3,245</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net of current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w:t>
            </w: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678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r>
      <w:tr>
        <w:trPr>
          <w:trHeight w:val="223"/>
        </w:trPr>
        <w:tc>
          <w:tcPr>
            <w:tcW w:w="80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12,992</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12,509</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w w:val="92"/>
              </w:rPr>
              <w:t>Common stock, par value $0.001, 50,000,000 shares authorized, 18,779,781 shares issued and outstanding</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63,431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63,359</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r>
      <w:tr>
        <w:trPr>
          <w:trHeight w:val="24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(16,619)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(13,378)</w:t>
            </w:r>
          </w:p>
        </w:tc>
      </w:tr>
      <w:tr>
        <w:trPr>
          <w:trHeight w:val="223"/>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46,618</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49,814</w:t>
            </w:r>
          </w:p>
        </w:tc>
        <w:tc>
          <w:tcPr>
            <w:tcW w:w="100" w:type="dxa"/>
            <w:vAlign w:val="bottom"/>
            <w:tcBorders>
              <w:bottom w:val="single" w:sz="8" w:color="CCEEFF"/>
            </w:tcBorders>
          </w:tcPr>
          <w:p>
            <w:pPr>
              <w:spacing w:after="0"/>
              <w:rPr>
                <w:sz w:val="19"/>
                <w:szCs w:val="19"/>
                <w:color w:val="auto"/>
              </w:rPr>
            </w:pPr>
          </w:p>
        </w:tc>
      </w:tr>
      <w:tr>
        <w:trPr>
          <w:trHeight w:val="237"/>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62,323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8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1"/>
              </w:rPr>
              <w:t>Three months ended June 30,</w:t>
            </w:r>
          </w:p>
        </w:tc>
        <w:tc>
          <w:tcPr>
            <w:tcW w:w="200" w:type="dxa"/>
            <w:vAlign w:val="bottom"/>
          </w:tcPr>
          <w:p>
            <w:pPr>
              <w:spacing w:after="0"/>
              <w:rPr>
                <w:sz w:val="21"/>
                <w:szCs w:val="21"/>
                <w:color w:val="auto"/>
              </w:rPr>
            </w:pPr>
          </w:p>
        </w:tc>
        <w:tc>
          <w:tcPr>
            <w:tcW w:w="248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w w:val="92"/>
              </w:rPr>
              <w:t>Six months ended June 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4,311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3,739</w:t>
            </w:r>
          </w:p>
        </w:tc>
        <w:tc>
          <w:tcPr>
            <w:tcW w:w="2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8,346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1,457</w:t>
            </w: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3,328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1,474</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1,526</w:t>
            </w:r>
          </w:p>
        </w:tc>
        <w:tc>
          <w:tcPr>
            <w:tcW w:w="2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3,348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9,046</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(1,839)</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(1,932)</w:t>
            </w:r>
          </w:p>
        </w:tc>
        <w:tc>
          <w:tcPr>
            <w:tcW w:w="2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(3,219)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(3,756)</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51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(1,586)</w:t>
            </w:r>
          </w:p>
        </w:tc>
        <w:tc>
          <w:tcPr>
            <w:tcW w:w="340" w:type="dxa"/>
            <w:vAlign w:val="bottom"/>
            <w:gridSpan w:val="2"/>
            <w:vMerge w:val="restart"/>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(1,937)</w:t>
            </w:r>
          </w:p>
        </w:tc>
        <w:tc>
          <w:tcPr>
            <w:tcW w:w="200" w:type="dxa"/>
            <w:vAlign w:val="bottom"/>
          </w:tcPr>
          <w:p>
            <w:pPr>
              <w:jc w:val="right"/>
              <w:ind w:right="47"/>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56" w:lineRule="exact"/>
              <w:rPr>
                <w:sz w:val="20"/>
                <w:szCs w:val="20"/>
                <w:color w:val="auto"/>
              </w:rPr>
            </w:pPr>
            <w:r>
              <w:rPr>
                <w:rFonts w:ascii="Arial" w:cs="Arial" w:eastAsia="Arial" w:hAnsi="Arial"/>
                <w:sz w:val="18"/>
                <w:szCs w:val="18"/>
                <w:color w:val="auto"/>
              </w:rPr>
              <w:t>(3,241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jc w:val="right"/>
              <w:ind w:right="70"/>
              <w:spacing w:after="0" w:line="15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56" w:lineRule="exact"/>
              <w:rPr>
                <w:sz w:val="20"/>
                <w:szCs w:val="20"/>
                <w:color w:val="auto"/>
              </w:rPr>
            </w:pPr>
            <w:r>
              <w:rPr>
                <w:rFonts w:ascii="Arial" w:cs="Arial" w:eastAsia="Arial" w:hAnsi="Arial"/>
                <w:sz w:val="18"/>
                <w:szCs w:val="18"/>
                <w:color w:val="auto"/>
              </w:rPr>
              <w:t>(3,784</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08"/>
        </w:trPr>
        <w:tc>
          <w:tcPr>
            <w:tcW w:w="514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2"/>
          </w:tcPr>
          <w:p>
            <w:pPr>
              <w:jc w:val="right"/>
              <w:ind w:right="80"/>
              <w:spacing w:after="0" w:line="68"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18,775,817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16,650,774</w:t>
            </w: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18,775,795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16,650,750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18,775,817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16,650,774</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18,775,795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16,650,750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Diluted loss per share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(0.08)</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(0.17)</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(1,586)</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(1,937)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(3,241)</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(3,784)</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Unrealized gain(loss) on available-for-sale securities, net of tax</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Change in foreign currency translation adjustment</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80" w:type="dxa"/>
            <w:vAlign w:val="bottom"/>
            <w:vMerge w:val="restart"/>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(1,599)</w:t>
            </w:r>
          </w:p>
        </w:tc>
        <w:tc>
          <w:tcPr>
            <w:tcW w:w="340" w:type="dxa"/>
            <w:vAlign w:val="bottom"/>
            <w:gridSpan w:val="2"/>
            <w:vMerge w:val="restart"/>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(1,915)</w:t>
            </w:r>
          </w:p>
        </w:tc>
        <w:tc>
          <w:tcPr>
            <w:tcW w:w="200" w:type="dxa"/>
            <w:vAlign w:val="bottom"/>
            <w:shd w:val="clear" w:color="auto" w:fill="CCEEFF"/>
          </w:tcPr>
          <w:p>
            <w:pPr>
              <w:jc w:val="right"/>
              <w:ind w:right="47"/>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(3,268</w:t>
            </w:r>
          </w:p>
        </w:tc>
        <w:tc>
          <w:tcPr>
            <w:tcW w:w="140" w:type="dxa"/>
            <w:vAlign w:val="bottom"/>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jc w:val="right"/>
              <w:ind w:right="70"/>
              <w:spacing w:after="0" w:line="15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(3,819</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68"/>
        </w:trPr>
        <w:tc>
          <w:tcPr>
            <w:tcW w:w="5140" w:type="dxa"/>
            <w:vAlign w:val="bottom"/>
            <w:vMerge w:val="continue"/>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40" w:type="dxa"/>
            <w:vAlign w:val="bottom"/>
            <w:gridSpan w:val="2"/>
            <w:vMerge w:val="continue"/>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60" w:type="dxa"/>
            <w:vAlign w:val="bottom"/>
            <w:gridSpan w:val="2"/>
            <w:shd w:val="clear" w:color="auto" w:fill="CCEEFF"/>
          </w:tcPr>
          <w:p>
            <w:pPr>
              <w:jc w:val="right"/>
              <w:ind w:right="80"/>
              <w:spacing w:after="0" w:line="68" w:lineRule="exact"/>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29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Six months ended June 30,</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0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81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81"/>
              <w:spacing w:after="0"/>
              <w:rPr>
                <w:sz w:val="20"/>
                <w:szCs w:val="20"/>
                <w:color w:val="auto"/>
              </w:rPr>
            </w:pPr>
            <w:r>
              <w:rPr>
                <w:rFonts w:ascii="Arial" w:cs="Arial" w:eastAsia="Arial" w:hAnsi="Arial"/>
                <w:sz w:val="18"/>
                <w:szCs w:val="18"/>
                <w:color w:val="auto"/>
                <w:w w:val="98"/>
              </w:rPr>
              <w:t>(3,241)</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1"/>
              <w:spacing w:after="0"/>
              <w:rPr>
                <w:sz w:val="20"/>
                <w:szCs w:val="20"/>
                <w:color w:val="auto"/>
              </w:rPr>
            </w:pPr>
            <w:r>
              <w:rPr>
                <w:rFonts w:ascii="Arial" w:cs="Arial" w:eastAsia="Arial" w:hAnsi="Arial"/>
                <w:sz w:val="18"/>
                <w:szCs w:val="18"/>
                <w:color w:val="auto"/>
                <w:w w:val="98"/>
              </w:rPr>
              <w:t>(3,784)</w:t>
            </w:r>
          </w:p>
        </w:tc>
      </w:tr>
      <w:tr>
        <w:trPr>
          <w:trHeight w:val="23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760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980" w:type="dxa"/>
            <w:vAlign w:val="bottom"/>
          </w:tcPr>
          <w:p>
            <w:pPr>
              <w:spacing w:after="0"/>
              <w:rPr>
                <w:sz w:val="19"/>
                <w:szCs w:val="19"/>
                <w:color w:val="auto"/>
              </w:rPr>
            </w:pPr>
          </w:p>
        </w:tc>
        <w:tc>
          <w:tcPr>
            <w:tcW w:w="940" w:type="dxa"/>
            <w:vAlign w:val="bottom"/>
            <w:gridSpan w:val="2"/>
          </w:tcPr>
          <w:p>
            <w:pPr>
              <w:jc w:val="right"/>
              <w:ind w:right="341"/>
              <w:spacing w:after="0"/>
              <w:rPr>
                <w:sz w:val="20"/>
                <w:szCs w:val="20"/>
                <w:color w:val="auto"/>
              </w:rPr>
            </w:pPr>
            <w:r>
              <w:rPr>
                <w:rFonts w:ascii="Arial" w:cs="Arial" w:eastAsia="Arial" w:hAnsi="Arial"/>
                <w:sz w:val="18"/>
                <w:szCs w:val="18"/>
                <w:color w:val="auto"/>
              </w:rPr>
              <w:t>1,330</w:t>
            </w:r>
          </w:p>
        </w:tc>
        <w:tc>
          <w:tcPr>
            <w:tcW w:w="980" w:type="dxa"/>
            <w:vAlign w:val="bottom"/>
          </w:tcPr>
          <w:p>
            <w:pPr>
              <w:spacing w:after="0"/>
              <w:rPr>
                <w:sz w:val="19"/>
                <w:szCs w:val="19"/>
                <w:color w:val="auto"/>
              </w:rPr>
            </w:pPr>
          </w:p>
        </w:tc>
        <w:tc>
          <w:tcPr>
            <w:tcW w:w="740" w:type="dxa"/>
            <w:vAlign w:val="bottom"/>
            <w:gridSpan w:val="2"/>
          </w:tcPr>
          <w:p>
            <w:pPr>
              <w:jc w:val="right"/>
              <w:ind w:right="141"/>
              <w:spacing w:after="0"/>
              <w:rPr>
                <w:sz w:val="20"/>
                <w:szCs w:val="20"/>
                <w:color w:val="auto"/>
              </w:rPr>
            </w:pPr>
            <w:r>
              <w:rPr>
                <w:rFonts w:ascii="Arial" w:cs="Arial" w:eastAsia="Arial" w:hAnsi="Arial"/>
                <w:sz w:val="18"/>
                <w:szCs w:val="18"/>
                <w:color w:val="auto"/>
              </w:rPr>
              <w:t>1,082</w:t>
            </w:r>
          </w:p>
        </w:tc>
      </w:tr>
      <w:tr>
        <w:trPr>
          <w:trHeight w:val="230"/>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right-of-use assets</w:t>
            </w:r>
          </w:p>
        </w:tc>
        <w:tc>
          <w:tcPr>
            <w:tcW w:w="9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291</w:t>
            </w:r>
          </w:p>
        </w:tc>
        <w:tc>
          <w:tcPr>
            <w:tcW w:w="9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273</w:t>
            </w:r>
          </w:p>
        </w:tc>
      </w:tr>
      <w:tr>
        <w:trPr>
          <w:trHeight w:val="229"/>
        </w:trPr>
        <w:tc>
          <w:tcPr>
            <w:tcW w:w="76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980" w:type="dxa"/>
            <w:vAlign w:val="bottom"/>
          </w:tcPr>
          <w:p>
            <w:pPr>
              <w:spacing w:after="0"/>
              <w:rPr>
                <w:sz w:val="19"/>
                <w:szCs w:val="19"/>
                <w:color w:val="auto"/>
              </w:rPr>
            </w:pPr>
          </w:p>
        </w:tc>
        <w:tc>
          <w:tcPr>
            <w:tcW w:w="940" w:type="dxa"/>
            <w:vAlign w:val="bottom"/>
            <w:gridSpan w:val="2"/>
          </w:tcPr>
          <w:p>
            <w:pPr>
              <w:jc w:val="right"/>
              <w:ind w:right="341"/>
              <w:spacing w:after="0"/>
              <w:rPr>
                <w:sz w:val="20"/>
                <w:szCs w:val="20"/>
                <w:color w:val="auto"/>
              </w:rPr>
            </w:pPr>
            <w:r>
              <w:rPr>
                <w:rFonts w:ascii="Arial" w:cs="Arial" w:eastAsia="Arial" w:hAnsi="Arial"/>
                <w:sz w:val="18"/>
                <w:szCs w:val="18"/>
                <w:color w:val="auto"/>
              </w:rPr>
              <w:t>65</w:t>
            </w:r>
          </w:p>
        </w:tc>
        <w:tc>
          <w:tcPr>
            <w:tcW w:w="980" w:type="dxa"/>
            <w:vAlign w:val="bottom"/>
          </w:tcPr>
          <w:p>
            <w:pPr>
              <w:spacing w:after="0"/>
              <w:rPr>
                <w:sz w:val="19"/>
                <w:szCs w:val="19"/>
                <w:color w:val="auto"/>
              </w:rPr>
            </w:pPr>
          </w:p>
        </w:tc>
        <w:tc>
          <w:tcPr>
            <w:tcW w:w="740" w:type="dxa"/>
            <w:vAlign w:val="bottom"/>
            <w:gridSpan w:val="2"/>
          </w:tcPr>
          <w:p>
            <w:pPr>
              <w:jc w:val="right"/>
              <w:ind w:right="141"/>
              <w:spacing w:after="0"/>
              <w:rPr>
                <w:sz w:val="20"/>
                <w:szCs w:val="20"/>
                <w:color w:val="auto"/>
              </w:rPr>
            </w:pPr>
            <w:r>
              <w:rPr>
                <w:rFonts w:ascii="Arial" w:cs="Arial" w:eastAsia="Arial" w:hAnsi="Arial"/>
                <w:sz w:val="18"/>
                <w:szCs w:val="18"/>
                <w:color w:val="auto"/>
              </w:rPr>
              <w:t>54</w:t>
            </w:r>
          </w:p>
        </w:tc>
      </w:tr>
      <w:tr>
        <w:trPr>
          <w:trHeight w:val="229"/>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 net</w:t>
            </w:r>
          </w:p>
        </w:tc>
        <w:tc>
          <w:tcPr>
            <w:tcW w:w="9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w:t>
            </w: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Change of inventory to net realizable value</w:t>
            </w:r>
          </w:p>
        </w:tc>
        <w:tc>
          <w:tcPr>
            <w:tcW w:w="980" w:type="dxa"/>
            <w:vAlign w:val="bottom"/>
          </w:tcPr>
          <w:p>
            <w:pPr>
              <w:spacing w:after="0"/>
              <w:rPr>
                <w:sz w:val="19"/>
                <w:szCs w:val="19"/>
                <w:color w:val="auto"/>
              </w:rPr>
            </w:pPr>
          </w:p>
        </w:tc>
        <w:tc>
          <w:tcPr>
            <w:tcW w:w="940" w:type="dxa"/>
            <w:vAlign w:val="bottom"/>
            <w:gridSpan w:val="2"/>
          </w:tcPr>
          <w:p>
            <w:pPr>
              <w:jc w:val="right"/>
              <w:ind w:right="341"/>
              <w:spacing w:after="0"/>
              <w:rPr>
                <w:sz w:val="20"/>
                <w:szCs w:val="20"/>
                <w:color w:val="auto"/>
              </w:rPr>
            </w:pPr>
            <w:r>
              <w:rPr>
                <w:rFonts w:ascii="Arial" w:cs="Arial" w:eastAsia="Arial" w:hAnsi="Arial"/>
                <w:sz w:val="18"/>
                <w:szCs w:val="18"/>
                <w:color w:val="auto"/>
              </w:rPr>
              <w:t>682</w:t>
            </w:r>
          </w:p>
        </w:tc>
        <w:tc>
          <w:tcPr>
            <w:tcW w:w="980" w:type="dxa"/>
            <w:vAlign w:val="bottom"/>
          </w:tcPr>
          <w:p>
            <w:pPr>
              <w:spacing w:after="0"/>
              <w:rPr>
                <w:sz w:val="19"/>
                <w:szCs w:val="19"/>
                <w:color w:val="auto"/>
              </w:rPr>
            </w:pPr>
          </w:p>
        </w:tc>
        <w:tc>
          <w:tcPr>
            <w:tcW w:w="740" w:type="dxa"/>
            <w:vAlign w:val="bottom"/>
            <w:gridSpan w:val="2"/>
          </w:tcPr>
          <w:p>
            <w:pPr>
              <w:jc w:val="right"/>
              <w:ind w:right="141"/>
              <w:spacing w:after="0"/>
              <w:rPr>
                <w:sz w:val="20"/>
                <w:szCs w:val="20"/>
                <w:color w:val="auto"/>
              </w:rPr>
            </w:pPr>
            <w:r>
              <w:rPr>
                <w:rFonts w:ascii="Arial" w:cs="Arial" w:eastAsia="Arial" w:hAnsi="Arial"/>
                <w:sz w:val="18"/>
                <w:szCs w:val="18"/>
                <w:color w:val="auto"/>
              </w:rPr>
              <w:t>660</w:t>
            </w:r>
          </w:p>
        </w:tc>
      </w:tr>
      <w:tr>
        <w:trPr>
          <w:trHeight w:val="22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7600" w:type="dxa"/>
            <w:vAlign w:val="bottom"/>
          </w:tcPr>
          <w:p>
            <w:pPr>
              <w:ind w:left="180"/>
              <w:spacing w:after="0"/>
              <w:rPr>
                <w:sz w:val="20"/>
                <w:szCs w:val="20"/>
                <w:color w:val="auto"/>
              </w:rPr>
            </w:pPr>
            <w:r>
              <w:rPr>
                <w:rFonts w:ascii="Arial" w:cs="Arial" w:eastAsia="Arial" w:hAnsi="Arial"/>
                <w:sz w:val="18"/>
                <w:szCs w:val="18"/>
                <w:color w:val="auto"/>
              </w:rPr>
              <w:t>Receivables</w:t>
            </w:r>
          </w:p>
        </w:tc>
        <w:tc>
          <w:tcPr>
            <w:tcW w:w="980" w:type="dxa"/>
            <w:vAlign w:val="bottom"/>
          </w:tcPr>
          <w:p>
            <w:pPr>
              <w:spacing w:after="0"/>
              <w:rPr>
                <w:sz w:val="19"/>
                <w:szCs w:val="19"/>
                <w:color w:val="auto"/>
              </w:rPr>
            </w:pPr>
          </w:p>
        </w:tc>
        <w:tc>
          <w:tcPr>
            <w:tcW w:w="940" w:type="dxa"/>
            <w:vAlign w:val="bottom"/>
            <w:gridSpan w:val="2"/>
          </w:tcPr>
          <w:p>
            <w:pPr>
              <w:jc w:val="right"/>
              <w:ind w:right="281"/>
              <w:spacing w:after="0"/>
              <w:rPr>
                <w:sz w:val="20"/>
                <w:szCs w:val="20"/>
                <w:color w:val="auto"/>
              </w:rPr>
            </w:pPr>
            <w:r>
              <w:rPr>
                <w:rFonts w:ascii="Arial" w:cs="Arial" w:eastAsia="Arial" w:hAnsi="Arial"/>
                <w:sz w:val="18"/>
                <w:szCs w:val="18"/>
                <w:color w:val="auto"/>
              </w:rPr>
              <w:t>(111)</w:t>
            </w:r>
          </w:p>
        </w:tc>
        <w:tc>
          <w:tcPr>
            <w:tcW w:w="980" w:type="dxa"/>
            <w:vAlign w:val="bottom"/>
          </w:tcPr>
          <w:p>
            <w:pPr>
              <w:spacing w:after="0"/>
              <w:rPr>
                <w:sz w:val="19"/>
                <w:szCs w:val="19"/>
                <w:color w:val="auto"/>
              </w:rPr>
            </w:pPr>
          </w:p>
        </w:tc>
        <w:tc>
          <w:tcPr>
            <w:tcW w:w="740" w:type="dxa"/>
            <w:vAlign w:val="bottom"/>
            <w:gridSpan w:val="2"/>
          </w:tcPr>
          <w:p>
            <w:pPr>
              <w:jc w:val="right"/>
              <w:ind w:right="81"/>
              <w:spacing w:after="0"/>
              <w:rPr>
                <w:sz w:val="20"/>
                <w:szCs w:val="20"/>
                <w:color w:val="auto"/>
              </w:rPr>
            </w:pPr>
            <w:r>
              <w:rPr>
                <w:rFonts w:ascii="Arial" w:cs="Arial" w:eastAsia="Arial" w:hAnsi="Arial"/>
                <w:sz w:val="18"/>
                <w:szCs w:val="18"/>
                <w:color w:val="auto"/>
              </w:rPr>
              <w:t>(358)</w:t>
            </w:r>
          </w:p>
        </w:tc>
      </w:tr>
      <w:tr>
        <w:trPr>
          <w:trHeight w:val="230"/>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1,189</w:t>
            </w:r>
          </w:p>
        </w:tc>
        <w:tc>
          <w:tcPr>
            <w:tcW w:w="9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2,331</w:t>
            </w:r>
          </w:p>
        </w:tc>
      </w:tr>
      <w:tr>
        <w:trPr>
          <w:trHeight w:val="229"/>
        </w:trPr>
        <w:tc>
          <w:tcPr>
            <w:tcW w:w="760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980" w:type="dxa"/>
            <w:vAlign w:val="bottom"/>
          </w:tcPr>
          <w:p>
            <w:pPr>
              <w:spacing w:after="0"/>
              <w:rPr>
                <w:sz w:val="19"/>
                <w:szCs w:val="19"/>
                <w:color w:val="auto"/>
              </w:rPr>
            </w:pPr>
          </w:p>
        </w:tc>
        <w:tc>
          <w:tcPr>
            <w:tcW w:w="940" w:type="dxa"/>
            <w:vAlign w:val="bottom"/>
            <w:gridSpan w:val="2"/>
          </w:tcPr>
          <w:p>
            <w:pPr>
              <w:jc w:val="right"/>
              <w:ind w:right="341"/>
              <w:spacing w:after="0"/>
              <w:rPr>
                <w:sz w:val="20"/>
                <w:szCs w:val="20"/>
                <w:color w:val="auto"/>
              </w:rPr>
            </w:pPr>
            <w:r>
              <w:rPr>
                <w:rFonts w:ascii="Arial" w:cs="Arial" w:eastAsia="Arial" w:hAnsi="Arial"/>
                <w:sz w:val="18"/>
                <w:szCs w:val="18"/>
                <w:color w:val="auto"/>
              </w:rPr>
              <w:t>261</w:t>
            </w:r>
          </w:p>
        </w:tc>
        <w:tc>
          <w:tcPr>
            <w:tcW w:w="980" w:type="dxa"/>
            <w:vAlign w:val="bottom"/>
          </w:tcPr>
          <w:p>
            <w:pPr>
              <w:spacing w:after="0"/>
              <w:rPr>
                <w:sz w:val="19"/>
                <w:szCs w:val="19"/>
                <w:color w:val="auto"/>
              </w:rPr>
            </w:pPr>
          </w:p>
        </w:tc>
        <w:tc>
          <w:tcPr>
            <w:tcW w:w="740" w:type="dxa"/>
            <w:vAlign w:val="bottom"/>
            <w:gridSpan w:val="2"/>
          </w:tcPr>
          <w:p>
            <w:pPr>
              <w:jc w:val="right"/>
              <w:ind w:right="141"/>
              <w:spacing w:after="0"/>
              <w:rPr>
                <w:sz w:val="20"/>
                <w:szCs w:val="20"/>
                <w:color w:val="auto"/>
              </w:rPr>
            </w:pPr>
            <w:r>
              <w:rPr>
                <w:rFonts w:ascii="Arial" w:cs="Arial" w:eastAsia="Arial" w:hAnsi="Arial"/>
                <w:sz w:val="18"/>
                <w:szCs w:val="18"/>
                <w:color w:val="auto"/>
              </w:rPr>
              <w:t>238</w:t>
            </w:r>
          </w:p>
        </w:tc>
      </w:tr>
      <w:tr>
        <w:trPr>
          <w:trHeight w:val="230"/>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9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96</w:t>
            </w:r>
          </w:p>
        </w:tc>
        <w:tc>
          <w:tcPr>
            <w:tcW w:w="9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302</w:t>
            </w:r>
          </w:p>
        </w:tc>
      </w:tr>
      <w:tr>
        <w:trPr>
          <w:trHeight w:val="229"/>
        </w:trPr>
        <w:tc>
          <w:tcPr>
            <w:tcW w:w="760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980" w:type="dxa"/>
            <w:vAlign w:val="bottom"/>
          </w:tcPr>
          <w:p>
            <w:pPr>
              <w:spacing w:after="0"/>
              <w:rPr>
                <w:sz w:val="19"/>
                <w:szCs w:val="19"/>
                <w:color w:val="auto"/>
              </w:rPr>
            </w:pPr>
          </w:p>
        </w:tc>
        <w:tc>
          <w:tcPr>
            <w:tcW w:w="940" w:type="dxa"/>
            <w:vAlign w:val="bottom"/>
            <w:gridSpan w:val="2"/>
          </w:tcPr>
          <w:p>
            <w:pPr>
              <w:jc w:val="right"/>
              <w:ind w:right="341"/>
              <w:spacing w:after="0"/>
              <w:rPr>
                <w:sz w:val="20"/>
                <w:szCs w:val="20"/>
                <w:color w:val="auto"/>
              </w:rPr>
            </w:pPr>
            <w:r>
              <w:rPr>
                <w:rFonts w:ascii="Arial" w:cs="Arial" w:eastAsia="Arial" w:hAnsi="Arial"/>
                <w:sz w:val="18"/>
                <w:szCs w:val="18"/>
                <w:color w:val="auto"/>
              </w:rPr>
              <w:t>842</w:t>
            </w:r>
          </w:p>
        </w:tc>
        <w:tc>
          <w:tcPr>
            <w:tcW w:w="980" w:type="dxa"/>
            <w:vAlign w:val="bottom"/>
          </w:tcPr>
          <w:p>
            <w:pPr>
              <w:spacing w:after="0"/>
              <w:rPr>
                <w:sz w:val="19"/>
                <w:szCs w:val="19"/>
                <w:color w:val="auto"/>
              </w:rPr>
            </w:pPr>
          </w:p>
        </w:tc>
        <w:tc>
          <w:tcPr>
            <w:tcW w:w="740" w:type="dxa"/>
            <w:vAlign w:val="bottom"/>
            <w:gridSpan w:val="2"/>
          </w:tcPr>
          <w:p>
            <w:pPr>
              <w:jc w:val="right"/>
              <w:ind w:right="81"/>
              <w:spacing w:after="0"/>
              <w:rPr>
                <w:sz w:val="20"/>
                <w:szCs w:val="20"/>
                <w:color w:val="auto"/>
              </w:rPr>
            </w:pPr>
            <w:r>
              <w:rPr>
                <w:rFonts w:ascii="Arial" w:cs="Arial" w:eastAsia="Arial" w:hAnsi="Arial"/>
                <w:sz w:val="18"/>
                <w:szCs w:val="18"/>
                <w:color w:val="auto"/>
              </w:rPr>
              <w:t>(443)</w:t>
            </w:r>
          </w:p>
        </w:tc>
      </w:tr>
      <w:tr>
        <w:trPr>
          <w:trHeight w:val="229"/>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9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(51)</w:t>
            </w:r>
          </w:p>
        </w:tc>
        <w:tc>
          <w:tcPr>
            <w:tcW w:w="9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w:t>
            </w: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Deferred product revenue</w:t>
            </w:r>
          </w:p>
        </w:tc>
        <w:tc>
          <w:tcPr>
            <w:tcW w:w="980" w:type="dxa"/>
            <w:vAlign w:val="bottom"/>
          </w:tcPr>
          <w:p>
            <w:pPr>
              <w:spacing w:after="0"/>
              <w:rPr>
                <w:sz w:val="19"/>
                <w:szCs w:val="19"/>
                <w:color w:val="auto"/>
              </w:rPr>
            </w:pPr>
          </w:p>
        </w:tc>
        <w:tc>
          <w:tcPr>
            <w:tcW w:w="940" w:type="dxa"/>
            <w:vAlign w:val="bottom"/>
            <w:gridSpan w:val="2"/>
          </w:tcPr>
          <w:p>
            <w:pPr>
              <w:jc w:val="right"/>
              <w:ind w:right="281"/>
              <w:spacing w:after="0"/>
              <w:rPr>
                <w:sz w:val="20"/>
                <w:szCs w:val="20"/>
                <w:color w:val="auto"/>
              </w:rPr>
            </w:pPr>
            <w:r>
              <w:rPr>
                <w:rFonts w:ascii="Arial" w:cs="Arial" w:eastAsia="Arial" w:hAnsi="Arial"/>
                <w:sz w:val="18"/>
                <w:szCs w:val="18"/>
                <w:color w:val="auto"/>
              </w:rPr>
              <w:t>(67)</w:t>
            </w:r>
          </w:p>
        </w:tc>
        <w:tc>
          <w:tcPr>
            <w:tcW w:w="980" w:type="dxa"/>
            <w:vAlign w:val="bottom"/>
          </w:tcPr>
          <w:p>
            <w:pPr>
              <w:spacing w:after="0"/>
              <w:rPr>
                <w:sz w:val="19"/>
                <w:szCs w:val="19"/>
                <w:color w:val="auto"/>
              </w:rPr>
            </w:pPr>
          </w:p>
        </w:tc>
        <w:tc>
          <w:tcPr>
            <w:tcW w:w="740" w:type="dxa"/>
            <w:vAlign w:val="bottom"/>
            <w:gridSpan w:val="2"/>
          </w:tcPr>
          <w:p>
            <w:pPr>
              <w:jc w:val="right"/>
              <w:ind w:right="141"/>
              <w:spacing w:after="0"/>
              <w:rPr>
                <w:sz w:val="20"/>
                <w:szCs w:val="20"/>
                <w:color w:val="auto"/>
              </w:rPr>
            </w:pPr>
            <w:r>
              <w:rPr>
                <w:rFonts w:ascii="Arial" w:cs="Arial" w:eastAsia="Arial" w:hAnsi="Arial"/>
                <w:sz w:val="18"/>
                <w:szCs w:val="18"/>
                <w:color w:val="auto"/>
              </w:rPr>
              <w:t>26</w:t>
            </w:r>
          </w:p>
        </w:tc>
      </w:tr>
      <w:tr>
        <w:trPr>
          <w:trHeight w:val="229"/>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9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(301)</w:t>
            </w:r>
          </w:p>
        </w:tc>
        <w:tc>
          <w:tcPr>
            <w:tcW w:w="9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(276)</w:t>
            </w: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980" w:type="dxa"/>
            <w:vAlign w:val="bottom"/>
          </w:tcPr>
          <w:p>
            <w:pPr>
              <w:spacing w:after="0"/>
              <w:rPr>
                <w:sz w:val="18"/>
                <w:szCs w:val="18"/>
                <w:color w:val="auto"/>
              </w:rPr>
            </w:pPr>
          </w:p>
        </w:tc>
        <w:tc>
          <w:tcPr>
            <w:tcW w:w="94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740" w:type="dxa"/>
            <w:vAlign w:val="bottom"/>
            <w:gridSpan w:val="2"/>
          </w:tcPr>
          <w:p>
            <w:pPr>
              <w:jc w:val="right"/>
              <w:ind w:right="81"/>
              <w:spacing w:after="0"/>
              <w:rPr>
                <w:sz w:val="20"/>
                <w:szCs w:val="20"/>
                <w:color w:val="auto"/>
              </w:rPr>
            </w:pPr>
            <w:r>
              <w:rPr>
                <w:rFonts w:ascii="Arial" w:cs="Arial" w:eastAsia="Arial" w:hAnsi="Arial"/>
                <w:sz w:val="18"/>
                <w:szCs w:val="18"/>
                <w:color w:val="auto"/>
              </w:rPr>
              <w:t>(29)</w:t>
            </w:r>
          </w:p>
        </w:tc>
      </w:tr>
      <w:tr>
        <w:trPr>
          <w:trHeight w:val="223"/>
        </w:trPr>
        <w:tc>
          <w:tcPr>
            <w:tcW w:w="7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4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Borders>
              <w:top w:val="single" w:sz="8" w:color="CCEEFF"/>
            </w:tcBorders>
            <w:shd w:val="clear" w:color="auto" w:fill="CCEEFF"/>
          </w:tcPr>
          <w:p>
            <w:pPr>
              <w:spacing w:after="0"/>
              <w:rPr>
                <w:sz w:val="19"/>
                <w:szCs w:val="19"/>
                <w:color w:val="auto"/>
              </w:rPr>
            </w:pPr>
          </w:p>
        </w:tc>
      </w:tr>
      <w:tr>
        <w:trPr>
          <w:trHeight w:val="209"/>
        </w:trPr>
        <w:tc>
          <w:tcPr>
            <w:tcW w:w="7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980" w:type="dxa"/>
            <w:vAlign w:val="bottom"/>
          </w:tcPr>
          <w:p>
            <w:pPr>
              <w:spacing w:after="0"/>
              <w:rPr>
                <w:sz w:val="19"/>
                <w:szCs w:val="19"/>
                <w:color w:val="auto"/>
              </w:rPr>
            </w:pPr>
          </w:p>
        </w:tc>
        <w:tc>
          <w:tcPr>
            <w:tcW w:w="940" w:type="dxa"/>
            <w:vAlign w:val="bottom"/>
            <w:gridSpan w:val="2"/>
          </w:tcPr>
          <w:p>
            <w:pPr>
              <w:jc w:val="right"/>
              <w:ind w:right="281"/>
              <w:spacing w:after="0"/>
              <w:rPr>
                <w:sz w:val="20"/>
                <w:szCs w:val="20"/>
                <w:color w:val="auto"/>
              </w:rPr>
            </w:pPr>
            <w:r>
              <w:rPr>
                <w:rFonts w:ascii="Arial" w:cs="Arial" w:eastAsia="Arial" w:hAnsi="Arial"/>
                <w:sz w:val="18"/>
                <w:szCs w:val="18"/>
                <w:color w:val="auto"/>
              </w:rPr>
              <w:t>(25)</w:t>
            </w:r>
          </w:p>
        </w:tc>
        <w:tc>
          <w:tcPr>
            <w:tcW w:w="980" w:type="dxa"/>
            <w:vAlign w:val="bottom"/>
          </w:tcPr>
          <w:p>
            <w:pPr>
              <w:spacing w:after="0"/>
              <w:rPr>
                <w:sz w:val="19"/>
                <w:szCs w:val="19"/>
                <w:color w:val="auto"/>
              </w:rPr>
            </w:pPr>
          </w:p>
        </w:tc>
        <w:tc>
          <w:tcPr>
            <w:tcW w:w="740" w:type="dxa"/>
            <w:vAlign w:val="bottom"/>
            <w:gridSpan w:val="2"/>
          </w:tcPr>
          <w:p>
            <w:pPr>
              <w:jc w:val="right"/>
              <w:ind w:right="81"/>
              <w:spacing w:after="0"/>
              <w:rPr>
                <w:sz w:val="20"/>
                <w:szCs w:val="20"/>
                <w:color w:val="auto"/>
              </w:rPr>
            </w:pPr>
            <w:r>
              <w:rPr>
                <w:rFonts w:ascii="Arial" w:cs="Arial" w:eastAsia="Arial" w:hAnsi="Arial"/>
                <w:sz w:val="18"/>
                <w:szCs w:val="18"/>
                <w:color w:val="auto"/>
              </w:rPr>
              <w:t>(218)</w:t>
            </w:r>
          </w:p>
        </w:tc>
      </w:tr>
      <w:tr>
        <w:trPr>
          <w:trHeight w:val="243"/>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intangibles</w:t>
            </w:r>
          </w:p>
        </w:tc>
        <w:tc>
          <w:tcPr>
            <w:tcW w:w="9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(147)</w:t>
            </w:r>
          </w:p>
        </w:tc>
        <w:tc>
          <w:tcPr>
            <w:tcW w:w="9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(114)</w:t>
            </w: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Capitalized patent defense costs</w:t>
            </w:r>
          </w:p>
        </w:tc>
        <w:tc>
          <w:tcPr>
            <w:tcW w:w="980" w:type="dxa"/>
            <w:vAlign w:val="bottom"/>
          </w:tcPr>
          <w:p>
            <w:pPr>
              <w:spacing w:after="0"/>
              <w:rPr>
                <w:sz w:val="19"/>
                <w:szCs w:val="19"/>
                <w:color w:val="auto"/>
              </w:rPr>
            </w:pPr>
          </w:p>
        </w:tc>
        <w:tc>
          <w:tcPr>
            <w:tcW w:w="940" w:type="dxa"/>
            <w:vAlign w:val="bottom"/>
            <w:gridSpan w:val="2"/>
          </w:tcPr>
          <w:p>
            <w:pPr>
              <w:jc w:val="right"/>
              <w:ind w:right="281"/>
              <w:spacing w:after="0"/>
              <w:rPr>
                <w:sz w:val="20"/>
                <w:szCs w:val="20"/>
                <w:color w:val="auto"/>
              </w:rPr>
            </w:pPr>
            <w:r>
              <w:rPr>
                <w:rFonts w:ascii="Arial" w:cs="Arial" w:eastAsia="Arial" w:hAnsi="Arial"/>
                <w:sz w:val="18"/>
                <w:szCs w:val="18"/>
                <w:color w:val="auto"/>
                <w:w w:val="98"/>
              </w:rPr>
              <w:t>(3,206)</w:t>
            </w:r>
          </w:p>
        </w:tc>
        <w:tc>
          <w:tcPr>
            <w:tcW w:w="980" w:type="dxa"/>
            <w:vAlign w:val="bottom"/>
          </w:tcPr>
          <w:p>
            <w:pPr>
              <w:spacing w:after="0"/>
              <w:rPr>
                <w:sz w:val="19"/>
                <w:szCs w:val="19"/>
                <w:color w:val="auto"/>
              </w:rPr>
            </w:pPr>
          </w:p>
        </w:tc>
        <w:tc>
          <w:tcPr>
            <w:tcW w:w="740" w:type="dxa"/>
            <w:vAlign w:val="bottom"/>
            <w:gridSpan w:val="2"/>
          </w:tcPr>
          <w:p>
            <w:pPr>
              <w:jc w:val="right"/>
              <w:ind w:right="81"/>
              <w:spacing w:after="0"/>
              <w:rPr>
                <w:sz w:val="20"/>
                <w:szCs w:val="20"/>
                <w:color w:val="auto"/>
              </w:rPr>
            </w:pPr>
            <w:r>
              <w:rPr>
                <w:rFonts w:ascii="Arial" w:cs="Arial" w:eastAsia="Arial" w:hAnsi="Arial"/>
                <w:sz w:val="18"/>
                <w:szCs w:val="18"/>
                <w:color w:val="auto"/>
                <w:w w:val="98"/>
              </w:rPr>
              <w:t>(3,792)</w:t>
            </w:r>
          </w:p>
        </w:tc>
      </w:tr>
      <w:tr>
        <w:trPr>
          <w:trHeight w:val="230"/>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maturities and sales of marketable securities</w:t>
            </w:r>
          </w:p>
        </w:tc>
        <w:tc>
          <w:tcPr>
            <w:tcW w:w="9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1,394</w:t>
            </w:r>
          </w:p>
        </w:tc>
        <w:tc>
          <w:tcPr>
            <w:tcW w:w="9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2,482</w:t>
            </w:r>
          </w:p>
        </w:tc>
      </w:tr>
      <w:tr>
        <w:trPr>
          <w:trHeight w:val="243"/>
        </w:trPr>
        <w:tc>
          <w:tcPr>
            <w:tcW w:w="7600" w:type="dxa"/>
            <w:vAlign w:val="bottom"/>
          </w:tcPr>
          <w:p>
            <w:pPr>
              <w:ind w:left="180"/>
              <w:spacing w:after="0"/>
              <w:rPr>
                <w:sz w:val="20"/>
                <w:szCs w:val="20"/>
                <w:color w:val="auto"/>
              </w:rPr>
            </w:pPr>
            <w:r>
              <w:rPr>
                <w:rFonts w:ascii="Arial" w:cs="Arial" w:eastAsia="Arial" w:hAnsi="Arial"/>
                <w:sz w:val="18"/>
                <w:szCs w:val="18"/>
                <w:color w:val="auto"/>
              </w:rPr>
              <w:t>Purchases of marketable securities</w:t>
            </w:r>
          </w:p>
        </w:tc>
        <w:tc>
          <w:tcPr>
            <w:tcW w:w="980" w:type="dxa"/>
            <w:vAlign w:val="bottom"/>
          </w:tcPr>
          <w:p>
            <w:pPr>
              <w:spacing w:after="0"/>
              <w:rPr>
                <w:sz w:val="21"/>
                <w:szCs w:val="21"/>
                <w:color w:val="auto"/>
              </w:rPr>
            </w:pPr>
          </w:p>
        </w:tc>
        <w:tc>
          <w:tcPr>
            <w:tcW w:w="940" w:type="dxa"/>
            <w:vAlign w:val="bottom"/>
            <w:gridSpan w:val="2"/>
          </w:tcPr>
          <w:p>
            <w:pPr>
              <w:jc w:val="right"/>
              <w:ind w:right="281"/>
              <w:spacing w:after="0"/>
              <w:rPr>
                <w:sz w:val="20"/>
                <w:szCs w:val="20"/>
                <w:color w:val="auto"/>
              </w:rPr>
            </w:pPr>
            <w:r>
              <w:rPr>
                <w:rFonts w:ascii="Arial" w:cs="Arial" w:eastAsia="Arial" w:hAnsi="Arial"/>
                <w:sz w:val="18"/>
                <w:szCs w:val="18"/>
                <w:color w:val="auto"/>
              </w:rPr>
              <w:t>(517)</w:t>
            </w:r>
          </w:p>
        </w:tc>
        <w:tc>
          <w:tcPr>
            <w:tcW w:w="980" w:type="dxa"/>
            <w:vAlign w:val="bottom"/>
          </w:tcPr>
          <w:p>
            <w:pPr>
              <w:spacing w:after="0"/>
              <w:rPr>
                <w:sz w:val="21"/>
                <w:szCs w:val="21"/>
                <w:color w:val="auto"/>
              </w:rPr>
            </w:pPr>
          </w:p>
        </w:tc>
        <w:tc>
          <w:tcPr>
            <w:tcW w:w="740" w:type="dxa"/>
            <w:vAlign w:val="bottom"/>
            <w:gridSpan w:val="2"/>
          </w:tcPr>
          <w:p>
            <w:pPr>
              <w:jc w:val="right"/>
              <w:ind w:right="81"/>
              <w:spacing w:after="0"/>
              <w:rPr>
                <w:sz w:val="20"/>
                <w:szCs w:val="20"/>
                <w:color w:val="auto"/>
              </w:rPr>
            </w:pPr>
            <w:r>
              <w:rPr>
                <w:rFonts w:ascii="Arial" w:cs="Arial" w:eastAsia="Arial" w:hAnsi="Arial"/>
                <w:sz w:val="18"/>
                <w:szCs w:val="18"/>
                <w:color w:val="auto"/>
                <w:w w:val="98"/>
              </w:rPr>
              <w:t>(1,903)</w:t>
            </w:r>
          </w:p>
        </w:tc>
      </w:tr>
      <w:tr>
        <w:trPr>
          <w:trHeight w:val="223"/>
        </w:trPr>
        <w:tc>
          <w:tcPr>
            <w:tcW w:w="7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(2,501)</w:t>
            </w:r>
          </w:p>
        </w:tc>
        <w:tc>
          <w:tcPr>
            <w:tcW w:w="4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(3,545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r>
      <w:tr>
        <w:trPr>
          <w:trHeight w:val="210"/>
        </w:trPr>
        <w:tc>
          <w:tcPr>
            <w:tcW w:w="7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Net proceeds from Paycheck Protection Program loan</w:t>
            </w:r>
          </w:p>
        </w:tc>
        <w:tc>
          <w:tcPr>
            <w:tcW w:w="980" w:type="dxa"/>
            <w:vAlign w:val="bottom"/>
          </w:tcPr>
          <w:p>
            <w:pPr>
              <w:spacing w:after="0"/>
              <w:rPr>
                <w:sz w:val="19"/>
                <w:szCs w:val="19"/>
                <w:color w:val="auto"/>
              </w:rPr>
            </w:pPr>
          </w:p>
        </w:tc>
        <w:tc>
          <w:tcPr>
            <w:tcW w:w="94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740" w:type="dxa"/>
            <w:vAlign w:val="bottom"/>
            <w:gridSpan w:val="2"/>
          </w:tcPr>
          <w:p>
            <w:pPr>
              <w:jc w:val="right"/>
              <w:ind w:right="141"/>
              <w:spacing w:after="0"/>
              <w:rPr>
                <w:sz w:val="20"/>
                <w:szCs w:val="20"/>
                <w:color w:val="auto"/>
              </w:rPr>
            </w:pPr>
            <w:r>
              <w:rPr>
                <w:rFonts w:ascii="Arial" w:cs="Arial" w:eastAsia="Arial" w:hAnsi="Arial"/>
                <w:sz w:val="18"/>
                <w:szCs w:val="18"/>
                <w:color w:val="auto"/>
              </w:rPr>
              <w:t>1,499</w:t>
            </w:r>
          </w:p>
        </w:tc>
      </w:tr>
      <w:tr>
        <w:trPr>
          <w:trHeight w:val="230"/>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equity-based compensation programs</w:t>
            </w:r>
          </w:p>
        </w:tc>
        <w:tc>
          <w:tcPr>
            <w:tcW w:w="9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7</w:t>
            </w:r>
          </w:p>
        </w:tc>
        <w:tc>
          <w:tcPr>
            <w:tcW w:w="9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w:t>
            </w:r>
          </w:p>
        </w:tc>
      </w:tr>
      <w:tr>
        <w:trPr>
          <w:trHeight w:val="243"/>
        </w:trPr>
        <w:tc>
          <w:tcPr>
            <w:tcW w:w="7600" w:type="dxa"/>
            <w:vAlign w:val="bottom"/>
          </w:tcPr>
          <w:p>
            <w:pPr>
              <w:ind w:left="180"/>
              <w:spacing w:after="0"/>
              <w:rPr>
                <w:sz w:val="20"/>
                <w:szCs w:val="20"/>
                <w:color w:val="auto"/>
              </w:rPr>
            </w:pPr>
            <w:r>
              <w:rPr>
                <w:rFonts w:ascii="Arial" w:cs="Arial" w:eastAsia="Arial" w:hAnsi="Arial"/>
                <w:sz w:val="18"/>
                <w:szCs w:val="18"/>
                <w:color w:val="auto"/>
              </w:rPr>
              <w:t>Principal payments of long-term debt</w:t>
            </w:r>
          </w:p>
        </w:tc>
        <w:tc>
          <w:tcPr>
            <w:tcW w:w="980" w:type="dxa"/>
            <w:vAlign w:val="bottom"/>
          </w:tcPr>
          <w:p>
            <w:pPr>
              <w:spacing w:after="0"/>
              <w:rPr>
                <w:sz w:val="21"/>
                <w:szCs w:val="21"/>
                <w:color w:val="auto"/>
              </w:rPr>
            </w:pPr>
          </w:p>
        </w:tc>
        <w:tc>
          <w:tcPr>
            <w:tcW w:w="940" w:type="dxa"/>
            <w:vAlign w:val="bottom"/>
            <w:gridSpan w:val="2"/>
          </w:tcPr>
          <w:p>
            <w:pPr>
              <w:jc w:val="right"/>
              <w:ind w:right="281"/>
              <w:spacing w:after="0"/>
              <w:rPr>
                <w:sz w:val="20"/>
                <w:szCs w:val="20"/>
                <w:color w:val="auto"/>
              </w:rPr>
            </w:pPr>
            <w:r>
              <w:rPr>
                <w:rFonts w:ascii="Arial" w:cs="Arial" w:eastAsia="Arial" w:hAnsi="Arial"/>
                <w:sz w:val="18"/>
                <w:szCs w:val="18"/>
                <w:color w:val="auto"/>
              </w:rPr>
              <w:t>(180)</w:t>
            </w:r>
          </w:p>
        </w:tc>
        <w:tc>
          <w:tcPr>
            <w:tcW w:w="980" w:type="dxa"/>
            <w:vAlign w:val="bottom"/>
          </w:tcPr>
          <w:p>
            <w:pPr>
              <w:spacing w:after="0"/>
              <w:rPr>
                <w:sz w:val="21"/>
                <w:szCs w:val="21"/>
                <w:color w:val="auto"/>
              </w:rPr>
            </w:pPr>
          </w:p>
        </w:tc>
        <w:tc>
          <w:tcPr>
            <w:tcW w:w="7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r>
      <w:tr>
        <w:trPr>
          <w:trHeight w:val="223"/>
        </w:trPr>
        <w:tc>
          <w:tcPr>
            <w:tcW w:w="7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20" w:type="dxa"/>
            <w:vAlign w:val="bottom"/>
            <w:tcBorders>
              <w:top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w w:val="74"/>
              </w:rPr>
              <w:t>)</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220" w:type="dxa"/>
            <w:vAlign w:val="bottom"/>
            <w:tcBorders>
              <w:top w:val="single" w:sz="8" w:color="CCEEFF"/>
            </w:tcBorders>
            <w:shd w:val="clear" w:color="auto" w:fill="CCEEFF"/>
          </w:tcPr>
          <w:p>
            <w:pPr>
              <w:spacing w:after="0"/>
              <w:rPr>
                <w:sz w:val="19"/>
                <w:szCs w:val="19"/>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23"/>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cash and cash equivalents</w:t>
      </w:r>
    </w:p>
    <w:p>
      <w:pPr>
        <w:spacing w:after="0" w:line="36" w:lineRule="exact"/>
        <w:rPr>
          <w:sz w:val="20"/>
          <w:szCs w:val="20"/>
          <w:color w:val="auto"/>
        </w:rPr>
      </w:pPr>
    </w:p>
    <w:p>
      <w:pPr>
        <w:spacing w:after="0" w:line="395" w:lineRule="auto"/>
        <w:rPr>
          <w:sz w:val="20"/>
          <w:szCs w:val="20"/>
          <w:color w:val="auto"/>
        </w:rPr>
      </w:pPr>
      <w:r>
        <w:rPr>
          <w:rFonts w:ascii="Arial" w:cs="Arial" w:eastAsia="Arial" w:hAnsi="Arial"/>
          <w:sz w:val="16"/>
          <w:szCs w:val="16"/>
          <w:color w:val="auto"/>
        </w:rPr>
        <w:t>Cash and cash equivalents at the beginning of the period Cash and cash equivalents at the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8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(1,715)</w:t>
            </w:r>
          </w:p>
        </w:tc>
        <w:tc>
          <w:tcPr>
            <w:tcW w:w="5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(1,958)</w:t>
            </w:r>
          </w:p>
        </w:tc>
      </w:tr>
      <w:tr>
        <w:trPr>
          <w:trHeight w:val="243"/>
        </w:trPr>
        <w:tc>
          <w:tcPr>
            <w:tcW w:w="560" w:type="dxa"/>
            <w:vAlign w:val="bottom"/>
          </w:tcPr>
          <w:p>
            <w:pPr>
              <w:spacing w:after="0"/>
              <w:rPr>
                <w:sz w:val="21"/>
                <w:szCs w:val="21"/>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3,803</w:t>
            </w: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4,064</w:t>
            </w:r>
          </w:p>
        </w:tc>
        <w:tc>
          <w:tcPr>
            <w:tcW w:w="60" w:type="dxa"/>
            <w:vAlign w:val="bottom"/>
          </w:tcPr>
          <w:p>
            <w:pPr>
              <w:spacing w:after="0"/>
              <w:rPr>
                <w:sz w:val="21"/>
                <w:szCs w:val="21"/>
                <w:color w:val="auto"/>
              </w:rPr>
            </w:pPr>
          </w:p>
        </w:tc>
      </w:tr>
      <w:tr>
        <w:trPr>
          <w:trHeight w:val="223"/>
        </w:trPr>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2,088</w:t>
            </w:r>
          </w:p>
        </w:tc>
        <w:tc>
          <w:tcPr>
            <w:tcW w:w="4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60" w:type="dxa"/>
            <w:vAlign w:val="bottom"/>
          </w:tcPr>
          <w:p>
            <w:pPr>
              <w:spacing w:after="0"/>
              <w:rPr>
                <w:sz w:val="19"/>
                <w:szCs w:val="19"/>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-479425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-179705</wp:posOffset>
            </wp:positionV>
            <wp:extent cx="71323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2" w:lineRule="exact"/>
        <w:rPr>
          <w:sz w:val="20"/>
          <w:szCs w:val="20"/>
          <w:color w:val="auto"/>
        </w:rPr>
      </w:pPr>
    </w:p>
    <w:p>
      <w:pPr>
        <w:jc w:val="center"/>
        <w:ind w:right="4740"/>
        <w:spacing w:after="0"/>
        <w:rPr>
          <w:sz w:val="20"/>
          <w:szCs w:val="20"/>
          <w:color w:val="auto"/>
        </w:rPr>
      </w:pPr>
      <w:r>
        <w:rPr>
          <w:rFonts w:ascii="Arial" w:cs="Arial" w:eastAsia="Arial" w:hAnsi="Arial"/>
          <w:sz w:val="15"/>
          <w:szCs w:val="15"/>
          <w:i w:val="1"/>
          <w:iCs w:val="1"/>
          <w:color w:val="auto"/>
        </w:rPr>
        <w:t>See accompanying notes</w:t>
      </w:r>
    </w:p>
    <w:p>
      <w:pPr>
        <w:spacing w:after="0" w:line="28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080" w:space="660"/>
            <w:col w:w="650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supplemental cash flow activities: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72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b w:val="1"/>
                <w:bCs w:val="1"/>
                <w:color w:val="auto"/>
              </w:rPr>
              <w:t>Six months ended June 30,</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6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ClearOne, Inc., together with its subsidiaries (collectively, “ClearOne” or the “Company”), is a global market leader enabling conferencing, collaboration, and AV streaming solutions for voice and visual communications. The performance and simplicity of our advanced, comprehensive solutions offer unprecedented levels of functionality, reliability and scalability.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fiscal year for ClearOne is the twelve months ending on December 31. The condensed consolidated financial statements include the accounts of ClearOne and its subsidiaries. All significant inter-company accounts and transactions have been eliminated.</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June 30, 2021 and December 31, 2020, the results of operations for the three and six months ended June 30, 2021 and 2020, and the cash flows for the six months ended June 30, 2021 and 2020. The results of operations for the three and six months ended June 30, 2021 and 2020 are not necessarily indicative of the results for a full-year period. These interim unaudited condensed consolidated financial statements should be read in conjunction with the financial statements included in our Annual Report on Form 10-K for the year ended December 31, 2020 filed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significant accounting policies were described in Note 1 to the audited consolidated financial statements included in the Company’s annual report on Form 10-K for the year ended December 31, 2020. There have been no changes to these policies during the six months ended June 30, 2021 that are of significance or potential significance to the Company.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Recent accounting pronouncements: </w:t>
      </w:r>
      <w:r>
        <w:rPr>
          <w:rFonts w:ascii="Arial" w:cs="Arial" w:eastAsia="Arial" w:hAnsi="Arial"/>
          <w:sz w:val="18"/>
          <w:szCs w:val="18"/>
          <w:color w:val="auto"/>
        </w:rPr>
        <w:t>The Company has determined that recently issued accounting standards will not have a material impact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position,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June 30, 2021, our cash and cash equivalents were approximately $2,088 compared to $3,803 as of December 31, 2020. Our working capital was $17,567 as of June 30, 2021. Net cash provided by operating activities was $985 for the six months ended June 30, 2021, an increase of $872 from $113 of cash provided by operating activities in the six months ended June 30, 2021.</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currently pursuing all available legal remedies to defend our strategic patents from infringement. We have already spent approximately $23,559 from 2016 through June 30, 2021 towards this litigation and may be required to spend more to continue our legal defense. We believe the decision by the U.S. District Court in August 2019 granting our request for a preliminary injunction to prevent our competitor from manufacturing, marketing, and selling its competing ceiling microphone array in an infringing configuration is an incredibly valuable ruling for ClearOne and its business. We believe that the decision validates the strength and importance of ClearOne’s intellectual property rights, recognizes ClearOne’s innovations in this space, and stops our competitor from further infringing our Graham patent (U.S. Patent No. 9,813,806) pending a full trial. Although there can be no assurance of any outcome of a full trial, we believe this ruling will help pave the way for ClearOne’s recovery from the immense harm inflicted by our competitor's infringement of our valuable patents. For more information about our intellectual property litigation, See Note 8. Commitments and Contingencies - Legal Proceedings, in our annual report on Form 10-K for the year ended December 31, 2020 and Part II, Item 1. Legal Proceedings in this quarterly report.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actively engaged in preserving cash by suspending our dividend program and allowing our share repurchase program to expire in 2018 and implementing company-wide cost reduction measures. We have also raised additional capital in 2019 by issuing senior convertible notes and in 2020 by borrowing through the CARES Act Paycheck Protection Program and issuing common stock and warrants. In addition, we expect to generate additional cash as our inventory levels are brought down to historical levels.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believe that the measures taken by us will yield higher revenues in the future. We believe, although there can be no assurance, that all of these measures and effective management of working capital will provide the liquidity needed to meet our operating needs through at least August 10, 2022. We also believe that our strong portfolio of intellectual property and our solid brand equity in the market will enable us to raise additional capital if and when needed to meet our short and long-term financing needs; however, there can be no assurance that, if needed, we will be successful in obtaining the necessary funds through equity or debt financing. If we need additional capital and are unable to secure financing, we may be required to further reduce expenses, delay product development and enhancement, or revise our strategy regarding ongoing litigation.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the Company’s revenue into primary product groups: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94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w w:val="97"/>
              </w:rPr>
              <w:t>Three months ended June 30,</w:t>
            </w:r>
          </w:p>
        </w:tc>
        <w:tc>
          <w:tcPr>
            <w:tcW w:w="200" w:type="dxa"/>
            <w:vAlign w:val="bottom"/>
          </w:tcPr>
          <w:p>
            <w:pPr>
              <w:spacing w:after="0"/>
              <w:rPr>
                <w:sz w:val="21"/>
                <w:szCs w:val="21"/>
                <w:color w:val="auto"/>
              </w:rPr>
            </w:pPr>
          </w:p>
        </w:tc>
        <w:tc>
          <w:tcPr>
            <w:tcW w:w="2580" w:type="dxa"/>
            <w:vAlign w:val="bottom"/>
            <w:gridSpan w:val="7"/>
          </w:tcPr>
          <w:p>
            <w:pPr>
              <w:ind w:left="12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48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Audio conferencing</w:t>
            </w:r>
          </w:p>
        </w:tc>
        <w:tc>
          <w:tcPr>
            <w:tcW w:w="20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Microphones</w:t>
            </w:r>
          </w:p>
        </w:tc>
        <w:tc>
          <w:tcPr>
            <w:tcW w:w="2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3,218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1,891</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5,568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4,034</w:t>
            </w:r>
          </w:p>
        </w:tc>
        <w:tc>
          <w:tcPr>
            <w:tcW w:w="80" w:type="dxa"/>
            <w:vAlign w:val="bottom"/>
          </w:tcPr>
          <w:p>
            <w:pPr>
              <w:spacing w:after="0"/>
              <w:rPr>
                <w:sz w:val="19"/>
                <w:szCs w:val="19"/>
                <w:color w:val="auto"/>
              </w:rPr>
            </w:pPr>
          </w:p>
        </w:tc>
      </w:tr>
      <w:tr>
        <w:trPr>
          <w:trHeight w:val="243"/>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Video products</w:t>
            </w:r>
          </w:p>
        </w:tc>
        <w:tc>
          <w:tcPr>
            <w:tcW w:w="20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1,421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1,818</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3,274</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2,622</w:t>
            </w:r>
          </w:p>
        </w:tc>
        <w:tc>
          <w:tcPr>
            <w:tcW w:w="80" w:type="dxa"/>
            <w:vAlign w:val="bottom"/>
            <w:shd w:val="clear" w:color="auto" w:fill="CCEEFF"/>
          </w:tcPr>
          <w:p>
            <w:pPr>
              <w:spacing w:after="0"/>
              <w:rPr>
                <w:sz w:val="21"/>
                <w:szCs w:val="21"/>
                <w:color w:val="auto"/>
              </w:rPr>
            </w:pPr>
          </w:p>
        </w:tc>
      </w:tr>
      <w:tr>
        <w:trPr>
          <w:trHeight w:val="20"/>
        </w:trPr>
        <w:tc>
          <w:tcPr>
            <w:tcW w:w="3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34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7,735</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6,357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14,773</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12,091</w:t>
            </w:r>
          </w:p>
        </w:tc>
        <w:tc>
          <w:tcPr>
            <w:tcW w:w="80" w:type="dxa"/>
            <w:vAlign w:val="bottom"/>
          </w:tcPr>
          <w:p>
            <w:pPr>
              <w:spacing w:after="0"/>
              <w:rPr>
                <w:sz w:val="21"/>
                <w:szCs w:val="21"/>
                <w:color w:val="auto"/>
              </w:rPr>
            </w:pPr>
          </w:p>
        </w:tc>
      </w:tr>
      <w:tr>
        <w:trPr>
          <w:trHeight w:val="20"/>
        </w:trPr>
        <w:tc>
          <w:tcPr>
            <w:tcW w:w="3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the Company’s revenue into major regions: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94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w w:val="97"/>
              </w:rPr>
              <w:t>Three months ended June 30,</w:t>
            </w:r>
          </w:p>
        </w:tc>
        <w:tc>
          <w:tcPr>
            <w:tcW w:w="200" w:type="dxa"/>
            <w:vAlign w:val="bottom"/>
          </w:tcPr>
          <w:p>
            <w:pPr>
              <w:spacing w:after="0"/>
              <w:rPr>
                <w:sz w:val="21"/>
                <w:szCs w:val="21"/>
                <w:color w:val="auto"/>
              </w:rPr>
            </w:pPr>
          </w:p>
        </w:tc>
        <w:tc>
          <w:tcPr>
            <w:tcW w:w="2580" w:type="dxa"/>
            <w:vAlign w:val="bottom"/>
            <w:gridSpan w:val="6"/>
          </w:tcPr>
          <w:p>
            <w:pPr>
              <w:ind w:left="12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North and South America</w:t>
            </w: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100" w:type="dxa"/>
            <w:vAlign w:val="bottom"/>
            <w:shd w:val="clear" w:color="auto" w:fill="CCEEFF"/>
          </w:tcPr>
          <w:p>
            <w:pPr>
              <w:spacing w:after="0"/>
              <w:rPr>
                <w:sz w:val="18"/>
                <w:szCs w:val="18"/>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Asia (including Middle East) and Australia</w:t>
            </w: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1,797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1,580</w:t>
            </w:r>
          </w:p>
        </w:tc>
        <w:tc>
          <w:tcPr>
            <w:tcW w:w="2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2,996</w:t>
            </w:r>
          </w:p>
        </w:tc>
      </w:tr>
      <w:tr>
        <w:trPr>
          <w:trHeight w:val="24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Europe and Africa</w:t>
            </w:r>
          </w:p>
        </w:tc>
        <w:tc>
          <w:tcPr>
            <w:tcW w:w="1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2,298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r>
      <w:tr>
        <w:trPr>
          <w:trHeight w:val="20"/>
        </w:trPr>
        <w:tc>
          <w:tcPr>
            <w:tcW w:w="4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7,735</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6,357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14,773</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12,091</w:t>
            </w:r>
          </w:p>
        </w:tc>
      </w:tr>
      <w:tr>
        <w:trPr>
          <w:trHeight w:val="20"/>
        </w:trPr>
        <w:tc>
          <w:tcPr>
            <w:tcW w:w="4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4320" w:type="dxa"/>
            <w:vAlign w:val="bottom"/>
          </w:tcPr>
          <w:p>
            <w:pPr>
              <w:spacing w:after="0"/>
              <w:rPr>
                <w:sz w:val="24"/>
                <w:szCs w:val="24"/>
                <w:color w:val="auto"/>
              </w:rPr>
            </w:pPr>
          </w:p>
        </w:tc>
        <w:tc>
          <w:tcPr>
            <w:tcW w:w="2040" w:type="dxa"/>
            <w:vAlign w:val="bottom"/>
            <w:gridSpan w:val="2"/>
          </w:tcPr>
          <w:p>
            <w:pPr>
              <w:jc w:val="right"/>
              <w:ind w:right="610"/>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43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Earnings (loss) per common share is computed based on the weighted-average number of common shares outstanding and, when appropriate, dilutive potential common stock outstanding during the period. Stock options are considered to be potential common stock. The computation of diluted earnings (loss) per share does not assume exercise or conversion of securities that would have an anti-dilutive effect.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(loss) per common share is the amount of net earnings (loss) for the period available to each weighted-average share of common stock outstanding during the reporting period. Diluted earnings (loss) per common share is the amount of earnings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common share: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89"/>
              </w:rPr>
              <w:t>Three months ended June 30,</w:t>
            </w:r>
          </w:p>
        </w:tc>
        <w:tc>
          <w:tcPr>
            <w:tcW w:w="200" w:type="dxa"/>
            <w:vAlign w:val="bottom"/>
          </w:tcPr>
          <w:p>
            <w:pPr>
              <w:spacing w:after="0"/>
              <w:rPr>
                <w:sz w:val="20"/>
                <w:szCs w:val="20"/>
                <w:color w:val="auto"/>
              </w:rPr>
            </w:pPr>
          </w:p>
        </w:tc>
        <w:tc>
          <w:tcPr>
            <w:tcW w:w="258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23"/>
        </w:trPr>
        <w:tc>
          <w:tcPr>
            <w:tcW w:w="52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0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2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(1,586)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(1,937)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(3,241)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(3,784)</w:t>
            </w:r>
          </w:p>
        </w:tc>
      </w:tr>
      <w:tr>
        <w:trPr>
          <w:trHeight w:val="22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280" w:type="dxa"/>
            <w:vAlign w:val="bottom"/>
          </w:tcPr>
          <w:p>
            <w:pPr>
              <w:ind w:left="420"/>
              <w:spacing w:after="0"/>
              <w:rPr>
                <w:sz w:val="20"/>
                <w:szCs w:val="20"/>
                <w:color w:val="auto"/>
              </w:rPr>
            </w:pPr>
            <w:r>
              <w:rPr>
                <w:rFonts w:ascii="Arial" w:cs="Arial" w:eastAsia="Arial" w:hAnsi="Arial"/>
                <w:sz w:val="18"/>
                <w:szCs w:val="18"/>
                <w:color w:val="auto"/>
              </w:rPr>
              <w:t>Basic weighted average shares outstanding</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18,775,817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16,650,774</w:t>
            </w: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18,775,795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16,650,750</w:t>
            </w:r>
          </w:p>
        </w:tc>
      </w:tr>
      <w:tr>
        <w:trPr>
          <w:trHeight w:val="243"/>
        </w:trPr>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Dilutive common stock equivalents using treasury stock method</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28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18,775,817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16,650,774</w:t>
            </w:r>
          </w:p>
        </w:tc>
        <w:tc>
          <w:tcPr>
            <w:tcW w:w="20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18,775,795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16,650,750</w:t>
            </w:r>
          </w:p>
        </w:tc>
      </w:tr>
      <w:tr>
        <w:trPr>
          <w:trHeight w:val="197"/>
        </w:trPr>
        <w:tc>
          <w:tcPr>
            <w:tcW w:w="5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Basic loss per common share</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(0.08)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(0.17)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(0.23)</w:t>
            </w:r>
          </w:p>
        </w:tc>
      </w:tr>
      <w:tr>
        <w:trPr>
          <w:trHeight w:val="23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(0.23)</w:t>
            </w:r>
          </w:p>
        </w:tc>
      </w:tr>
      <w:tr>
        <w:trPr>
          <w:trHeight w:val="229"/>
        </w:trPr>
        <w:tc>
          <w:tcPr>
            <w:tcW w:w="5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options, warrants and convertible portion of senior</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outstanding</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3,597,418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542,196</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3,616,661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542,507</w:t>
            </w:r>
          </w:p>
        </w:tc>
      </w:tr>
      <w:tr>
        <w:trPr>
          <w:trHeight w:val="202"/>
        </w:trPr>
        <w:tc>
          <w:tcPr>
            <w:tcW w:w="5280" w:type="dxa"/>
            <w:vAlign w:val="bottom"/>
          </w:tcPr>
          <w:p>
            <w:pPr>
              <w:spacing w:after="0" w:line="201" w:lineRule="exact"/>
              <w:rPr>
                <w:sz w:val="20"/>
                <w:szCs w:val="20"/>
                <w:color w:val="auto"/>
              </w:rPr>
            </w:pPr>
            <w:r>
              <w:rPr>
                <w:rFonts w:ascii="Arial" w:cs="Arial" w:eastAsia="Arial" w:hAnsi="Arial"/>
                <w:sz w:val="18"/>
                <w:szCs w:val="18"/>
                <w:color w:val="auto"/>
              </w:rPr>
              <w:t>Anti-dilutive options, warrants and convertible portion of senior</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convertible notes not included in the computation</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3,597,148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542,196</w:t>
            </w:r>
          </w:p>
        </w:tc>
        <w:tc>
          <w:tcPr>
            <w:tcW w:w="2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3,616,661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542,507</w:t>
            </w:r>
          </w:p>
        </w:tc>
      </w:tr>
      <w:tr>
        <w:trPr>
          <w:trHeight w:val="459"/>
        </w:trPr>
        <w:tc>
          <w:tcPr>
            <w:tcW w:w="528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5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classified its marketable securities as available-for-sale securities. These securities are carried at estimated fair value with unrealized holding gains and losses included in accumulated other comprehensive loss in stockholders’ equity until realized. Gains and losses on marketable security transactions are reported on the specific-identification method. Dividend and interest income are recognized when earned.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securities at June 30, 2021 and December 31, 2020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unrealized</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Estimated fair</w:t>
            </w:r>
          </w:p>
        </w:tc>
      </w:tr>
      <w:tr>
        <w:trPr>
          <w:trHeight w:val="234"/>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300"/>
              <w:spacing w:after="0"/>
              <w:rPr>
                <w:sz w:val="20"/>
                <w:szCs w:val="20"/>
                <w:color w:val="auto"/>
              </w:rPr>
            </w:pPr>
            <w:r>
              <w:rPr>
                <w:rFonts w:ascii="Arial" w:cs="Arial" w:eastAsia="Arial" w:hAnsi="Arial"/>
                <w:sz w:val="18"/>
                <w:szCs w:val="18"/>
                <w:b w:val="1"/>
                <w:bCs w:val="1"/>
                <w:color w:val="auto"/>
              </w:rPr>
              <w:t>cost</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holding gains</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holding losses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w:t>
            </w: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Municipal bonds</w:t>
            </w:r>
          </w:p>
        </w:tc>
        <w:tc>
          <w:tcPr>
            <w:tcW w:w="120" w:type="dxa"/>
            <w:vAlign w:val="bottom"/>
          </w:tcPr>
          <w:p>
            <w:pPr>
              <w:spacing w:after="0"/>
              <w:rPr>
                <w:sz w:val="21"/>
                <w:szCs w:val="21"/>
                <w:color w:val="auto"/>
              </w:rPr>
            </w:pP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971</w:t>
            </w: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4"/>
              </w:rPr>
              <w:t>1,976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w:t>
            </w: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Municipal bonds</w:t>
            </w:r>
          </w:p>
        </w:tc>
        <w:tc>
          <w:tcPr>
            <w:tcW w:w="120" w:type="dxa"/>
            <w:vAlign w:val="bottom"/>
          </w:tcPr>
          <w:p>
            <w:pPr>
              <w:spacing w:after="0"/>
              <w:rPr>
                <w:sz w:val="21"/>
                <w:szCs w:val="21"/>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1,541</w:t>
            </w: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4"/>
              </w:rPr>
              <w:t>2,848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June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Estimated fair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1,028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w:t>
            </w:r>
          </w:p>
        </w:tc>
        <w:tc>
          <w:tcPr>
            <w:tcW w:w="2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Total available-for-sale securities</w:t>
            </w:r>
          </w:p>
        </w:tc>
        <w:tc>
          <w:tcPr>
            <w:tcW w:w="28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1,976</w:t>
            </w:r>
          </w:p>
        </w:tc>
        <w:tc>
          <w:tcPr>
            <w:tcW w:w="1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1,997</w:t>
            </w:r>
          </w:p>
        </w:tc>
        <w:tc>
          <w:tcPr>
            <w:tcW w:w="8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40" w:type="dxa"/>
            <w:vAlign w:val="bottom"/>
            <w:vMerge w:val="restart"/>
          </w:tcPr>
          <w:p>
            <w:pPr>
              <w:jc w:val="right"/>
              <w:ind w:right="12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4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14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securities in an unrealized loss position as of June 30, 2021 were not deemed impaired at acquisition and subsequent declines in fair value are not deemed attributed to declines in credit quality. Management believes that it is more likely than not that the securities will receive a full recovery of par value, although there can be no assurance that such recovery will occur.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available-for-sale marketable securities with gross unrealized loss position.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2021 and December 31, 2020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Estimated useful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lives (years)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June 30, 2021</w:t>
            </w: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2020</w:t>
            </w: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Tradename</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to 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780" w:type="dxa"/>
            <w:vAlign w:val="bottom"/>
          </w:tcPr>
          <w:p>
            <w:pPr>
              <w:ind w:left="80"/>
              <w:spacing w:after="0"/>
              <w:rPr>
                <w:sz w:val="20"/>
                <w:szCs w:val="20"/>
                <w:color w:val="auto"/>
              </w:rPr>
            </w:pPr>
            <w:r>
              <w:rPr>
                <w:rFonts w:ascii="Arial" w:cs="Arial" w:eastAsia="Arial" w:hAnsi="Arial"/>
                <w:sz w:val="18"/>
                <w:szCs w:val="18"/>
                <w:color w:val="auto"/>
              </w:rPr>
              <w:t>to 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28,780</w:t>
            </w:r>
          </w:p>
        </w:tc>
        <w:tc>
          <w:tcPr>
            <w:tcW w:w="5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25,427</w:t>
            </w:r>
          </w:p>
        </w:tc>
      </w:tr>
      <w:tr>
        <w:trPr>
          <w:trHeight w:val="23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Proprietary software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 15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2,981</w:t>
            </w:r>
          </w:p>
        </w:tc>
        <w:tc>
          <w:tcPr>
            <w:tcW w:w="5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2,981</w:t>
            </w: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ind w:left="60"/>
              <w:spacing w:after="0"/>
              <w:rPr>
                <w:sz w:val="20"/>
                <w:szCs w:val="20"/>
                <w:color w:val="auto"/>
              </w:rPr>
            </w:pPr>
            <w:r>
              <w:rPr>
                <w:rFonts w:ascii="Arial" w:cs="Arial" w:eastAsia="Arial" w:hAnsi="Arial"/>
                <w:sz w:val="18"/>
                <w:szCs w:val="18"/>
                <w:color w:val="auto"/>
              </w:rPr>
              <w:t>to 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323</w:t>
            </w:r>
          </w:p>
        </w:tc>
        <w:tc>
          <w:tcPr>
            <w:tcW w:w="5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323</w:t>
            </w:r>
          </w:p>
        </w:tc>
      </w:tr>
      <w:tr>
        <w:trPr>
          <w:trHeight w:val="210"/>
        </w:trPr>
        <w:tc>
          <w:tcPr>
            <w:tcW w:w="5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32,639</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29,286</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(11,092)</w:t>
            </w:r>
          </w:p>
        </w:tc>
        <w:tc>
          <w:tcPr>
            <w:tcW w:w="5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(10,038)</w:t>
            </w:r>
          </w:p>
        </w:tc>
      </w:tr>
      <w:tr>
        <w:trPr>
          <w:trHeight w:val="223"/>
        </w:trPr>
        <w:tc>
          <w:tcPr>
            <w:tcW w:w="5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months ended June 30, 2021 and 2020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40" w:type="dxa"/>
            <w:vAlign w:val="bottom"/>
            <w:gridSpan w:val="6"/>
          </w:tcPr>
          <w:p>
            <w:pPr>
              <w:ind w:left="60"/>
              <w:spacing w:after="0"/>
              <w:rPr>
                <w:sz w:val="20"/>
                <w:szCs w:val="20"/>
                <w:color w:val="auto"/>
              </w:rPr>
            </w:pPr>
            <w:r>
              <w:rPr>
                <w:rFonts w:ascii="Arial" w:cs="Arial" w:eastAsia="Arial" w:hAnsi="Arial"/>
                <w:sz w:val="18"/>
                <w:szCs w:val="18"/>
                <w:b w:val="1"/>
                <w:bCs w:val="1"/>
                <w:color w:val="auto"/>
                <w:w w:val="92"/>
              </w:rPr>
              <w:t>Three months ended June 30,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60" w:type="dxa"/>
            <w:vAlign w:val="bottom"/>
            <w:gridSpan w:val="6"/>
          </w:tcPr>
          <w:p>
            <w:pPr>
              <w:ind w:left="60"/>
              <w:spacing w:after="0"/>
              <w:rPr>
                <w:sz w:val="20"/>
                <w:szCs w:val="20"/>
                <w:color w:val="auto"/>
              </w:rPr>
            </w:pPr>
            <w:r>
              <w:rPr>
                <w:rFonts w:ascii="Arial" w:cs="Arial" w:eastAsia="Arial" w:hAnsi="Arial"/>
                <w:sz w:val="18"/>
                <w:szCs w:val="18"/>
                <w:b w:val="1"/>
                <w:bCs w:val="1"/>
                <w:color w:val="auto"/>
                <w:w w:val="98"/>
              </w:rPr>
              <w:t>Six months ended June 30,</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800" w:type="dxa"/>
            <w:vAlign w:val="bottom"/>
            <w:gridSpan w:val="3"/>
          </w:tcPr>
          <w:p>
            <w:pPr>
              <w:spacing w:after="0"/>
              <w:rPr>
                <w:sz w:val="20"/>
                <w:szCs w:val="20"/>
                <w:color w:val="auto"/>
              </w:rPr>
            </w:pPr>
            <w:r>
              <w:rPr>
                <w:rFonts w:ascii="Arial" w:cs="Arial" w:eastAsia="Arial" w:hAnsi="Arial"/>
                <w:sz w:val="18"/>
                <w:szCs w:val="18"/>
                <w:color w:val="auto"/>
                <w:w w:val="95"/>
              </w:rPr>
              <w:t>The estimated future amortization expense of intangible assets is as follows: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ending December 31,</w:t>
            </w:r>
          </w:p>
        </w:tc>
        <w:tc>
          <w:tcPr>
            <w:tcW w:w="1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CCEEFF"/>
            </w:tcBorders>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2021 (Remainder)</w:t>
            </w:r>
          </w:p>
        </w:tc>
        <w:tc>
          <w:tcPr>
            <w:tcW w:w="1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2022</w:t>
            </w:r>
          </w:p>
        </w:tc>
        <w:tc>
          <w:tcPr>
            <w:tcW w:w="1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8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2024</w:t>
            </w:r>
          </w:p>
        </w:tc>
        <w:tc>
          <w:tcPr>
            <w:tcW w:w="1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8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3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12,050</w:t>
            </w:r>
          </w:p>
        </w:tc>
        <w:tc>
          <w:tcPr>
            <w:tcW w:w="80" w:type="dxa"/>
            <w:vAlign w:val="bottom"/>
            <w:tcBorders>
              <w:bottom w:val="single" w:sz="8" w:color="CCEEFF"/>
            </w:tcBorders>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21,547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100" w:type="dxa"/>
            <w:vAlign w:val="bottom"/>
            <w:gridSpan w:val="2"/>
            <w:vMerge w:val="restart"/>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00" w:type="dxa"/>
            <w:vAlign w:val="bottom"/>
          </w:tcPr>
          <w:p>
            <w:pPr>
              <w:spacing w:after="0"/>
              <w:rPr>
                <w:sz w:val="24"/>
                <w:szCs w:val="24"/>
                <w:color w:val="auto"/>
              </w:rPr>
            </w:pPr>
          </w:p>
        </w:tc>
        <w:tc>
          <w:tcPr>
            <w:tcW w:w="21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7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Arial" w:cs="Arial" w:eastAsia="Arial" w:hAnsi="Arial"/>
                <w:sz w:val="18"/>
                <w:szCs w:val="18"/>
                <w:b w:val="1"/>
                <w:bCs w:val="1"/>
                <w:color w:val="auto"/>
              </w:rPr>
              <w:t>6. Inventories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80" w:type="dxa"/>
            <w:vAlign w:val="bottom"/>
          </w:tcPr>
          <w:p>
            <w:pPr>
              <w:spacing w:after="0"/>
              <w:rPr>
                <w:sz w:val="20"/>
                <w:szCs w:val="20"/>
                <w:color w:val="auto"/>
              </w:rPr>
            </w:pPr>
            <w:r>
              <w:rPr>
                <w:rFonts w:ascii="Arial" w:cs="Arial" w:eastAsia="Arial" w:hAnsi="Arial"/>
                <w:sz w:val="18"/>
                <w:szCs w:val="18"/>
                <w:color w:val="auto"/>
                <w:w w:val="92"/>
              </w:rPr>
              <w:t>Inventories, net of reserves, as of June 30, 2021 and December 31, 2020 consisted of the following:</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2020</w:t>
            </w:r>
          </w:p>
        </w:tc>
      </w:tr>
      <w:tr>
        <w:trPr>
          <w:trHeight w:val="209"/>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7380" w:type="dxa"/>
            <w:vAlign w:val="bottom"/>
          </w:tcPr>
          <w:p>
            <w:pPr>
              <w:ind w:left="180"/>
              <w:spacing w:after="0"/>
              <w:rPr>
                <w:sz w:val="20"/>
                <w:szCs w:val="20"/>
                <w:color w:val="auto"/>
              </w:rPr>
            </w:pPr>
            <w:r>
              <w:rPr>
                <w:rFonts w:ascii="Arial" w:cs="Arial" w:eastAsia="Arial" w:hAnsi="Arial"/>
                <w:sz w:val="18"/>
                <w:szCs w:val="18"/>
                <w:color w:val="auto"/>
              </w:rPr>
              <w:t>Raw materials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1,090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1,182</w:t>
            </w:r>
          </w:p>
        </w:tc>
      </w:tr>
      <w:tr>
        <w:trPr>
          <w:trHeight w:val="243"/>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8,113</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9,281</w:t>
            </w:r>
          </w:p>
        </w:tc>
      </w:tr>
      <w:tr>
        <w:trPr>
          <w:trHeight w:val="263"/>
        </w:trPr>
        <w:tc>
          <w:tcPr>
            <w:tcW w:w="73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10,463</w:t>
            </w:r>
          </w:p>
        </w:tc>
        <w:tc>
          <w:tcPr>
            <w:tcW w:w="100" w:type="dxa"/>
            <w:vAlign w:val="bottom"/>
            <w:tcBorders>
              <w:bottom w:val="single" w:sz="8" w:color="CCEEFF"/>
            </w:tcBorders>
          </w:tcPr>
          <w:p>
            <w:pPr>
              <w:spacing w:after="0"/>
              <w:rPr>
                <w:sz w:val="22"/>
                <w:szCs w:val="22"/>
                <w:color w:val="auto"/>
              </w:rPr>
            </w:pPr>
          </w:p>
        </w:tc>
      </w:tr>
      <w:tr>
        <w:trPr>
          <w:trHeight w:val="196"/>
        </w:trPr>
        <w:tc>
          <w:tcPr>
            <w:tcW w:w="7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Long-term:</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w:t>
            </w: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1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1,742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2,613</w:t>
            </w:r>
          </w:p>
        </w:tc>
      </w:tr>
      <w:tr>
        <w:trPr>
          <w:trHeight w:val="223"/>
        </w:trPr>
        <w:tc>
          <w:tcPr>
            <w:tcW w:w="73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loss incurred on valuation of inventory at lower of cost or market value and write-off of obsolete inventory for the three and six months ended June 30, 2021 and 2020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2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320" w:type="dxa"/>
            <w:vAlign w:val="bottom"/>
          </w:tcPr>
          <w:p>
            <w:pPr>
              <w:spacing w:after="0"/>
              <w:rPr>
                <w:sz w:val="21"/>
                <w:szCs w:val="21"/>
                <w:color w:val="auto"/>
              </w:rPr>
            </w:pPr>
          </w:p>
        </w:tc>
        <w:tc>
          <w:tcPr>
            <w:tcW w:w="2900" w:type="dxa"/>
            <w:vAlign w:val="bottom"/>
            <w:gridSpan w:val="6"/>
          </w:tcPr>
          <w:p>
            <w:pPr>
              <w:ind w:left="22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6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182"/>
        </w:trPr>
        <w:tc>
          <w:tcPr>
            <w:tcW w:w="46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Net loss incurred on valuation of inventory at lower of cost or</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market value and write-off of obsolete inventory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Rent expense is recognized on a straight-line basis over the period of the lease taking into account future rent escalation and holiday periods.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the three and six months ended June 30, 2021 and 2020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520" w:type="dxa"/>
            <w:vAlign w:val="bottom"/>
          </w:tcPr>
          <w:p>
            <w:pPr>
              <w:spacing w:after="0"/>
              <w:rPr>
                <w:sz w:val="21"/>
                <w:szCs w:val="21"/>
                <w:color w:val="auto"/>
              </w:rPr>
            </w:pPr>
          </w:p>
        </w:tc>
        <w:tc>
          <w:tcPr>
            <w:tcW w:w="294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7"/>
              </w:rPr>
              <w:t>Three months ended June 30,</w:t>
            </w:r>
          </w:p>
        </w:tc>
        <w:tc>
          <w:tcPr>
            <w:tcW w:w="200" w:type="dxa"/>
            <w:vAlign w:val="bottom"/>
          </w:tcPr>
          <w:p>
            <w:pPr>
              <w:spacing w:after="0"/>
              <w:rPr>
                <w:sz w:val="21"/>
                <w:szCs w:val="21"/>
                <w:color w:val="auto"/>
              </w:rPr>
            </w:pPr>
          </w:p>
        </w:tc>
        <w:tc>
          <w:tcPr>
            <w:tcW w:w="2580" w:type="dxa"/>
            <w:vAlign w:val="bottom"/>
            <w:gridSpan w:val="5"/>
          </w:tcPr>
          <w:p>
            <w:pPr>
              <w:ind w:left="12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5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5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Rent expense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21"/>
                <w:szCs w:val="21"/>
                <w:color w:val="auto"/>
              </w:rPr>
            </w:pPr>
          </w:p>
        </w:tc>
      </w:tr>
    </w:tbl>
    <w:p>
      <w:pPr>
        <w:spacing w:after="0" w:line="13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occupy a 1,350 square-foot facility in Gainesville, Florida under the terms of an operating lease expiring in February 2023. The Gainesville facility is used primarily to support our research and development activities.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occupy a 21,443 square-foot facility in Salt Lake City, Utah under the terms of an operating lease expiring in March 2024, with an option to extend for additional five years. The facility supports our principal administrative, sales, marketing, customer support, and research and product development activities.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950 square-foot facility in Austin, Texas under the terms of an operating lease expiring in October 2022. This facility supports our sales, marketing, customer support, and research and development activities.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occupy a 3,068 square-foot facility in Zaragoza, Spain under the terms of an operating lease expiring in March 2022. This office supports our research and development and customer support activities.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occupy a 6,175 square-foot facility in Chennai, India under the terms of an operating lease expiring in August 2021. This facility supports our administrative, marketing, customer support, and research and product development activities.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occupy a 40,000 square-foot warehouse in Salt Lake City, Utah under the terms of an operating lease expiring in April 2025, which serves as our primary inventory fulfillment and repair center.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0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756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420"/>
              <w:spacing w:after="0"/>
              <w:rPr>
                <w:sz w:val="20"/>
                <w:szCs w:val="20"/>
                <w:color w:val="auto"/>
              </w:rPr>
            </w:pPr>
            <w:r>
              <w:rPr>
                <w:rFonts w:ascii="Arial" w:cs="Arial" w:eastAsia="Arial" w:hAnsi="Arial"/>
                <w:sz w:val="18"/>
                <w:szCs w:val="18"/>
                <w:color w:val="auto"/>
              </w:rPr>
              <w:t>Operating cash flows from operating leases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(360)</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560" w:type="dxa"/>
            <w:vAlign w:val="bottom"/>
          </w:tcPr>
          <w:p>
            <w:pPr>
              <w:ind w:left="420"/>
              <w:spacing w:after="0"/>
              <w:rPr>
                <w:sz w:val="20"/>
                <w:szCs w:val="20"/>
                <w:color w:val="auto"/>
              </w:rPr>
            </w:pPr>
            <w:r>
              <w:rPr>
                <w:rFonts w:ascii="Arial" w:cs="Arial" w:eastAsia="Arial" w:hAnsi="Arial"/>
                <w:sz w:val="18"/>
                <w:szCs w:val="18"/>
                <w:color w:val="auto"/>
              </w:rPr>
              <w:t>Operating leases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r>
      <w:tr>
        <w:trPr>
          <w:trHeight w:val="418"/>
        </w:trPr>
        <w:tc>
          <w:tcPr>
            <w:tcW w:w="756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w w:val="97"/>
              </w:rPr>
              <w:t>June 30, 2021</w:t>
            </w:r>
          </w:p>
        </w:tc>
        <w:tc>
          <w:tcPr>
            <w:tcW w:w="19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6"/>
              </w:rPr>
              <w:t>December 31, 2020</w:t>
            </w: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operating lease liabilities, included in accrued liabilities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554</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7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43"/>
        </w:trPr>
        <w:tc>
          <w:tcPr>
            <w:tcW w:w="736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tcPr>
          <w:p>
            <w:pPr>
              <w:spacing w:after="0"/>
              <w:rPr>
                <w:sz w:val="21"/>
                <w:szCs w:val="21"/>
                <w:color w:val="auto"/>
              </w:rPr>
            </w:pPr>
          </w:p>
        </w:tc>
        <w:tc>
          <w:tcPr>
            <w:tcW w:w="1780" w:type="dxa"/>
            <w:vAlign w:val="bottom"/>
            <w:gridSpan w:val="3"/>
          </w:tcPr>
          <w:p>
            <w:pPr>
              <w:jc w:val="right"/>
              <w:ind w:right="320"/>
              <w:spacing w:after="0"/>
              <w:rPr>
                <w:sz w:val="20"/>
                <w:szCs w:val="20"/>
                <w:color w:val="auto"/>
              </w:rPr>
            </w:pPr>
            <w:r>
              <w:rPr>
                <w:rFonts w:ascii="Arial" w:cs="Arial" w:eastAsia="Arial" w:hAnsi="Arial"/>
                <w:sz w:val="18"/>
                <w:szCs w:val="18"/>
                <w:color w:val="auto"/>
              </w:rPr>
              <w:t>1,214</w:t>
            </w:r>
          </w:p>
        </w:tc>
        <w:tc>
          <w:tcPr>
            <w:tcW w:w="200" w:type="dxa"/>
            <w:vAlign w:val="bottom"/>
          </w:tcPr>
          <w:p>
            <w:pPr>
              <w:spacing w:after="0"/>
              <w:rPr>
                <w:sz w:val="21"/>
                <w:szCs w:val="21"/>
                <w:color w:val="auto"/>
              </w:rPr>
            </w:pPr>
          </w:p>
        </w:tc>
        <w:tc>
          <w:tcPr>
            <w:tcW w:w="1700" w:type="dxa"/>
            <w:vAlign w:val="bottom"/>
            <w:gridSpan w:val="4"/>
          </w:tcPr>
          <w:p>
            <w:pPr>
              <w:jc w:val="right"/>
              <w:ind w:right="18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for operating leases (in years)</w:t>
            </w:r>
          </w:p>
        </w:tc>
        <w:tc>
          <w:tcPr>
            <w:tcW w:w="200" w:type="dxa"/>
            <w:vAlign w:val="bottom"/>
            <w:shd w:val="clear" w:color="auto" w:fill="CCEEFF"/>
          </w:tcPr>
          <w:p>
            <w:pPr>
              <w:spacing w:after="0"/>
              <w:rPr>
                <w:sz w:val="22"/>
                <w:szCs w:val="22"/>
                <w:color w:val="auto"/>
              </w:rPr>
            </w:pPr>
          </w:p>
        </w:tc>
        <w:tc>
          <w:tcPr>
            <w:tcW w:w="1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CCEEFF"/>
          </w:tcPr>
          <w:p>
            <w:pPr>
              <w:spacing w:after="0"/>
              <w:rPr>
                <w:sz w:val="22"/>
                <w:szCs w:val="22"/>
                <w:color w:val="auto"/>
              </w:rPr>
            </w:pPr>
          </w:p>
        </w:tc>
        <w:tc>
          <w:tcPr>
            <w:tcW w:w="17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Weighted average discount rate for operating leases</w:t>
            </w:r>
          </w:p>
        </w:tc>
        <w:tc>
          <w:tcPr>
            <w:tcW w:w="200" w:type="dxa"/>
            <w:vAlign w:val="bottom"/>
          </w:tcPr>
          <w:p>
            <w:pPr>
              <w:spacing w:after="0"/>
              <w:rPr>
                <w:sz w:val="23"/>
                <w:szCs w:val="23"/>
                <w:color w:val="auto"/>
              </w:rPr>
            </w:pPr>
          </w:p>
        </w:tc>
        <w:tc>
          <w:tcPr>
            <w:tcW w:w="1780" w:type="dxa"/>
            <w:vAlign w:val="bottom"/>
            <w:gridSpan w:val="3"/>
          </w:tcPr>
          <w:p>
            <w:pPr>
              <w:jc w:val="right"/>
              <w:ind w:right="16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3"/>
                <w:szCs w:val="23"/>
                <w:color w:val="auto"/>
              </w:rPr>
            </w:pPr>
          </w:p>
        </w:tc>
        <w:tc>
          <w:tcPr>
            <w:tcW w:w="1700" w:type="dxa"/>
            <w:vAlign w:val="bottom"/>
            <w:gridSpan w:val="4"/>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32"/>
        </w:trPr>
        <w:tc>
          <w:tcPr>
            <w:tcW w:w="7360" w:type="dxa"/>
            <w:vAlign w:val="bottom"/>
          </w:tcPr>
          <w:p>
            <w:pPr>
              <w:spacing w:after="0"/>
              <w:rPr>
                <w:sz w:val="20"/>
                <w:szCs w:val="20"/>
                <w:color w:val="auto"/>
              </w:rPr>
            </w:pPr>
            <w:r>
              <w:rPr>
                <w:rFonts w:ascii="Arial" w:cs="Arial" w:eastAsia="Arial" w:hAnsi="Arial"/>
                <w:sz w:val="18"/>
                <w:szCs w:val="18"/>
                <w:color w:val="auto"/>
              </w:rPr>
              <w:t>The following represents maturities of operating lease liabilities as of June 30, 2021:</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180"/>
              <w:spacing w:after="0"/>
              <w:rPr>
                <w:sz w:val="20"/>
                <w:szCs w:val="20"/>
                <w:color w:val="auto"/>
              </w:rPr>
            </w:pPr>
            <w:r>
              <w:rPr>
                <w:rFonts w:ascii="Arial" w:cs="Arial" w:eastAsia="Arial" w:hAnsi="Arial"/>
                <w:sz w:val="18"/>
                <w:szCs w:val="18"/>
                <w:color w:val="auto"/>
              </w:rPr>
              <w:t>2021 (Remainder)</w:t>
            </w:r>
          </w:p>
        </w:tc>
        <w:tc>
          <w:tcPr>
            <w:tcW w:w="200" w:type="dxa"/>
            <w:vAlign w:val="bottom"/>
          </w:tcPr>
          <w:p>
            <w:pPr>
              <w:spacing w:after="0"/>
              <w:rPr>
                <w:sz w:val="19"/>
                <w:szCs w:val="19"/>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18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18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60" w:type="dxa"/>
            <w:vAlign w:val="bottom"/>
          </w:tcPr>
          <w:p>
            <w:pPr>
              <w:ind w:left="660"/>
              <w:spacing w:after="0"/>
              <w:rPr>
                <w:sz w:val="20"/>
                <w:szCs w:val="20"/>
                <w:color w:val="auto"/>
              </w:rPr>
            </w:pPr>
            <w:r>
              <w:rPr>
                <w:rFonts w:ascii="Arial" w:cs="Arial" w:eastAsia="Arial" w:hAnsi="Arial"/>
                <w:sz w:val="18"/>
                <w:szCs w:val="18"/>
                <w:color w:val="auto"/>
              </w:rPr>
              <w:t>Total lease payments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1,949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60" w:type="dxa"/>
            <w:vAlign w:val="bottom"/>
          </w:tcPr>
          <w:p>
            <w:pPr>
              <w:ind w:left="66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1,768</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ind w:left="554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3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Arial" w:cs="Arial" w:eastAsia="Arial" w:hAnsi="Arial"/>
                <w:sz w:val="18"/>
                <w:szCs w:val="18"/>
                <w:b w:val="1"/>
                <w:bCs w:val="1"/>
                <w:color w:val="auto"/>
              </w:rPr>
              <w:t>8. Shareholders' Equity</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88"/>
              </w:rPr>
              <w:t>Three months ended June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5"/>
          </w:tcPr>
          <w:p>
            <w:pPr>
              <w:jc w:val="right"/>
              <w:ind w:right="270"/>
              <w:spacing w:after="0"/>
              <w:rPr>
                <w:sz w:val="20"/>
                <w:szCs w:val="20"/>
                <w:color w:val="auto"/>
              </w:rPr>
            </w:pPr>
            <w:r>
              <w:rPr>
                <w:rFonts w:ascii="Arial" w:cs="Arial" w:eastAsia="Arial" w:hAnsi="Arial"/>
                <w:sz w:val="18"/>
                <w:szCs w:val="18"/>
                <w:b w:val="1"/>
                <w:bCs w:val="1"/>
                <w:color w:val="auto"/>
                <w:w w:val="98"/>
              </w:rPr>
              <w:t>Six months ended June 30,</w:t>
            </w:r>
          </w:p>
        </w:tc>
        <w:tc>
          <w:tcPr>
            <w:tcW w:w="20" w:type="dxa"/>
            <w:vAlign w:val="bottom"/>
          </w:tcPr>
          <w:p>
            <w:pPr>
              <w:spacing w:after="0"/>
              <w:rPr>
                <w:sz w:val="24"/>
                <w:szCs w:val="24"/>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 and additional paid-in capital</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63,413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58,577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63,378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58,537</w:t>
            </w:r>
          </w:p>
        </w:tc>
        <w:tc>
          <w:tcPr>
            <w:tcW w:w="20" w:type="dxa"/>
            <w:vAlign w:val="bottom"/>
          </w:tcPr>
          <w:p>
            <w:pPr>
              <w:spacing w:after="0"/>
              <w:rPr>
                <w:sz w:val="19"/>
                <w:szCs w:val="19"/>
                <w:color w:val="auto"/>
              </w:rPr>
            </w:pPr>
          </w:p>
        </w:tc>
      </w:tr>
      <w:tr>
        <w:trPr>
          <w:trHeight w:val="22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Proceeds from employee stock purchase plan</w:t>
            </w:r>
          </w:p>
        </w:tc>
        <w:tc>
          <w:tcPr>
            <w:tcW w:w="2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r>
      <w:tr>
        <w:trPr>
          <w:trHeight w:val="223"/>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63,450</w:t>
            </w:r>
          </w:p>
        </w:tc>
        <w:tc>
          <w:tcPr>
            <w:tcW w:w="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58,597</w:t>
            </w: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63,450</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58,597</w:t>
            </w:r>
          </w:p>
        </w:tc>
        <w:tc>
          <w:tcPr>
            <w:tcW w:w="20" w:type="dxa"/>
            <w:vAlign w:val="bottom"/>
          </w:tcPr>
          <w:p>
            <w:pPr>
              <w:spacing w:after="0"/>
              <w:rPr>
                <w:sz w:val="19"/>
                <w:szCs w:val="19"/>
                <w:color w:val="auto"/>
              </w:rPr>
            </w:pPr>
          </w:p>
        </w:tc>
      </w:tr>
      <w:tr>
        <w:trPr>
          <w:trHeight w:val="210"/>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9"/>
                <w:szCs w:val="19"/>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securities, net of tax</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1"/>
                <w:szCs w:val="21"/>
                <w:color w:val="auto"/>
              </w:rPr>
            </w:pPr>
          </w:p>
        </w:tc>
      </w:tr>
      <w:tr>
        <w:trPr>
          <w:trHeight w:val="223"/>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9"/>
                <w:szCs w:val="19"/>
                <w:color w:val="auto"/>
              </w:rPr>
            </w:pPr>
          </w:p>
        </w:tc>
      </w:tr>
      <w:tr>
        <w:trPr>
          <w:trHeight w:val="209"/>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deficit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(15,033)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(15,730)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(13,378)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(13,883)</w:t>
            </w:r>
          </w:p>
        </w:tc>
        <w:tc>
          <w:tcPr>
            <w:tcW w:w="20" w:type="dxa"/>
            <w:vAlign w:val="bottom"/>
          </w:tcPr>
          <w:p>
            <w:pPr>
              <w:spacing w:after="0"/>
              <w:rPr>
                <w:sz w:val="19"/>
                <w:szCs w:val="19"/>
                <w:color w:val="auto"/>
              </w:rPr>
            </w:pP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(1,586)</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(1,937)</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20" w:type="dxa"/>
            <w:vAlign w:val="bottom"/>
          </w:tcPr>
          <w:p>
            <w:pPr>
              <w:spacing w:after="0"/>
              <w:rPr>
                <w:sz w:val="21"/>
                <w:szCs w:val="21"/>
                <w:color w:val="auto"/>
              </w:rPr>
            </w:pPr>
          </w:p>
        </w:tc>
      </w:tr>
      <w:tr>
        <w:trPr>
          <w:trHeight w:val="223"/>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end of period</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(16,619)</w:t>
            </w:r>
          </w:p>
        </w:tc>
        <w:tc>
          <w:tcPr>
            <w:tcW w:w="2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(17,667)</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(16,619)</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(17,667)</w:t>
            </w:r>
          </w:p>
        </w:tc>
        <w:tc>
          <w:tcPr>
            <w:tcW w:w="20" w:type="dxa"/>
            <w:vAlign w:val="bottom"/>
          </w:tcPr>
          <w:p>
            <w:pPr>
              <w:spacing w:after="0"/>
              <w:rPr>
                <w:sz w:val="19"/>
                <w:szCs w:val="19"/>
                <w:color w:val="auto"/>
              </w:rPr>
            </w:pPr>
          </w:p>
        </w:tc>
      </w:tr>
      <w:tr>
        <w:trPr>
          <w:trHeight w:val="210"/>
        </w:trPr>
        <w:tc>
          <w:tcPr>
            <w:tcW w:w="5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46,618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40,719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46,618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40,719</w:t>
            </w:r>
          </w:p>
        </w:tc>
        <w:tc>
          <w:tcPr>
            <w:tcW w:w="2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552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89"/>
              </w:rPr>
              <w:t>13</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8"/>
        </w:trPr>
        <w:tc>
          <w:tcPr>
            <w:tcW w:w="5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9.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Convertible Notes and Warrants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17, 2019, the Company completed the issuance and sale of $3,000 aggregate principal amount of secured convertible notes of the Company (the “Notes”) and warrants (the “Warrants”) to purchase 340,909 shares of common stock, par value $0.001 per share of the Company (the “Common Stock”), in a private placement transaction. The Notes and Warrants were issued and sold to Edward D. Bagley, an affiliate of the Company, on the terms and conditions of a Note Purchase Agreement dated December 8, 2019 between the Company, certain subsidiary guarantors of the Company, and Mr. Bagley. Mr. Bagley is an affiliate of the Company and was the beneficial owner of approximately 46.6% of the Company’s issued and outstanding shares of Common Stock at the time that the Notes and Warrants were issued to him.</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Notes will mature on December 17, 2023 (the “Maturity Date”) and will accrue interest at a variable rate adjusted on a quarterly basis and equal to two and one-half percent (2.5%) over the greater of (x) five and one-quarter percent (5.25%) and (y) the Prime Rate as published in the Wall Street Journal (New York edition) as of the beginning of such calendar quarter. The Notes may be converted into shares of the Company’s Common Stock at any time at the election of Mr. Bagley at an initial conversion price of $2.11 per share (the “Conversion Price”), or 120% of the closing price of the Common Stock on December 6, 2019 as reported on the Nasdaq Capital Market. Also, the Company can cause a mandatory conversion of the Notes if the volume weighted average closing price of the Common Stock over 90 consecutive trading days exceeds 200% of the Conversion Price. In addition, the Notes may be redeemed by the Company for cash at any time after December 17, 2020 upon payment of the outstanding principal balance of the Notes and any unpaid and accrued interest. The Company also is required to redeem the Notes upon the occurrence of a change in control of the Company.</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Warrants have an initial exercise price equal to $1.76, the closing price of the Common Stock on December 6, 2019 as reported on the Nasdaq Capital Market, and are exercisable until December 17, 2026. The Warrants must be exercised for cash, unless at the time of exercise there is not a then effective registration statement for the resale of the shares of Common Stock issuable upon exercise of the Warrants, in which case the Warrants may be exercised via a cashless exercise feature that provides for net settlement of the shares of Common Stock issuable upon exercise.</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Concurrent with the issuance of the Notes and Warrants pursuant to the Note Purchase Agreement, the Company, the Guarantors and Mr. Bagley entered into a Guaranty and Collateral Agreement (the “Collateral Agreement”) pursuant to which the Company and the Guarantors granted Mr. Bagley a first priority lien interest in all of the Company’s assets as security for the Company’s performance of its obligations under the Notes and Warrants.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proceeds after original issue discount and issuance costs of $346 were approximately $2,654. The Company expects to use the proceeds from the sale of the Notes and Warrants for general corporate purposes and working capital.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accounting for the issuance of the Notes, the Company separated Notes and Warrants into liability and equity components. The carrying amount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Warrants, being an equity component, was first calculated using Black-Scholes method with the following assumptions: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 w:type="dxa"/>
            <w:vAlign w:val="bottom"/>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20" w:type="dxa"/>
            <w:vAlign w:val="bottom"/>
          </w:tcPr>
          <w:p>
            <w:pPr>
              <w:spacing w:after="0"/>
              <w:rPr>
                <w:sz w:val="20"/>
                <w:szCs w:val="20"/>
                <w:color w:val="auto"/>
              </w:rPr>
            </w:pPr>
            <w:r>
              <w:rPr>
                <w:rFonts w:ascii="Arial" w:cs="Arial" w:eastAsia="Arial" w:hAnsi="Arial"/>
                <w:sz w:val="18"/>
                <w:szCs w:val="18"/>
                <w:color w:val="auto"/>
              </w:rPr>
              <w:t>Expected life of warrants (years)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20" w:type="dxa"/>
            <w:vAlign w:val="bottom"/>
            <w:vMerge w:val="continue"/>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carrying amount of the Notes was then determined by deducting the fair value of the Warrants from the principal amount of the Notes. The carrying amount of the Notes was further separated into equity and liability components after separating the value of the conversion feature into an equity component and leaving the remaining value as liability. The equity component is not remeasured while the Notes and Warrants continue to meet the conditions for equity classification for equity components.</w:t>
      </w:r>
    </w:p>
    <w:p>
      <w:pPr>
        <w:spacing w:after="0" w:line="82"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The original issue discount and issuance costs are netted against the liability. The following table represents the carrying value of Notes and Warrants: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June 30, 2021</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December 31, 2020</w:t>
            </w:r>
          </w:p>
        </w:tc>
        <w:tc>
          <w:tcPr>
            <w:tcW w:w="0" w:type="dxa"/>
            <w:vAlign w:val="bottom"/>
          </w:tcPr>
          <w:p>
            <w:pPr>
              <w:spacing w:after="0"/>
              <w:rPr>
                <w:sz w:val="1"/>
                <w:szCs w:val="1"/>
                <w:color w:val="auto"/>
              </w:rPr>
            </w:pPr>
          </w:p>
        </w:tc>
      </w:tr>
      <w:tr>
        <w:trPr>
          <w:trHeight w:val="223"/>
        </w:trPr>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Liability component:</w:t>
            </w:r>
          </w:p>
        </w:tc>
        <w:tc>
          <w:tcPr>
            <w:tcW w:w="14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Principal</w:t>
            </w:r>
          </w:p>
        </w:tc>
        <w:tc>
          <w:tcPr>
            <w:tcW w:w="1480" w:type="dxa"/>
            <w:vAlign w:val="bottom"/>
          </w:tcPr>
          <w:p>
            <w:pPr>
              <w:jc w:val="right"/>
              <w:ind w:right="1324"/>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2,820</w:t>
            </w:r>
          </w:p>
        </w:tc>
        <w:tc>
          <w:tcPr>
            <w:tcW w:w="2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Less: debt discount and issuance costs, net of amortization</w:t>
            </w:r>
          </w:p>
        </w:tc>
        <w:tc>
          <w:tcPr>
            <w:tcW w:w="14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63"/>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carrying amount</w:t>
            </w:r>
          </w:p>
        </w:tc>
        <w:tc>
          <w:tcPr>
            <w:tcW w:w="1480" w:type="dxa"/>
            <w:vAlign w:val="bottom"/>
            <w:tcBorders>
              <w:top w:val="single" w:sz="8" w:color="auto"/>
              <w:bottom w:val="single" w:sz="8" w:color="auto"/>
            </w:tcBorders>
          </w:tcPr>
          <w:p>
            <w:pPr>
              <w:jc w:val="right"/>
              <w:ind w:right="1324"/>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2,337</w:t>
            </w:r>
          </w:p>
        </w:tc>
        <w:tc>
          <w:tcPr>
            <w:tcW w:w="2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spacing w:after="0" w:line="223" w:lineRule="exact"/>
              <w:rPr>
                <w:sz w:val="20"/>
                <w:szCs w:val="20"/>
                <w:color w:val="auto"/>
              </w:rPr>
            </w:pPr>
            <w:r>
              <w:rPr>
                <w:rFonts w:ascii="Arial" w:cs="Arial" w:eastAsia="Arial" w:hAnsi="Arial"/>
                <w:sz w:val="16"/>
                <w:szCs w:val="16"/>
                <w:color w:val="auto"/>
              </w:rPr>
              <w:t>Equity component</w:t>
            </w:r>
            <w:r>
              <w:rPr>
                <w:rFonts w:ascii="Arial" w:cs="Arial" w:eastAsia="Arial" w:hAnsi="Arial"/>
                <w:sz w:val="25"/>
                <w:szCs w:val="25"/>
                <w:color w:val="auto"/>
                <w:vertAlign w:val="superscript"/>
              </w:rPr>
              <w:t>(1)</w:t>
            </w:r>
            <w:r>
              <w:rPr>
                <w:rFonts w:ascii="Arial" w:cs="Arial" w:eastAsia="Arial" w:hAnsi="Arial"/>
                <w:sz w:val="16"/>
                <w:szCs w:val="16"/>
                <w:color w:val="auto"/>
              </w:rPr>
              <w:t>:</w:t>
            </w:r>
          </w:p>
        </w:tc>
        <w:tc>
          <w:tcPr>
            <w:tcW w:w="14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Warrants</w:t>
            </w:r>
          </w:p>
        </w:tc>
        <w:tc>
          <w:tcPr>
            <w:tcW w:w="1480" w:type="dxa"/>
            <w:vAlign w:val="bottom"/>
          </w:tcPr>
          <w:p>
            <w:pPr>
              <w:jc w:val="right"/>
              <w:ind w:right="1324"/>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Conversion feature</w:t>
            </w:r>
          </w:p>
        </w:tc>
        <w:tc>
          <w:tcPr>
            <w:tcW w:w="14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carrying amount</w:t>
            </w:r>
          </w:p>
        </w:tc>
        <w:tc>
          <w:tcPr>
            <w:tcW w:w="1480" w:type="dxa"/>
            <w:vAlign w:val="bottom"/>
            <w:tcBorders>
              <w:bottom w:val="single" w:sz="8" w:color="auto"/>
            </w:tcBorders>
          </w:tcPr>
          <w:p>
            <w:pPr>
              <w:jc w:val="right"/>
              <w:ind w:right="1324"/>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Current portion of liability component included under short-term debt</w:t>
            </w:r>
          </w:p>
        </w:tc>
        <w:tc>
          <w:tcPr>
            <w:tcW w:w="1480" w:type="dxa"/>
            <w:vAlign w:val="bottom"/>
          </w:tcPr>
          <w:p>
            <w:pPr>
              <w:jc w:val="right"/>
              <w:ind w:right="1324"/>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540</w:t>
            </w:r>
          </w:p>
        </w:tc>
        <w:tc>
          <w:tcPr>
            <w:tcW w:w="2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Long-term portion of liability component included under long-term debt</w:t>
            </w:r>
          </w:p>
        </w:tc>
        <w:tc>
          <w:tcPr>
            <w:tcW w:w="14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1,797</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Liability component total</w:t>
            </w:r>
          </w:p>
        </w:tc>
        <w:tc>
          <w:tcPr>
            <w:tcW w:w="1480" w:type="dxa"/>
            <w:vAlign w:val="bottom"/>
            <w:tcBorders>
              <w:bottom w:val="single" w:sz="8" w:color="auto"/>
            </w:tcBorders>
          </w:tcPr>
          <w:p>
            <w:pPr>
              <w:jc w:val="right"/>
              <w:ind w:right="1324"/>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2,337</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212529"/>
                <w:w w:val="99"/>
              </w:rPr>
              <w:t>(1) Recorded on the condensed consolidated balance sheets as additional paid-in capital.</w:t>
            </w: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Debt discount and issuance costs are amortized over the life of the note to interest expense using the effective interest method. During the three and six months ended June 30, 2021, amortization of debt discount and issuance costs was $49 and $98, respectively and for the three and six months ended June 30, 2020, amortization of debt discount and issuance costs was $49 and $98, respectively. The following table represents schedule of maturities of principal amount contained in the Notes as of June 30,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2240" w:type="dxa"/>
            <w:vAlign w:val="bottom"/>
            <w:gridSpan w:val="3"/>
          </w:tcPr>
          <w:p>
            <w:pPr>
              <w:spacing w:after="0"/>
              <w:rPr>
                <w:sz w:val="20"/>
                <w:szCs w:val="20"/>
                <w:color w:val="auto"/>
              </w:rPr>
            </w:pPr>
            <w:r>
              <w:rPr>
                <w:rFonts w:ascii="Arial" w:cs="Arial" w:eastAsia="Arial" w:hAnsi="Arial"/>
                <w:sz w:val="18"/>
                <w:szCs w:val="18"/>
                <w:b w:val="1"/>
                <w:bCs w:val="1"/>
                <w:color w:val="auto"/>
                <w:w w:val="96"/>
              </w:rPr>
              <w:t>Principal Amount Maturing</w:t>
            </w:r>
          </w:p>
        </w:tc>
      </w:tr>
      <w:tr>
        <w:trPr>
          <w:trHeight w:val="223"/>
        </w:trPr>
        <w:tc>
          <w:tcPr>
            <w:tcW w:w="4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 (Remainder)</w:t>
            </w: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720</w:t>
            </w:r>
          </w:p>
        </w:tc>
        <w:tc>
          <w:tcPr>
            <w:tcW w:w="60" w:type="dxa"/>
            <w:vAlign w:val="bottom"/>
          </w:tcPr>
          <w:p>
            <w:pPr>
              <w:spacing w:after="0"/>
              <w:rPr>
                <w:sz w:val="19"/>
                <w:szCs w:val="19"/>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w:t>
            </w:r>
          </w:p>
        </w:tc>
        <w:tc>
          <w:tcPr>
            <w:tcW w:w="6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0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principal amount</w:t>
            </w:r>
          </w:p>
        </w:tc>
        <w:tc>
          <w:tcPr>
            <w:tcW w:w="9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18, 2020, the Company, entered into a loan agreement with U.S. Bank National Association Bank, which provided for a loan in the principal amount of $1,499 (“PPP Loan”) pursuant to the Paycheck Protection Program under Division A, Title I of the CARES Act, which was enacted March 27, 2020. The PPP Loan has a two-year term and bears interest at a rate of 1.0% per annum. Monthly principal and interest payments are deferred for approximately sixteen months after the date of disbursement.</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PPP Loan may be prepaid at any time prior to maturity with no prepayment penalties. The PPP Loan contains events of default and other provisions customary for a loan of this type. The Paycheck Protection Program provides that the Loans may be partially or wholly forgiven if the funds are used for certain qualifying expenses as described in the CARES Act. The Company intends to use the entire PPP Loan amount for qualifying expenses and to apply for forgiveness of the PPP Loan in accordance with the terms of the CARES Act.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 2021</w:t>
            </w:r>
          </w:p>
        </w:tc>
        <w:tc>
          <w:tcPr>
            <w:tcW w:w="10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portion of the PPP Loan included under short-term debt</w:t>
            </w:r>
          </w:p>
        </w:tc>
        <w:tc>
          <w:tcPr>
            <w:tcW w:w="2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8"/>
              </w:rPr>
              <w:t>Long-term portion of the PPP Loan included under long-term debt</w:t>
            </w:r>
          </w:p>
        </w:tc>
        <w:tc>
          <w:tcPr>
            <w:tcW w:w="24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Liability component total</w:t>
            </w:r>
          </w:p>
        </w:tc>
        <w:tc>
          <w:tcPr>
            <w:tcW w:w="24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0" w:type="dxa"/>
            <w:vAlign w:val="bottom"/>
            <w:vMerge w:val="restart"/>
          </w:tcPr>
          <w:p>
            <w:pPr>
              <w:jc w:val="right"/>
              <w:ind w:right="175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16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financial instruments are valued using observable inputs. The following table sets forth the fair value of the financial instruments re-measured by the Company as of June 30, 2021 and December 31,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June 30, 2021</w:t>
            </w: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900" w:type="dxa"/>
            <w:vAlign w:val="bottom"/>
          </w:tcPr>
          <w:p>
            <w:pPr>
              <w:jc w:val="right"/>
              <w:ind w:right="744"/>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1,026</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1,026</w:t>
            </w:r>
          </w:p>
        </w:tc>
        <w:tc>
          <w:tcPr>
            <w:tcW w:w="80" w:type="dxa"/>
            <w:vAlign w:val="bottom"/>
          </w:tcPr>
          <w:p>
            <w:pPr>
              <w:spacing w:after="0"/>
              <w:rPr>
                <w:sz w:val="19"/>
                <w:szCs w:val="19"/>
                <w:color w:val="auto"/>
              </w:rPr>
            </w:pPr>
          </w:p>
        </w:tc>
      </w:tr>
      <w:tr>
        <w:trPr>
          <w:trHeight w:val="24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9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w:t>
            </w:r>
          </w:p>
        </w:tc>
        <w:tc>
          <w:tcPr>
            <w:tcW w:w="8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971</w:t>
            </w:r>
          </w:p>
        </w:tc>
      </w:tr>
      <w:tr>
        <w:trPr>
          <w:trHeight w:val="263"/>
        </w:trPr>
        <w:tc>
          <w:tcPr>
            <w:tcW w:w="5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ind w:right="744"/>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2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2020</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900" w:type="dxa"/>
            <w:vAlign w:val="bottom"/>
          </w:tcPr>
          <w:p>
            <w:pPr>
              <w:jc w:val="right"/>
              <w:ind w:right="744"/>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1,338</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1,338</w:t>
            </w:r>
          </w:p>
        </w:tc>
        <w:tc>
          <w:tcPr>
            <w:tcW w:w="80" w:type="dxa"/>
            <w:vAlign w:val="bottom"/>
          </w:tcPr>
          <w:p>
            <w:pPr>
              <w:spacing w:after="0"/>
              <w:rPr>
                <w:sz w:val="19"/>
                <w:szCs w:val="19"/>
                <w:color w:val="auto"/>
              </w:rPr>
            </w:pPr>
          </w:p>
        </w:tc>
      </w:tr>
      <w:tr>
        <w:trPr>
          <w:trHeight w:val="24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9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1,541</w:t>
            </w:r>
          </w:p>
        </w:tc>
        <w:tc>
          <w:tcPr>
            <w:tcW w:w="8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1,541</w:t>
            </w:r>
          </w:p>
        </w:tc>
        <w:tc>
          <w:tcPr>
            <w:tcW w:w="80" w:type="dxa"/>
            <w:vAlign w:val="bottom"/>
            <w:shd w:val="clear" w:color="auto" w:fill="CCEEFF"/>
          </w:tcPr>
          <w:p>
            <w:pPr>
              <w:spacing w:after="0"/>
              <w:rPr>
                <w:sz w:val="21"/>
                <w:szCs w:val="21"/>
                <w:color w:val="auto"/>
              </w:rPr>
            </w:pP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ind w:right="744"/>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year loss did not result in income tax benefit due to recording a full valuation allowance against expected benefits. The valuation allowance was recorded as we concluded that it was more likely than not that our deferred tax assets were not realizable primarily due to the Company's recent pre-tax losses. Provision for income taxes for the six months ended June 30, 2021 represents income tax expense recorded for jurisdictions outside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 2021, the Company obtained a bridge loan in the principal amount of $2,000,000 from Edward D. Bagley (the “Bridge Loan”). Mr. Bagley is an affiliate of the Company and is the beneficial owner of approximately 46.7% of the Company’s issued and outstanding shares of common stock. The Bridge Loan is evidenced by a promissory note dated July 2, 2021 (the “Note”) issued by the Company to Mr. Bagley. The Note bears interests at a rate of 8.0% per annum, matures on the earlier to occur of (i) October 1, 2021 or (ii) within two business days of the Company’s receipt of its expected U.S. federal income tax refund, and contains other customary covenants and events of default.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2019. All subsequent forward-looking statements attributable to us or persons acting on our behalf are expressly qualified in their entirety by these cautionary statements. Additional factors that may have a direct bearing on our operating results are discussed in Part II, Item 1A “Risk Factors” in this Quarterly Report on Form 10-Q and in Part I, Item 1A “Risk Factors” in our Annual Report on Form 10-K for the year ended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ClearOne is a global Company that designs, develops and sells conferencing, collaboration, and AV networking solutions for voice and visual communications. The performance and simplicity of our advanced, comprehensive solutions offer a high level of functionality, reliability and scalability. 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spacing w:after="0" w:line="13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During the first quarter of 2021, we announced two new powerful cameras that enhance the ease and visual quality of online collaboration beyond the capabilities of integrated laptop and PC cameras. With the new ClearOne UNITE® 10, the company’s most affordable camera ever, and the feature-rich ClearOne UNITE 50 4K AF that includes Auto-Framing technology for automatic single- or multi-person capture, everyone can take on the new year with the confidence provided by stunning video that puts them in the best possible light. We recognized that millions of people were expected to use video collaboration tools, for the first time, and the rapid societal shift to home-based and remote work left a lot of people desiring higher quality video solutions to ensure they make a good impression and enjoy reliable, clear and efficient communication. For users who want to upgrade from the basic camera included in their laptop or PC, ClearOne has lowered the barrier of entry with its most affordable webcam ever, the UNITE 10. The small, powerful webcam supports up to 1080p video quality and offers autofocus. The UNITE 10 can capture five-megapixel images with a field of view up to 87 degrees, while major competitors at this price point only achieve 78-degree field of view. The UNITE 10 attaches any PC or laptop with a simple mounting bracket, and a 1.5m USB-A cable ensures simple connection to most modern computers. The UNITE 10 is also available to dealers and distributors in 20 packs for commercial sale. The new UNITE 50 4K AF camera is a major upgrade over traditional webcams and introduces ClearOne’s new Auto-Framing technology that automatically frames meeting participants to maximize screen use through intelligent image algorithms and ePTZ automation (electronic pan, tilt and zoom). With 4K video quality at 30 Hz, auto-focus capability, 4x digital zoom, more than 8 megapixels of total resolution and an ultra-wide 110-degree field of view, the UNITE 50 4K AF ePTZ is equally capable of delivering incredible image quality from a home office as it is at capturing all participants in an office boardroom.</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camera can be controlled through an IR remote, further simplifying use and enabling real-time control of pan, tilt and zoom to provide greater control when capturing multi-person meeting environments. A standard damping mount ensures fast, easy installation, while an included USB 3.0 cable provides both power and video. Both new ClearOne cameras enable life-like video quality to web-based conferencing applications including ClearOne’s COLLABORATE® Space, WebEx™, Google Meet, Zoom™, GoToMeeting™, and Microsoft® Teams.</w:t>
      </w:r>
    </w:p>
    <w:p>
      <w:pPr>
        <w:spacing w:after="0" w:line="14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During February 2021, we expanded the applications for our BMA 360 Beamforming Microphone Array Ceiling Tile with the addition of a new Voice Lift feature that allows its impeccable audio to be locally amplified and heard throughout classrooms, lecture halls, and large meeting rooms. announced a new Touch-Panel Controller, a highly intuitive 10-inch touch-screen device, designed for ClearOne’s CONVERGE® Pro 2 audio DSP mixers as well as COLLABORATE Live video conferencing room systems. Paired with CONVERGE Pro 2 DSP mixers, users can make and receive PSTN and/or VoIP conference calls, and multiparty calls with the easy-to-use on-screen dial pad. When paired with COLLABORATE Live, users can make and receive video calls as well as manage content sharing options. ClearOne’s powerful breakthrough technologies, FiBeam™ and DsBeam™, already found on the BMA 360, enable exceptional new levels of Voice Lift performance. FiBeam technology makes the BMA 360 the world’s first truly wideband, frequency-invariant beamforming mic array that provides the ultimate in natural and full-fidelity sound. DsBeam provides unparalleled sidelobe depth below -40 dB, resulting in superior rejection of reverb and noise and providing superb clarity and intelligibility. With the addition of the new Voice Lift feature, the BMA 360 offers everything desired in a beamforming microphone array ceiling tile—superior beamformed audio, echo cancellation, noise cancellation, auto-mixing, power amplifiers, and camera-tracking functions. The ClearOne architecture offers easy setup and configuration for foolproof installation which benefits AV practitioners. End-users also benefit from the BMA 360’s reduced overall system cost for maximum return on investment. Each BMA 360 can have up to four Voice Lift zones to provide a simple and intuitive way to drive multiple speaker groups, allowing everyone to easily hear and be heard. Built-in 4 channel power amplifiers make wiring simple, convenient, and provide a large cost savings. ClearOne’s innovative combination of built-in power amplifiers and mix-minus zones makes the Voice Lift feature extremely simple to create and deploy. The BMA 360, now with Voice Lift, sets another industry standard for exceptional mic pickup distance and system gain.</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During May 2021, we announced the immediate availability of CONVERGENCE AV Cloud, which significantly expands AV Practitioner recurring revenue opportunities for remote, real-time Management as a Service (MaaS). CONVERGENCE Cloud software is a unified AV network management platform to monitor, control, and audit ClearOne Pro Audio and Video products and services. Remote real-time system access provides at-a-glance and all-inclusive dashboard views with auto-discovery of Pro Audio devices and unlimited scalability designed to support organizations of any size. With the new Cloud option, AV Practitioners can profit on value-added MaaS opportunities to easily support multiple clients and multiple networks with fully secure, real-time remote system access on a single multi-tenant platform. The powerful and elegant user interface, in twelve languages, works on any browser and will allow full support of the AV Network with built-in video, audio, and chat tools for real-time communications as well as email and immediate SMS text alerts. Relevant information is quickly found with search, sort, and filter options. CONVERGENCE AV Cloud can be virtually partitioned for AV management by location such as building, floor, room, or any desired global topology. Practitioners can easily manage accounts, assigning three levels of access with Owner, Administrator, and Monitor roles; all housed on encrypted secure cloud servers. Client tenant usage can be conveniently tracked for invoicing and optional auto-payment reminders.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During the first six months of 2021, we continued our efforts, primarily through litigation, to stop the infringement of our strategic patents. We believe the decision by the U.S. District Court in August 2019 granting our request for a preliminary injunction to prevent Shure from manufacturing, marketing, and selling its competing ceiling microphone array in an infringing configuration is an incredibly valuable ruling for ClearOne and its business. The decision validates the strength and importance of ClearOne’s intellectual property rights, recognizes ClearOne’s innovations in this space, and stops Shure from further infringing the Graham patent pending a full trial. Although there can be no assurance of any outcome of a full trial, we believe this ruling will help pave the way for ClearOne’s recovery from the immense harm inflicted by Shure's infringement of our valuable patents. However, we are not getting the full benefits of the Court’s extraordinary remedy in the form of the preliminary injunction granted against Shure with respect to infringement of our ’806 Patent as we believe that Shure is still infringing ClearOne’s patent.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We also continued our programs to cut costs and to speed up product development that we believe will enable us to get back to a growth path.</w:t>
      </w:r>
    </w:p>
    <w:p>
      <w:pPr>
        <w:spacing w:after="0" w:line="18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Overall revenue increased by 22% in the second quarter of 2021 when compared to the second quarter of 2020, primarily due to an increase in revenue from microphones and audio conferencing products with BMA based solutions generating the highest revenue growth. Overall revenue increased by 22% during the six months ended June 30, 2021 compared to the same period in 2020, primarily due to increase in revenue from microphones, especially the BMA based solutions and video products. Despite the negative impact of COVID-19 and the infringement of our patents by Shure on all professional installed products, our new solutions incorporating Beamforming Microphone Array Ceiling Tile ("BMA-CT") continued to result in overall Beamforming Microphone Array ("BMA") revenue to be significantly higher than last year. However, revenue from BMA products as well as from our pro audio products are still far below the levels prior to infringement of our patents. Our revenue is negatively impacted due to on-going harm of infringement of ClearOne’s patents despite the preliminary injunction granted against Shure as we believe Shure continues to infringe our patents and violates the preliminary injunction. The patent infringement also has negatively impacted directly the revenue from ClearOne’s other products not related to the infringed patents not withstanding a significant growth in revenue from video products in the first quarter of 2021 compared to first quarter of 2020. Our gross profit margin increased to 44.3% during the second quarter of 2021 from 41.2% during the second quarter of 2020. Net loss decreased from $1.9 million in the second quarter of 2020 to $1.6 million in the second quarter of 2021. The decrease was mainly due to increase in absolute gross profit dollars through higher revenue partially offset by an increase in operating costs. During the six months ended June 30, 2021, our absolute gross profit dollars increased to $6.4 million from $5.5 million in the same period in 2020 despite gross profit margin declining to 43.5% from 45.1% due to increase in revenues. During the six months ended June 30, 2021, net loss decreased to $3.2 million compared to $3.8 million during the same period in 2020 mainly due to higher gross profit dollars from higher revenue partially offset by an increase in operating expenses in the six months ended June 30, 2021 compared to six months ended June 30,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On September 1, 2020, the U.S. District Court of Northern Illinois held that "</w:t>
      </w:r>
      <w:r>
        <w:rPr>
          <w:rFonts w:ascii="Arial" w:cs="Arial" w:eastAsia="Arial" w:hAnsi="Arial"/>
          <w:sz w:val="18"/>
          <w:szCs w:val="18"/>
          <w:i w:val="1"/>
          <w:iCs w:val="1"/>
          <w:color w:val="auto"/>
        </w:rPr>
        <w:t>Shure</w:t>
      </w:r>
      <w:r>
        <w:rPr>
          <w:rFonts w:ascii="Arial" w:cs="Arial" w:eastAsia="Arial" w:hAnsi="Arial"/>
          <w:sz w:val="18"/>
          <w:szCs w:val="18"/>
          <w:color w:val="auto"/>
        </w:rPr>
        <w:t xml:space="preserve"> has violated the preliminary injunction order and is found in contempt because it designed the MXA910-A in such a way that allows it to be easily installed flush in most ceiling grids”. The Court also opined that, “[t]he record is clear and convincing that </w:t>
      </w:r>
      <w:r>
        <w:rPr>
          <w:rFonts w:ascii="Arial" w:cs="Arial" w:eastAsia="Arial" w:hAnsi="Arial"/>
          <w:sz w:val="18"/>
          <w:szCs w:val="18"/>
          <w:i w:val="1"/>
          <w:iCs w:val="1"/>
          <w:color w:val="auto"/>
        </w:rPr>
        <w:t>Shure</w:t>
      </w:r>
      <w:r>
        <w:rPr>
          <w:rFonts w:ascii="Arial" w:cs="Arial" w:eastAsia="Arial" w:hAnsi="Arial"/>
          <w:sz w:val="18"/>
          <w:szCs w:val="18"/>
          <w:color w:val="auto"/>
        </w:rPr>
        <w:t xml:space="preserve"> - through its design choices - violated the injunction order by allowing integrators to install the MXA910-A in the enjoined flush configuration.” Ultimately, the Court ordered that “</w:t>
      </w:r>
      <w:r>
        <w:rPr>
          <w:rFonts w:ascii="Arial" w:cs="Arial" w:eastAsia="Arial" w:hAnsi="Arial"/>
          <w:sz w:val="18"/>
          <w:szCs w:val="18"/>
          <w:i w:val="1"/>
          <w:iCs w:val="1"/>
          <w:color w:val="auto"/>
        </w:rPr>
        <w:t>Shure</w:t>
      </w:r>
      <w:r>
        <w:rPr>
          <w:rFonts w:ascii="Arial" w:cs="Arial" w:eastAsia="Arial" w:hAnsi="Arial"/>
          <w:sz w:val="18"/>
          <w:szCs w:val="18"/>
          <w:color w:val="auto"/>
        </w:rPr>
        <w:t xml:space="preserve"> shall no longer manufacture, market, or sell the MXA910...”. </w:t>
      </w:r>
      <w:r>
        <w:rPr>
          <w:rFonts w:ascii="Arial" w:cs="Arial" w:eastAsia="Arial" w:hAnsi="Arial"/>
          <w:sz w:val="18"/>
          <w:szCs w:val="18"/>
          <w:i w:val="1"/>
          <w:iCs w:val="1"/>
          <w:color w:val="auto"/>
        </w:rPr>
        <w:t>ClearOne’s</w:t>
      </w:r>
      <w:r>
        <w:rPr>
          <w:rFonts w:ascii="Arial" w:cs="Arial" w:eastAsia="Arial" w:hAnsi="Arial"/>
          <w:sz w:val="18"/>
          <w:szCs w:val="18"/>
          <w:color w:val="auto"/>
        </w:rPr>
        <w:t xml:space="preserve"> motion to accuse </w:t>
      </w:r>
      <w:r>
        <w:rPr>
          <w:rFonts w:ascii="Arial" w:cs="Arial" w:eastAsia="Arial" w:hAnsi="Arial"/>
          <w:sz w:val="18"/>
          <w:szCs w:val="18"/>
          <w:i w:val="1"/>
          <w:iCs w:val="1"/>
          <w:color w:val="auto"/>
        </w:rPr>
        <w:t>Shure’s</w:t>
      </w:r>
      <w:r>
        <w:rPr>
          <w:rFonts w:ascii="Arial" w:cs="Arial" w:eastAsia="Arial" w:hAnsi="Arial"/>
          <w:sz w:val="18"/>
          <w:szCs w:val="18"/>
          <w:color w:val="auto"/>
        </w:rPr>
        <w:t xml:space="preserve"> MXA910-US of infringing the ’806 Patent is still pending with the Court.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conditions</w:t>
      </w:r>
    </w:p>
    <w:p>
      <w:pPr>
        <w:spacing w:after="0" w:line="17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operate in a very dynamic and highly competitive industry which is dominated on the one hand by a few players with respect to certain products like traditional video conferencing appliances while on the other influenced heavily by a fragmented reseller market consisting of numerous regional and local players. The industry is also characterized by venture capitalist funded start-ups and private companies willing to fund cumulative cash losses in order to gain market share and achieve certain non-financial goals.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conditions, challenges and risks</w:t>
      </w:r>
    </w:p>
    <w:p>
      <w:pPr>
        <w:spacing w:after="0" w:line="17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audio-visual products market is characterized by intense competition and rapidly evolving technology. Our competitors vary within each product category. Our installed professional audio conferencing products, which is our flagship product category, continue to be ahead of the competition despite the reduction in revenues. Our strength in this space is largely due to our fully integrated suite of products consisting of DSP mixers, wide range of professional microphone products and video collaboration products. Despite our strong leadership position in the installed professional audio conferencing market, we face challenges to revenue growth due to the limited size of the market and pricing pressures from new competitors attracted to the commercial market due to higher margins.</w:t>
      </w:r>
    </w:p>
    <w:p>
      <w:pPr>
        <w:spacing w:after="0" w:line="14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video products and beamforming microphone arrays, especially BMA-CT and the newly introduced BMA 360 are critical to our long term growth. We face intense competition in this market from well-established market leaders as well as emerging players rich with marketing funds. We expect our strategy of combining curated audio solutions with our high quality professional cameras, and our high-end audio conferencing technology will generate high growth in the near future.</w:t>
      </w:r>
    </w:p>
    <w:p>
      <w:pPr>
        <w:spacing w:after="0" w:line="14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derive a major portion of our revenue (approximately 38% for the year ended December 31, 2020) from international operations and expect this trend to continue in the future. Most of our revenue from outside the U.S. is billed in U.S. dollars and is not exposed to any significant currency risk. However, we are exposed to foreign exchange risk if the U.S. dollar is strong against other currencies as it will make U.S. Dollar denominated prices of our products less competitive.</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December 2019, a novel strain of coronavirus (“COVID-19”) started spreading from China and was declared a pandemic. The COVID-19 pandemic caused severe global disruptions and had varying impact on our business. The installed audio conferencing market was negatively impacted due to lockdowns, postponement of projects and restrictions on installers to visit commercial sites. On the other hand, COVID-19 generated higher than normal demand for our video products and personal conferencing products due to the significant expansion of work-from-home market. The extent of COVID-19’s effect on our operational and financial performance will depend on future developments, including the vaccination rate, effectiveness of vaccines especially on novel strains of COVID-19, government regulations, etc., all of which are uncertain and difficult to predict considering the rapidly evolving landscape. If the pandemic continues to be a severe worldwide health crisis, the disease could have a material adverse effect on our business, results of operations, financial condition and cash flows and adversely impact the trading price of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decreased to $56 thousand at June 30, 2021 compared to $123 thousand at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right="1940"/>
        <w:spacing w:after="0" w:line="424" w:lineRule="auto"/>
        <w:rPr>
          <w:sz w:val="20"/>
          <w:szCs w:val="20"/>
          <w:color w:val="auto"/>
        </w:rPr>
      </w:pP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b w:val="1"/>
          <w:bCs w:val="1"/>
          <w:i w:val="1"/>
          <w:iCs w:val="1"/>
          <w:color w:val="auto"/>
        </w:rPr>
        <w:t>Results of Operations for the three and six months ended June 30, 2021</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following table sets forth certain items from our unaudited condensed consolidated statements of operations for the three and six months ended June 30, 2021 (“2021-Q2”) ("2021-H1") and 2020 ("2020-Q2") ("2020-H1"), respectively, together with the percentage of total revenue which each such item represents: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17"/>
          </w:tcPr>
          <w:p>
            <w:pPr>
              <w:jc w:val="right"/>
              <w:ind w:right="792"/>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gridSpan w:val="5"/>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17"/>
          </w:tcPr>
          <w:p>
            <w:pPr>
              <w:jc w:val="right"/>
              <w:ind w:right="852"/>
              <w:spacing w:after="0"/>
              <w:rPr>
                <w:sz w:val="20"/>
                <w:szCs w:val="20"/>
                <w:color w:val="auto"/>
              </w:rPr>
            </w:pPr>
            <w:r>
              <w:rPr>
                <w:rFonts w:ascii="Arial" w:cs="Arial" w:eastAsia="Arial" w:hAnsi="Arial"/>
                <w:sz w:val="16"/>
                <w:szCs w:val="16"/>
                <w:b w:val="1"/>
                <w:bCs w:val="1"/>
                <w:color w:val="auto"/>
              </w:rPr>
              <w:t>Six months ended June 30,</w:t>
            </w:r>
          </w:p>
        </w:tc>
        <w:tc>
          <w:tcPr>
            <w:tcW w:w="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6"/>
          </w:tcPr>
          <w:p>
            <w:pPr>
              <w:jc w:val="center"/>
              <w:ind w:right="440"/>
              <w:spacing w:after="0"/>
              <w:rPr>
                <w:sz w:val="20"/>
                <w:szCs w:val="20"/>
                <w:color w:val="auto"/>
              </w:rPr>
            </w:pPr>
            <w:r>
              <w:rPr>
                <w:rFonts w:ascii="Arial" w:cs="Arial" w:eastAsia="Arial" w:hAnsi="Arial"/>
                <w:sz w:val="16"/>
                <w:szCs w:val="16"/>
                <w:b w:val="1"/>
                <w:bCs w:val="1"/>
                <w:color w:val="auto"/>
                <w:w w:val="88"/>
              </w:rPr>
              <w:t>Percentage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210"/>
              <w:spacing w:after="0"/>
              <w:rPr>
                <w:sz w:val="20"/>
                <w:szCs w:val="20"/>
                <w:color w:val="auto"/>
              </w:rPr>
            </w:pPr>
            <w:r>
              <w:rPr>
                <w:rFonts w:ascii="Arial" w:cs="Arial" w:eastAsia="Arial" w:hAnsi="Arial"/>
                <w:sz w:val="16"/>
                <w:szCs w:val="16"/>
                <w:b w:val="1"/>
                <w:bCs w:val="1"/>
                <w:color w:val="auto"/>
                <w:w w:val="88"/>
              </w:rPr>
              <w:t>Percentage</w:t>
            </w:r>
          </w:p>
        </w:tc>
        <w:tc>
          <w:tcPr>
            <w:tcW w:w="0" w:type="dxa"/>
            <w:vAlign w:val="bottom"/>
          </w:tcPr>
          <w:p>
            <w:pPr>
              <w:spacing w:after="0"/>
              <w:rPr>
                <w:sz w:val="1"/>
                <w:szCs w:val="1"/>
                <w:color w:val="auto"/>
              </w:rPr>
            </w:pPr>
          </w:p>
        </w:tc>
      </w:tr>
      <w:tr>
        <w:trPr>
          <w:trHeight w:val="203"/>
        </w:trPr>
        <w:tc>
          <w:tcPr>
            <w:tcW w:w="3120" w:type="dxa"/>
            <w:vAlign w:val="bottom"/>
            <w:gridSpan w:val="4"/>
            <w:vMerge w:val="restart"/>
          </w:tcPr>
          <w:p>
            <w:pPr>
              <w:spacing w:after="0"/>
              <w:rPr>
                <w:sz w:val="20"/>
                <w:szCs w:val="20"/>
                <w:color w:val="auto"/>
              </w:rPr>
            </w:pPr>
            <w:r>
              <w:rPr>
                <w:rFonts w:ascii="Arial" w:cs="Arial" w:eastAsia="Arial" w:hAnsi="Arial"/>
                <w:sz w:val="18"/>
                <w:szCs w:val="18"/>
                <w:color w:val="auto"/>
              </w:rPr>
              <w:t>(dollars in thousands)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6"/>
          </w:tcPr>
          <w:p>
            <w:pPr>
              <w:jc w:val="center"/>
              <w:ind w:right="460"/>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Pr>
          <w:p>
            <w:pPr>
              <w:spacing w:after="0"/>
              <w:rPr>
                <w:sz w:val="17"/>
                <w:szCs w:val="17"/>
                <w:color w:val="auto"/>
              </w:rPr>
            </w:pPr>
          </w:p>
        </w:tc>
        <w:tc>
          <w:tcPr>
            <w:tcW w:w="980" w:type="dxa"/>
            <w:vAlign w:val="bottom"/>
            <w:gridSpan w:val="2"/>
            <w:vMerge w:val="restart"/>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restart"/>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3"/>
          </w:tcPr>
          <w:p>
            <w:pPr>
              <w:jc w:val="center"/>
              <w:ind w:right="230"/>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16"/>
        </w:trPr>
        <w:tc>
          <w:tcPr>
            <w:tcW w:w="312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91"/>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90"/>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7"/>
          </w:tcPr>
          <w:p>
            <w:pPr>
              <w:jc w:val="center"/>
              <w:ind w:right="420"/>
              <w:spacing w:after="0"/>
              <w:rPr>
                <w:sz w:val="20"/>
                <w:szCs w:val="20"/>
                <w:color w:val="auto"/>
              </w:rPr>
            </w:pPr>
            <w:r>
              <w:rPr>
                <w:rFonts w:ascii="Arial" w:cs="Arial" w:eastAsia="Arial" w:hAnsi="Arial"/>
                <w:sz w:val="16"/>
                <w:szCs w:val="16"/>
                <w:b w:val="1"/>
                <w:bCs w:val="1"/>
                <w:color w:val="auto"/>
                <w:w w:val="89"/>
              </w:rPr>
              <w:t>2021 vs 2020</w:t>
            </w: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center"/>
              <w:ind w:right="210"/>
              <w:spacing w:after="0"/>
              <w:rPr>
                <w:sz w:val="20"/>
                <w:szCs w:val="20"/>
                <w:color w:val="auto"/>
              </w:rPr>
            </w:pPr>
            <w:r>
              <w:rPr>
                <w:rFonts w:ascii="Arial" w:cs="Arial" w:eastAsia="Arial" w:hAnsi="Arial"/>
                <w:sz w:val="16"/>
                <w:szCs w:val="16"/>
                <w:b w:val="1"/>
                <w:bCs w:val="1"/>
                <w:color w:val="auto"/>
                <w:w w:val="87"/>
              </w:rPr>
              <w:t>2021 vs 2020</w:t>
            </w:r>
          </w:p>
        </w:tc>
        <w:tc>
          <w:tcPr>
            <w:tcW w:w="0" w:type="dxa"/>
            <w:vAlign w:val="bottom"/>
          </w:tcPr>
          <w:p>
            <w:pPr>
              <w:spacing w:after="0"/>
              <w:rPr>
                <w:sz w:val="1"/>
                <w:szCs w:val="1"/>
                <w:color w:val="auto"/>
              </w:rPr>
            </w:pPr>
          </w:p>
        </w:tc>
      </w:tr>
      <w:tr>
        <w:trPr>
          <w:trHeight w:val="20"/>
        </w:trPr>
        <w:tc>
          <w:tcPr>
            <w:tcW w:w="2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20" w:type="dxa"/>
            <w:vAlign w:val="bottom"/>
            <w:vMerge w:val="continue"/>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w:t>
            </w:r>
          </w:p>
        </w:tc>
        <w:tc>
          <w:tcPr>
            <w:tcW w:w="40" w:type="dxa"/>
            <w:vAlign w:val="bottom"/>
            <w:vMerge w:val="continu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20" w:type="dxa"/>
            <w:vAlign w:val="bottom"/>
            <w:vMerge w:val="continue"/>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20" w:type="dxa"/>
            <w:vAlign w:val="bottom"/>
            <w:vMerge w:val="continu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vMerge w:val="continue"/>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shd w:val="clear" w:color="auto" w:fill="CCEEFF"/>
              </w:rPr>
              <w:t>%</w:t>
            </w:r>
          </w:p>
        </w:tc>
        <w:tc>
          <w:tcPr>
            <w:tcW w:w="20" w:type="dxa"/>
            <w:vAlign w:val="bottom"/>
            <w:vMerge w:val="continu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20" w:type="dxa"/>
            <w:vAlign w:val="bottom"/>
            <w:vMerge w:val="continue"/>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14,773</w:t>
            </w:r>
          </w:p>
        </w:tc>
        <w:tc>
          <w:tcPr>
            <w:tcW w:w="20" w:type="dxa"/>
            <w:vAlign w:val="bottom"/>
            <w:vMerge w:val="continu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20" w:type="dxa"/>
            <w:vAlign w:val="bottom"/>
            <w:vMerge w:val="continue"/>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12,091</w:t>
            </w:r>
          </w:p>
        </w:tc>
        <w:tc>
          <w:tcPr>
            <w:tcW w:w="40" w:type="dxa"/>
            <w:vAlign w:val="bottom"/>
            <w:vMerge w:val="continue"/>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vMerge w:val="continue"/>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shd w:val="clear" w:color="auto" w:fill="CCEEFF"/>
              </w:rPr>
              <w:t>%</w:t>
            </w:r>
          </w:p>
        </w:tc>
        <w:tc>
          <w:tcPr>
            <w:tcW w:w="0" w:type="dxa"/>
            <w:vAlign w:val="bottom"/>
          </w:tcPr>
          <w:p>
            <w:pPr>
              <w:spacing w:after="0"/>
              <w:rPr>
                <w:sz w:val="1"/>
                <w:szCs w:val="1"/>
                <w:color w:val="auto"/>
              </w:rPr>
            </w:pPr>
          </w:p>
        </w:tc>
      </w:tr>
      <w:tr>
        <w:trPr>
          <w:trHeight w:val="243"/>
        </w:trPr>
        <w:tc>
          <w:tcPr>
            <w:tcW w:w="3120" w:type="dxa"/>
            <w:vAlign w:val="bottom"/>
            <w:gridSpan w:val="4"/>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3,739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15 %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6,635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1"/>
        </w:trPr>
        <w:tc>
          <w:tcPr>
            <w:tcW w:w="3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vMerge w:val="continue"/>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40" w:type="dxa"/>
            <w:vAlign w:val="bottom"/>
            <w:vMerge w:val="continue"/>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vMerge w:val="continue"/>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20" w:type="dxa"/>
            <w:vAlign w:val="bottom"/>
            <w:vMerge w:val="continue"/>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vMerge w:val="continue"/>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vMerge w:val="continue"/>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shd w:val="clear" w:color="auto" w:fill="CCEEFF"/>
              </w:rPr>
              <w:t>%</w:t>
            </w:r>
          </w:p>
        </w:tc>
        <w:tc>
          <w:tcPr>
            <w:tcW w:w="20" w:type="dxa"/>
            <w:vAlign w:val="bottom"/>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20" w:type="dxa"/>
            <w:vAlign w:val="bottom"/>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40" w:type="dxa"/>
            <w:vAlign w:val="bottom"/>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shd w:val="clear" w:color="auto" w:fill="CCEEFF"/>
              </w:rPr>
              <w:t>%</w:t>
            </w:r>
          </w:p>
        </w:tc>
        <w:tc>
          <w:tcPr>
            <w:tcW w:w="0" w:type="dxa"/>
            <w:vAlign w:val="bottom"/>
          </w:tcPr>
          <w:p>
            <w:pPr>
              <w:spacing w:after="0"/>
              <w:rPr>
                <w:sz w:val="1"/>
                <w:szCs w:val="1"/>
                <w:color w:val="auto"/>
              </w:rPr>
            </w:pPr>
          </w:p>
        </w:tc>
      </w:tr>
      <w:tr>
        <w:trPr>
          <w:trHeight w:val="237"/>
        </w:trPr>
        <w:tc>
          <w:tcPr>
            <w:tcW w:w="3120" w:type="dxa"/>
            <w:vAlign w:val="bottom"/>
            <w:gridSpan w:val="4"/>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20 %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3,328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3,196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20" w:type="dxa"/>
            <w:vAlign w:val="bottom"/>
            <w:vMerge w:val="continu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40" w:type="dxa"/>
            <w:vAlign w:val="bottom"/>
            <w:vMerge w:val="continu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20" w:type="dxa"/>
            <w:vAlign w:val="bottom"/>
            <w:vMerge w:val="continu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vMerge w:val="continue"/>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shd w:val="clear" w:color="auto" w:fill="CCEEFF"/>
              </w:rPr>
              <w:t>%</w:t>
            </w:r>
          </w:p>
        </w:tc>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20" w:type="dxa"/>
            <w:vAlign w:val="bottom"/>
            <w:vMerge w:val="continu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40" w:type="dxa"/>
            <w:vAlign w:val="bottom"/>
            <w:vMerge w:val="continue"/>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vMerge w:val="continue"/>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shd w:val="clear" w:color="auto" w:fill="CCEEFF"/>
              </w:rPr>
              <w:t>%</w:t>
            </w:r>
          </w:p>
        </w:tc>
        <w:tc>
          <w:tcPr>
            <w:tcW w:w="0" w:type="dxa"/>
            <w:vAlign w:val="bottom"/>
          </w:tcPr>
          <w:p>
            <w:pPr>
              <w:spacing w:after="0"/>
              <w:rPr>
                <w:sz w:val="1"/>
                <w:szCs w:val="1"/>
                <w:color w:val="auto"/>
              </w:rPr>
            </w:pPr>
          </w:p>
        </w:tc>
      </w:tr>
      <w:tr>
        <w:trPr>
          <w:trHeight w:val="243"/>
        </w:trPr>
        <w:tc>
          <w:tcPr>
            <w:tcW w:w="3120" w:type="dxa"/>
            <w:vAlign w:val="bottom"/>
            <w:gridSpan w:val="4"/>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9 %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3,032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
        </w:trPr>
        <w:tc>
          <w:tcPr>
            <w:tcW w:w="3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vMerge w:val="continue"/>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40" w:type="dxa"/>
            <w:vAlign w:val="bottom"/>
            <w:vMerge w:val="continue"/>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vMerge w:val="continue"/>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20" w:type="dxa"/>
            <w:vAlign w:val="bottom"/>
            <w:vMerge w:val="continue"/>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vMerge w:val="continue"/>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vMerge w:val="continue"/>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shd w:val="clear" w:color="auto" w:fill="CCEEFF"/>
              </w:rPr>
              <w:t>%</w:t>
            </w:r>
          </w:p>
        </w:tc>
        <w:tc>
          <w:tcPr>
            <w:tcW w:w="20" w:type="dxa"/>
            <w:vAlign w:val="bottom"/>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20" w:type="dxa"/>
            <w:vAlign w:val="bottom"/>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9,046</w:t>
            </w:r>
          </w:p>
        </w:tc>
        <w:tc>
          <w:tcPr>
            <w:tcW w:w="40" w:type="dxa"/>
            <w:vAlign w:val="bottom"/>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shd w:val="clear" w:color="auto" w:fill="CCEEFF"/>
              </w:rPr>
              <w:t>%</w:t>
            </w:r>
          </w:p>
        </w:tc>
        <w:tc>
          <w:tcPr>
            <w:tcW w:w="0" w:type="dxa"/>
            <w:vAlign w:val="bottom"/>
          </w:tcPr>
          <w:p>
            <w:pPr>
              <w:spacing w:after="0"/>
              <w:rPr>
                <w:sz w:val="1"/>
                <w:szCs w:val="1"/>
                <w:color w:val="auto"/>
              </w:rPr>
            </w:pPr>
          </w:p>
        </w:tc>
      </w:tr>
      <w:tr>
        <w:trPr>
          <w:trHeight w:val="237"/>
        </w:trPr>
        <w:tc>
          <w:tcPr>
            <w:tcW w:w="3120" w:type="dxa"/>
            <w:vAlign w:val="bottom"/>
            <w:gridSpan w:val="4"/>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20"/>
                <w:szCs w:val="20"/>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(1,486 )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(1,839 )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-19 %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(3,010 )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(3,590 )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net of other income</w:t>
            </w:r>
          </w:p>
        </w:tc>
        <w:tc>
          <w:tcPr>
            <w:tcW w:w="20" w:type="dxa"/>
            <w:vAlign w:val="bottom"/>
            <w:vMerge w:val="continue"/>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vMerge w:val="continue"/>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shd w:val="clear" w:color="auto" w:fill="CCEEFF"/>
              </w:rPr>
              <w:t>)</w:t>
            </w:r>
          </w:p>
        </w:tc>
        <w:tc>
          <w:tcPr>
            <w:tcW w:w="20" w:type="dxa"/>
            <w:vAlign w:val="bottom"/>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vMerge w:val="continue"/>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shd w:val="clear" w:color="auto" w:fill="CCEEFF"/>
              </w:rPr>
              <w:t>)</w:t>
            </w:r>
          </w:p>
        </w:tc>
        <w:tc>
          <w:tcPr>
            <w:tcW w:w="20" w:type="dxa"/>
            <w:vAlign w:val="bottom"/>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vMerge w:val="continue"/>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shd w:val="clear" w:color="auto" w:fill="CCEEFF"/>
              </w:rPr>
              <w:t>%</w:t>
            </w:r>
          </w:p>
        </w:tc>
        <w:tc>
          <w:tcPr>
            <w:tcW w:w="20" w:type="dxa"/>
            <w:vAlign w:val="bottom"/>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vMerge w:val="continue"/>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shd w:val="clear" w:color="auto" w:fill="CCEEFF"/>
              </w:rPr>
              <w:t>)</w:t>
            </w:r>
          </w:p>
        </w:tc>
        <w:tc>
          <w:tcPr>
            <w:tcW w:w="20" w:type="dxa"/>
            <w:vAlign w:val="bottom"/>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0" w:type="dxa"/>
            <w:vAlign w:val="bottom"/>
            <w:vMerge w:val="continue"/>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shd w:val="clear" w:color="auto" w:fill="CCEEFF"/>
              </w:rPr>
              <w:t>)</w:t>
            </w:r>
          </w:p>
        </w:tc>
        <w:tc>
          <w:tcPr>
            <w:tcW w:w="40" w:type="dxa"/>
            <w:vAlign w:val="bottom"/>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vMerge w:val="continue"/>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shd w:val="clear" w:color="auto" w:fill="CCEEFF"/>
              </w:rPr>
              <w:t>%</w:t>
            </w:r>
          </w:p>
        </w:tc>
        <w:tc>
          <w:tcPr>
            <w:tcW w:w="0" w:type="dxa"/>
            <w:vAlign w:val="bottom"/>
          </w:tcPr>
          <w:p>
            <w:pPr>
              <w:spacing w:after="0"/>
              <w:rPr>
                <w:sz w:val="1"/>
                <w:szCs w:val="1"/>
                <w:color w:val="auto"/>
              </w:rPr>
            </w:pPr>
          </w:p>
        </w:tc>
      </w:tr>
      <w:tr>
        <w:trPr>
          <w:trHeight w:val="237"/>
        </w:trPr>
        <w:tc>
          <w:tcPr>
            <w:tcW w:w="3120" w:type="dxa"/>
            <w:vAlign w:val="bottom"/>
            <w:gridSpan w:val="4"/>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20"/>
                <w:szCs w:val="20"/>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(1,578 )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(1,932 )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-18 %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(3,219 )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(3,756 )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vMerge w:val="continue"/>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vMerge w:val="continue"/>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 w:type="dxa"/>
            <w:vAlign w:val="bottom"/>
            <w:vMerge w:val="continue"/>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shd w:val="clear" w:color="auto" w:fill="CCEEFF"/>
              </w:rPr>
              <w:t>%</w:t>
            </w:r>
          </w:p>
        </w:tc>
        <w:tc>
          <w:tcPr>
            <w:tcW w:w="20" w:type="dxa"/>
            <w:vAlign w:val="bottom"/>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vMerge w:val="continue"/>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vMerge w:val="continue"/>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shd w:val="clear" w:color="auto" w:fill="CCEEFF"/>
              </w:rPr>
              <w:t>%</w:t>
            </w:r>
          </w:p>
        </w:tc>
        <w:tc>
          <w:tcPr>
            <w:tcW w:w="0" w:type="dxa"/>
            <w:vAlign w:val="bottom"/>
          </w:tcPr>
          <w:p>
            <w:pPr>
              <w:spacing w:after="0"/>
              <w:rPr>
                <w:sz w:val="1"/>
                <w:szCs w:val="1"/>
                <w:color w:val="auto"/>
              </w:rPr>
            </w:pPr>
          </w:p>
        </w:tc>
      </w:tr>
      <w:tr>
        <w:trPr>
          <w:trHeight w:val="21"/>
        </w:trPr>
        <w:tc>
          <w:tcPr>
            <w:tcW w:w="3120" w:type="dxa"/>
            <w:vAlign w:val="bottom"/>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vMerge w:val="restart"/>
          </w:tcPr>
          <w:p>
            <w:pPr>
              <w:spacing w:after="0" w:line="20" w:lineRule="exact"/>
              <w:rPr>
                <w:sz w:val="1"/>
                <w:szCs w:val="1"/>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8"/>
                <w:szCs w:val="18"/>
                <w:color w:val="auto"/>
              </w:rPr>
              <w:t>(3,241 )</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4"/>
            <w:vMerge w:val="restart"/>
          </w:tcPr>
          <w:p>
            <w:pPr>
              <w:jc w:val="right"/>
              <w:spacing w:after="0"/>
              <w:rPr>
                <w:sz w:val="20"/>
                <w:szCs w:val="20"/>
                <w:color w:val="auto"/>
              </w:rPr>
            </w:pPr>
            <w:r>
              <w:rPr>
                <w:rFonts w:ascii="Arial" w:cs="Arial" w:eastAsia="Arial" w:hAnsi="Arial"/>
                <w:sz w:val="18"/>
                <w:szCs w:val="18"/>
                <w:color w:val="auto"/>
              </w:rPr>
              <w:t>(3,784 )</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vMerge w:val="restart"/>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3"/>
        </w:trPr>
        <w:tc>
          <w:tcPr>
            <w:tcW w:w="3120" w:type="dxa"/>
            <w:vAlign w:val="bottom"/>
            <w:gridSpan w:val="4"/>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vMerge w:val="continue"/>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(1,586</w:t>
            </w:r>
          </w:p>
        </w:tc>
        <w:tc>
          <w:tcPr>
            <w:tcW w:w="1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vMerge w:val="continue"/>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(1,937</w:t>
            </w:r>
          </w:p>
        </w:tc>
        <w:tc>
          <w:tcPr>
            <w:tcW w:w="1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080" w:type="dxa"/>
            <w:vAlign w:val="bottom"/>
            <w:gridSpan w:val="4"/>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Our revenue increased to $7.7 million in 2021-Q2 compared to $6.4 million in 2020-Q2 primarily due to a 70% increase in microphones revenue, followed by a 17% increase in audio conferencing revenue, partially offset by a 22% decline in video products. Microphones growth continued to be led by our new solutions incorporating BMA-CT and BMA 360 with our traditional ceiling mics also enjoying revenue growth. Audio Conferencing category as a whole increased mainly due to a strong revenue performance of our professional mixers despite decreases in other product groups within audio conferencing category. During the second quarter of 2021, revenues from Americas declined by 9% primarily due to decline in revenues from USA, while revenues from Asia Pacific, including the Middle East and India grew by 14% primarily due to increase in revenues from China, Australia and Korea, and revenues from Europe and Africa increased by 197% primarily due to significant revenue increases from Southern Europe followed by overall revenue growth in all other regions of Europe and Africa.</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During the six months ended June 30, 2021 our revenues increased from $12.1 million to $14.8 million compared to same period in 2020 due to increase in all product categories with revenues from microphones increasing by 38%, video products increasing by 25% and audio conferencing increasing by 9%. The increase in revenue from microphones continued to be led by our new solutions incorporating BMA-CT and BMA 360 with wireless microphones also enjoying revenue growth. Audio Conferencing category as a whole increased mainly due to a strong revenue performance by our professional mixers. However other product categories within audio conferencing category suffered revenue declines during 2021-H1 when compared to 2020-H1. Video products enjoyed revenue growth primarily due to growth in demand from work from home and learn from home markets. During 2021-H1 Americas declined by 3%, Asia Pacific, including the Middle East and India increased by 34% and Europe and Africa increased by 106%. Revenues increased from all major regions except USA and Canada during 2021-H1 compared to 2020-H1 with revenue growth from Korea and Southern Europe far exceeding revenue growth from other regions.</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believe, although there can be no assurance, that we can sustain our revenue growth and return to generating operating profits through our strategic initiatives namely product innovation, cost reduction and defense of our intellectual property.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 and Gross Profit</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Cost of goods sold includes expenses associated with finished goods purchased from outsourced manufacturers, the repackaging of our products, our manufacturing and operations organization, property and equipment depreciation, warranty expense, freight expense, royalty payments, and the allocation of overhead expenses.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gross profit margin increased from 41.2% during 2020-Q2 to 44.3% during 2021-Q2. The gross profit margin was positively impacted due to decreased freight and tariff costs and inventory obsolescence costs as a percentage of revenue, partially offset by increase in material costs and overhead costs as a percentage of revenue.</w:t>
      </w:r>
    </w:p>
    <w:p>
      <w:pPr>
        <w:spacing w:after="0" w:line="148"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Our gross profit margin decreased from 45.1% during 2020-H1 to 43.5% during 2021-H1. The gross profit margin decreased primarily due to increase in material costs and freight and tariff costs a percentage of revenue, partially offset by decrease in inventory obsolescence costs as a percentage of revenue.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7"/>
          <w:szCs w:val="17"/>
          <w:color w:val="auto"/>
        </w:rPr>
        <w:t>Our profitability in the near-term continues to depend significantly on our revenues from professional installed audio-conferencing products. We hold long-term inventory and if we are unable to sell our long-term inventory, our profitability might be affected by inventory write-offs and price mark-downs. Our long-term inventory includes approximately $0.7 million of wireless microphone-related finished goods and assemblies, $0.4 million of Converge Pro and Beamforming microphone array products, $0.3 million of network media streaming products, $0.3 million of tabletop conferencing products and about $2.0 million of raw materials that will be used primarily for manufacturing professional audio conferencing products. Any business changes that are adverse to these product lines could potentially impact our ability to sell our long-term inventory in addition to our current inventory.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Operating expenses include sales and marketing (“S&amp;M”) expenses, research and product development (“R&amp;D”) expenses and general and administrative (“G&amp;A”) expenses. Total operating expenses were $4.9 million for 2021-Q2 compared to $4.5 million for 2020-Q2. Total operating expenses were $9.4 million for 2021-H1 compared to $9.0 million for 2020-H1. The following contains a more detailed discussion of expenses related to sales and marketing, research and product development, general and administrative, and other items.</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u w:val="single" w:color="auto"/>
          <w:color w:val="auto"/>
        </w:rPr>
        <w:t>Sales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S&amp;M expenses include selling, customer service, and marketing expenses such as employee-related costs, allocations of overhead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trade shows, and other advertising and selling expenses.</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S&amp;M expenses for 2021-Q2 increased to $1.8 million from $1.5 million for 2020-Q2. The increase was mainly due to increase in sales commissions and due to one-time employment termination costs.</w:t>
      </w:r>
    </w:p>
    <w:p>
      <w:pPr>
        <w:spacing w:after="0" w:line="14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S&amp;M expenses for 2021-H1 increased to $3.3 million from $3.2 million for 2020-H1. The increase was mainly due to increase in sales commissions and due one time employment termination costs partially offset by decreases in trade-show related expenses and travel expenses.</w:t>
      </w:r>
    </w:p>
    <w:p>
      <w:pPr>
        <w:spacing w:after="0" w:line="121" w:lineRule="exact"/>
        <w:rPr>
          <w:sz w:val="20"/>
          <w:szCs w:val="20"/>
          <w:color w:val="auto"/>
        </w:rPr>
      </w:pPr>
    </w:p>
    <w:p>
      <w:pPr>
        <w:jc w:val="both"/>
        <w:ind w:right="20"/>
        <w:spacing w:after="0" w:line="307" w:lineRule="auto"/>
        <w:rPr>
          <w:sz w:val="20"/>
          <w:szCs w:val="20"/>
          <w:color w:val="auto"/>
        </w:rPr>
      </w:pPr>
      <w:r>
        <w:rPr>
          <w:rFonts w:ascii="Arial" w:cs="Arial" w:eastAsia="Arial" w:hAnsi="Arial"/>
          <w:sz w:val="16"/>
          <w:szCs w:val="16"/>
          <w:b w:val="1"/>
          <w:bCs w:val="1"/>
          <w:i w:val="1"/>
          <w:iCs w:val="1"/>
          <w:u w:val="single" w:color="auto"/>
          <w:color w:val="auto"/>
        </w:rPr>
        <w:t>Research and Product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R&amp;D expenses include research and development, product line management, engineering services, and test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 expenses, including employee-related costs, outside services, expensed materials, depreciation, and an allocation of overhead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R&amp;D expenses remained almost the same at $1.5 million for both quarters compared.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R&amp;D expenses remained fairly consistent with approximately $2.8 million for 2021-H1, as compared to $2.8 million for 2020-H1.</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u w:val="single" w:color="auto"/>
          <w:color w:val="auto"/>
        </w:rPr>
        <w:t>General and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G&amp;A expenses include employee-related costs, professional service fees, allocations of overhead expenses, litigation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corporate administrative costs, including costs related to finance and human resources teams.</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G&amp;A expenses increased slightly from $1.5 million in 2020-Q2 to $1.7 million in 2021-Q2. The increase was primarily due to increases in depreciation and amortization expenses and insurance expenses.</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G&amp;A expenses increased from $3.0 million in 2020-H1 to $3.3 million in 2021-H1. The increase was primarily due to increases in depreciation and amortization expenses and insurance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Other income (expense), net includes interest income and foreign currency changes. Other income remained immaterial during the second quarter of 2021 and 2020 and between 2021-H1 and 2020-H1.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remained almost the same at $0.1 million for both quarters compared.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remained consistent at $0.2 million in 2021-H1 compared to $0.2 million in 2020-H1.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2021-H1, we did not recognize any benefit from the losses incurred due to setting up of full valuation allowance. Provision for income taxes recognized for 2021-Q2 and 2021-H1 relates to foreign jurisdictions.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right="1940"/>
        <w:spacing w:after="0" w:line="424"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LIQUIDITY AND CAPITAL RESOURCES</w:t>
      </w:r>
    </w:p>
    <w:p>
      <w:pPr>
        <w:spacing w:after="0" w:line="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 of June 30, 2021, our cash and cash equivalents were approximately $2.1 million compared to $3.8 million as of December 31, 2020. Our working capital was $17.6 million and $22.2 million as of June 30, 2021 and December 31, 2020, respectively.</w:t>
      </w:r>
    </w:p>
    <w:p>
      <w:pPr>
        <w:spacing w:after="0" w:line="1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 cash provided by operating activities was approximately $1.0 million in 2021-H1, an increase of cash provided of approximately $0.9 million from $0.1 million of cash provided by operating activities in 2020-H1. The increase in cash inflow was due to a positive change in operating assets and liabilities of $0.1 million, increase in non-cash charges by $0.3 million and a decrease in net loss by $0.5 million.</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 cash used in investing activities was $2.5 million in 2021-H1 compared to $3.5 million in 2020-H1, a decrease in cash used of $1.0 million. The decrease in cash used in investing activities was primarily due to an increase in net cash realized from marketable securities of approximately $0.3 million and a decrease in capitalized patent defense costs by $0.6 million.</w:t>
      </w:r>
    </w:p>
    <w:p>
      <w:pPr>
        <w:spacing w:after="0" w:line="14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Net cash used in financing activities in 2021-H1 was $0.2 million consisting of repayment of principal amounts due on senior convertible notes compared to cash provided by financing activities of $1.5 million in 2020-H1, which consisted of net proceeds from Paycheck Protection Program.</w:t>
      </w:r>
    </w:p>
    <w:p>
      <w:pPr>
        <w:spacing w:after="0" w:line="12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i w:val="1"/>
          <w:iCs w:val="1"/>
          <w:color w:val="auto"/>
        </w:rPr>
        <w:t>Capitalization of patent defense costs</w:t>
      </w:r>
      <w:r>
        <w:rPr>
          <w:rFonts w:ascii="Arial" w:cs="Arial" w:eastAsia="Arial" w:hAnsi="Arial"/>
          <w:sz w:val="18"/>
          <w:szCs w:val="18"/>
          <w:color w:val="auto"/>
        </w:rPr>
        <w:t>. We capitalize external legal costs incurred in the defense of our patents when we believe that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discernible increase in value will result from the defense and a successful outcome of the legal action is probable. When we capitalize patent defense costs we amortize the costs over the remaining estimated useful life of the patents,which is 15 to 17 years. During 2021-Q2 we spent $1.6 million on legal costs related to the defense of our patents and capitalized the entire amount.</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currently pursuing all available legal remedies to defend our strategic patents from infringement. We have already spent approximately $23.6 million from 2016 through June 30, 2021 towards this litigation and may be required to spend more to continue our legal defense. We believe the decision by the U.S. District Court in August 2019 granting our request for a preliminary injunction to prevent our competitor from manufacturing, marketing, and selling its competing ceiling microphone array in an infringing configuration is an incredibly valuable ruling for ClearOne and its business. We believe that the decision validates the strength and importance of ClearOne’s intellectual property rights, recognizes ClearOne’s innovations in this space, and stops our competitor from further infringing our Graham patent (U.S. Patent No. 9,813,806) pending a full trial. Although there can be no assurance of any outcome of a full trial, we believe this ruling will help pave way for ClearOne’s recovery from the immense harm inflicted by our competitor's infringement of our valuable patents. However, we are not getting the full benefits of the Court’s extraordinary remedy in the form of the preliminary injunction granted against Shure with respect to infringement of our ’806 Patent as we believe that Shure is still infringing ClearOne’s patent. During September 2020, the U.S District Court of Northern Illinois held Shure in contempt for marketing and selling their new design in violation of the preliminary injunction.</w:t>
      </w:r>
    </w:p>
    <w:p>
      <w:pPr>
        <w:spacing w:after="0" w:line="139"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We have been actively engaged in preserving cash by suspending our dividend program and allowing our share repurchase program to expire in 2018 and implementing company-wide cost reduction measures. We have also raised additional capital of $9.9 million (net of issuance costs) in 2018 by issuing common stock, $2.7 million (net of issuances costs) in 2019 by issuing senior convertible notes, $1.5 million in April 2020 by borrowing through Paycheck Protection Program, $4.8 million in September 2020 by issuing common stock and warrants, and $2.0 million in July 2021 by issuing short-term debt. In addition, we expect to generate additional cash as our inventory levels are brought down to historical levels.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also believe that the measures taken by us will yield higher revenues in the future. We believe, although there can be no assurance, that all of these measures and effective management of working capital will provide the liquidity needed to meet our operating needs through at least through August 10, 2022. We also believe that our strong portfolio of intellectual property and our solid brand equity in the market will enable us to raise additional capital if and when needed to meet our short and long-term financing needs; however, there can be no assurance that, if needed, we will be successful in obtaining the necessary funds through equity or debt financing. If we need additional capital and are unable to secure financing, we may be required to further reduce expenses, delay product development and enhancement, or revise our strategy regarding ongoing litigation.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At June 30, 2021, we had open purchase orders of approximately $1.8 million mostly for purchase of inventory.</w:t>
      </w:r>
    </w:p>
    <w:p>
      <w:pPr>
        <w:spacing w:after="0" w:line="17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At June 30, 2021, we had inventory totaling $13.2 million, of which non-current inventory accounted for $4.0 million. This compares to total inventories of $15.1 million and non-current inventory of $4.6 million as of December 31,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right="1940"/>
        <w:spacing w:after="0" w:line="41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Contractual Obligations and Commitments</w:t>
      </w:r>
    </w:p>
    <w:p>
      <w:pPr>
        <w:spacing w:after="0"/>
        <w:rPr>
          <w:sz w:val="20"/>
          <w:szCs w:val="20"/>
          <w:color w:val="auto"/>
        </w:rPr>
      </w:pPr>
      <w:r>
        <w:rPr>
          <w:rFonts w:ascii="Arial" w:cs="Arial" w:eastAsia="Arial" w:hAnsi="Arial"/>
          <w:sz w:val="18"/>
          <w:szCs w:val="18"/>
          <w:color w:val="212529"/>
        </w:rPr>
        <w:t>The following table summarizes our contractual obligations as of June 30, 2021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6"/>
              </w:rPr>
              <w:t>Payment Due by Period</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3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Less Than</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ind w:left="80"/>
              <w:spacing w:after="0"/>
              <w:rPr>
                <w:sz w:val="20"/>
                <w:szCs w:val="20"/>
                <w:color w:val="auto"/>
              </w:rPr>
            </w:pPr>
            <w:r>
              <w:rPr>
                <w:rFonts w:ascii="Arial" w:cs="Arial" w:eastAsia="Arial" w:hAnsi="Arial"/>
                <w:sz w:val="16"/>
                <w:szCs w:val="16"/>
                <w:b w:val="1"/>
                <w:bCs w:val="1"/>
                <w:color w:val="auto"/>
              </w:rPr>
              <w:t>More than 5</w:t>
            </w:r>
          </w:p>
        </w:tc>
        <w:tc>
          <w:tcPr>
            <w:tcW w:w="100" w:type="dxa"/>
            <w:vAlign w:val="bottom"/>
          </w:tcPr>
          <w:p>
            <w:pPr>
              <w:spacing w:after="0"/>
              <w:rPr>
                <w:sz w:val="17"/>
                <w:szCs w:val="17"/>
                <w:color w:val="auto"/>
              </w:rPr>
            </w:pPr>
          </w:p>
        </w:tc>
      </w:tr>
      <w:tr>
        <w:trPr>
          <w:trHeight w:val="213"/>
        </w:trPr>
        <w:tc>
          <w:tcPr>
            <w:tcW w:w="3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b w:val="1"/>
                <w:bCs w:val="1"/>
                <w:color w:val="auto"/>
              </w:rPr>
              <w:t>1 Year</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1-3 Years</w:t>
            </w: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3-5 Years</w:t>
            </w:r>
          </w:p>
        </w:tc>
        <w:tc>
          <w:tcPr>
            <w:tcW w:w="16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Arial" w:cs="Arial" w:eastAsia="Arial" w:hAnsi="Arial"/>
                <w:sz w:val="16"/>
                <w:szCs w:val="16"/>
                <w:b w:val="1"/>
                <w:bCs w:val="1"/>
                <w:color w:val="auto"/>
              </w:rPr>
              <w:t>years</w:t>
            </w:r>
          </w:p>
        </w:tc>
      </w:tr>
      <w:tr>
        <w:trPr>
          <w:trHeight w:val="226"/>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94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6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0.50</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Payroll Protection Plan loan</w:t>
            </w: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0.70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ind w:left="980"/>
              <w:spacing w:after="0"/>
              <w:rPr>
                <w:sz w:val="20"/>
                <w:szCs w:val="20"/>
                <w:color w:val="auto"/>
              </w:rPr>
            </w:pPr>
            <w:r>
              <w:rPr>
                <w:rFonts w:ascii="Arial" w:cs="Arial" w:eastAsia="Arial" w:hAnsi="Arial"/>
                <w:sz w:val="18"/>
                <w:szCs w:val="18"/>
                <w:color w:val="auto"/>
              </w:rPr>
              <w:t>—</w:t>
            </w:r>
          </w:p>
        </w:tc>
      </w:tr>
      <w:tr>
        <w:trPr>
          <w:trHeight w:val="229"/>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0.60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Purchase obligations</w:t>
            </w: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1.80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ind w:left="980"/>
              <w:spacing w:after="0"/>
              <w:rPr>
                <w:sz w:val="20"/>
                <w:szCs w:val="20"/>
                <w:color w:val="auto"/>
              </w:rPr>
            </w:pPr>
            <w:r>
              <w:rPr>
                <w:rFonts w:ascii="Arial" w:cs="Arial" w:eastAsia="Arial" w:hAnsi="Arial"/>
                <w:sz w:val="18"/>
                <w:szCs w:val="18"/>
                <w:color w:val="auto"/>
              </w:rPr>
              <w:t>—</w:t>
            </w:r>
          </w:p>
        </w:tc>
      </w:tr>
      <w:tr>
        <w:trPr>
          <w:trHeight w:val="223"/>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6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Our discussion and analysis of our results of operations and financial position are based upon our unaudited condensed consolidated financial statements included under Item 1 of this Form 10-Q, which have been prepared in conformity with accounting principles generally accepted in the United States. We review the accounting policies used in reporting our financial results on a regular basis. We believe certain of our accounting policies are critical to understanding our financial position and results of operations. There have been no changes to the critical accounting policies as explained in our Annual Report on Form 10-K for the year ended December 31,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a discussion of recent accounting pronouncements, see Note 1: “Business Description, Basis of Presentation and Significant Accounting Policies” in the notes to our unaudited condensed consolidated financial statements included under Item 1 of this Form 10-Q.</w:t>
      </w:r>
    </w:p>
    <w:p>
      <w:pPr>
        <w:spacing w:after="0" w:line="17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 evaluation of the effectiveness of our disclosure controls and procedures (as defined in Rules 13a-15(e) and 15d-15(e) of the Exchange Act) as of June 30, 2021 was performed under the supervision and with the participation of our management, including our Chief Executive Officer and our Principal Financial and Accounting Officer. Based upon this evaluation, our Chief Executive Officer and Senior Vice President of Finance concluded that, as of the end of the period covered by this Quarterly Report, our disclosure controls and procedures effective at a reasonable assurance level as of June 30, 2021.</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as of June 30, 2021, that has materially affected, or is reasonably likely to materially affect, the Company's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involved in litigation against Shure Incorporated (“Shure”) as further described in Part I, Item 3 of the Company’s Annual Report on Form 10-K for the year ended December 31, 2020 (the “Annual Report”), which information is incorporated herein by reference. The following recent developments amend and supplement the disclosure of the ongoing litigation proceedings against Shure as follows: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Shure, Incorporated v. ClearOne, Inc., 17-cv-3078 (N.D. of Illinois)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Shure and ClearOne completed supplemental briefing before the district court relating to the Court’s ruling holding Shure in contempt. The Court has not yet issued a ruling on the supplemental briefing. On July 21, 2021, the Federal Circuit dismissed Shure’s appeal of the Court’s ruling holding Shure in contempt.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ClearOne, Inc. v. Shure, Incorporated, 19-cv-02421 (N.D. of Illinois)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2020, ClearOne informed the Court that it would proceed with its advertising-related claims in Delaware rather than Illinois. ClearOne thus filed a Second Amended Complaint removing the prospective economic advantage and trade libel claims. In July 2021, the parties completed briefing on Shure’s early motion to obtain summary judgment and dismissal of ClearOne’s trade secret misappropriation claims. The parties’ claim construction briefing is still pending.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Shure, Incorporated v. ClearOne, Inc., 19-cv-1343 (D. of Delaware)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April 16, 2021, Shure and ClearOne filed summary judgment and </w:t>
      </w:r>
      <w:r>
        <w:rPr>
          <w:rFonts w:ascii="Arial" w:cs="Arial" w:eastAsia="Arial" w:hAnsi="Arial"/>
          <w:sz w:val="17"/>
          <w:szCs w:val="17"/>
          <w:i w:val="1"/>
          <w:iCs w:val="1"/>
          <w:color w:val="auto"/>
        </w:rPr>
        <w:t>Daubert</w:t>
      </w:r>
      <w:r>
        <w:rPr>
          <w:rFonts w:ascii="Arial" w:cs="Arial" w:eastAsia="Arial" w:hAnsi="Arial"/>
          <w:sz w:val="17"/>
          <w:szCs w:val="17"/>
          <w:color w:val="auto"/>
        </w:rPr>
        <w:t xml:space="preserve"> motions. ClearOne filed for summary judgment of noninfringement and invalidity relating to the ’493 Patent; and summary judgment of no liability on various alleged false statements and of no lost profits or unjust enrichment relating to the false advertising claims. ClearOne also moved to exclude certain opinions from two Shure expert witnesses. Shure filed summary judgment motions on ClearOne’s inventorship argument; and on all of ClearOne’s counterclaims. They also seek to exclude certain opinions from two ClearOne expert witnesses. Briefing on these summary judgment and </w:t>
      </w:r>
      <w:r>
        <w:rPr>
          <w:rFonts w:ascii="Arial" w:cs="Arial" w:eastAsia="Arial" w:hAnsi="Arial"/>
          <w:sz w:val="17"/>
          <w:szCs w:val="17"/>
          <w:i w:val="1"/>
          <w:iCs w:val="1"/>
          <w:color w:val="auto"/>
        </w:rPr>
        <w:t>Daubert</w:t>
      </w:r>
      <w:r>
        <w:rPr>
          <w:rFonts w:ascii="Arial" w:cs="Arial" w:eastAsia="Arial" w:hAnsi="Arial"/>
          <w:sz w:val="17"/>
          <w:szCs w:val="17"/>
          <w:color w:val="auto"/>
        </w:rPr>
        <w:t xml:space="preserve"> motions was completed in May 2021, and a hearing on a subset of the motions occurred in June 2021. The Court has not yet issued any orders on these motions.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Title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10140" w:type="dxa"/>
            <w:vAlign w:val="bottom"/>
            <w:gridSpan w:val="6"/>
          </w:tcPr>
          <w:p>
            <w:pPr>
              <w:spacing w:after="0"/>
              <w:rPr>
                <w:rFonts w:ascii="Arial" w:cs="Arial" w:eastAsia="Arial" w:hAnsi="Arial"/>
                <w:sz w:val="18"/>
                <w:szCs w:val="18"/>
                <w:color w:val="auto"/>
                <w:w w:val="93"/>
              </w:rPr>
            </w:pPr>
            <w:hyperlink r:id="rId44">
              <w:r>
                <w:rPr>
                  <w:rFonts w:ascii="Arial" w:cs="Arial" w:eastAsia="Arial" w:hAnsi="Arial"/>
                  <w:sz w:val="18"/>
                  <w:szCs w:val="18"/>
                  <w:color w:val="auto"/>
                  <w:w w:val="93"/>
                </w:rPr>
                <w:t>Promissory Note dated July 2, 2021 (filed as Exhibit 10.1 to the Company’s Current Report on Form 8-K as filed with the SEC on July 9,</w:t>
              </w:r>
            </w:hyperlink>
          </w:p>
        </w:tc>
      </w:tr>
      <w:tr>
        <w:trPr>
          <w:trHeight w:val="196"/>
        </w:trPr>
        <w:tc>
          <w:tcPr>
            <w:tcW w:w="110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auto"/>
                <w:w w:val="88"/>
              </w:rPr>
            </w:pPr>
            <w:hyperlink r:id="rId44">
              <w:r>
                <w:rPr>
                  <w:rFonts w:ascii="Arial" w:cs="Arial" w:eastAsia="Arial" w:hAnsi="Arial"/>
                  <w:sz w:val="18"/>
                  <w:szCs w:val="18"/>
                  <w:color w:val="auto"/>
                  <w:w w:val="88"/>
                </w:rPr>
                <w:t>2021 and incorporated herein by reference).</w:t>
              </w:r>
            </w:hyperlink>
          </w:p>
        </w:tc>
        <w:tc>
          <w:tcPr>
            <w:tcW w:w="6720" w:type="dxa"/>
            <w:vAlign w:val="bottom"/>
            <w:tcBorders>
              <w:top w:val="single" w:sz="8" w:color="0000EE"/>
            </w:tcBorders>
            <w:gridSpan w:val="3"/>
          </w:tcPr>
          <w:p>
            <w:pPr>
              <w:spacing w:after="0"/>
              <w:rPr>
                <w:sz w:val="17"/>
                <w:szCs w:val="17"/>
                <w:color w:val="auto"/>
              </w:rPr>
            </w:pPr>
          </w:p>
        </w:tc>
        <w:tc>
          <w:tcPr>
            <w:tcW w:w="28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860" w:type="dxa"/>
            <w:vAlign w:val="bottom"/>
          </w:tcPr>
          <w:p>
            <w:pPr>
              <w:spacing w:after="0"/>
              <w:rPr>
                <w:rFonts w:ascii="Arial" w:cs="Arial" w:eastAsia="Arial" w:hAnsi="Arial"/>
                <w:sz w:val="18"/>
                <w:szCs w:val="18"/>
                <w:color w:val="0000FF"/>
                <w:w w:val="88"/>
              </w:rPr>
            </w:pPr>
            <w:hyperlink w:anchor="page28">
              <w:r>
                <w:rPr>
                  <w:rFonts w:ascii="Arial" w:cs="Arial" w:eastAsia="Arial" w:hAnsi="Arial"/>
                  <w:sz w:val="18"/>
                  <w:szCs w:val="18"/>
                  <w:color w:val="0000FF"/>
                  <w:w w:val="88"/>
                </w:rPr>
                <w:t>Section 302</w:t>
              </w:r>
            </w:hyperlink>
          </w:p>
        </w:tc>
        <w:tc>
          <w:tcPr>
            <w:tcW w:w="9280" w:type="dxa"/>
            <w:vAlign w:val="bottom"/>
            <w:gridSpan w:val="5"/>
          </w:tcPr>
          <w:p>
            <w:pPr>
              <w:ind w:left="20"/>
              <w:spacing w:after="0"/>
              <w:rPr>
                <w:rFonts w:ascii="Arial" w:cs="Arial" w:eastAsia="Arial" w:hAnsi="Arial"/>
                <w:sz w:val="18"/>
                <w:szCs w:val="18"/>
                <w:color w:val="0000FF"/>
              </w:rPr>
            </w:pPr>
            <w:hyperlink w:anchor="page28">
              <w:r>
                <w:rPr>
                  <w:rFonts w:ascii="Arial" w:cs="Arial" w:eastAsia="Arial" w:hAnsi="Arial"/>
                  <w:sz w:val="18"/>
                  <w:szCs w:val="18"/>
                  <w:color w:val="0000FF"/>
                </w:rPr>
                <w:t>Certification of Chief Executive Officer (filed herewith)</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8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860" w:type="dxa"/>
            <w:vAlign w:val="bottom"/>
          </w:tcPr>
          <w:p>
            <w:pPr>
              <w:spacing w:after="0"/>
              <w:rPr>
                <w:rFonts w:ascii="Arial" w:cs="Arial" w:eastAsia="Arial" w:hAnsi="Arial"/>
                <w:sz w:val="18"/>
                <w:szCs w:val="18"/>
                <w:color w:val="0000FF"/>
                <w:w w:val="88"/>
              </w:rPr>
            </w:pPr>
            <w:hyperlink w:anchor="page29">
              <w:r>
                <w:rPr>
                  <w:rFonts w:ascii="Arial" w:cs="Arial" w:eastAsia="Arial" w:hAnsi="Arial"/>
                  <w:sz w:val="18"/>
                  <w:szCs w:val="18"/>
                  <w:color w:val="0000FF"/>
                  <w:w w:val="88"/>
                </w:rPr>
                <w:t>Section 302</w:t>
              </w:r>
            </w:hyperlink>
          </w:p>
        </w:tc>
        <w:tc>
          <w:tcPr>
            <w:tcW w:w="9280" w:type="dxa"/>
            <w:vAlign w:val="bottom"/>
            <w:gridSpan w:val="5"/>
          </w:tcPr>
          <w:p>
            <w:pPr>
              <w:ind w:left="20"/>
              <w:spacing w:after="0"/>
              <w:rPr>
                <w:rFonts w:ascii="Arial" w:cs="Arial" w:eastAsia="Arial" w:hAnsi="Arial"/>
                <w:sz w:val="18"/>
                <w:szCs w:val="18"/>
                <w:color w:val="0000FF"/>
              </w:rPr>
            </w:pPr>
            <w:hyperlink w:anchor="page29">
              <w:r>
                <w:rPr>
                  <w:rFonts w:ascii="Arial" w:cs="Arial" w:eastAsia="Arial" w:hAnsi="Arial"/>
                  <w:sz w:val="18"/>
                  <w:szCs w:val="18"/>
                  <w:color w:val="0000FF"/>
                </w:rPr>
                <w:t>Certification of Principal Financial Officer (filed herewith)</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260" w:type="dxa"/>
            <w:vAlign w:val="bottom"/>
            <w:gridSpan w:val="3"/>
            <w:shd w:val="clear" w:color="auto" w:fill="0000FF"/>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860" w:type="dxa"/>
            <w:vAlign w:val="bottom"/>
          </w:tcPr>
          <w:p>
            <w:pPr>
              <w:spacing w:after="0"/>
              <w:rPr>
                <w:rFonts w:ascii="Arial" w:cs="Arial" w:eastAsia="Arial" w:hAnsi="Arial"/>
                <w:sz w:val="18"/>
                <w:szCs w:val="18"/>
                <w:color w:val="0000FF"/>
                <w:w w:val="88"/>
              </w:rPr>
            </w:pPr>
            <w:hyperlink w:anchor="page30">
              <w:r>
                <w:rPr>
                  <w:rFonts w:ascii="Arial" w:cs="Arial" w:eastAsia="Arial" w:hAnsi="Arial"/>
                  <w:sz w:val="18"/>
                  <w:szCs w:val="18"/>
                  <w:color w:val="0000FF"/>
                  <w:w w:val="88"/>
                </w:rPr>
                <w:t>Section 906</w:t>
              </w:r>
            </w:hyperlink>
          </w:p>
        </w:tc>
        <w:tc>
          <w:tcPr>
            <w:tcW w:w="9280" w:type="dxa"/>
            <w:vAlign w:val="bottom"/>
            <w:gridSpan w:val="5"/>
          </w:tcPr>
          <w:p>
            <w:pPr>
              <w:ind w:left="20"/>
              <w:spacing w:after="0"/>
              <w:rPr>
                <w:rFonts w:ascii="Arial" w:cs="Arial" w:eastAsia="Arial" w:hAnsi="Arial"/>
                <w:sz w:val="18"/>
                <w:szCs w:val="18"/>
                <w:color w:val="0000FF"/>
              </w:rPr>
            </w:pPr>
            <w:hyperlink w:anchor="page30">
              <w:r>
                <w:rPr>
                  <w:rFonts w:ascii="Arial" w:cs="Arial" w:eastAsia="Arial" w:hAnsi="Arial"/>
                  <w:sz w:val="18"/>
                  <w:szCs w:val="18"/>
                  <w:color w:val="0000FF"/>
                </w:rPr>
                <w:t>Certification of Chief Executive Officer (filed herewith)</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80" w:type="dxa"/>
            <w:vAlign w:val="bottom"/>
            <w:tcBorders>
              <w:right w:val="single" w:sz="8" w:color="0000EE"/>
            </w:tcBorders>
            <w:gridSpan w:val="2"/>
            <w:shd w:val="clear" w:color="auto" w:fill="0000FF"/>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32.2</w:t>
            </w:r>
          </w:p>
        </w:tc>
        <w:tc>
          <w:tcPr>
            <w:tcW w:w="860" w:type="dxa"/>
            <w:vAlign w:val="bottom"/>
          </w:tcPr>
          <w:p>
            <w:pPr>
              <w:spacing w:after="0"/>
              <w:rPr>
                <w:rFonts w:ascii="Arial" w:cs="Arial" w:eastAsia="Arial" w:hAnsi="Arial"/>
                <w:sz w:val="18"/>
                <w:szCs w:val="18"/>
                <w:color w:val="0000FF"/>
                <w:w w:val="88"/>
              </w:rPr>
            </w:pPr>
            <w:hyperlink w:anchor="page31">
              <w:r>
                <w:rPr>
                  <w:rFonts w:ascii="Arial" w:cs="Arial" w:eastAsia="Arial" w:hAnsi="Arial"/>
                  <w:sz w:val="18"/>
                  <w:szCs w:val="18"/>
                  <w:color w:val="0000FF"/>
                  <w:w w:val="88"/>
                </w:rPr>
                <w:t>Section 906</w:t>
              </w:r>
            </w:hyperlink>
          </w:p>
        </w:tc>
        <w:tc>
          <w:tcPr>
            <w:tcW w:w="9280" w:type="dxa"/>
            <w:vAlign w:val="bottom"/>
            <w:gridSpan w:val="5"/>
          </w:tcPr>
          <w:p>
            <w:pPr>
              <w:ind w:left="20"/>
              <w:spacing w:after="0"/>
              <w:rPr>
                <w:rFonts w:ascii="Arial" w:cs="Arial" w:eastAsia="Arial" w:hAnsi="Arial"/>
                <w:sz w:val="18"/>
                <w:szCs w:val="18"/>
                <w:color w:val="0000FF"/>
              </w:rPr>
            </w:pPr>
            <w:hyperlink w:anchor="page31">
              <w:r>
                <w:rPr>
                  <w:rFonts w:ascii="Arial" w:cs="Arial" w:eastAsia="Arial" w:hAnsi="Arial"/>
                  <w:sz w:val="18"/>
                  <w:szCs w:val="18"/>
                  <w:color w:val="0000FF"/>
                </w:rPr>
                <w:t>Certification of Principal Financial Officer (filed herewith)</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120" w:type="dxa"/>
            <w:vAlign w:val="bottom"/>
            <w:gridSpan w:val="4"/>
            <w:shd w:val="clear" w:color="auto" w:fill="0000FF"/>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r>
      <w:tr>
        <w:trPr>
          <w:trHeight w:val="453"/>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Instance Document (filed herewith)</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104.1</w:t>
            </w:r>
          </w:p>
        </w:tc>
        <w:tc>
          <w:tcPr>
            <w:tcW w:w="10140" w:type="dxa"/>
            <w:vAlign w:val="bottom"/>
            <w:gridSpan w:val="6"/>
          </w:tcPr>
          <w:p>
            <w:pPr>
              <w:spacing w:after="0"/>
              <w:rPr>
                <w:sz w:val="20"/>
                <w:szCs w:val="20"/>
                <w:color w:val="auto"/>
              </w:rPr>
            </w:pPr>
            <w:r>
              <w:rPr>
                <w:rFonts w:ascii="Arial" w:cs="Arial" w:eastAsia="Arial" w:hAnsi="Arial"/>
                <w:sz w:val="18"/>
                <w:szCs w:val="18"/>
                <w:color w:val="auto"/>
              </w:rPr>
              <w:t>The cover page of this Quarterly Report on Form 10-Q, formatted in Inline XBRL.</w:t>
            </w:r>
          </w:p>
        </w:tc>
      </w:tr>
      <w:tr>
        <w:trPr>
          <w:trHeight w:val="418"/>
        </w:trPr>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80" w:type="dxa"/>
            <w:vAlign w:val="bottom"/>
            <w:gridSpan w:val="2"/>
          </w:tcPr>
          <w:p>
            <w:pPr>
              <w:ind w:left="358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28"/>
        </w:trPr>
        <w:tc>
          <w:tcPr>
            <w:tcW w:w="1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7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80" w:type="dxa"/>
            <w:vAlign w:val="bottom"/>
          </w:tcPr>
          <w:p>
            <w:pPr>
              <w:ind w:left="56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Zeynep Hakimoglu</w:t>
            </w:r>
          </w:p>
        </w:tc>
      </w:tr>
      <w:tr>
        <w:trPr>
          <w:trHeight w:val="202"/>
        </w:trPr>
        <w:tc>
          <w:tcPr>
            <w:tcW w:w="608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rPr>
              <w:t>Zeynep Hakimoglu</w:t>
            </w:r>
          </w:p>
        </w:tc>
      </w:tr>
      <w:tr>
        <w:trPr>
          <w:trHeight w:val="216"/>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President, Chief Executive Officer and Chairman of the Board</w:t>
            </w:r>
          </w:p>
        </w:tc>
      </w:tr>
      <w:tr>
        <w:trPr>
          <w:trHeight w:val="230"/>
        </w:trPr>
        <w:tc>
          <w:tcPr>
            <w:tcW w:w="60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57"/>
        </w:trPr>
        <w:tc>
          <w:tcPr>
            <w:tcW w:w="6080" w:type="dxa"/>
            <w:vAlign w:val="bottom"/>
          </w:tcPr>
          <w:p>
            <w:pPr>
              <w:spacing w:after="0"/>
              <w:rPr>
                <w:sz w:val="20"/>
                <w:szCs w:val="20"/>
                <w:color w:val="auto"/>
              </w:rPr>
            </w:pPr>
            <w:r>
              <w:rPr>
                <w:rFonts w:ascii="Arial" w:cs="Arial" w:eastAsia="Arial" w:hAnsi="Arial"/>
                <w:sz w:val="18"/>
                <w:szCs w:val="18"/>
                <w:color w:val="auto"/>
              </w:rPr>
              <w:t>August 10, 2021</w:t>
            </w:r>
          </w:p>
        </w:tc>
        <w:tc>
          <w:tcPr>
            <w:tcW w:w="5160" w:type="dxa"/>
            <w:vAlign w:val="bottom"/>
          </w:tcPr>
          <w:p>
            <w:pPr>
              <w:spacing w:after="0"/>
              <w:rPr>
                <w:sz w:val="22"/>
                <w:szCs w:val="22"/>
                <w:color w:val="auto"/>
              </w:rPr>
            </w:pPr>
          </w:p>
        </w:tc>
      </w:tr>
      <w:tr>
        <w:trPr>
          <w:trHeight w:val="453"/>
        </w:trPr>
        <w:tc>
          <w:tcPr>
            <w:tcW w:w="6080" w:type="dxa"/>
            <w:vAlign w:val="bottom"/>
          </w:tcPr>
          <w:p>
            <w:pPr>
              <w:ind w:left="56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Narsi Narayanan</w:t>
            </w:r>
          </w:p>
        </w:tc>
      </w:tr>
      <w:tr>
        <w:trPr>
          <w:trHeight w:val="202"/>
        </w:trPr>
        <w:tc>
          <w:tcPr>
            <w:tcW w:w="608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rPr>
              <w:t>Narsi Narayanan</w:t>
            </w:r>
          </w:p>
        </w:tc>
      </w:tr>
      <w:tr>
        <w:trPr>
          <w:trHeight w:val="216"/>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57"/>
        </w:trPr>
        <w:tc>
          <w:tcPr>
            <w:tcW w:w="6080" w:type="dxa"/>
            <w:vAlign w:val="bottom"/>
          </w:tcPr>
          <w:p>
            <w:pPr>
              <w:spacing w:after="0"/>
              <w:rPr>
                <w:sz w:val="20"/>
                <w:szCs w:val="20"/>
                <w:color w:val="auto"/>
              </w:rPr>
            </w:pPr>
            <w:r>
              <w:rPr>
                <w:rFonts w:ascii="Arial" w:cs="Arial" w:eastAsia="Arial" w:hAnsi="Arial"/>
                <w:sz w:val="18"/>
                <w:szCs w:val="18"/>
                <w:color w:val="auto"/>
              </w:rPr>
              <w:t>August 10, 2021</w:t>
            </w:r>
          </w:p>
        </w:tc>
        <w:tc>
          <w:tcPr>
            <w:tcW w:w="51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r>
        <w:trPr>
          <w:trHeight w:val="675"/>
        </w:trPr>
        <w:tc>
          <w:tcPr>
            <w:tcW w:w="6080" w:type="dxa"/>
            <w:vAlign w:val="bottom"/>
          </w:tcPr>
          <w:p>
            <w:pPr>
              <w:ind w:left="5540"/>
              <w:spacing w:after="0"/>
              <w:rPr>
                <w:sz w:val="20"/>
                <w:szCs w:val="20"/>
                <w:color w:val="auto"/>
              </w:rPr>
            </w:pPr>
            <w:r>
              <w:rPr>
                <w:rFonts w:ascii="Arial" w:cs="Arial" w:eastAsia="Arial" w:hAnsi="Arial"/>
                <w:sz w:val="18"/>
                <w:szCs w:val="18"/>
                <w:color w:val="auto"/>
              </w:rPr>
              <w:t>26</w:t>
            </w:r>
          </w:p>
        </w:tc>
        <w:tc>
          <w:tcPr>
            <w:tcW w:w="5160" w:type="dxa"/>
            <w:vAlign w:val="bottom"/>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340" w:right="12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340" w:right="12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80" w:hanging="335"/>
        <w:spacing w:after="0" w:line="308" w:lineRule="auto"/>
        <w:tabs>
          <w:tab w:leader="none" w:pos="68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hanging="335"/>
        <w:spacing w:after="0" w:line="263"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40" w:right="68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80" w:hanging="335"/>
        <w:spacing w:after="0" w:line="277"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hanging="335"/>
        <w:spacing w:after="0" w:line="277"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800" w:type="dxa"/>
            <w:vAlign w:val="bottom"/>
            <w:gridSpan w:val="2"/>
          </w:tcPr>
          <w:p>
            <w:pPr>
              <w:ind w:left="2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August 10, 2021</w:t>
            </w:r>
          </w:p>
        </w:tc>
        <w:tc>
          <w:tcPr>
            <w:tcW w:w="25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80" w:hanging="335"/>
        <w:spacing w:after="0" w:line="308" w:lineRule="auto"/>
        <w:tabs>
          <w:tab w:leader="none" w:pos="68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hanging="335"/>
        <w:spacing w:after="0" w:line="263"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hanging="335"/>
        <w:spacing w:after="0" w:line="277"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hanging="335"/>
        <w:spacing w:after="0" w:line="277" w:lineRule="auto"/>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800" w:type="dxa"/>
            <w:vAlign w:val="bottom"/>
            <w:gridSpan w:val="2"/>
          </w:tcPr>
          <w:p>
            <w:pPr>
              <w:ind w:left="2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August 10, 2021</w:t>
            </w:r>
          </w:p>
        </w:tc>
        <w:tc>
          <w:tcPr>
            <w:tcW w:w="25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June 30, 2021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800" w:type="dxa"/>
            <w:vAlign w:val="bottom"/>
            <w:gridSpan w:val="2"/>
          </w:tcPr>
          <w:p>
            <w:pPr>
              <w:ind w:left="2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August 10, 2021</w:t>
            </w:r>
          </w:p>
        </w:tc>
        <w:tc>
          <w:tcPr>
            <w:tcW w:w="25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June 30, 2021,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800" w:type="dxa"/>
            <w:vAlign w:val="bottom"/>
            <w:gridSpan w:val="2"/>
          </w:tcPr>
          <w:p>
            <w:pPr>
              <w:ind w:left="2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August 10, 2021</w:t>
            </w:r>
          </w:p>
        </w:tc>
        <w:tc>
          <w:tcPr>
            <w:tcW w:w="25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4" Type="http://schemas.openxmlformats.org/officeDocument/2006/relationships/hyperlink" Target="http://www.sec.gov/Archives/edgar/data/840715/000175392621000236/ex10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2021-08-10T14:13:21Z</dcterms:created>
  <dcterms:modified xsi:type="dcterms:W3CDTF">2021-08-10T14:13:21Z</dcterms:modified>
</cp:coreProperties>
</file>