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BRAITHWAITE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CLRO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05/01/2015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6"/>
        <w:spacing w:after="0"/>
        <w:rPr>
          <w:sz w:val="20"/>
          <w:szCs w:val="20"/>
          <w:color w:val="auto"/>
        </w:rPr>
      </w:pPr>
      <w:r>
        <w:rPr>
          <w:rFonts w:ascii="Arial" w:cs="Arial" w:eastAsia="Arial" w:hAnsi="Arial"/>
          <w:sz w:val="17"/>
          <w:szCs w:val="17"/>
          <w:color w:val="0000FF"/>
        </w:rPr>
        <w:t>Senior VP Multimedia Streaming</w:t>
      </w:r>
    </w:p>
    <w:p>
      <w:pPr>
        <w:spacing w:after="0" w:line="33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SALT LAKE</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UT</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12.98</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05/01/2015</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05/01/2025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One-third of the options vest on the first anniversary of the date of grant, which was May 1, 2015. The remaining options vest equally over the 24 months following the first anniversary of the date of grant.</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Michael J. Braithwaite</w:t>
            </w:r>
          </w:p>
        </w:tc>
        <w:tc>
          <w:tcPr>
            <w:tcW w:w="780" w:type="dxa"/>
            <w:vAlign w:val="bottom"/>
          </w:tcPr>
          <w:p>
            <w:pPr>
              <w:spacing w:after="0"/>
              <w:rPr>
                <w:sz w:val="20"/>
                <w:szCs w:val="20"/>
                <w:color w:val="auto"/>
              </w:rPr>
            </w:pPr>
            <w:r>
              <w:rPr>
                <w:rFonts w:ascii="Arial" w:cs="Arial" w:eastAsia="Arial" w:hAnsi="Arial"/>
                <w:sz w:val="17"/>
                <w:szCs w:val="17"/>
                <w:color w:val="0000FF"/>
                <w:w w:val="89"/>
              </w:rPr>
              <w:t>05/08/2015</w:t>
            </w:r>
          </w:p>
        </w:tc>
      </w:tr>
      <w:tr>
        <w:trPr>
          <w:trHeight w:val="20"/>
        </w:trPr>
        <w:tc>
          <w:tcPr>
            <w:tcW w:w="15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774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2019-12-23T21:30:50Z</dcterms:created>
  <dcterms:modified xsi:type="dcterms:W3CDTF">2019-12-23T21:30:50Z</dcterms:modified>
</cp:coreProperties>
</file>