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January 8, 2007</w:t>
      </w:r>
    </w:p>
    <w:p>
      <w:pPr>
        <w:spacing w:after="0" w:line="2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ClearOne Communications,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61" w:lineRule="exact"/>
        <w:rPr>
          <w:sz w:val="24"/>
          <w:szCs w:val="24"/>
          <w:color w:val="auto"/>
        </w:rPr>
      </w:pPr>
    </w:p>
    <w:p>
      <w:pPr>
        <w:ind w:left="4160"/>
        <w:spacing w:after="0"/>
        <w:tabs>
          <w:tab w:leader="none" w:pos="6480" w:val="left"/>
        </w:tabs>
        <w:rPr>
          <w:sz w:val="20"/>
          <w:szCs w:val="20"/>
          <w:color w:val="auto"/>
        </w:rPr>
      </w:pPr>
      <w:r>
        <w:rPr>
          <w:rFonts w:ascii="Arial" w:cs="Arial" w:eastAsia="Arial" w:hAnsi="Arial"/>
          <w:sz w:val="18"/>
          <w:szCs w:val="18"/>
          <w:b w:val="1"/>
          <w:bCs w:val="1"/>
          <w:color w:val="auto"/>
        </w:rPr>
        <w:t>000-17219</w:t>
      </w:r>
      <w:r>
        <w:rPr>
          <w:sz w:val="20"/>
          <w:szCs w:val="20"/>
          <w:color w:val="auto"/>
        </w:rPr>
        <w:tab/>
      </w:r>
      <w:r>
        <w:rPr>
          <w:rFonts w:ascii="Arial" w:cs="Arial" w:eastAsia="Arial" w:hAnsi="Arial"/>
          <w:sz w:val="16"/>
          <w:szCs w:val="16"/>
          <w:b w:val="1"/>
          <w:bCs w:val="1"/>
          <w:color w:val="auto"/>
        </w:rPr>
        <w:t>87-0398877</w:t>
      </w:r>
    </w:p>
    <w:p>
      <w:pPr>
        <w:spacing w:after="0" w:line="40" w:lineRule="exact"/>
        <w:rPr>
          <w:sz w:val="24"/>
          <w:szCs w:val="24"/>
          <w:color w:val="auto"/>
        </w:rPr>
      </w:pPr>
    </w:p>
    <w:p>
      <w:pPr>
        <w:ind w:left="3560"/>
        <w:spacing w:after="0"/>
        <w:tabs>
          <w:tab w:leader="none" w:pos="6320" w:val="left"/>
        </w:tabs>
        <w:rPr>
          <w:sz w:val="20"/>
          <w:szCs w:val="20"/>
          <w:color w:val="auto"/>
        </w:rPr>
      </w:pP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-130175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4"/>
          <w:szCs w:val="24"/>
          <w:color w:val="auto"/>
        </w:rPr>
      </w:pPr>
    </w:p>
    <w:p>
      <w:pPr>
        <w:ind w:left="6120"/>
        <w:spacing w:after="0"/>
        <w:rPr>
          <w:sz w:val="20"/>
          <w:szCs w:val="20"/>
          <w:color w:val="auto"/>
        </w:rPr>
      </w:pPr>
      <w:r>
        <w:rPr>
          <w:rFonts w:ascii="Arial" w:cs="Arial" w:eastAsia="Arial" w:hAnsi="Arial"/>
          <w:sz w:val="18"/>
          <w:szCs w:val="18"/>
          <w:color w:val="auto"/>
        </w:rPr>
        <w:t>identification number)</w:t>
      </w:r>
    </w:p>
    <w:p>
      <w:pPr>
        <w:spacing w:after="0" w:line="261" w:lineRule="exact"/>
        <w:rPr>
          <w:sz w:val="24"/>
          <w:szCs w:val="24"/>
          <w:color w:val="auto"/>
        </w:rPr>
      </w:pPr>
    </w:p>
    <w:tbl>
      <w:tblPr>
        <w:tblLayout w:type="fixed"/>
        <w:tblInd w:w="2880" w:type="dxa"/>
        <w:tblCellMar>
          <w:top w:w="0" w:type="dxa"/>
          <w:left w:w="0" w:type="dxa"/>
          <w:bottom w:w="0" w:type="dxa"/>
          <w:right w:w="0" w:type="dxa"/>
        </w:tblCellMar>
      </w:tblPr>
      <w:tr>
        <w:trPr>
          <w:trHeight w:val="241"/>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15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84116</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ClearOne Communications, Inc. (the “Company”) has filed a lawsuit claiming, among other things, misappropriation of certain trade secrets, breach of contract, conversion, unjust enrichment and intentional interference with business and contractual relations. On January 8, 2007, the Company issued a press release captioned “ClearOne Files Lawsuit Alleging Theft of Trade Secrets.” A copy of the press release is included as Exhibit 99.1 to this report.</w:t>
      </w: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(d)</w:t>
            </w:r>
          </w:p>
        </w:tc>
        <w:tc>
          <w:tcPr>
            <w:tcW w:w="1600" w:type="dxa"/>
            <w:vAlign w:val="bottom"/>
          </w:tcPr>
          <w:p>
            <w:pPr>
              <w:ind w:left="460"/>
              <w:spacing w:after="0"/>
              <w:rPr>
                <w:sz w:val="20"/>
                <w:szCs w:val="20"/>
                <w:color w:val="auto"/>
              </w:rPr>
            </w:pPr>
            <w:r>
              <w:rPr>
                <w:rFonts w:ascii="Arial" w:cs="Arial" w:eastAsia="Arial" w:hAnsi="Arial"/>
                <w:sz w:val="18"/>
                <w:szCs w:val="18"/>
                <w:color w:val="auto"/>
              </w:rPr>
              <w:t>Exhibits.</w:t>
            </w:r>
          </w:p>
        </w:tc>
        <w:tc>
          <w:tcPr>
            <w:tcW w:w="75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00"/>
        </w:trPr>
        <w:tc>
          <w:tcPr>
            <w:tcW w:w="300" w:type="dxa"/>
            <w:vAlign w:val="bottom"/>
          </w:tcPr>
          <w:p>
            <w:pPr>
              <w:spacing w:after="0"/>
              <w:rPr>
                <w:sz w:val="24"/>
                <w:szCs w:val="24"/>
                <w:color w:val="auto"/>
              </w:rPr>
            </w:pPr>
          </w:p>
        </w:tc>
        <w:tc>
          <w:tcPr>
            <w:tcW w:w="16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6"/>
              </w:rPr>
              <w:t>Exhibit No.</w:t>
            </w:r>
          </w:p>
        </w:tc>
        <w:tc>
          <w:tcPr>
            <w:tcW w:w="7580" w:type="dxa"/>
            <w:vAlign w:val="bottom"/>
            <w:tcBorders>
              <w:bottom w:val="single" w:sz="8" w:color="auto"/>
            </w:tcBorders>
          </w:tcPr>
          <w:p>
            <w:pPr>
              <w:ind w:left="3220"/>
              <w:spacing w:after="0"/>
              <w:rPr>
                <w:sz w:val="20"/>
                <w:szCs w:val="20"/>
                <w:color w:val="auto"/>
              </w:rPr>
            </w:pPr>
            <w:r>
              <w:rPr>
                <w:rFonts w:ascii="Arial" w:cs="Arial" w:eastAsia="Arial" w:hAnsi="Arial"/>
                <w:sz w:val="18"/>
                <w:szCs w:val="18"/>
                <w:color w:val="auto"/>
              </w:rPr>
              <w:t>Title of Document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r>
      <w:tr>
        <w:trPr>
          <w:trHeight w:val="195"/>
        </w:trPr>
        <w:tc>
          <w:tcPr>
            <w:tcW w:w="300" w:type="dxa"/>
            <w:vAlign w:val="bottom"/>
          </w:tcPr>
          <w:p>
            <w:pPr>
              <w:spacing w:after="0"/>
              <w:rPr>
                <w:sz w:val="16"/>
                <w:szCs w:val="16"/>
                <w:color w:val="auto"/>
              </w:rPr>
            </w:pPr>
          </w:p>
        </w:tc>
        <w:tc>
          <w:tcPr>
            <w:tcW w:w="160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99.1</w:t>
            </w:r>
          </w:p>
        </w:tc>
        <w:tc>
          <w:tcPr>
            <w:tcW w:w="7580" w:type="dxa"/>
            <w:vAlign w:val="bottom"/>
          </w:tcPr>
          <w:p>
            <w:pPr>
              <w:ind w:left="240"/>
              <w:spacing w:after="0" w:line="195" w:lineRule="exact"/>
              <w:rPr>
                <w:sz w:val="20"/>
                <w:szCs w:val="20"/>
                <w:color w:val="auto"/>
              </w:rPr>
            </w:pPr>
            <w:r>
              <w:rPr>
                <w:rFonts w:ascii="Arial" w:cs="Arial" w:eastAsia="Arial" w:hAnsi="Arial"/>
                <w:sz w:val="18"/>
                <w:szCs w:val="18"/>
                <w:color w:val="auto"/>
                <w:w w:val="95"/>
              </w:rPr>
              <w:t>Press Release dated January 8, 2007 captioned “ClearOne Files Lawsuit Alleging Theft of Trade</w:t>
            </w:r>
          </w:p>
        </w:tc>
        <w:tc>
          <w:tcPr>
            <w:tcW w:w="1660" w:type="dxa"/>
            <w:vAlign w:val="bottom"/>
          </w:tcPr>
          <w:p>
            <w:pPr>
              <w:jc w:val="center"/>
              <w:spacing w:after="0" w:line="195" w:lineRule="exact"/>
              <w:rPr>
                <w:sz w:val="20"/>
                <w:szCs w:val="20"/>
                <w:color w:val="auto"/>
              </w:rPr>
            </w:pPr>
            <w:r>
              <w:rPr>
                <w:rFonts w:ascii="Arial" w:cs="Arial" w:eastAsia="Arial" w:hAnsi="Arial"/>
                <w:sz w:val="18"/>
                <w:szCs w:val="18"/>
                <w:color w:val="auto"/>
                <w:w w:val="95"/>
              </w:rPr>
              <w:t>This Filing</w:t>
            </w:r>
          </w:p>
        </w:tc>
      </w:tr>
      <w:tr>
        <w:trPr>
          <w:trHeight w:val="230"/>
        </w:trPr>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Secrets”</w:t>
            </w:r>
          </w:p>
        </w:tc>
        <w:tc>
          <w:tcPr>
            <w:tcW w:w="1660" w:type="dxa"/>
            <w:vAlign w:val="bottom"/>
          </w:tcPr>
          <w:p>
            <w:pPr>
              <w:spacing w:after="0"/>
              <w:rPr>
                <w:sz w:val="20"/>
                <w:szCs w:val="20"/>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Date: January 8, 2007</w:t>
            </w:r>
          </w:p>
        </w:tc>
        <w:tc>
          <w:tcPr>
            <w:tcW w:w="2120" w:type="dxa"/>
            <w:vAlign w:val="bottom"/>
          </w:tcPr>
          <w:p>
            <w:pPr>
              <w:ind w:left="1360"/>
              <w:spacing w:after="0"/>
              <w:rPr>
                <w:sz w:val="20"/>
                <w:szCs w:val="20"/>
                <w:color w:val="auto"/>
              </w:rPr>
            </w:pPr>
            <w:r>
              <w:rPr>
                <w:rFonts w:ascii="Arial" w:cs="Arial" w:eastAsia="Arial" w:hAnsi="Arial"/>
                <w:sz w:val="18"/>
                <w:szCs w:val="18"/>
                <w:color w:val="auto"/>
              </w:rPr>
              <w:t>By:</w:t>
            </w: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9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29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07" w:right="239" w:bottom="1440" w:gutter="0" w:footer="0" w:header="0"/>
        </w:sectPr>
      </w:pPr>
    </w:p>
    <w:bookmarkStart w:id="2" w:name="page3"/>
    <w:bookmarkEnd w:id="2"/>
    <w:p>
      <w:pPr>
        <w:ind w:left="5840"/>
        <w:spacing w:after="0"/>
        <w:tabs>
          <w:tab w:leader="none" w:pos="10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Contacts:</w:t>
      </w:r>
      <w:r>
        <w:rPr>
          <w:sz w:val="20"/>
          <w:szCs w:val="20"/>
          <w:color w:val="auto"/>
        </w:rPr>
        <w:tab/>
      </w:r>
      <w:r>
        <w:rPr>
          <w:rFonts w:ascii="Arial" w:cs="Arial" w:eastAsia="Arial" w:hAnsi="Arial"/>
          <w:sz w:val="18"/>
          <w:szCs w:val="18"/>
          <w:color w:val="auto"/>
        </w:rPr>
        <w:t>ClearOne</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Communications, Inc.</w:t>
      </w:r>
    </w:p>
    <w:p>
      <w:pPr>
        <w:spacing w:after="0" w:line="9" w:lineRule="exact"/>
        <w:rPr>
          <w:sz w:val="20"/>
          <w:szCs w:val="20"/>
          <w:color w:val="auto"/>
        </w:rPr>
      </w:pPr>
    </w:p>
    <w:p>
      <w:pPr>
        <w:ind w:left="974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9740"/>
        <w:spacing w:after="0"/>
        <w:rPr>
          <w:sz w:val="20"/>
          <w:szCs w:val="20"/>
          <w:color w:val="auto"/>
        </w:rPr>
      </w:pPr>
      <w:r>
        <w:rPr>
          <w:rFonts w:ascii="Arial" w:cs="Arial" w:eastAsia="Arial" w:hAnsi="Arial"/>
          <w:sz w:val="18"/>
          <w:szCs w:val="18"/>
          <w:color w:val="auto"/>
        </w:rPr>
        <w:t>(801) 303-3555</w:t>
      </w:r>
    </w:p>
    <w:p>
      <w:pPr>
        <w:spacing w:after="0" w:line="265" w:lineRule="exact"/>
        <w:rPr>
          <w:sz w:val="20"/>
          <w:szCs w:val="20"/>
          <w:color w:val="auto"/>
        </w:rPr>
      </w:pPr>
    </w:p>
    <w:p>
      <w:pPr>
        <w:ind w:left="9740"/>
        <w:spacing w:after="0"/>
        <w:rPr>
          <w:sz w:val="20"/>
          <w:szCs w:val="20"/>
          <w:color w:val="auto"/>
        </w:rPr>
      </w:pPr>
      <w:r>
        <w:rPr>
          <w:rFonts w:ascii="Arial" w:cs="Arial" w:eastAsia="Arial" w:hAnsi="Arial"/>
          <w:sz w:val="18"/>
          <w:szCs w:val="18"/>
          <w:color w:val="auto"/>
        </w:rPr>
        <w:t>Robert Jaffe</w:t>
      </w:r>
    </w:p>
    <w:p>
      <w:pPr>
        <w:spacing w:after="0" w:line="23"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PondelWilkinson Inc.</w:t>
      </w:r>
    </w:p>
    <w:p>
      <w:pPr>
        <w:spacing w:after="0" w:line="21" w:lineRule="exact"/>
        <w:rPr>
          <w:sz w:val="20"/>
          <w:szCs w:val="20"/>
          <w:color w:val="auto"/>
        </w:rPr>
      </w:pPr>
    </w:p>
    <w:p>
      <w:pPr>
        <w:ind w:left="9740"/>
        <w:spacing w:after="0"/>
        <w:rPr>
          <w:sz w:val="20"/>
          <w:szCs w:val="20"/>
          <w:color w:val="auto"/>
        </w:rPr>
      </w:pPr>
      <w:r>
        <w:rPr>
          <w:rFonts w:ascii="Arial" w:cs="Arial" w:eastAsia="Arial" w:hAnsi="Arial"/>
          <w:sz w:val="18"/>
          <w:szCs w:val="18"/>
          <w:color w:val="auto"/>
        </w:rPr>
        <w:t>(310) 279-5980</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CLEARONE FILES LAWSUIT ALLEGING THEFT OF TRADE SECRETS</w:t>
      </w:r>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Salt Lake City, UT - January 8, 2007 - </w:t>
      </w:r>
      <w:r>
        <w:rPr>
          <w:rFonts w:ascii="Arial" w:cs="Arial" w:eastAsia="Arial" w:hAnsi="Arial"/>
          <w:sz w:val="18"/>
          <w:szCs w:val="18"/>
          <w:color w:val="auto"/>
        </w:rPr>
        <w:t>ClearOne Communications, Inc. (OTC: CLRO.OB) said today it has filed a lawsuit in the Third Judicial District</w:t>
      </w:r>
      <w:r>
        <w:rPr>
          <w:rFonts w:ascii="Arial" w:cs="Arial" w:eastAsia="Arial" w:hAnsi="Arial"/>
          <w:sz w:val="18"/>
          <w:szCs w:val="18"/>
          <w:b w:val="1"/>
          <w:bCs w:val="1"/>
          <w:color w:val="auto"/>
        </w:rPr>
        <w:t xml:space="preserve"> </w:t>
      </w:r>
      <w:r>
        <w:rPr>
          <w:rFonts w:ascii="Arial" w:cs="Arial" w:eastAsia="Arial" w:hAnsi="Arial"/>
          <w:sz w:val="18"/>
          <w:szCs w:val="18"/>
          <w:color w:val="auto"/>
        </w:rPr>
        <w:t>Court, Salt Lake County, State of Utah against WideBand Solutions, Inc., Biamp Systems Corporation, Inc., and two individuals; one a former employee and one previously affiliated with ClearOne. The Complaint brings claims against different combinations of the defendants for, among other things, misappropriation of certain trade secrets, breach of contract, conversion, unjust enrichment and intentional interference with business and contractual relations.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sectPr>
      <w:pgSz w:w="11900" w:h="16838" w:orient="portrait"/>
      <w:cols w:equalWidth="0" w:num="1">
        <w:col w:w="11320"/>
      </w:cols>
      <w:pgMar w:left="24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2019-12-11T20:52:20Z</dcterms:created>
  <dcterms:modified xsi:type="dcterms:W3CDTF">2019-12-11T20:52:20Z</dcterms:modified>
</cp:coreProperties>
</file>