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7)*</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Clear</w:t>
      </w:r>
      <w:r>
        <w:rPr>
          <w:rFonts w:ascii="Arial" w:cs="Arial" w:eastAsia="Arial" w:hAnsi="Arial"/>
          <w:sz w:val="18"/>
          <w:szCs w:val="18"/>
          <w:u w:val="single" w:color="auto"/>
          <w:color w:val="auto"/>
        </w:rPr>
        <w:t>One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185060100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Edward Dallin Bagley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2350 Oakhill Drive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Tel. (801) 573-8227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 xml:space="preserve">December </w:t>
      </w:r>
      <w:r>
        <w:rPr>
          <w:rFonts w:ascii="Arial" w:cs="Arial" w:eastAsia="Arial" w:hAnsi="Arial"/>
          <w:sz w:val="18"/>
          <w:szCs w:val="18"/>
          <w:u w:val="single" w:color="auto"/>
          <w:color w:val="auto"/>
        </w:rPr>
        <w:t>4, 2018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(f) (g),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 copies are to be sent.</w:t>
      </w:r>
    </w:p>
    <w:p>
      <w:pPr>
        <w:spacing w:after="0" w:line="166"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1850601007,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48525" cy="452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4521835"/>
                    </a:xfrm>
                    <a:prstGeom prst="rect">
                      <a:avLst/>
                    </a:prstGeom>
                    <a:noFill/>
                  </pic:spPr>
                </pic:pic>
              </a:graphicData>
            </a:graphic>
          </wp:anchor>
        </w:drawing>
      </w:r>
    </w:p>
    <w:p>
      <w:pPr>
        <w:spacing w:after="0" w:line="223" w:lineRule="exact"/>
        <w:rPr>
          <w:sz w:val="20"/>
          <w:szCs w:val="20"/>
          <w:color w:val="auto"/>
        </w:rPr>
      </w:pPr>
    </w:p>
    <w:p>
      <w:pPr>
        <w:ind w:left="460" w:right="8840" w:hanging="267"/>
        <w:spacing w:after="0" w:line="29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Edward Dallin Bagley</w:t>
      </w:r>
    </w:p>
    <w:p>
      <w:pPr>
        <w:ind w:left="460" w:hanging="26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420" w:hanging="240"/>
        <w:spacing w:after="0" w:line="207" w:lineRule="exact"/>
        <w:tabs>
          <w:tab w:leader="none" w:pos="14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440" w:hanging="260"/>
        <w:spacing w:after="0" w:line="207" w:lineRule="exact"/>
        <w:tabs>
          <w:tab w:leader="none" w:pos="14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460" w:hanging="26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3" w:lineRule="exact"/>
        <w:rPr>
          <w:sz w:val="20"/>
          <w:szCs w:val="20"/>
          <w:color w:val="auto"/>
        </w:rPr>
      </w:pPr>
    </w:p>
    <w:p>
      <w:pPr>
        <w:ind w:left="460" w:right="9780" w:hanging="267"/>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Source of Funds Not applicable</w:t>
      </w:r>
    </w:p>
    <w:p>
      <w:pPr>
        <w:ind w:left="460" w:right="4900" w:hanging="267"/>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Not applicable</w:t>
      </w:r>
    </w:p>
    <w:p>
      <w:pPr>
        <w:spacing w:after="0" w:line="1" w:lineRule="exact"/>
        <w:rPr>
          <w:sz w:val="20"/>
          <w:szCs w:val="20"/>
          <w:color w:val="auto"/>
        </w:rPr>
      </w:pPr>
    </w:p>
    <w:p>
      <w:pPr>
        <w:ind w:left="460" w:right="8320" w:hanging="267"/>
        <w:spacing w:after="0" w:line="26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177"/>
        </w:trPr>
        <w:tc>
          <w:tcPr>
            <w:tcW w:w="1180" w:type="dxa"/>
            <w:vAlign w:val="bottom"/>
            <w:tcBorders>
              <w:top w:val="single" w:sz="8" w:color="auto"/>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Number of</w:t>
            </w:r>
          </w:p>
        </w:tc>
        <w:tc>
          <w:tcPr>
            <w:tcW w:w="44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7</w:t>
            </w:r>
          </w:p>
        </w:tc>
        <w:tc>
          <w:tcPr>
            <w:tcW w:w="980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440" w:type="dxa"/>
            <w:vAlign w:val="bottom"/>
            <w:tcBorders>
              <w:right w:val="single" w:sz="8" w:color="auto"/>
            </w:tcBorders>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7,381,897 (not including 21,943 shares subject to options exercisable within 60 days and 6,390 shares subject to option no exercisable</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Beneficially</w:t>
            </w:r>
          </w:p>
        </w:tc>
        <w:tc>
          <w:tcPr>
            <w:tcW w:w="440" w:type="dxa"/>
            <w:vAlign w:val="bottom"/>
            <w:tcBorders>
              <w:bottom w:val="single" w:sz="8" w:color="auto"/>
              <w:right w:val="single" w:sz="8" w:color="auto"/>
            </w:tcBorders>
          </w:tcPr>
          <w:p>
            <w:pPr>
              <w:spacing w:after="0"/>
              <w:rPr>
                <w:sz w:val="20"/>
                <w:szCs w:val="20"/>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within 60 days)</w:t>
            </w:r>
          </w:p>
        </w:tc>
        <w:tc>
          <w:tcPr>
            <w:tcW w:w="0" w:type="dxa"/>
            <w:vAlign w:val="bottom"/>
          </w:tcPr>
          <w:p>
            <w:pPr>
              <w:spacing w:after="0"/>
              <w:rPr>
                <w:sz w:val="1"/>
                <w:szCs w:val="1"/>
                <w:color w:val="auto"/>
              </w:rPr>
            </w:pPr>
          </w:p>
        </w:tc>
      </w:tr>
      <w:tr>
        <w:trPr>
          <w:trHeight w:val="182"/>
        </w:trPr>
        <w:tc>
          <w:tcPr>
            <w:tcW w:w="11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Owned by</w:t>
            </w:r>
          </w:p>
        </w:tc>
        <w:tc>
          <w:tcPr>
            <w:tcW w:w="4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980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Each Reporting</w:t>
            </w:r>
          </w:p>
        </w:tc>
        <w:tc>
          <w:tcPr>
            <w:tcW w:w="440" w:type="dxa"/>
            <w:vAlign w:val="bottom"/>
            <w:tcBorders>
              <w:right w:val="single" w:sz="8" w:color="auto"/>
            </w:tcBorders>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8"/>
        </w:trPr>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Person With</w:t>
            </w:r>
          </w:p>
        </w:tc>
        <w:tc>
          <w:tcPr>
            <w:tcW w:w="440" w:type="dxa"/>
            <w:vAlign w:val="bottom"/>
            <w:tcBorders>
              <w:bottom w:val="single" w:sz="8" w:color="auto"/>
              <w:right w:val="single" w:sz="8" w:color="auto"/>
            </w:tcBorders>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180" w:type="dxa"/>
            <w:vAlign w:val="bottom"/>
            <w:tcBorders>
              <w:right w:val="single" w:sz="8" w:color="auto"/>
            </w:tcBorders>
            <w:vMerge w:val="continue"/>
          </w:tcPr>
          <w:p>
            <w:pPr>
              <w:spacing w:after="0"/>
              <w:rPr>
                <w:sz w:val="16"/>
                <w:szCs w:val="16"/>
                <w:color w:val="auto"/>
              </w:rPr>
            </w:pPr>
          </w:p>
        </w:tc>
        <w:tc>
          <w:tcPr>
            <w:tcW w:w="4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980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7,381,897 (not including 21,943 shares subject to options exercisable within 60 days and 6,390 shares subject to option no exercisable</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within 60 days)</w:t>
            </w:r>
          </w:p>
        </w:tc>
        <w:tc>
          <w:tcPr>
            <w:tcW w:w="0" w:type="dxa"/>
            <w:vAlign w:val="bottom"/>
          </w:tcPr>
          <w:p>
            <w:pPr>
              <w:spacing w:after="0"/>
              <w:rPr>
                <w:sz w:val="1"/>
                <w:szCs w:val="1"/>
                <w:color w:val="auto"/>
              </w:rPr>
            </w:pPr>
          </w:p>
        </w:tc>
      </w:tr>
      <w:tr>
        <w:trPr>
          <w:trHeight w:val="195"/>
        </w:trPr>
        <w:tc>
          <w:tcPr>
            <w:tcW w:w="118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80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ind w:left="460" w:hanging="309"/>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7,381,897 (not including 21,943 shares subject to options exercisable within 60 days and 6,390 shares subject to option no exercisable within 60 days)</w:t>
      </w:r>
    </w:p>
    <w:p>
      <w:pPr>
        <w:spacing w:after="0" w:line="32" w:lineRule="exact"/>
        <w:rPr>
          <w:rFonts w:ascii="Arial" w:cs="Arial" w:eastAsia="Arial" w:hAnsi="Arial"/>
          <w:sz w:val="18"/>
          <w:szCs w:val="18"/>
          <w:color w:val="auto"/>
        </w:rPr>
      </w:pPr>
    </w:p>
    <w:p>
      <w:pPr>
        <w:ind w:left="460" w:hanging="312"/>
        <w:spacing w:after="0" w:line="207" w:lineRule="exact"/>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7" w:lineRule="exact"/>
        <w:rPr>
          <w:rFonts w:ascii="Arial" w:cs="Arial" w:eastAsia="Arial" w:hAnsi="Arial"/>
          <w:sz w:val="18"/>
          <w:szCs w:val="18"/>
          <w:color w:val="auto"/>
        </w:rPr>
      </w:pPr>
    </w:p>
    <w:p>
      <w:pPr>
        <w:ind w:left="460" w:hanging="31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Percentage of Class Represented by Amount in Row (11)</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44.4% (not including 21,943 shares subject to options exercisable within 60 days and 6,390 shares subject to option no exercisable within 60 days)*</w:t>
      </w:r>
    </w:p>
    <w:p>
      <w:pPr>
        <w:spacing w:after="0" w:line="247" w:lineRule="exact"/>
        <w:rPr>
          <w:rFonts w:ascii="Arial" w:cs="Arial" w:eastAsia="Arial" w:hAnsi="Arial"/>
          <w:sz w:val="18"/>
          <w:szCs w:val="18"/>
          <w:color w:val="auto"/>
        </w:rPr>
      </w:pPr>
    </w:p>
    <w:p>
      <w:pPr>
        <w:ind w:left="460" w:hanging="31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w:t>
      </w:r>
    </w:p>
    <w:p>
      <w:pPr>
        <w:spacing w:after="0" w:line="224" w:lineRule="exact"/>
        <w:rPr>
          <w:sz w:val="20"/>
          <w:szCs w:val="20"/>
          <w:color w:val="auto"/>
        </w:rPr>
      </w:pPr>
    </w:p>
    <w:p>
      <w:pPr>
        <w:ind w:right="400" w:firstLine="8"/>
        <w:spacing w:after="0" w:line="277" w:lineRule="auto"/>
        <w:tabs>
          <w:tab w:leader="none" w:pos="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Bagley may be deemed to own 355,257 shares of common stock that Carolyn Bagley owns individually. Mr. Bagley, however, disclaims beneficial ownership of these shares.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This statement on Schedule 13D relates to the shares of common stock, par value $.001 per share (the “Common Stock”), of ClearOne Inc., a Utah corporation (the “Company”). The Company’s principal executive offices are located at 5225 Wiley Post Way, Suite 500, Salt Lake City, Utah 84116.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being filed by Edward Dallin Bagley.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Residence or business address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Bagley’s address is 2350 Oakhill Drive, Salt Lake City, Utah 84121.</w:t>
      </w:r>
    </w:p>
    <w:p>
      <w:pPr>
        <w:spacing w:after="0" w:line="221" w:lineRule="exact"/>
        <w:rPr>
          <w:sz w:val="20"/>
          <w:szCs w:val="20"/>
          <w:color w:val="auto"/>
        </w:rPr>
      </w:pPr>
    </w:p>
    <w:p>
      <w:pPr>
        <w:ind w:right="200" w:firstLine="656"/>
        <w:spacing w:after="0" w:line="282" w:lineRule="auto"/>
        <w:tabs>
          <w:tab w:leader="none" w:pos="89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Present principal occupation or employment and the name, principal business and address of any corporation or other organization in which such employment is conducted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Bagley is principally self-employed as an investor and attorney.</w:t>
      </w:r>
    </w:p>
    <w:p>
      <w:pPr>
        <w:spacing w:after="0" w:line="221" w:lineRule="exact"/>
        <w:rPr>
          <w:sz w:val="20"/>
          <w:szCs w:val="20"/>
          <w:color w:val="auto"/>
        </w:rPr>
      </w:pPr>
    </w:p>
    <w:p>
      <w:pPr>
        <w:ind w:firstLine="656"/>
        <w:spacing w:after="0" w:line="266" w:lineRule="auto"/>
        <w:tabs>
          <w:tab w:leader="none" w:pos="91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Whether or not, during the last five years, such person has been convicted in a criminal proceeding (excluding minor traffic violations or similar misdemeanors) and, if so, give the dates, nature of conviction, name and location of court, any penalty imposed, or other disposition of the case.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firstLine="656"/>
        <w:spacing w:after="0" w:line="281" w:lineRule="auto"/>
        <w:tabs>
          <w:tab w:leader="none" w:pos="893"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Whether of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Bagley is a citizen of the 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Bagley used personal funds to acquire the shares. See Item 5 for amount of funds.</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Bagley has acquired the Common Stock for investment purposes.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pursuing such investment purposes, Mr. Bagley may further purchase, hold, vote, trade, dispose or otherwise deal in the Common Stock at such times, and in such manner, as he deems advisable to benefit from changes in market prices of the Common Stock, changes in the Issuer's operations, business strategy or prospects, or from sale or merger of the Issuer. To evaluate such alternatives, Mr. Bagley will routinely monitor the Issuer's operations, prospects, business development, management, competitive and strategic matters, capital structure, and prevailing market conditions, as well as alternative investment opportunities, liquidity requirements of Mr. Bagley and other investment considerations. Mr. Bagley may discuss such matters with management or directors of the Issuer, other shareholders, industry analysts, investment and financing professionals, sources of credit and other investors. Such factors and discussions may materially affect, and result in, Mr. Bagley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 w:name="page4"/>
    <w:bookmarkEnd w:id="3"/>
    <w:p>
      <w:pPr>
        <w:ind w:right="20" w:firstLine="648"/>
        <w:spacing w:after="0" w:line="259" w:lineRule="auto"/>
        <w:rPr>
          <w:sz w:val="20"/>
          <w:szCs w:val="20"/>
          <w:color w:val="auto"/>
        </w:rPr>
      </w:pPr>
      <w:r>
        <w:rPr>
          <w:rFonts w:ascii="Arial" w:cs="Arial" w:eastAsia="Arial" w:hAnsi="Arial"/>
          <w:sz w:val="18"/>
          <w:szCs w:val="18"/>
          <w:color w:val="auto"/>
        </w:rPr>
        <w:t>Mr. Bagley reserves the right to formulate other plans and/or make other proposals, and take such actions with respect to his investment in the Issuer, including any or all of the actions set forth in paragraphs (a) through (j) of Item 4 of Schedule 13D, or acquire additional Common Stock or dispose of all the Common Stock beneficially owned by him, in the public market or privately negotiated transactions. Mr. Bagley may at any time reconsider and change his plans or proposals relating to the foregoing.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20" w:firstLine="8"/>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date hereof and except for the option described below, Mr. Bagley is the beneficial owner of 7,381,897 (not including 21,943 shares subject to options exercisable within 60 days and 6,390 shares subject to option no exercisable within 60 days) shares of the Common Stock, representing approximately 44.4% of the Issuer’s outstanding Common Stock.</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Mr. Bagley may be deemed to own 355,257 shares of common stock that Carolyn Bagley owns individually. Mr. Bagley, however, disclaims beneficial ownership of these shares.</w:t>
      </w:r>
    </w:p>
    <w:p>
      <w:pPr>
        <w:spacing w:after="0" w:line="17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of Common Stock as to which the Reporting Person has:</w:t>
      </w:r>
    </w:p>
    <w:p>
      <w:pPr>
        <w:spacing w:after="0" w:line="225" w:lineRule="exact"/>
        <w:rPr>
          <w:rFonts w:ascii="Arial" w:cs="Arial" w:eastAsia="Arial" w:hAnsi="Arial"/>
          <w:sz w:val="18"/>
          <w:szCs w:val="18"/>
          <w:color w:val="auto"/>
        </w:rPr>
      </w:pPr>
    </w:p>
    <w:p>
      <w:pPr>
        <w:ind w:left="1140" w:right="180" w:hanging="484"/>
        <w:spacing w:after="0" w:line="258" w:lineRule="auto"/>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direct the vote: 7,381,897 (not including 21,943 shares subject to options exercisable within 60 days and 6,390 shares subject to option no exercisable within 60 days)</w:t>
      </w:r>
    </w:p>
    <w:p>
      <w:pPr>
        <w:spacing w:after="0" w:line="1" w:lineRule="exact"/>
        <w:rPr>
          <w:rFonts w:ascii="Arial" w:cs="Arial" w:eastAsia="Arial" w:hAnsi="Arial"/>
          <w:sz w:val="18"/>
          <w:szCs w:val="18"/>
          <w:color w:val="auto"/>
        </w:rPr>
      </w:pPr>
    </w:p>
    <w:p>
      <w:pPr>
        <w:ind w:left="1140" w:hanging="484"/>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direct the vote: 0 *</w:t>
      </w:r>
    </w:p>
    <w:p>
      <w:pPr>
        <w:spacing w:after="0" w:line="9" w:lineRule="exact"/>
        <w:rPr>
          <w:rFonts w:ascii="Arial" w:cs="Arial" w:eastAsia="Arial" w:hAnsi="Arial"/>
          <w:sz w:val="18"/>
          <w:szCs w:val="18"/>
          <w:color w:val="auto"/>
        </w:rPr>
      </w:pPr>
    </w:p>
    <w:p>
      <w:pPr>
        <w:ind w:left="1140" w:hanging="484"/>
        <w:spacing w:after="0" w:line="250" w:lineRule="auto"/>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direct the disposition: 7,381,897 (not including 21,943 shares subject to options exercisable within 60 days and 6,390 shares subject to option no exercisable within 60 days)</w:t>
      </w:r>
    </w:p>
    <w:p>
      <w:pPr>
        <w:ind w:left="1140" w:hanging="484"/>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 *</w:t>
      </w:r>
    </w:p>
    <w:p>
      <w:pPr>
        <w:spacing w:after="0" w:line="211" w:lineRule="exact"/>
        <w:rPr>
          <w:sz w:val="20"/>
          <w:szCs w:val="20"/>
          <w:color w:val="auto"/>
        </w:rPr>
      </w:pPr>
    </w:p>
    <w:p>
      <w:pPr>
        <w:ind w:right="400" w:firstLine="8"/>
        <w:spacing w:after="0" w:line="277"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Bagley may be deemed to own 355,257 shares of common stock that Carolyn Bagley owns individually. Mr. Bagley, however, disclaims beneficial ownership of these shares.</w:t>
      </w:r>
    </w:p>
    <w:p>
      <w:pPr>
        <w:spacing w:after="0" w:line="170" w:lineRule="exact"/>
        <w:rPr>
          <w:sz w:val="20"/>
          <w:szCs w:val="20"/>
          <w:color w:val="auto"/>
        </w:rPr>
      </w:pPr>
    </w:p>
    <w:p>
      <w:pPr>
        <w:jc w:val="both"/>
        <w:ind w:firstLine="8"/>
        <w:spacing w:after="0" w:line="264" w:lineRule="auto"/>
        <w:tabs>
          <w:tab w:leader="none" w:pos="5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table sets forth all transactions with respect to the Common Stock effected during the past sixty (60) days by the Reporting Person, inclusive of any transactions effected through 5:00 p.m., Salt Lake City time, on December 5, 2018. All such transactions were purchases of Common Stock effected pursuant to acquisitions in the open market.</w:t>
      </w:r>
    </w:p>
    <w:p>
      <w:pPr>
        <w:sectPr>
          <w:pgSz w:w="11900" w:h="16838" w:orient="portrait"/>
          <w:cols w:equalWidth="0" w:num="1">
            <w:col w:w="11420"/>
          </w:cols>
          <w:pgMar w:left="240" w:top="584" w:right="239" w:bottom="1440" w:gutter="0" w:footer="0" w:header="0"/>
        </w:sectPr>
      </w:pP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Transaction Date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 of Shares Purchased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Price Per Share</w:t>
      </w:r>
    </w:p>
    <w:p>
      <w:pPr>
        <w:spacing w:after="0" w:line="200" w:lineRule="exact"/>
        <w:rPr>
          <w:sz w:val="20"/>
          <w:szCs w:val="20"/>
          <w:color w:val="auto"/>
        </w:rPr>
      </w:pPr>
    </w:p>
    <w:p>
      <w:pPr>
        <w:sectPr>
          <w:pgSz w:w="11900" w:h="16838" w:orient="portrait"/>
          <w:cols w:equalWidth="0" w:num="3">
            <w:col w:w="3900" w:space="720"/>
            <w:col w:w="3220" w:space="720"/>
            <w:col w:w="2860"/>
          </w:cols>
          <w:pgMar w:left="240" w:top="584" w:right="239" w:bottom="1440" w:gutter="0" w:footer="0" w:header="0"/>
          <w:type w:val="continuous"/>
        </w:sectPr>
      </w:pPr>
    </w:p>
    <w:p>
      <w:pPr>
        <w:spacing w:after="0" w:line="5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4, 2018</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4,759,700</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$1.20</w:t>
      </w:r>
    </w:p>
    <w:p>
      <w:pPr>
        <w:spacing w:after="0" w:line="211" w:lineRule="exact"/>
        <w:rPr>
          <w:sz w:val="20"/>
          <w:szCs w:val="20"/>
          <w:color w:val="auto"/>
        </w:rPr>
      </w:pPr>
    </w:p>
    <w:p>
      <w:pPr>
        <w:sectPr>
          <w:pgSz w:w="11900" w:h="16838" w:orient="portrait"/>
          <w:cols w:equalWidth="0" w:num="3">
            <w:col w:w="4660" w:space="720"/>
            <w:col w:w="3240" w:space="720"/>
            <w:col w:w="2080"/>
          </w:cols>
          <w:pgMar w:left="240" w:top="584" w:right="239" w:bottom="1440" w:gutter="0" w:footer="0" w:header="0"/>
          <w:type w:val="continuous"/>
        </w:sectPr>
      </w:pPr>
    </w:p>
    <w:p>
      <w:pPr>
        <w:spacing w:after="0" w:line="48" w:lineRule="exact"/>
        <w:rPr>
          <w:sz w:val="20"/>
          <w:szCs w:val="20"/>
          <w:color w:val="auto"/>
        </w:rPr>
      </w:pPr>
    </w:p>
    <w:p>
      <w:pPr>
        <w:ind w:right="680" w:firstLine="8"/>
        <w:spacing w:after="0" w:line="277" w:lineRule="auto"/>
        <w:tabs>
          <w:tab w:leader="none" w:pos="4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person, other than Mr. Bagley, has the power to direct the receipt of dividends on and the proceeds of sales on the shares of Common Stock beneficially owned by Mr. Bagley.</w:t>
      </w:r>
    </w:p>
    <w:p>
      <w:pPr>
        <w:spacing w:after="0" w:line="170" w:lineRule="exact"/>
        <w:rPr>
          <w:rFonts w:ascii="Arial" w:cs="Arial" w:eastAsia="Arial" w:hAnsi="Arial"/>
          <w:sz w:val="18"/>
          <w:szCs w:val="18"/>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Except as otherwise described herein, Mr. Bagley does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Dated: December 6, 2018</w:t>
            </w:r>
          </w:p>
        </w:tc>
        <w:tc>
          <w:tcPr>
            <w:tcW w:w="196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Dallin Bagley</w:t>
            </w:r>
          </w:p>
        </w:tc>
      </w:tr>
      <w:tr>
        <w:trPr>
          <w:trHeight w:val="224"/>
        </w:trPr>
        <w:tc>
          <w:tcPr>
            <w:tcW w:w="3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 Dallin Bagley</w:t>
            </w:r>
          </w:p>
        </w:tc>
      </w:tr>
      <w:tr>
        <w:trPr>
          <w:trHeight w:val="482"/>
        </w:trPr>
        <w:tc>
          <w:tcPr>
            <w:tcW w:w="3760" w:type="dxa"/>
            <w:vAlign w:val="bottom"/>
          </w:tcPr>
          <w:p>
            <w:pPr>
              <w:spacing w:after="0"/>
              <w:rPr>
                <w:sz w:val="24"/>
                <w:szCs w:val="24"/>
                <w:color w:val="auto"/>
              </w:rPr>
            </w:pPr>
          </w:p>
        </w:tc>
        <w:tc>
          <w:tcPr>
            <w:tcW w:w="5960" w:type="dxa"/>
            <w:vAlign w:val="bottom"/>
            <w:gridSpan w:val="2"/>
          </w:tcPr>
          <w:p>
            <w:pPr>
              <w:jc w:val="right"/>
              <w:ind w:right="3870"/>
              <w:spacing w:after="0"/>
              <w:rPr>
                <w:sz w:val="20"/>
                <w:szCs w:val="20"/>
                <w:color w:val="auto"/>
              </w:rPr>
            </w:pPr>
            <w:r>
              <w:rPr>
                <w:rFonts w:ascii="Arial" w:cs="Arial" w:eastAsia="Arial" w:hAnsi="Arial"/>
                <w:sz w:val="22"/>
                <w:szCs w:val="22"/>
                <w:color w:val="auto"/>
              </w:rPr>
              <w:t>5</w:t>
            </w:r>
          </w:p>
        </w:tc>
      </w:tr>
    </w:tbl>
    <w:p>
      <w:pPr>
        <w:spacing w:after="0" w:line="1" w:lineRule="exact"/>
        <w:rPr>
          <w:sz w:val="20"/>
          <w:szCs w:val="20"/>
          <w:color w:val="auto"/>
        </w:rPr>
      </w:pP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2"/>
      <w:numFmt w:val="bullet"/>
      <w:start w:val="1"/>
    </w:lvl>
    <w:lvl w:ilvl="1">
      <w:lvlJc w:val="left"/>
      <w:lvlText w:val="(%2)"/>
      <w:numFmt w:val="lowerLetter"/>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5"/>
      <w:numFmt w:val="bullet"/>
      <w:start w:val="1"/>
    </w:lvl>
  </w:abstractNum>
  <w:abstractNum w:abstractNumId="5">
    <w:nsid w:val="1F16E9E8"/>
    <w:multiLevelType w:val="hybridMultilevel"/>
    <w:lvl w:ilvl="0">
      <w:lvlJc w:val="left"/>
      <w:lvlText w:val="6"/>
      <w:numFmt w:val="bullet"/>
      <w:start w:val="1"/>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3"/>
    </w:lvl>
  </w:abstractNum>
  <w:abstractNum w:abstractNumId="9">
    <w:nsid w:val="3352255A"/>
    <w:multiLevelType w:val="hybridMultilevel"/>
    <w:lvl w:ilvl="0">
      <w:lvlJc w:val="left"/>
      <w:lvlText w:val="(%1)"/>
      <w:numFmt w:val="lowerLetter"/>
      <w:start w:val="4"/>
    </w:lvl>
  </w:abstractNum>
  <w:abstractNum w:abstractNumId="10">
    <w:nsid w:val="109CF92E"/>
    <w:multiLevelType w:val="hybridMultilevel"/>
    <w:lvl w:ilvl="0">
      <w:lvlJc w:val="left"/>
      <w:lvlText w:val="(%1)"/>
      <w:numFmt w:val="lowerLetter"/>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2"/>
    </w:lvl>
    <w:lvl w:ilvl="1">
      <w:lvlJc w:val="left"/>
      <w:lvlText w:val="(%2)"/>
      <w:numFmt w:val="lowerRoman"/>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2019-12-05T19:50:33Z</dcterms:created>
  <dcterms:modified xsi:type="dcterms:W3CDTF">2019-12-05T19:50:33Z</dcterms:modified>
</cp:coreProperties>
</file>