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r>
        <w:rPr/>
      </w:r>
    </w:p>
    <w:p>
      <w:pPr>
        <w:pStyle w:val="TextBody"/>
        <w:bidi w:val="0"/>
        <w:spacing w:lineRule="atLeast" w:line="142" w:before="0" w:after="0"/>
        <w:ind w:left="0" w:right="0" w:hanging="0"/>
        <w:jc w:val="left"/>
        <w:rPr/>
      </w:pPr>
      <w:r>
        <w:rPr/>
        <w:t> </w:t>
      </w:r>
    </w:p>
    <w:p>
      <w:pPr>
        <w:pStyle w:val="TextBody"/>
        <w:bidi w:val="0"/>
        <w:spacing w:lineRule="atLeast" w:line="142"/>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 w:hAnsi="times new roman;times"/>
          <w:sz w:val="20"/>
        </w:rPr>
      </w:pPr>
      <w:r>
        <w:rPr>
          <w:rFonts w:ascii="Times New Roman" w:hAnsi="Times New Roman"/>
          <w:b/>
          <w:sz w:val="28"/>
        </w:rPr>
        <w:t>UNITED STATES</w:t>
      </w:r>
      <w:r>
        <w:rPr>
          <w:rFonts w:ascii="times new roman;times" w:hAnsi="times new roman;times"/>
          <w:sz w:val="20"/>
        </w:rPr>
        <w:t> </w:t>
      </w:r>
      <w:r>
        <w:rPr>
          <w:rFonts w:ascii="Times New Roman" w:hAnsi="Times New Roman"/>
          <w:b/>
          <w:sz w:val="28"/>
        </w:rPr>
        <w:t>SECURITIES AND EXCHANGE COMMISSION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8"/>
        </w:rPr>
      </w:pPr>
      <w:r>
        <w:rPr>
          <w:rFonts w:ascii="Times New Roman" w:hAnsi="Times New Roman"/>
          <w:b/>
          <w:sz w:val="28"/>
        </w:rPr>
        <w:t>FORM 8-K</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 w:hAnsi="times new roman;times"/>
          <w:sz w:val="20"/>
        </w:rPr>
      </w:pPr>
      <w:r>
        <w:rPr>
          <w:rFonts w:ascii="Times New Roman" w:hAnsi="Times New Roman"/>
          <w:sz w:val="20"/>
        </w:rPr>
        <w:t>Date of report (Date of earliest event reported): April 2, 2024 (December 31, 2023</w:t>
      </w:r>
      <w:r>
        <w:rPr>
          <w:rFonts w:ascii="times new roman;times" w:hAnsi="times new roman;times"/>
          <w:sz w:val="20"/>
        </w:rPr>
        <w:t>)</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8"/>
          <w:u w:val="single"/>
        </w:rPr>
      </w:pPr>
      <w:r>
        <w:rPr>
          <w:rFonts w:ascii="Times New Roman" w:hAnsi="Times New Roman"/>
          <w:b/>
          <w:sz w:val="28"/>
          <w:u w:val="single"/>
        </w:rPr>
        <w:t>ClearOne, Inc.</w:t>
      </w:r>
    </w:p>
    <w:p>
      <w:pPr>
        <w:pStyle w:val="TextBody"/>
        <w:bidi w:val="0"/>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4162"/>
        <w:gridCol w:w="67"/>
        <w:gridCol w:w="2557"/>
        <w:gridCol w:w="67"/>
        <w:gridCol w:w="3352"/>
      </w:tblGrid>
      <w:tr>
        <w:trPr/>
        <w:tc>
          <w:tcPr>
            <w:tcW w:w="4162"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Delaware </w:t>
            </w:r>
          </w:p>
        </w:tc>
        <w:tc>
          <w:tcPr>
            <w:tcW w:w="67" w:type="dxa"/>
            <w:tcBorders/>
            <w:vAlign w:val="center"/>
          </w:tcPr>
          <w:p>
            <w:pPr>
              <w:pStyle w:val="TableContents"/>
              <w:bidi w:val="0"/>
              <w:spacing w:before="0" w:after="0"/>
              <w:ind w:left="0" w:right="0" w:hanging="0"/>
              <w:jc w:val="left"/>
              <w:rPr/>
            </w:pPr>
            <w:r>
              <w:rPr/>
              <w:t> </w:t>
            </w:r>
          </w:p>
        </w:tc>
        <w:tc>
          <w:tcPr>
            <w:tcW w:w="2557"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001-33660 </w:t>
            </w:r>
          </w:p>
        </w:tc>
        <w:tc>
          <w:tcPr>
            <w:tcW w:w="67" w:type="dxa"/>
            <w:tcBorders/>
            <w:vAlign w:val="center"/>
          </w:tcPr>
          <w:p>
            <w:pPr>
              <w:pStyle w:val="TableContents"/>
              <w:bidi w:val="0"/>
              <w:spacing w:before="0" w:after="0"/>
              <w:ind w:left="0" w:right="0" w:hanging="0"/>
              <w:jc w:val="left"/>
              <w:rPr/>
            </w:pPr>
            <w:r>
              <w:rPr/>
              <w:t> </w:t>
            </w:r>
          </w:p>
        </w:tc>
        <w:tc>
          <w:tcPr>
            <w:tcW w:w="3352"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87-0398877 </w:t>
            </w:r>
          </w:p>
        </w:tc>
      </w:tr>
      <w:tr>
        <w:trPr/>
        <w:tc>
          <w:tcPr>
            <w:tcW w:w="4162" w:type="dxa"/>
            <w:tcBorders/>
            <w:vAlign w:val="center"/>
          </w:tcPr>
          <w:p>
            <w:pPr>
              <w:pStyle w:val="TableContents"/>
              <w:bidi w:val="0"/>
              <w:spacing w:before="0" w:after="0"/>
              <w:ind w:left="45" w:right="0" w:hanging="0"/>
              <w:jc w:val="center"/>
              <w:rPr/>
            </w:pPr>
            <w:r>
              <w:rPr>
                <w:rFonts w:ascii="Times New Roman" w:hAnsi="Times New Roman"/>
                <w:sz w:val="20"/>
              </w:rPr>
              <w:t>(State or Other Jurisdiction</w:t>
            </w:r>
            <w:r>
              <w:rPr/>
              <w:t> </w:t>
            </w:r>
            <w:r>
              <w:rPr>
                <w:rFonts w:ascii="Times New Roman" w:hAnsi="Times New Roman"/>
                <w:sz w:val="20"/>
              </w:rPr>
              <w:t xml:space="preserve">of Incorporation) </w:t>
            </w:r>
          </w:p>
        </w:tc>
        <w:tc>
          <w:tcPr>
            <w:tcW w:w="67" w:type="dxa"/>
            <w:tcBorders/>
            <w:vAlign w:val="center"/>
          </w:tcPr>
          <w:p>
            <w:pPr>
              <w:pStyle w:val="TableContents"/>
              <w:bidi w:val="0"/>
              <w:spacing w:before="0" w:after="0"/>
              <w:ind w:left="0" w:right="0" w:hanging="0"/>
              <w:jc w:val="left"/>
              <w:rPr/>
            </w:pPr>
            <w:r>
              <w:rPr/>
              <w:t> </w:t>
            </w:r>
          </w:p>
        </w:tc>
        <w:tc>
          <w:tcPr>
            <w:tcW w:w="2557" w:type="dxa"/>
            <w:tcBorders/>
            <w:vAlign w:val="center"/>
          </w:tcPr>
          <w:p>
            <w:pPr>
              <w:pStyle w:val="TableContents"/>
              <w:bidi w:val="0"/>
              <w:spacing w:before="0" w:after="0"/>
              <w:ind w:left="45" w:right="0" w:hanging="0"/>
              <w:jc w:val="center"/>
              <w:rPr/>
            </w:pPr>
            <w:r>
              <w:rPr>
                <w:rFonts w:ascii="Times New Roman" w:hAnsi="Times New Roman"/>
                <w:sz w:val="20"/>
              </w:rPr>
              <w:t>(Commission</w:t>
            </w:r>
            <w:r>
              <w:rPr/>
              <w:t> </w:t>
            </w:r>
            <w:r>
              <w:rPr>
                <w:rFonts w:ascii="Times New Roman" w:hAnsi="Times New Roman"/>
                <w:sz w:val="20"/>
              </w:rPr>
              <w:t xml:space="preserve">File Number) </w:t>
            </w:r>
          </w:p>
        </w:tc>
        <w:tc>
          <w:tcPr>
            <w:tcW w:w="67" w:type="dxa"/>
            <w:tcBorders/>
            <w:vAlign w:val="center"/>
          </w:tcPr>
          <w:p>
            <w:pPr>
              <w:pStyle w:val="TableContents"/>
              <w:bidi w:val="0"/>
              <w:spacing w:before="0" w:after="0"/>
              <w:ind w:left="0" w:right="0" w:hanging="0"/>
              <w:jc w:val="left"/>
              <w:rPr/>
            </w:pPr>
            <w:r>
              <w:rPr/>
              <w:t> </w:t>
            </w:r>
          </w:p>
        </w:tc>
        <w:tc>
          <w:tcPr>
            <w:tcW w:w="3352" w:type="dxa"/>
            <w:tcBorders/>
            <w:vAlign w:val="center"/>
          </w:tcPr>
          <w:p>
            <w:pPr>
              <w:pStyle w:val="TableContents"/>
              <w:bidi w:val="0"/>
              <w:spacing w:before="0" w:after="0"/>
              <w:ind w:left="30" w:right="0" w:hanging="0"/>
              <w:jc w:val="center"/>
              <w:rPr/>
            </w:pPr>
            <w:r>
              <w:rPr>
                <w:rFonts w:ascii="Times New Roman" w:hAnsi="Times New Roman"/>
                <w:sz w:val="20"/>
              </w:rPr>
              <w:t>(I.R.S. Employer</w:t>
            </w:r>
            <w:r>
              <w:rPr/>
              <w:t> </w:t>
            </w:r>
            <w:r>
              <w:rPr>
                <w:rFonts w:ascii="Times New Roman" w:hAnsi="Times New Roman"/>
                <w:sz w:val="20"/>
              </w:rPr>
              <w:t xml:space="preserve">Identification No.) </w:t>
            </w:r>
          </w:p>
        </w:tc>
      </w:tr>
    </w:tbl>
    <w:p>
      <w:pPr>
        <w:pStyle w:val="TextBody"/>
        <w:bidi w:val="0"/>
        <w:spacing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8338"/>
        <w:gridCol w:w="110"/>
        <w:gridCol w:w="1757"/>
      </w:tblGrid>
      <w:tr>
        <w:trPr/>
        <w:tc>
          <w:tcPr>
            <w:tcW w:w="8338"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5225 Wiley Post Way, Suite 500, Salt Lake City, Utah </w:t>
            </w:r>
          </w:p>
        </w:tc>
        <w:tc>
          <w:tcPr>
            <w:tcW w:w="110" w:type="dxa"/>
            <w:tcBorders/>
            <w:vAlign w:val="center"/>
          </w:tcPr>
          <w:p>
            <w:pPr>
              <w:pStyle w:val="TableContents"/>
              <w:bidi w:val="0"/>
              <w:spacing w:before="0" w:after="0"/>
              <w:ind w:left="0" w:right="0" w:hanging="0"/>
              <w:jc w:val="left"/>
              <w:rPr/>
            </w:pPr>
            <w:r>
              <w:rPr/>
              <w:t> </w:t>
            </w:r>
          </w:p>
        </w:tc>
        <w:tc>
          <w:tcPr>
            <w:tcW w:w="1757"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84116 </w:t>
            </w:r>
          </w:p>
        </w:tc>
      </w:tr>
      <w:tr>
        <w:trPr/>
        <w:tc>
          <w:tcPr>
            <w:tcW w:w="8338"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(Address of principal executive offices) </w:t>
            </w:r>
          </w:p>
        </w:tc>
        <w:tc>
          <w:tcPr>
            <w:tcW w:w="110" w:type="dxa"/>
            <w:tcBorders/>
            <w:vAlign w:val="center"/>
          </w:tcPr>
          <w:p>
            <w:pPr>
              <w:pStyle w:val="TableContents"/>
              <w:bidi w:val="0"/>
              <w:spacing w:before="0" w:after="0"/>
              <w:ind w:left="0" w:right="0" w:hanging="0"/>
              <w:jc w:val="left"/>
              <w:rPr/>
            </w:pPr>
            <w:r>
              <w:rPr/>
              <w:t> </w:t>
            </w:r>
          </w:p>
        </w:tc>
        <w:tc>
          <w:tcPr>
            <w:tcW w:w="1757"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(Zip Code)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u w:val="single"/>
        </w:rPr>
      </w:pPr>
      <w:r>
        <w:rPr>
          <w:rFonts w:ascii="Times New Roman" w:hAnsi="Times New Roman"/>
          <w:b/>
          <w:sz w:val="20"/>
          <w:u w:val="single"/>
        </w:rPr>
        <w:t>+1 (801) 975-7200</w:t>
      </w:r>
    </w:p>
    <w:p>
      <w:pPr>
        <w:pStyle w:val="TextBody"/>
        <w:bidi w:val="0"/>
        <w:spacing w:before="0" w:after="0"/>
        <w:ind w:left="0" w:right="0" w:hanging="0"/>
        <w:jc w:val="center"/>
        <w:rPr>
          <w:rFonts w:ascii="Times New Roman" w:hAnsi="Times New Roman"/>
          <w:sz w:val="20"/>
        </w:rPr>
      </w:pPr>
      <w:r>
        <w:rPr>
          <w:rFonts w:ascii="Times New Roman" w:hAnsi="Times New Roman"/>
          <w:sz w:val="20"/>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u w:val="single"/>
        </w:rPr>
      </w:pPr>
      <w:r>
        <w:rPr>
          <w:rFonts w:ascii="Times New Roman" w:hAnsi="Times New Roman"/>
          <w:b/>
          <w:sz w:val="20"/>
          <w:u w:val="single"/>
        </w:rPr>
        <w:t>Not applicable</w:t>
      </w:r>
    </w:p>
    <w:p>
      <w:pPr>
        <w:pStyle w:val="TextBody"/>
        <w:bidi w:val="0"/>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0"/>
              <w:ind w:left="0" w:right="0" w:hanging="0"/>
              <w:jc w:val="both"/>
              <w:rPr/>
            </w:pPr>
            <w:r>
              <w:rPr/>
              <w:t>☐</w:t>
            </w:r>
          </w:p>
        </w:tc>
        <w:tc>
          <w:tcPr>
            <w:tcW w:w="993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Written communications pursuant to Rule 425 under the Securities Act (17 CFR 230.425) </w:t>
            </w:r>
          </w:p>
        </w:tc>
      </w:tr>
      <w:tr>
        <w:trPr/>
        <w:tc>
          <w:tcPr>
            <w:tcW w:w="267" w:type="dxa"/>
            <w:tcBorders/>
            <w:vAlign w:val="center"/>
          </w:tcPr>
          <w:p>
            <w:pPr>
              <w:pStyle w:val="TableContents"/>
              <w:bidi w:val="0"/>
              <w:spacing w:before="0" w:after="0"/>
              <w:ind w:left="0" w:right="0" w:hanging="0"/>
              <w:jc w:val="both"/>
              <w:rPr/>
            </w:pPr>
            <w:r>
              <w:rPr/>
              <w:t>☐</w:t>
            </w:r>
          </w:p>
        </w:tc>
        <w:tc>
          <w:tcPr>
            <w:tcW w:w="993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Soliciting material pursuant to Rule 14a-12 under the Exchange Act (17 CFR 240.14a-12) </w:t>
            </w:r>
          </w:p>
        </w:tc>
      </w:tr>
      <w:tr>
        <w:trPr/>
        <w:tc>
          <w:tcPr>
            <w:tcW w:w="267" w:type="dxa"/>
            <w:tcBorders/>
            <w:vAlign w:val="center"/>
          </w:tcPr>
          <w:p>
            <w:pPr>
              <w:pStyle w:val="TableContents"/>
              <w:bidi w:val="0"/>
              <w:spacing w:before="0" w:after="0"/>
              <w:ind w:left="0" w:right="0" w:hanging="0"/>
              <w:jc w:val="left"/>
              <w:rPr/>
            </w:pPr>
            <w:r>
              <w:rPr/>
              <w:t>☐</w:t>
            </w:r>
          </w:p>
        </w:tc>
        <w:tc>
          <w:tcPr>
            <w:tcW w:w="99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r>
        <w:trPr/>
        <w:tc>
          <w:tcPr>
            <w:tcW w:w="267" w:type="dxa"/>
            <w:tcBorders/>
            <w:vAlign w:val="center"/>
          </w:tcPr>
          <w:p>
            <w:pPr>
              <w:pStyle w:val="TableContents"/>
              <w:bidi w:val="0"/>
              <w:spacing w:before="0" w:after="0"/>
              <w:ind w:left="0" w:right="0" w:hanging="0"/>
              <w:jc w:val="both"/>
              <w:rPr/>
            </w:pPr>
            <w:r>
              <w:rPr/>
              <w:t>☐</w:t>
            </w:r>
          </w:p>
        </w:tc>
        <w:tc>
          <w:tcPr>
            <w:tcW w:w="9938" w:type="dxa"/>
            <w:tcBorders/>
            <w:vAlign w:val="center"/>
          </w:tcPr>
          <w:p>
            <w:pPr>
              <w:pStyle w:val="TableContents"/>
              <w:bidi w:val="0"/>
              <w:spacing w:before="0" w:after="0"/>
              <w:ind w:left="0" w:right="0" w:hanging="0"/>
              <w:jc w:val="both"/>
              <w:rPr/>
            </w:pPr>
            <w:r>
              <w:rPr>
                <w:rFonts w:ascii="Times New Roman" w:hAnsi="Times New Roman"/>
                <w:sz w:val="20"/>
              </w:rPr>
              <w:t>Pre-commencement communication pursuant to Rule 13e-4©</w:t>
            </w:r>
            <w:r>
              <w:rPr/>
              <w:t xml:space="preserve"> </w:t>
            </w:r>
            <w:r>
              <w:rPr>
                <w:rFonts w:ascii="Times New Roman" w:hAnsi="Times New Roman"/>
                <w:sz w:val="20"/>
              </w:rPr>
              <w:t xml:space="preserve">under the Exchange Act (17 CFR 240.13e-4©)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times" w:hAnsi="times new roman;times"/>
          <w:sz w:val="20"/>
        </w:rPr>
        <w:t>   </w:t>
      </w:r>
      <w:r>
        <w:rPr>
          <w:rFonts w:ascii="Times New Roman" w:hAnsi="Times New Roman"/>
          <w:sz w:val="20"/>
        </w:rPr>
        <w:t xml:space="preserve">Emerging growth company </w:t>
      </w:r>
      <w:r>
        <w:rPr>
          <w:rFonts w:ascii="times new roman;times" w:hAnsi="times new roman;times"/>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 w:hAnsi="times new roman;times"/>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 w:hAnsi="times new roman;times"/>
          <w:sz w:val="20"/>
        </w:rPr>
      </w:pPr>
      <w:r>
        <w:rPr>
          <w:rFonts w:ascii="Times New Roman" w:hAnsi="Times New Roman"/>
          <w:sz w:val="20"/>
        </w:rPr>
        <w:t>Securities Registered Pursuant to Section 12(b) of the Act:</w:t>
      </w:r>
      <w:r>
        <w:rPr>
          <w:rFonts w:ascii="times new roman;times" w:hAnsi="times new roman;times"/>
          <w:sz w:val="20"/>
        </w:rPr>
        <w:t>  </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817"/>
        <w:gridCol w:w="2213"/>
        <w:gridCol w:w="5175"/>
      </w:tblGrid>
      <w:tr>
        <w:trPr/>
        <w:tc>
          <w:tcPr>
            <w:tcW w:w="2817"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Title of each class</w:t>
            </w:r>
          </w:p>
        </w:tc>
        <w:tc>
          <w:tcPr>
            <w:tcW w:w="2213"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Trading Symbol(s)</w:t>
            </w:r>
          </w:p>
        </w:tc>
        <w:tc>
          <w:tcPr>
            <w:tcW w:w="5175"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Name of each exchange on which registered</w:t>
            </w:r>
          </w:p>
        </w:tc>
      </w:tr>
      <w:tr>
        <w:trPr/>
        <w:tc>
          <w:tcPr>
            <w:tcW w:w="2817"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$0.001</w:t>
            </w:r>
          </w:p>
        </w:tc>
        <w:tc>
          <w:tcPr>
            <w:tcW w:w="2213"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CLRO</w:t>
            </w:r>
          </w:p>
        </w:tc>
        <w:tc>
          <w:tcPr>
            <w:tcW w:w="517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The NASDAQ Capital Market</w:t>
            </w:r>
          </w:p>
        </w:tc>
      </w:tr>
    </w:tbl>
    <w:p>
      <w:pPr>
        <w:pStyle w:val="TextBody"/>
        <w:bidi w:val="0"/>
        <w:spacing w:before="0" w:after="0"/>
        <w:ind w:left="0" w:right="0" w:hanging="0"/>
        <w:jc w:val="left"/>
        <w:rPr/>
      </w:pPr>
      <w:r>
        <w:rPr/>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sz w:val="20"/>
        </w:rPr>
      </w:pPr>
      <w:r>
        <w:rPr>
          <w:sz w:val="20"/>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Item 2.02. Results of Operations and Financial Condition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On April 2, 2024 ClearOne, Inc. (the “Company”) issued a press release announcing its financial results for the </w:t>
      </w:r>
      <w:r>
        <w:rPr>
          <w:rFonts w:ascii="times new roman;times" w:hAnsi="times new roman;times"/>
          <w:sz w:val="20"/>
        </w:rPr>
        <w:t>three and twelve</w:t>
      </w:r>
      <w:r>
        <w:rPr>
          <w:rFonts w:ascii="times new roman;times" w:hAnsi="times new roman;times"/>
          <w:sz w:val="20"/>
        </w:rPr>
        <w:t> months ended December 31, 2023. The full text of the press release is attached as Exhibit 99.1.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b/>
          <w:sz w:val="20"/>
        </w:rPr>
        <w:t>Item 9.01</w:t>
      </w:r>
      <w:r>
        <w:rPr>
          <w:rFonts w:ascii="times new roman;times" w:hAnsi="times new roman;times"/>
          <w:sz w:val="20"/>
        </w:rPr>
        <w:t xml:space="preserve">              </w:t>
      </w:r>
      <w:r>
        <w:rPr>
          <w:rFonts w:ascii="times new roman;times" w:hAnsi="times new roman;times"/>
          <w:b/>
          <w:sz w:val="20"/>
        </w:rPr>
        <w:t>Financial Statements and Exhibits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(d)  Exhibits</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28" w:type="dxa"/>
          <w:right w:w="0" w:type="dxa"/>
        </w:tblCellMar>
      </w:tblPr>
      <w:tblGrid>
        <w:gridCol w:w="1774"/>
        <w:gridCol w:w="76"/>
        <w:gridCol w:w="8355"/>
      </w:tblGrid>
      <w:tr>
        <w:trPr/>
        <w:tc>
          <w:tcPr>
            <w:tcW w:w="1774" w:type="dxa"/>
            <w:tcBorders>
              <w:bottom w:val="single" w:sz="8" w:space="0" w:color="000000"/>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b/>
                <w:sz w:val="20"/>
              </w:rPr>
              <w:t>Exhibit</w:t>
            </w:r>
            <w:r>
              <w:rPr>
                <w:rFonts w:ascii="times new roman;times" w:hAnsi="times new roman;times"/>
                <w:sz w:val="20"/>
              </w:rPr>
              <w:t> </w:t>
            </w:r>
            <w:r>
              <w:rPr>
                <w:rFonts w:ascii="times new roman;times" w:hAnsi="times new roman;times"/>
                <w:b/>
                <w:sz w:val="20"/>
              </w:rPr>
              <w:t>Number</w:t>
            </w:r>
          </w:p>
        </w:tc>
        <w:tc>
          <w:tcPr>
            <w:tcW w:w="76" w:type="dxa"/>
            <w:tcBorders/>
            <w:tcMar>
              <w:bottom w:w="0" w:type="dxa"/>
            </w:tcMar>
            <w:vAlign w:val="center"/>
          </w:tcPr>
          <w:p>
            <w:pPr>
              <w:pStyle w:val="TableContents"/>
              <w:bidi w:val="0"/>
              <w:spacing w:before="0" w:after="0"/>
              <w:ind w:left="0" w:right="0" w:hanging="0"/>
              <w:jc w:val="center"/>
              <w:rPr/>
            </w:pPr>
            <w:r>
              <w:rPr/>
              <w:t> </w:t>
            </w:r>
          </w:p>
        </w:tc>
        <w:tc>
          <w:tcPr>
            <w:tcW w:w="8355" w:type="dxa"/>
            <w:tcBorders>
              <w:bottom w:val="single" w:sz="8" w:space="0" w:color="000000"/>
            </w:tcBorders>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b/>
                <w:sz w:val="20"/>
              </w:rPr>
              <w:t>Exhibit</w:t>
            </w:r>
            <w:r>
              <w:rPr>
                <w:rFonts w:ascii="times new roman;times" w:hAnsi="times new roman;times"/>
                <w:sz w:val="20"/>
              </w:rPr>
              <w:t> </w:t>
            </w:r>
            <w:r>
              <w:rPr>
                <w:rFonts w:ascii="times new roman;times" w:hAnsi="times new roman;times"/>
                <w:b/>
                <w:sz w:val="20"/>
              </w:rPr>
              <w:t>Title</w:t>
            </w:r>
          </w:p>
        </w:tc>
      </w:tr>
      <w:tr>
        <w:trPr/>
        <w:tc>
          <w:tcPr>
            <w:tcW w:w="1774" w:type="dxa"/>
            <w:tcBorders/>
            <w:tcMar>
              <w:bottom w:w="0" w:type="dxa"/>
            </w:tcMar>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99.1</w:t>
            </w:r>
          </w:p>
        </w:tc>
        <w:tc>
          <w:tcPr>
            <w:tcW w:w="76" w:type="dxa"/>
            <w:tcBorders/>
            <w:tcMar>
              <w:bottom w:w="0" w:type="dxa"/>
            </w:tcMar>
            <w:vAlign w:val="center"/>
          </w:tcPr>
          <w:p>
            <w:pPr>
              <w:pStyle w:val="TableContents"/>
              <w:bidi w:val="0"/>
              <w:spacing w:before="0" w:after="0"/>
              <w:ind w:left="0" w:right="0" w:hanging="0"/>
              <w:jc w:val="both"/>
              <w:rPr/>
            </w:pPr>
            <w:r>
              <w:rPr/>
              <w:t> </w:t>
            </w:r>
          </w:p>
        </w:tc>
        <w:tc>
          <w:tcPr>
            <w:tcW w:w="8355" w:type="dxa"/>
            <w:tcBorders/>
            <w:tcMar>
              <w:bottom w:w="0" w:type="dxa"/>
            </w:tcMar>
            <w:vAlign w:val="center"/>
          </w:tcPr>
          <w:p>
            <w:pPr>
              <w:pStyle w:val="TableContents"/>
              <w:bidi w:val="0"/>
              <w:spacing w:before="0" w:after="0"/>
              <w:ind w:left="0" w:right="0" w:hanging="0"/>
              <w:jc w:val="both"/>
              <w:rPr/>
            </w:pPr>
            <w:hyperlink w:anchor="ex991_1.htm">
              <w:r>
                <w:rPr>
                  <w:rStyle w:val="InternetLink"/>
                  <w:rFonts w:ascii="times new roman;times" w:hAnsi="times new roman;times"/>
                  <w:sz w:val="20"/>
                </w:rPr>
                <w:t>Press Release of ClearOne, Inc. dated April 2, 2024.</w:t>
              </w:r>
            </w:hyperlink>
          </w:p>
        </w:tc>
      </w:tr>
      <w:tr>
        <w:trPr/>
        <w:tc>
          <w:tcPr>
            <w:tcW w:w="1774" w:type="dxa"/>
            <w:tcBorders/>
            <w:tcMar>
              <w:bottom w:w="0" w:type="dxa"/>
            </w:tcMar>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104.1</w:t>
            </w:r>
          </w:p>
        </w:tc>
        <w:tc>
          <w:tcPr>
            <w:tcW w:w="76" w:type="dxa"/>
            <w:tcBorders/>
            <w:tcMar>
              <w:bottom w:w="0" w:type="dxa"/>
            </w:tcMar>
            <w:vAlign w:val="center"/>
          </w:tcPr>
          <w:p>
            <w:pPr>
              <w:pStyle w:val="TableContents"/>
              <w:bidi w:val="0"/>
              <w:spacing w:before="0" w:after="0"/>
              <w:ind w:left="0" w:right="0" w:hanging="0"/>
              <w:jc w:val="both"/>
              <w:rPr/>
            </w:pPr>
            <w:r>
              <w:rPr/>
              <w:t> </w:t>
            </w:r>
          </w:p>
        </w:tc>
        <w:tc>
          <w:tcPr>
            <w:tcW w:w="8355" w:type="dxa"/>
            <w:tcBorders/>
            <w:tcMar>
              <w:bottom w:w="0" w:type="dxa"/>
            </w:tcMar>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The cover page from this Current Report on Form 8-K, formatted in Inline XBRL.</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0"/>
        <w:ind w:left="0" w:right="80" w:hanging="0"/>
        <w:jc w:val="both"/>
        <w:rPr>
          <w:rFonts w:ascii="Times New Roman;serif" w:hAnsi="Times New Roman;serif"/>
          <w:sz w:val="18"/>
        </w:rPr>
      </w:pPr>
      <w:r>
        <w:rPr>
          <w:rFonts w:ascii="Times New Roman;serif" w:hAnsi="Times New Roman;serif"/>
          <w:sz w:val="18"/>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pStyle w:val="TextBody"/>
        <w:bidi w:val="0"/>
        <w:spacing w:before="0" w:after="0"/>
        <w:ind w:left="0" w:right="0" w:hanging="0"/>
        <w:jc w:val="left"/>
        <w:rPr/>
      </w:pPr>
      <w:r>
        <w:rPr/>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sz w:val="20"/>
        </w:rPr>
      </w:pPr>
      <w:r>
        <w:rPr>
          <w:sz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pPr>
      <w:r>
        <w:rPr/>
        <w:t> </w:t>
      </w:r>
      <w:r>
        <w:rPr>
          <w:rFonts w:ascii="Times New Roman" w:hAnsi="Times New Roman"/>
          <w:b/>
          <w:sz w:val="20"/>
        </w:rPr>
        <w:t>SIGNATURES</w:t>
      </w:r>
    </w:p>
    <w:p>
      <w:pPr>
        <w:pStyle w:val="TextBody"/>
        <w:bidi w:val="0"/>
        <w:spacing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157"/>
        <w:gridCol w:w="951"/>
        <w:gridCol w:w="5097"/>
      </w:tblGrid>
      <w:tr>
        <w:trPr/>
        <w:tc>
          <w:tcPr>
            <w:tcW w:w="4157" w:type="dxa"/>
            <w:tcBorders/>
            <w:vAlign w:val="center"/>
          </w:tcPr>
          <w:p>
            <w:pPr>
              <w:pStyle w:val="TableContents"/>
              <w:bidi w:val="0"/>
              <w:spacing w:before="0" w:after="0"/>
              <w:ind w:left="0" w:right="0" w:hanging="0"/>
              <w:jc w:val="both"/>
              <w:rPr/>
            </w:pPr>
            <w:r>
              <w:rPr/>
              <w:t> </w:t>
            </w:r>
          </w:p>
        </w:tc>
        <w:tc>
          <w:tcPr>
            <w:tcW w:w="6048" w:type="dxa"/>
            <w:gridSpan w:val="2"/>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CLEARONE, INC. </w:t>
            </w:r>
          </w:p>
        </w:tc>
      </w:tr>
      <w:tr>
        <w:trPr/>
        <w:tc>
          <w:tcPr>
            <w:tcW w:w="4157" w:type="dxa"/>
            <w:tcBorders/>
            <w:vAlign w:val="center"/>
          </w:tcPr>
          <w:p>
            <w:pPr>
              <w:pStyle w:val="TableContents"/>
              <w:bidi w:val="0"/>
              <w:spacing w:before="0" w:after="0"/>
              <w:ind w:left="0" w:right="0" w:hanging="0"/>
              <w:jc w:val="both"/>
              <w:rPr/>
            </w:pPr>
            <w:r>
              <w:rPr/>
              <w:t> </w:t>
            </w:r>
          </w:p>
        </w:tc>
        <w:tc>
          <w:tcPr>
            <w:tcW w:w="951" w:type="dxa"/>
            <w:tcBorders/>
            <w:vAlign w:val="center"/>
          </w:tcPr>
          <w:p>
            <w:pPr>
              <w:pStyle w:val="TableContents"/>
              <w:bidi w:val="0"/>
              <w:spacing w:before="0" w:after="0"/>
              <w:ind w:left="0" w:right="0" w:hanging="0"/>
              <w:jc w:val="both"/>
              <w:rPr/>
            </w:pPr>
            <w:r>
              <w:rPr/>
              <w:t> </w:t>
            </w:r>
          </w:p>
        </w:tc>
        <w:tc>
          <w:tcPr>
            <w:tcW w:w="5097" w:type="dxa"/>
            <w:tcBorders/>
            <w:vAlign w:val="center"/>
          </w:tcPr>
          <w:p>
            <w:pPr>
              <w:pStyle w:val="TableContents"/>
              <w:bidi w:val="0"/>
              <w:spacing w:before="0" w:after="0"/>
              <w:ind w:left="0" w:right="0" w:hanging="0"/>
              <w:jc w:val="both"/>
              <w:rPr/>
            </w:pPr>
            <w:r>
              <w:rPr/>
              <w:t> </w:t>
            </w:r>
          </w:p>
        </w:tc>
      </w:tr>
      <w:tr>
        <w:trPr/>
        <w:tc>
          <w:tcPr>
            <w:tcW w:w="415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Date: April 2, 2024</w:t>
            </w:r>
          </w:p>
        </w:tc>
        <w:tc>
          <w:tcPr>
            <w:tcW w:w="95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By: </w:t>
            </w:r>
          </w:p>
        </w:tc>
        <w:tc>
          <w:tcPr>
            <w:tcW w:w="5097" w:type="dxa"/>
            <w:tcBorders>
              <w:bottom w:val="single" w:sz="6" w:space="0" w:color="000000"/>
            </w:tcBorders>
            <w:tcMar>
              <w:bottom w:w="28" w:type="dxa"/>
            </w:tcMar>
            <w:vAlign w:val="center"/>
          </w:tcPr>
          <w:p>
            <w:pPr>
              <w:pStyle w:val="TableContents"/>
              <w:bidi w:val="0"/>
              <w:spacing w:before="0" w:after="0"/>
              <w:ind w:left="0" w:right="0" w:hanging="0"/>
              <w:jc w:val="both"/>
              <w:rPr>
                <w:rFonts w:ascii="Times New Roman" w:hAnsi="Times New Roman"/>
                <w:i/>
                <w:sz w:val="20"/>
              </w:rPr>
            </w:pPr>
            <w:r>
              <w:rPr>
                <w:rFonts w:ascii="Times New Roman" w:hAnsi="Times New Roman"/>
                <w:i/>
                <w:sz w:val="20"/>
              </w:rPr>
              <w:t>/s/ Derek L. Graham</w:t>
            </w:r>
          </w:p>
        </w:tc>
      </w:tr>
      <w:tr>
        <w:trPr/>
        <w:tc>
          <w:tcPr>
            <w:tcW w:w="4157" w:type="dxa"/>
            <w:tcBorders/>
            <w:vAlign w:val="center"/>
          </w:tcPr>
          <w:p>
            <w:pPr>
              <w:pStyle w:val="TableContents"/>
              <w:bidi w:val="0"/>
              <w:spacing w:before="0" w:after="0"/>
              <w:ind w:left="0" w:right="0" w:hanging="0"/>
              <w:jc w:val="both"/>
              <w:rPr/>
            </w:pPr>
            <w:r>
              <w:rPr/>
              <w:t> </w:t>
            </w:r>
          </w:p>
        </w:tc>
        <w:tc>
          <w:tcPr>
            <w:tcW w:w="951" w:type="dxa"/>
            <w:tcBorders/>
            <w:vAlign w:val="center"/>
          </w:tcPr>
          <w:p>
            <w:pPr>
              <w:pStyle w:val="TableContents"/>
              <w:bidi w:val="0"/>
              <w:spacing w:before="0" w:after="0"/>
              <w:ind w:left="0" w:right="0" w:hanging="0"/>
              <w:jc w:val="both"/>
              <w:rPr/>
            </w:pPr>
            <w:r>
              <w:rPr/>
              <w:t> </w:t>
            </w:r>
          </w:p>
        </w:tc>
        <w:tc>
          <w:tcPr>
            <w:tcW w:w="509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Derek L. Graham</w:t>
            </w:r>
          </w:p>
        </w:tc>
      </w:tr>
      <w:tr>
        <w:trPr/>
        <w:tc>
          <w:tcPr>
            <w:tcW w:w="4157" w:type="dxa"/>
            <w:tcBorders/>
            <w:vAlign w:val="center"/>
          </w:tcPr>
          <w:p>
            <w:pPr>
              <w:pStyle w:val="TableContents"/>
              <w:bidi w:val="0"/>
              <w:spacing w:before="0" w:after="0"/>
              <w:ind w:left="0" w:right="0" w:hanging="0"/>
              <w:jc w:val="both"/>
              <w:rPr/>
            </w:pPr>
            <w:r>
              <w:rPr/>
              <w:t> </w:t>
            </w:r>
          </w:p>
        </w:tc>
        <w:tc>
          <w:tcPr>
            <w:tcW w:w="951" w:type="dxa"/>
            <w:tcBorders/>
            <w:vAlign w:val="center"/>
          </w:tcPr>
          <w:p>
            <w:pPr>
              <w:pStyle w:val="TableContents"/>
              <w:bidi w:val="0"/>
              <w:spacing w:before="0" w:after="0"/>
              <w:ind w:left="0" w:right="0" w:hanging="0"/>
              <w:jc w:val="both"/>
              <w:rPr/>
            </w:pPr>
            <w:r>
              <w:rPr/>
              <w:t> </w:t>
            </w:r>
          </w:p>
        </w:tc>
        <w:tc>
          <w:tcPr>
            <w:tcW w:w="5097"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Chief Executive Officer</w:t>
            </w:r>
          </w:p>
        </w:tc>
      </w:tr>
    </w:tbl>
    <w:p>
      <w:pPr>
        <w:pStyle w:val="TextBody"/>
        <w:bidi w:val="0"/>
        <w:spacing w:before="0" w:after="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right"/>
        <w:rPr>
          <w:rFonts w:ascii="times new roman;times" w:hAnsi="times new roman;times"/>
          <w:b/>
          <w:color w:val="000000"/>
          <w:sz w:val="20"/>
        </w:rPr>
      </w:pPr>
      <w:bookmarkStart w:id="0" w:name="ex991_1.htm"/>
      <w:bookmarkStart w:id="1" w:name="ksex991_1"/>
      <w:bookmarkEnd w:id="0"/>
      <w:bookmarkEnd w:id="1"/>
      <w:r>
        <w:rPr>
          <w:rFonts w:ascii="times new roman;times" w:hAnsi="times new roman;times"/>
          <w:b/>
          <w:color w:val="000000"/>
          <w:sz w:val="20"/>
        </w:rPr>
        <w:t>Exhibit 99.1</w:t>
      </w:r>
      <w:r>
        <w:br w:type="page"/>
      </w:r>
    </w:p>
    <w:p>
      <w:pPr>
        <w:pStyle w:val="TextBody"/>
        <w:bidi w:val="0"/>
        <w:spacing w:lineRule="auto" w:line="288" w:before="0" w:after="0"/>
        <w:ind w:left="0" w:right="0" w:hanging="0"/>
        <w:jc w:val="left"/>
        <w:rPr/>
      </w:pPr>
      <w:r>
        <w:rPr/>
        <w:drawing>
          <wp:inline distT="0" distB="0" distL="0" distR="0">
            <wp:extent cx="160972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9725" cy="390525"/>
                    </a:xfrm>
                    <a:prstGeom prst="rect">
                      <a:avLst/>
                    </a:prstGeom>
                  </pic:spPr>
                </pic:pic>
              </a:graphicData>
            </a:graphic>
          </wp:inline>
        </w:drawing>
      </w:r>
    </w:p>
    <w:p>
      <w:pPr>
        <w:pStyle w:val="TextBody"/>
        <w:bidi w:val="0"/>
        <w:spacing w:lineRule="auto" w:line="288" w:before="0" w:after="100"/>
        <w:ind w:left="0" w:right="0" w:hanging="0"/>
        <w:jc w:val="center"/>
        <w:rPr/>
      </w:pPr>
      <w:r>
        <w:rPr>
          <w:color w:val="FF0000"/>
        </w:rPr>
        <w:t> </w:t>
      </w:r>
      <w:r>
        <w:rPr>
          <w:rFonts w:ascii="times new roman;times" w:hAnsi="times new roman;times"/>
          <w:b/>
          <w:sz w:val="20"/>
        </w:rPr>
        <w:t>ClearOne, Inc. Reports Fourth Quarter and Full Year 2023 Financial Results</w:t>
      </w:r>
    </w:p>
    <w:p>
      <w:pPr>
        <w:pStyle w:val="TextBody"/>
        <w:bidi w:val="0"/>
        <w:spacing w:lineRule="auto" w:line="288" w:before="0" w:after="100"/>
        <w:ind w:left="0" w:right="0" w:hanging="0"/>
        <w:jc w:val="center"/>
        <w:rPr>
          <w:rFonts w:ascii="times new roman;times" w:hAnsi="times new roman;times"/>
          <w:i/>
          <w:sz w:val="20"/>
        </w:rPr>
      </w:pPr>
      <w:r>
        <w:rPr>
          <w:rFonts w:ascii="times new roman;times" w:hAnsi="times new roman;times"/>
          <w:i/>
          <w:sz w:val="20"/>
        </w:rPr>
        <w:t>- Q4 and Full Year 2023 OpEx Decreased 14% and 21% Year-Over-Year, Respectively -</w:t>
      </w:r>
    </w:p>
    <w:p>
      <w:pPr>
        <w:pStyle w:val="TextBody"/>
        <w:bidi w:val="0"/>
        <w:spacing w:lineRule="auto" w:line="288" w:before="0" w:after="100"/>
        <w:ind w:left="0" w:right="0" w:hanging="0"/>
        <w:jc w:val="center"/>
        <w:rPr>
          <w:rFonts w:ascii="times new roman;times" w:hAnsi="times new roman;times"/>
          <w:i/>
          <w:sz w:val="20"/>
        </w:rPr>
      </w:pPr>
      <w:r>
        <w:rPr>
          <w:rFonts w:ascii="times new roman;times" w:hAnsi="times new roman;times"/>
          <w:i/>
          <w:sz w:val="20"/>
        </w:rPr>
        <w:t>- Completed Outsourced Manufacturing Transition from China to Singapore in Q4 2023, Resulting in Normalized Product Output, and Reduced Backlog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sz w:val="20"/>
        </w:rPr>
        <w:t xml:space="preserve">SALT LAKE CITY, UTAH – April 2, 2024 </w:t>
      </w:r>
      <w:r>
        <w:rPr>
          <w:rFonts w:ascii="times new roman;times" w:hAnsi="times new roman;times"/>
          <w:sz w:val="20"/>
        </w:rPr>
        <w:t>– ClearOne (NASDAQ: CLRO), a global provider of audio and visual communication solutions, reported financial results for the three- and twelve-month periods ended December 31, 2023.</w:t>
      </w:r>
    </w:p>
    <w:p>
      <w:pPr>
        <w:pStyle w:val="TextBody"/>
        <w:bidi w:val="0"/>
        <w:spacing w:lineRule="auto" w:line="288" w:before="160" w:after="160"/>
        <w:ind w:left="0" w:right="0" w:hanging="0"/>
        <w:jc w:val="both"/>
        <w:rPr>
          <w:color w:val="000000"/>
        </w:rPr>
      </w:pPr>
      <w:r>
        <w:rPr>
          <w:color w:val="000000"/>
        </w:rPr>
        <w:t>“</w:t>
      </w:r>
      <w:r>
        <w:rPr>
          <w:rFonts w:ascii="times new roman;times" w:hAnsi="times new roman;times"/>
          <w:color w:val="000000"/>
          <w:sz w:val="20"/>
        </w:rPr>
        <w:t>Throughout the fourth quarter, we maintained efforts to expand and accelerate shipments of our award-winning communication solutions, all while driving a leaner, more efficient cost structure,” said Derek Graham, CEO of ClearOne. “In line with our expectations, we completed our outsourced manufacturing transition from China to Singapore during the fourth quarter, resulting in our manufacturing output returning to pre-transition levels. With a more normalized production cadence, we have continued to drive significant backlog reductions, as our most popular products are now in stock and ready for same-day shipping as of late in the fourth quarter. We are working with our contract manufacturers to improve output and lead times across select remaining product categories, including our wireless products. </w:t>
      </w:r>
    </w:p>
    <w:p>
      <w:pPr>
        <w:pStyle w:val="TextBody"/>
        <w:bidi w:val="0"/>
        <w:spacing w:lineRule="auto" w:line="288" w:before="0" w:after="160"/>
        <w:ind w:left="0" w:right="0" w:hanging="0"/>
        <w:jc w:val="both"/>
        <w:rPr/>
      </w:pPr>
      <w:r>
        <w:rPr/>
        <w:t> </w:t>
      </w:r>
      <w:r>
        <w:rPr>
          <w:rFonts w:ascii="times new roman;times" w:hAnsi="times new roman;times"/>
          <w:sz w:val="20"/>
        </w:rPr>
        <w:t xml:space="preserve">"While our production improvements helped drive a slight year-over-year increase in our fourth quarter revenue, our full-year top-line performance reflects slower order flow in the second half of the year, which we believe stems from the cumulative impact of past production shortages. We have also faced sales headwinds from our products’ lack of Microsoft Teams certification, despite their longtime functional compatibility with this platform. Our work through early 2024 has focused on mitigating these impacts through maintaining consistent dialogues, product demonstrations, and feedback cycles with customers and distributors, along with improving our visibility at key industry events. </w:t>
      </w:r>
    </w:p>
    <w:p>
      <w:pPr>
        <w:pStyle w:val="TextBody"/>
        <w:bidi w:val="0"/>
        <w:spacing w:lineRule="auto" w:line="288" w:before="0" w:after="160"/>
        <w:ind w:left="0" w:right="0" w:hanging="0"/>
        <w:jc w:val="both"/>
        <w:rPr/>
      </w:pPr>
      <w:r>
        <w:rPr/>
        <w:t> “</w:t>
      </w:r>
      <w:r>
        <w:rPr>
          <w:rFonts w:ascii="times new roman;times" w:hAnsi="times new roman;times"/>
          <w:sz w:val="20"/>
        </w:rPr>
        <w:t xml:space="preserve">Reflecting our sustained focus on optimizing costs, we drove 14% and 21% year-over-year decreases in operating expenses for the fourth quarter and full year, respectively. We ended 2023 with over $21 million in cash, cash equivalents, and marketable securities, and we recently announced a special one-time cash dividend of $0.50 per share that will be payable on April 10, 2024. We believe this upcoming dividend rewards our shareholders for their longtime support of ClearOne, while still providing us a solid, well-capitalized base from which to ramp shipments, drive improved order flow, and return to revenue growth and profitability.” </w:t>
      </w:r>
    </w:p>
    <w:p>
      <w:pPr>
        <w:pStyle w:val="TextBody"/>
        <w:bidi w:val="0"/>
        <w:spacing w:lineRule="auto" w:line="288" w:before="0" w:after="120"/>
        <w:ind w:left="0" w:right="0" w:hanging="0"/>
        <w:jc w:val="both"/>
        <w:rPr>
          <w:rFonts w:ascii="times new roman;times" w:hAnsi="times new roman;times"/>
          <w:b/>
          <w:sz w:val="20"/>
        </w:rPr>
      </w:pPr>
      <w:r>
        <w:rPr>
          <w:rFonts w:ascii="times new roman;times" w:hAnsi="times new roman;times"/>
          <w:b/>
          <w:sz w:val="20"/>
        </w:rPr>
        <w:t>Operational Highlights</w:t>
      </w:r>
    </w:p>
    <w:tbl>
      <w:tblPr>
        <w:tblW w:w="10205" w:type="dxa"/>
        <w:jc w:val="left"/>
        <w:tblInd w:w="0" w:type="dxa"/>
        <w:tblLayout w:type="fixed"/>
        <w:tblCellMar>
          <w:top w:w="28" w:type="dxa"/>
          <w:left w:w="28" w:type="dxa"/>
          <w:bottom w:w="28" w:type="dxa"/>
          <w:right w:w="28" w:type="dxa"/>
        </w:tblCellMar>
      </w:tblPr>
      <w:tblGrid>
        <w:gridCol w:w="142"/>
        <w:gridCol w:w="10063"/>
      </w:tblGrid>
      <w:tr>
        <w:trPr/>
        <w:tc>
          <w:tcPr>
            <w:tcW w:w="142" w:type="dxa"/>
            <w:tcBorders/>
          </w:tcPr>
          <w:p>
            <w:pPr>
              <w:pStyle w:val="TableContents"/>
              <w:widowControl/>
              <w:bidi w:val="0"/>
              <w:spacing w:before="0" w:after="283"/>
              <w:ind w:left="0" w:right="0" w:hanging="180"/>
              <w:jc w:val="center"/>
              <w:rPr>
                <w:color w:val="000000"/>
                <w:spacing w:val="0"/>
              </w:rPr>
            </w:pPr>
            <w:r>
              <w:rPr>
                <w:color w:val="000000"/>
                <w:spacing w:val="0"/>
              </w:rPr>
              <w:t>•</w:t>
            </w:r>
          </w:p>
        </w:tc>
        <w:tc>
          <w:tcPr>
            <w:tcW w:w="10063" w:type="dxa"/>
            <w:tcBorders/>
            <w:vAlign w:val="center"/>
          </w:tcPr>
          <w:p>
            <w:pPr>
              <w:pStyle w:val="TableContents"/>
              <w:bidi w:val="0"/>
              <w:spacing w:before="0" w:after="283"/>
              <w:jc w:val="left"/>
              <w:rPr/>
            </w:pPr>
            <w:r>
              <w:rPr>
                <w:rFonts w:ascii="Times New Roman;serif" w:hAnsi="Times New Roman;serif"/>
                <w:sz w:val="20"/>
              </w:rPr>
              <w:t>Completed the transition of the Company’s outsourced manufacturing operations from China to Singapore in the fourth quarter of 2023, enabling the Company to achieve same-day shipping for its most popular products and restore broader production volumes to pre-transition levels.</w:t>
            </w:r>
            <w:r>
              <w:rPr/>
              <w:t xml:space="preserve"> </w:t>
            </w:r>
          </w:p>
        </w:tc>
      </w:tr>
      <w:tr>
        <w:trPr/>
        <w:tc>
          <w:tcPr>
            <w:tcW w:w="142" w:type="dxa"/>
            <w:tcBorders/>
          </w:tcPr>
          <w:p>
            <w:pPr>
              <w:pStyle w:val="TableContents"/>
              <w:widowControl/>
              <w:bidi w:val="0"/>
              <w:spacing w:before="0" w:after="283"/>
              <w:ind w:left="0" w:right="0" w:hanging="180"/>
              <w:jc w:val="center"/>
              <w:rPr>
                <w:color w:val="000000"/>
                <w:spacing w:val="0"/>
              </w:rPr>
            </w:pPr>
            <w:r>
              <w:rPr>
                <w:color w:val="000000"/>
                <w:spacing w:val="0"/>
              </w:rPr>
              <w:t>•</w:t>
            </w:r>
          </w:p>
        </w:tc>
        <w:tc>
          <w:tcPr>
            <w:tcW w:w="10063" w:type="dxa"/>
            <w:tcBorders/>
            <w:vAlign w:val="center"/>
          </w:tcPr>
          <w:p>
            <w:pPr>
              <w:pStyle w:val="TableContents"/>
              <w:bidi w:val="0"/>
              <w:spacing w:before="0" w:after="283"/>
              <w:jc w:val="left"/>
              <w:rPr/>
            </w:pPr>
            <w:r>
              <w:rPr>
                <w:rFonts w:ascii="Times New Roman;serif" w:hAnsi="Times New Roman;serif"/>
                <w:sz w:val="20"/>
              </w:rPr>
              <w:t>Debuted new DIALOG® 20 USB 2-Channel Wireless Microphone at ISE 2024, enabling users to enhance hybrid meetings with local sound reinforcement and less than four milliseconds of audio latency. The DIALOG® UVHF Microphone System also received AV Technology Magazine’s Best in Show Award.</w:t>
            </w:r>
            <w:r>
              <w:rPr/>
              <w:t xml:space="preserve"> </w:t>
            </w:r>
          </w:p>
        </w:tc>
      </w:tr>
      <w:tr>
        <w:trPr/>
        <w:tc>
          <w:tcPr>
            <w:tcW w:w="142" w:type="dxa"/>
            <w:tcBorders/>
          </w:tcPr>
          <w:p>
            <w:pPr>
              <w:pStyle w:val="TableContents"/>
              <w:widowControl/>
              <w:bidi w:val="0"/>
              <w:spacing w:before="0" w:after="283"/>
              <w:ind w:left="0" w:right="0" w:hanging="180"/>
              <w:jc w:val="center"/>
              <w:rPr>
                <w:color w:val="000000"/>
                <w:spacing w:val="0"/>
              </w:rPr>
            </w:pPr>
            <w:r>
              <w:rPr>
                <w:color w:val="000000"/>
                <w:spacing w:val="0"/>
              </w:rPr>
              <w:t>•</w:t>
            </w:r>
          </w:p>
        </w:tc>
        <w:tc>
          <w:tcPr>
            <w:tcW w:w="10063" w:type="dxa"/>
            <w:tcBorders/>
            <w:vAlign w:val="center"/>
          </w:tcPr>
          <w:p>
            <w:pPr>
              <w:pStyle w:val="TableContents"/>
              <w:bidi w:val="0"/>
              <w:spacing w:before="0" w:after="283"/>
              <w:jc w:val="left"/>
              <w:rPr/>
            </w:pPr>
            <w:r>
              <w:rPr/>
              <w:t>Exhibited and demonstrated the Company’s complete portfolio of audio conferencing, visual collaboration, BYOD collaboration, professional microphones, network management and AV networking solutions at ISE 2024, including the new DIALOG® 20 USB 2-Channel Wireless Microphone, BMA 360D, Versa® USB22D Dante Adapter, DIALOG® UVHF Microphone System, and Versa® UCS2100 Collaboration Switcher Kit.</w:t>
            </w:r>
          </w:p>
        </w:tc>
      </w:tr>
      <w:tr>
        <w:trPr/>
        <w:tc>
          <w:tcPr>
            <w:tcW w:w="142" w:type="dxa"/>
            <w:tcBorders/>
          </w:tcPr>
          <w:p>
            <w:pPr>
              <w:pStyle w:val="TableContents"/>
              <w:widowControl/>
              <w:bidi w:val="0"/>
              <w:spacing w:before="0" w:after="283"/>
              <w:ind w:left="0" w:right="0" w:hanging="180"/>
              <w:jc w:val="center"/>
              <w:rPr>
                <w:color w:val="000000"/>
                <w:spacing w:val="0"/>
              </w:rPr>
            </w:pPr>
            <w:r>
              <w:rPr>
                <w:color w:val="000000"/>
                <w:spacing w:val="0"/>
              </w:rPr>
              <w:t>•</w:t>
            </w:r>
          </w:p>
        </w:tc>
        <w:tc>
          <w:tcPr>
            <w:tcW w:w="10063" w:type="dxa"/>
            <w:tcBorders/>
            <w:vAlign w:val="center"/>
          </w:tcPr>
          <w:p>
            <w:pPr>
              <w:pStyle w:val="TableContents"/>
              <w:bidi w:val="0"/>
              <w:spacing w:before="0" w:after="283"/>
              <w:ind w:left="0" w:right="0" w:hanging="192"/>
              <w:jc w:val="left"/>
              <w:rPr/>
            </w:pPr>
            <w:r>
              <w:rPr/>
              <w:t xml:space="preserve">Announced a special one-time cash dividend of $0.50 per share of ClearOne </w:t>
            </w:r>
            <w:r>
              <w:rPr>
                <w:rFonts w:ascii="Times New Roman;serif" w:hAnsi="Times New Roman;serif"/>
                <w:sz w:val="20"/>
              </w:rPr>
              <w:t>common stock in March 2024, reflecting the Company’s robust balance sheet and commitment to its shareholders.</w:t>
            </w:r>
          </w:p>
        </w:tc>
      </w:tr>
    </w:tbl>
    <w:p>
      <w:pPr>
        <w:pStyle w:val="TextBody"/>
        <w:widowControl/>
        <w:bidi w:val="0"/>
        <w:spacing w:lineRule="auto" w:line="288" w:before="160" w:after="16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Graham continued: “Now that we have completed our manufacturing transition, we are putting increased emphasis on innovation and driving new product rollouts and shipments. We rolled out several notable new product launches over the past year, such as the BMA 360D microphone array ceiling tile and DIALOG® UVHF Microphone System. In these early months of 2024, we are continuing to evolve our product portfolio, having recently debuted the DIALOG® 20 USB 2-Channel Wireless Microphone in January at ISE 2024. In fact, we have already begun shipping our latest offering and are seeing good order traction. While the first shipments of the DIALOG® UVHF have been delayed to Q2 2024, we are hearing promising feedback on the beta units we shipped to our partners and sales managers in Q1 2024. Additionally, industry reception and customer feedback on the BMA 360D have been very positive.</w:t>
      </w:r>
    </w:p>
    <w:p>
      <w:pPr>
        <w:pStyle w:val="TextBody"/>
        <w:widowControl/>
        <w:bidi w:val="0"/>
        <w:spacing w:lineRule="auto" w:line="288" w:before="0" w:after="160"/>
        <w:ind w:left="0" w:right="0" w:hanging="0"/>
        <w:jc w:val="left"/>
        <w:rPr>
          <w:caps w:val="false"/>
          <w:smallCaps w:val="false"/>
          <w:color w:val="000000"/>
          <w:spacing w:val="0"/>
        </w:rPr>
      </w:pPr>
      <w:r>
        <w:rPr>
          <w:caps w:val="false"/>
          <w:smallCaps w:val="false"/>
          <w:color w:val="000000"/>
          <w:spacing w:val="0"/>
        </w:rPr>
        <w:t>“</w:t>
      </w:r>
      <w:r>
        <w:rPr>
          <w:rFonts w:ascii="times new roman;times" w:hAnsi="times new roman;times"/>
          <w:b w:val="false"/>
          <w:i w:val="false"/>
          <w:caps w:val="false"/>
          <w:smallCaps w:val="false"/>
          <w:color w:val="000000"/>
          <w:spacing w:val="0"/>
          <w:sz w:val="20"/>
        </w:rPr>
        <w:t>As we drive additional momentum for our audio and visual communication solutions, we are also focused on improving our products’ overall interoperability, ease of use, and global presence. Our newest microphone solutions can be integrated with DSPs from both our own product suite and those of separate third-party manufacturers, offering greater flexibility for customers and prospects. From an international standpoint, we are seeking to expand our footprint in several key regions—such as the Middle East and India—in which we have seen particular sales strength and increased reception to our products. We are evaluating further sales, marketing, and related investments in these geographies to optimize our team for capitalizing on this increasing demand.</w:t>
      </w:r>
    </w:p>
    <w:p>
      <w:pPr>
        <w:pStyle w:val="TextBody"/>
        <w:widowControl/>
        <w:bidi w:val="0"/>
        <w:spacing w:lineRule="auto" w:line="288" w:before="0" w:after="0"/>
        <w:ind w:left="0" w:right="0" w:hanging="0"/>
        <w:jc w:val="left"/>
        <w:rPr>
          <w:caps w:val="false"/>
          <w:smallCaps w:val="false"/>
          <w:color w:val="000000"/>
          <w:spacing w:val="0"/>
        </w:rPr>
      </w:pPr>
      <w:r>
        <w:rPr>
          <w:caps w:val="false"/>
          <w:smallCaps w:val="false"/>
          <w:color w:val="000000"/>
          <w:spacing w:val="0"/>
        </w:rPr>
        <w:t>“</w:t>
      </w:r>
      <w:r>
        <w:rPr>
          <w:rFonts w:ascii="times new roman;times" w:hAnsi="times new roman;times"/>
          <w:b w:val="false"/>
          <w:i w:val="false"/>
          <w:caps w:val="false"/>
          <w:smallCaps w:val="false"/>
          <w:color w:val="000000"/>
          <w:spacing w:val="0"/>
          <w:sz w:val="20"/>
        </w:rPr>
        <w:t>Moving further into 2024, we are committed to optimizing our cost structure, driving product innovation, and solidifying ClearOne as a preferred partner for current and prospective customers. In conjunction with working to ramp shipments for the BMA 360D and DIALOG® UVHF, we are focused on improving customer experiences within our partner network to support additional customer growth and retention. With a robust balance sheet and improving product demand, we believe ClearOne is well-positioned to drive towards future growth as we work to achieve profitability and expand our market share.”</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pPr>
      <w:r>
        <w:rPr/>
        <w:drawing>
          <wp:inline distT="0" distB="0" distL="0" distR="0">
            <wp:extent cx="1609725"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09725" cy="390525"/>
                    </a:xfrm>
                    <a:prstGeom prst="rect">
                      <a:avLst/>
                    </a:prstGeom>
                  </pic:spPr>
                </pic:pic>
              </a:graphicData>
            </a:graphic>
          </wp:inline>
        </w:drawing>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pPr>
      <w:r>
        <w:rPr/>
      </w:r>
    </w:p>
    <w:p>
      <w:pPr>
        <w:pStyle w:val="TextBody"/>
        <w:bidi w:val="0"/>
        <w:spacing w:lineRule="auto" w:line="288" w:before="0" w:after="120"/>
        <w:ind w:left="0" w:right="0" w:hanging="0"/>
        <w:jc w:val="both"/>
        <w:rPr>
          <w:rFonts w:ascii="times new roman;times" w:hAnsi="times new roman;times"/>
          <w:b/>
          <w:sz w:val="20"/>
        </w:rPr>
      </w:pPr>
      <w:r>
        <w:rPr>
          <w:rFonts w:ascii="times new roman;times" w:hAnsi="times new roman;times"/>
          <w:b/>
          <w:sz w:val="20"/>
        </w:rPr>
        <w:t>Financial Summary</w:t>
      </w:r>
    </w:p>
    <w:p>
      <w:pPr>
        <w:pStyle w:val="TextBody"/>
        <w:shd w:fill="FFFFFF" w:val="clear"/>
        <w:bidi w:val="0"/>
        <w:spacing w:lineRule="auto" w:line="288" w:before="0" w:after="0"/>
        <w:ind w:left="0" w:right="0" w:hanging="0"/>
        <w:jc w:val="both"/>
        <w:rPr>
          <w:rFonts w:ascii="times new roman;times" w:hAnsi="times new roman;times"/>
          <w:color w:val="000000"/>
          <w:sz w:val="20"/>
        </w:rPr>
      </w:pPr>
      <w:r>
        <w:rPr>
          <w:rFonts w:ascii="times new roman;times" w:hAnsi="times new roman;times"/>
          <w:color w:val="000000"/>
          <w:sz w:val="20"/>
        </w:rPr>
        <w:t>The Company uses certain non-GAAP financial measures and reconciles those to GAAP measures in the attached tables.</w:t>
      </w:r>
    </w:p>
    <w:p>
      <w:pPr>
        <w:pStyle w:val="TextBody"/>
        <w:shd w:fill="FFFFFF" w:val="clear"/>
        <w:bidi w:val="0"/>
        <w:spacing w:lineRule="auto" w:line="288" w:before="0" w:after="0"/>
        <w:ind w:left="0" w:right="0" w:hanging="0"/>
        <w:jc w:val="both"/>
        <w:rPr/>
      </w:pPr>
      <w:r>
        <w:rPr/>
        <w:t> </w:t>
      </w:r>
    </w:p>
    <w:tbl>
      <w:tblPr>
        <w:tblW w:w="10205" w:type="dxa"/>
        <w:jc w:val="left"/>
        <w:tblInd w:w="0" w:type="dxa"/>
        <w:tblLayout w:type="fixed"/>
        <w:tblCellMar>
          <w:top w:w="28" w:type="dxa"/>
          <w:left w:w="28" w:type="dxa"/>
          <w:bottom w:w="28" w:type="dxa"/>
          <w:right w:w="28" w:type="dxa"/>
        </w:tblCellMar>
      </w:tblPr>
      <w:tblGrid>
        <w:gridCol w:w="140"/>
        <w:gridCol w:w="109"/>
        <w:gridCol w:w="9956"/>
      </w:tblGrid>
      <w:tr>
        <w:trPr/>
        <w:tc>
          <w:tcPr>
            <w:tcW w:w="140" w:type="dxa"/>
            <w:tcBorders/>
          </w:tcPr>
          <w:p>
            <w:pPr>
              <w:pStyle w:val="TableContents"/>
              <w:widowControl/>
              <w:bidi w:val="0"/>
              <w:spacing w:before="0" w:after="283"/>
              <w:ind w:left="0" w:right="0" w:hanging="405"/>
              <w:jc w:val="both"/>
              <w:rPr>
                <w:caps w:val="false"/>
                <w:smallCaps w:val="false"/>
                <w:color w:val="000000"/>
                <w:spacing w:val="0"/>
              </w:rPr>
            </w:pPr>
            <w:r>
              <w:rPr>
                <w:caps w:val="false"/>
                <w:smallCaps w:val="false"/>
                <w:color w:val="000000"/>
                <w:spacing w:val="0"/>
              </w:rPr>
              <w:t>●</w:t>
            </w:r>
          </w:p>
        </w:tc>
        <w:tc>
          <w:tcPr>
            <w:tcW w:w="109" w:type="dxa"/>
            <w:tcBorders/>
            <w:vAlign w:val="center"/>
          </w:tcPr>
          <w:p>
            <w:pPr>
              <w:pStyle w:val="TableContents"/>
              <w:bidi w:val="0"/>
              <w:spacing w:before="0" w:after="283"/>
              <w:jc w:val="left"/>
              <w:rPr/>
            </w:pPr>
            <w:r>
              <w:rPr/>
            </w:r>
          </w:p>
        </w:tc>
        <w:tc>
          <w:tcPr>
            <w:tcW w:w="9956" w:type="dxa"/>
            <w:tcBorders/>
            <w:vAlign w:val="center"/>
          </w:tcPr>
          <w:p>
            <w:pPr>
              <w:pStyle w:val="TableContents"/>
              <w:widowControl/>
              <w:bidi w:val="0"/>
              <w:spacing w:before="0" w:after="283"/>
              <w:ind w:left="0" w:right="0" w:hanging="405"/>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 xml:space="preserve">Q4 2023 revenue was $4.2 million, compared to $4.0 million in Q4 2022 and $4.9 million in Q3 2023. </w:t>
            </w:r>
            <w:r>
              <w:rPr>
                <w:rFonts w:ascii="Times New Roman;serif" w:hAnsi="Times New Roman;serif"/>
                <w:b w:val="false"/>
                <w:color w:val="000000"/>
                <w:spacing w:val="0"/>
                <w:sz w:val="20"/>
              </w:rPr>
              <w:t>The sequential decrease was driven by lower demand for the Company’s microphone products and the cumulative impact of past product shortages. The year-over-year improvement was primarily due to increased shipments of the Company’s video products and beamforming microphone arrays.</w:t>
            </w:r>
          </w:p>
        </w:tc>
      </w:tr>
      <w:tr>
        <w:trPr/>
        <w:tc>
          <w:tcPr>
            <w:tcW w:w="140" w:type="dxa"/>
            <w:tcBorders/>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9956" w:type="dxa"/>
            <w:tcBorders/>
            <w:vAlign w:val="center"/>
          </w:tcPr>
          <w:p>
            <w:pPr>
              <w:pStyle w:val="TableContents"/>
              <w:bidi w:val="0"/>
              <w:spacing w:before="0" w:after="283"/>
              <w:jc w:val="left"/>
              <w:rPr/>
            </w:pPr>
            <w:r>
              <w:rPr/>
            </w:r>
          </w:p>
        </w:tc>
      </w:tr>
      <w:tr>
        <w:trPr/>
        <w:tc>
          <w:tcPr>
            <w:tcW w:w="140" w:type="dxa"/>
            <w:tcBorders/>
          </w:tcPr>
          <w:p>
            <w:pPr>
              <w:pStyle w:val="TableContents"/>
              <w:widowControl/>
              <w:bidi w:val="0"/>
              <w:spacing w:before="0" w:after="283"/>
              <w:ind w:left="0" w:right="0" w:hanging="405"/>
              <w:jc w:val="both"/>
              <w:rPr>
                <w:caps w:val="false"/>
                <w:smallCaps w:val="false"/>
                <w:color w:val="000000"/>
                <w:spacing w:val="0"/>
              </w:rPr>
            </w:pPr>
            <w:r>
              <w:rPr>
                <w:caps w:val="false"/>
                <w:smallCaps w:val="false"/>
                <w:color w:val="000000"/>
                <w:spacing w:val="0"/>
              </w:rPr>
              <w:t>●</w:t>
            </w:r>
          </w:p>
        </w:tc>
        <w:tc>
          <w:tcPr>
            <w:tcW w:w="109" w:type="dxa"/>
            <w:tcBorders/>
            <w:vAlign w:val="center"/>
          </w:tcPr>
          <w:p>
            <w:pPr>
              <w:pStyle w:val="TableContents"/>
              <w:bidi w:val="0"/>
              <w:spacing w:before="0" w:after="283"/>
              <w:jc w:val="left"/>
              <w:rPr/>
            </w:pPr>
            <w:r>
              <w:rPr/>
            </w:r>
          </w:p>
        </w:tc>
        <w:tc>
          <w:tcPr>
            <w:tcW w:w="9956" w:type="dxa"/>
            <w:tcBorders/>
            <w:vAlign w:val="center"/>
          </w:tcPr>
          <w:p>
            <w:pPr>
              <w:pStyle w:val="TableContents"/>
              <w:widowControl/>
              <w:bidi w:val="0"/>
              <w:spacing w:before="0" w:after="283"/>
              <w:ind w:left="0" w:right="0" w:hanging="405"/>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GAAP gross profit in Q4 2023 was $1.6 million, compared to $1.3 million in Q4 2022 and $1.6 million in Q3 2023. GAAP gross profit margin was 38% in Q4 2023, compared to 31% in </w:t>
            </w:r>
            <w:r>
              <w:rPr>
                <w:rFonts w:ascii="times new roman;times" w:hAnsi="times new roman;times"/>
                <w:b w:val="false"/>
                <w:color w:val="000000"/>
                <w:spacing w:val="0"/>
                <w:sz w:val="20"/>
              </w:rPr>
              <w:t>Q4</w:t>
            </w:r>
            <w:r>
              <w:rPr>
                <w:rFonts w:ascii="times new roman;times" w:hAnsi="times new roman;times"/>
                <w:b w:val="false"/>
                <w:color w:val="000000"/>
                <w:spacing w:val="0"/>
                <w:sz w:val="20"/>
              </w:rPr>
              <w:t> </w:t>
            </w:r>
            <w:r>
              <w:rPr>
                <w:rFonts w:ascii="times new roman;times" w:hAnsi="times new roman;times"/>
                <w:b w:val="false"/>
                <w:color w:val="000000"/>
                <w:spacing w:val="0"/>
                <w:sz w:val="20"/>
              </w:rPr>
              <w:t>2022</w:t>
            </w:r>
            <w:r>
              <w:rPr>
                <w:rFonts w:ascii="times new roman;times" w:hAnsi="times new roman;times"/>
                <w:b w:val="false"/>
                <w:color w:val="000000"/>
                <w:spacing w:val="0"/>
                <w:sz w:val="20"/>
              </w:rPr>
              <w:t> and 33% in </w:t>
            </w:r>
            <w:r>
              <w:rPr>
                <w:rFonts w:ascii="times new roman;times" w:hAnsi="times new roman;times"/>
                <w:b w:val="false"/>
                <w:color w:val="000000"/>
                <w:spacing w:val="0"/>
                <w:sz w:val="20"/>
              </w:rPr>
              <w:t>Q3</w:t>
            </w:r>
            <w:r>
              <w:rPr>
                <w:rFonts w:ascii="times new roman;times" w:hAnsi="times new roman;times"/>
                <w:b w:val="false"/>
                <w:color w:val="000000"/>
                <w:spacing w:val="0"/>
                <w:sz w:val="20"/>
              </w:rPr>
              <w:t xml:space="preserve"> 2023. </w:t>
            </w:r>
            <w:r>
              <w:rPr>
                <w:rFonts w:ascii="Times New Roman;serif" w:hAnsi="Times New Roman;serif"/>
                <w:b w:val="false"/>
                <w:color w:val="000000"/>
                <w:spacing w:val="0"/>
                <w:sz w:val="20"/>
              </w:rPr>
              <w:t>Gross profit margin improved by approximately 5% sequentially and approximately 7% year-over-year.</w:t>
            </w:r>
          </w:p>
        </w:tc>
      </w:tr>
      <w:tr>
        <w:trPr/>
        <w:tc>
          <w:tcPr>
            <w:tcW w:w="140" w:type="dxa"/>
            <w:tcBorders/>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9956" w:type="dxa"/>
            <w:tcBorders/>
            <w:vAlign w:val="center"/>
          </w:tcPr>
          <w:p>
            <w:pPr>
              <w:pStyle w:val="TableContents"/>
              <w:bidi w:val="0"/>
              <w:spacing w:before="0" w:after="283"/>
              <w:jc w:val="left"/>
              <w:rPr/>
            </w:pPr>
            <w:r>
              <w:rPr/>
            </w:r>
          </w:p>
        </w:tc>
      </w:tr>
      <w:tr>
        <w:trPr/>
        <w:tc>
          <w:tcPr>
            <w:tcW w:w="140" w:type="dxa"/>
            <w:tcBorders/>
          </w:tcPr>
          <w:p>
            <w:pPr>
              <w:pStyle w:val="TableContents"/>
              <w:widowControl/>
              <w:bidi w:val="0"/>
              <w:spacing w:before="0" w:after="283"/>
              <w:ind w:left="0" w:right="0" w:hanging="405"/>
              <w:jc w:val="both"/>
              <w:rPr>
                <w:caps w:val="false"/>
                <w:smallCaps w:val="false"/>
                <w:color w:val="000000"/>
                <w:spacing w:val="0"/>
              </w:rPr>
            </w:pPr>
            <w:r>
              <w:rPr>
                <w:caps w:val="false"/>
                <w:smallCaps w:val="false"/>
                <w:color w:val="000000"/>
                <w:spacing w:val="0"/>
              </w:rPr>
              <w:t>●</w:t>
            </w:r>
          </w:p>
        </w:tc>
        <w:tc>
          <w:tcPr>
            <w:tcW w:w="109" w:type="dxa"/>
            <w:tcBorders/>
            <w:vAlign w:val="center"/>
          </w:tcPr>
          <w:p>
            <w:pPr>
              <w:pStyle w:val="TableContents"/>
              <w:bidi w:val="0"/>
              <w:spacing w:before="0" w:after="283"/>
              <w:jc w:val="left"/>
              <w:rPr/>
            </w:pPr>
            <w:r>
              <w:rPr/>
            </w:r>
          </w:p>
        </w:tc>
        <w:tc>
          <w:tcPr>
            <w:tcW w:w="9956" w:type="dxa"/>
            <w:tcBorders/>
            <w:vAlign w:val="center"/>
          </w:tcPr>
          <w:p>
            <w:pPr>
              <w:pStyle w:val="TableContents"/>
              <w:widowControl/>
              <w:bidi w:val="0"/>
              <w:spacing w:before="0" w:after="283"/>
              <w:ind w:left="0" w:right="0" w:hanging="405"/>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 xml:space="preserve">Operating expenses in Q4 2023 were $3.3 million, compared to $3.9 million in Q4 2022 and $3.1 million in Q3 2023. Non-GAAP operating expenses in Q4 2023 were $3.2 million compared to </w:t>
            </w:r>
            <w:r>
              <w:rPr>
                <w:rFonts w:ascii="Times New Roman;serif" w:hAnsi="Times New Roman;serif"/>
                <w:b w:val="false"/>
                <w:color w:val="000000"/>
                <w:spacing w:val="0"/>
                <w:sz w:val="20"/>
              </w:rPr>
              <w:t>$2.9 million in Q3 2023 and</w:t>
            </w:r>
            <w:r>
              <w:rPr>
                <w:rFonts w:ascii="times new roman;times" w:hAnsi="times new roman;times"/>
                <w:b w:val="false"/>
                <w:color w:val="000000"/>
                <w:spacing w:val="0"/>
                <w:sz w:val="20"/>
              </w:rPr>
              <w:t xml:space="preserve"> $3.4 million in Q4 2022. The sequential increase was due to increase in legal fees and audit and accounting charges, and the year-over-year decrease in non-GAAP operating expenses was mainly due to the continued benefits of the cost-cutting measures initiated in 2022. </w:t>
            </w:r>
          </w:p>
        </w:tc>
      </w:tr>
      <w:tr>
        <w:trPr/>
        <w:tc>
          <w:tcPr>
            <w:tcW w:w="140" w:type="dxa"/>
            <w:tcBorders/>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9956" w:type="dxa"/>
            <w:tcBorders/>
            <w:vAlign w:val="center"/>
          </w:tcPr>
          <w:p>
            <w:pPr>
              <w:pStyle w:val="TableContents"/>
              <w:bidi w:val="0"/>
              <w:spacing w:before="0" w:after="283"/>
              <w:jc w:val="left"/>
              <w:rPr/>
            </w:pPr>
            <w:r>
              <w:rPr/>
            </w:r>
          </w:p>
        </w:tc>
      </w:tr>
      <w:tr>
        <w:trPr/>
        <w:tc>
          <w:tcPr>
            <w:tcW w:w="140" w:type="dxa"/>
            <w:tcBorders/>
          </w:tcPr>
          <w:p>
            <w:pPr>
              <w:pStyle w:val="TableContents"/>
              <w:widowControl/>
              <w:bidi w:val="0"/>
              <w:spacing w:before="0" w:after="283"/>
              <w:ind w:left="0" w:right="0" w:hanging="405"/>
              <w:jc w:val="both"/>
              <w:rPr>
                <w:caps w:val="false"/>
                <w:smallCaps w:val="false"/>
                <w:color w:val="000000"/>
                <w:spacing w:val="0"/>
              </w:rPr>
            </w:pPr>
            <w:r>
              <w:rPr>
                <w:caps w:val="false"/>
                <w:smallCaps w:val="false"/>
                <w:color w:val="000000"/>
                <w:spacing w:val="0"/>
              </w:rPr>
              <w:t>●</w:t>
            </w:r>
          </w:p>
        </w:tc>
        <w:tc>
          <w:tcPr>
            <w:tcW w:w="109" w:type="dxa"/>
            <w:tcBorders/>
            <w:vAlign w:val="center"/>
          </w:tcPr>
          <w:p>
            <w:pPr>
              <w:pStyle w:val="TableContents"/>
              <w:bidi w:val="0"/>
              <w:spacing w:before="0" w:after="283"/>
              <w:jc w:val="left"/>
              <w:rPr/>
            </w:pPr>
            <w:r>
              <w:rPr/>
            </w:r>
          </w:p>
        </w:tc>
        <w:tc>
          <w:tcPr>
            <w:tcW w:w="9956" w:type="dxa"/>
            <w:tcBorders/>
            <w:vAlign w:val="center"/>
          </w:tcPr>
          <w:p>
            <w:pPr>
              <w:pStyle w:val="TableContents"/>
              <w:widowControl/>
              <w:bidi w:val="0"/>
              <w:spacing w:before="0" w:after="283"/>
              <w:ind w:left="0" w:right="0" w:hanging="405"/>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GAAP net income in Q4 2023 was $2.6 million, or $0.11 per share, compared to a net income of $24.0 million, or $0.97 per share, in Q4 2022 and a net loss of $(1.4) million, or $(0.06) per share, in Q3 2023. The sequential improvement in net income was primarily due to the recognition of a gain of $4 million from a legal settlement which was partially offset by a decline in net income due to higher operating expenses and lower gross margin. The year-over-year decline was largely due to the recognition of a gain of $33.6 million related to the one-time legal settlement receivable of $55 million, net of unamortized capitalized legal expenses of $21.4 million, in Q4 2022. This decline in net income was partially offset by a decrease in the tax provision by $6.4 million, recognition of gain from a legal settlements of $4.0 million, an increase in interest income by $0.6 million, and an increase in operating income by $0.9 million.</w:t>
            </w:r>
          </w:p>
        </w:tc>
      </w:tr>
      <w:tr>
        <w:trPr/>
        <w:tc>
          <w:tcPr>
            <w:tcW w:w="140" w:type="dxa"/>
            <w:tcBorders/>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9956" w:type="dxa"/>
            <w:tcBorders/>
            <w:vAlign w:val="center"/>
          </w:tcPr>
          <w:p>
            <w:pPr>
              <w:pStyle w:val="TableContents"/>
              <w:bidi w:val="0"/>
              <w:spacing w:before="0" w:after="283"/>
              <w:jc w:val="left"/>
              <w:rPr/>
            </w:pPr>
            <w:r>
              <w:rPr/>
            </w:r>
          </w:p>
        </w:tc>
      </w:tr>
      <w:tr>
        <w:trPr/>
        <w:tc>
          <w:tcPr>
            <w:tcW w:w="140" w:type="dxa"/>
            <w:tcBorders/>
          </w:tcPr>
          <w:p>
            <w:pPr>
              <w:pStyle w:val="TableContents"/>
              <w:widowControl/>
              <w:bidi w:val="0"/>
              <w:spacing w:before="0" w:after="283"/>
              <w:ind w:left="0" w:right="0" w:hanging="405"/>
              <w:jc w:val="both"/>
              <w:rPr>
                <w:caps w:val="false"/>
                <w:smallCaps w:val="false"/>
                <w:color w:val="000000"/>
                <w:spacing w:val="0"/>
              </w:rPr>
            </w:pPr>
            <w:r>
              <w:rPr>
                <w:caps w:val="false"/>
                <w:smallCaps w:val="false"/>
                <w:color w:val="000000"/>
                <w:spacing w:val="0"/>
              </w:rPr>
              <w:t>●</w:t>
            </w:r>
          </w:p>
        </w:tc>
        <w:tc>
          <w:tcPr>
            <w:tcW w:w="109" w:type="dxa"/>
            <w:tcBorders/>
            <w:vAlign w:val="center"/>
          </w:tcPr>
          <w:p>
            <w:pPr>
              <w:pStyle w:val="TableContents"/>
              <w:bidi w:val="0"/>
              <w:spacing w:before="0" w:after="283"/>
              <w:jc w:val="left"/>
              <w:rPr/>
            </w:pPr>
            <w:r>
              <w:rPr/>
            </w:r>
          </w:p>
        </w:tc>
        <w:tc>
          <w:tcPr>
            <w:tcW w:w="9956" w:type="dxa"/>
            <w:tcBorders/>
            <w:vAlign w:val="center"/>
          </w:tcPr>
          <w:p>
            <w:pPr>
              <w:pStyle w:val="TableContents"/>
              <w:widowControl/>
              <w:bidi w:val="0"/>
              <w:spacing w:before="0" w:after="283"/>
              <w:ind w:left="0" w:right="0" w:hanging="405"/>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Non-GAAP net loss in Q4 2023 was $</w:t>
            </w:r>
            <w:r>
              <w:rPr>
                <w:rFonts w:ascii="times new roman;times" w:hAnsi="times new roman;times"/>
                <w:b w:val="false"/>
                <w:color w:val="000000"/>
                <w:spacing w:val="0"/>
                <w:sz w:val="20"/>
              </w:rPr>
              <w:t>(1.2)</w:t>
            </w:r>
            <w:r>
              <w:rPr>
                <w:rFonts w:ascii="times new roman;times" w:hAnsi="times new roman;times"/>
                <w:b w:val="false"/>
                <w:color w:val="000000"/>
                <w:spacing w:val="0"/>
                <w:sz w:val="20"/>
              </w:rPr>
              <w:t> million, or $</w:t>
            </w:r>
            <w:r>
              <w:rPr>
                <w:rFonts w:ascii="times new roman;times" w:hAnsi="times new roman;times"/>
                <w:b w:val="false"/>
                <w:color w:val="000000"/>
                <w:spacing w:val="0"/>
                <w:sz w:val="20"/>
              </w:rPr>
              <w:t>(0.05)</w:t>
            </w:r>
            <w:r>
              <w:rPr>
                <w:rFonts w:ascii="times new roman;times" w:hAnsi="times new roman;times"/>
                <w:b w:val="false"/>
                <w:color w:val="000000"/>
                <w:spacing w:val="0"/>
                <w:sz w:val="20"/>
              </w:rPr>
              <w:t> per share, compared to a Non-GAAP net loss of $(2.3) million, or $(0.09) per share, in Q4 2022 and a Non-GAAP net loss of $(1.2) million, or $(0.05) per share, in Q3 2023. Net loss was flat sequentially, while the year-over-year improvement in net loss was driven by an increase in interest income by $0.6 million and an increase in operating income by $0.5 million.</w:t>
            </w:r>
          </w:p>
        </w:tc>
      </w:tr>
    </w:tbl>
    <w:p>
      <w:pPr>
        <w:pStyle w:val="TextBody"/>
        <w:bidi w:val="0"/>
        <w:spacing w:lineRule="auto" w:line="288" w:before="0" w:after="0"/>
        <w:ind w:left="406" w:right="0" w:hanging="406"/>
        <w:jc w:val="both"/>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2</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pPr>
      <w:r>
        <w:rPr/>
        <w:drawing>
          <wp:inline distT="0" distB="0" distL="0" distR="0">
            <wp:extent cx="1609725" cy="39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09725" cy="390525"/>
                    </a:xfrm>
                    <a:prstGeom prst="rect">
                      <a:avLst/>
                    </a:prstGeom>
                  </pic:spPr>
                </pic:pic>
              </a:graphicData>
            </a:graphic>
          </wp:inline>
        </w:drawing>
      </w:r>
    </w:p>
    <w:p>
      <w:pPr>
        <w:pStyle w:val="TextBody"/>
        <w:bidi w:val="0"/>
        <w:spacing w:lineRule="auto" w:line="288" w:before="0" w:after="0"/>
        <w:ind w:left="0" w:right="0" w:hanging="0"/>
        <w:jc w:val="both"/>
        <w:rPr/>
      </w:pPr>
      <w:r>
        <w:rPr/>
      </w:r>
    </w:p>
    <w:tbl>
      <w:tblPr>
        <w:tblW w:w="5000" w:type="pct"/>
        <w:jc w:val="left"/>
        <w:tblInd w:w="0" w:type="dxa"/>
        <w:tblLayout w:type="fixed"/>
        <w:tblCellMar>
          <w:top w:w="0" w:type="dxa"/>
          <w:left w:w="0" w:type="dxa"/>
          <w:bottom w:w="0" w:type="dxa"/>
          <w:right w:w="0" w:type="dxa"/>
        </w:tblCellMar>
      </w:tblPr>
      <w:tblGrid>
        <w:gridCol w:w="2156"/>
        <w:gridCol w:w="145"/>
        <w:gridCol w:w="572"/>
        <w:gridCol w:w="87"/>
        <w:gridCol w:w="87"/>
        <w:gridCol w:w="145"/>
        <w:gridCol w:w="590"/>
        <w:gridCol w:w="100"/>
        <w:gridCol w:w="87"/>
        <w:gridCol w:w="2020"/>
        <w:gridCol w:w="106"/>
        <w:gridCol w:w="87"/>
        <w:gridCol w:w="144"/>
        <w:gridCol w:w="610"/>
        <w:gridCol w:w="87"/>
        <w:gridCol w:w="87"/>
        <w:gridCol w:w="145"/>
        <w:gridCol w:w="610"/>
        <w:gridCol w:w="100"/>
        <w:gridCol w:w="87"/>
        <w:gridCol w:w="2020"/>
        <w:gridCol w:w="133"/>
      </w:tblGrid>
      <w:tr>
        <w:trPr/>
        <w:tc>
          <w:tcPr>
            <w:tcW w:w="2156" w:type="dxa"/>
            <w:tcBorders/>
            <w:vAlign w:val="center"/>
          </w:tcPr>
          <w:p>
            <w:pPr>
              <w:pStyle w:val="TableContents"/>
              <w:bidi w:val="0"/>
              <w:spacing w:before="0" w:after="0"/>
              <w:ind w:left="0" w:right="0" w:hanging="0"/>
              <w:jc w:val="left"/>
              <w:rPr>
                <w:rFonts w:ascii="times new roman;times" w:hAnsi="times new roman;times"/>
                <w:b/>
                <w:sz w:val="20"/>
              </w:rPr>
            </w:pPr>
            <w:r>
              <w:rPr>
                <w:rFonts w:ascii="times new roman;times" w:hAnsi="times new roman;times"/>
                <w:b/>
                <w:sz w:val="20"/>
              </w:rPr>
              <w:t xml:space="preserve">($ in 000, except per share) </w:t>
            </w:r>
          </w:p>
        </w:tc>
        <w:tc>
          <w:tcPr>
            <w:tcW w:w="145" w:type="dxa"/>
            <w:tcBorders/>
            <w:vAlign w:val="center"/>
          </w:tcPr>
          <w:p>
            <w:pPr>
              <w:pStyle w:val="TableContents"/>
              <w:bidi w:val="0"/>
              <w:spacing w:before="0" w:after="0"/>
              <w:ind w:left="0" w:right="0" w:hanging="0"/>
              <w:jc w:val="left"/>
              <w:rPr/>
            </w:pPr>
            <w:r>
              <w:rPr/>
              <w:t xml:space="preserve">  </w:t>
            </w:r>
          </w:p>
        </w:tc>
        <w:tc>
          <w:tcPr>
            <w:tcW w:w="3688" w:type="dxa"/>
            <w:gridSpan w:val="8"/>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Three months ended December 31,</w:t>
            </w:r>
            <w:r>
              <w:rPr>
                <w:rFonts w:ascii="times new roman;times" w:hAnsi="times new roman;times"/>
                <w:b/>
                <w:sz w:val="20"/>
              </w:rPr>
              <w:t xml:space="preserve"> </w:t>
            </w:r>
          </w:p>
        </w:tc>
        <w:tc>
          <w:tcPr>
            <w:tcW w:w="106" w:type="dxa"/>
            <w:tcBorders/>
            <w:vAlign w:val="center"/>
          </w:tcPr>
          <w:p>
            <w:pPr>
              <w:pStyle w:val="TableContents"/>
              <w:bidi w:val="0"/>
              <w:spacing w:before="0" w:after="0"/>
              <w:ind w:left="0" w:right="0" w:hanging="0"/>
              <w:jc w:val="center"/>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144" w:type="dxa"/>
            <w:tcBorders/>
            <w:vAlign w:val="center"/>
          </w:tcPr>
          <w:p>
            <w:pPr>
              <w:pStyle w:val="TableContents"/>
              <w:bidi w:val="0"/>
              <w:spacing w:before="0" w:after="0"/>
              <w:ind w:left="0" w:right="0" w:hanging="0"/>
              <w:jc w:val="left"/>
              <w:rPr/>
            </w:pPr>
            <w:r>
              <w:rPr/>
              <w:t xml:space="preserve">  </w:t>
            </w:r>
          </w:p>
        </w:tc>
        <w:tc>
          <w:tcPr>
            <w:tcW w:w="3746" w:type="dxa"/>
            <w:gridSpan w:val="8"/>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Year ended December 31, </w:t>
            </w:r>
          </w:p>
        </w:tc>
        <w:tc>
          <w:tcPr>
            <w:tcW w:w="133" w:type="dxa"/>
            <w:tcBorders/>
            <w:vAlign w:val="center"/>
          </w:tcPr>
          <w:p>
            <w:pPr>
              <w:pStyle w:val="TableContents"/>
              <w:bidi w:val="0"/>
              <w:spacing w:before="0" w:after="0"/>
              <w:ind w:left="0" w:right="0" w:hanging="0"/>
              <w:jc w:val="left"/>
              <w:rPr/>
            </w:pPr>
            <w:r>
              <w:rPr/>
              <w:t xml:space="preserve">  </w:t>
            </w:r>
          </w:p>
        </w:tc>
      </w:tr>
      <w:tr>
        <w:trPr/>
        <w:tc>
          <w:tcPr>
            <w:tcW w:w="2156" w:type="dxa"/>
            <w:tcBorders/>
            <w:vAlign w:val="center"/>
          </w:tcPr>
          <w:p>
            <w:pPr>
              <w:pStyle w:val="TableContents"/>
              <w:bidi w:val="0"/>
              <w:spacing w:before="0" w:after="0"/>
              <w:ind w:left="0" w:right="0" w:hanging="0"/>
              <w:jc w:val="center"/>
              <w:rPr/>
            </w:pPr>
            <w:r>
              <w:rPr/>
              <w:t xml:space="preserve">  </w:t>
            </w:r>
          </w:p>
        </w:tc>
        <w:tc>
          <w:tcPr>
            <w:tcW w:w="145" w:type="dxa"/>
            <w:tcBorders/>
            <w:vAlign w:val="center"/>
          </w:tcPr>
          <w:p>
            <w:pPr>
              <w:pStyle w:val="TableContents"/>
              <w:bidi w:val="0"/>
              <w:spacing w:before="0" w:after="0"/>
              <w:ind w:left="0" w:right="0" w:hanging="0"/>
              <w:jc w:val="left"/>
              <w:rPr/>
            </w:pPr>
            <w:r>
              <w:rPr/>
              <w:t xml:space="preserve">  </w:t>
            </w:r>
          </w:p>
        </w:tc>
        <w:tc>
          <w:tcPr>
            <w:tcW w:w="572"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2023 </w:t>
            </w:r>
          </w:p>
        </w:tc>
        <w:tc>
          <w:tcPr>
            <w:tcW w:w="87" w:type="dxa"/>
            <w:tcBorders/>
            <w:vAlign w:val="center"/>
          </w:tcPr>
          <w:p>
            <w:pPr>
              <w:pStyle w:val="TableContents"/>
              <w:bidi w:val="0"/>
              <w:spacing w:before="0" w:after="0"/>
              <w:ind w:left="0" w:right="0" w:hanging="0"/>
              <w:jc w:val="center"/>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145" w:type="dxa"/>
            <w:tcBorders/>
            <w:vAlign w:val="center"/>
          </w:tcPr>
          <w:p>
            <w:pPr>
              <w:pStyle w:val="TableContents"/>
              <w:bidi w:val="0"/>
              <w:spacing w:before="0" w:after="0"/>
              <w:ind w:left="0" w:right="0" w:hanging="0"/>
              <w:jc w:val="left"/>
              <w:rPr/>
            </w:pPr>
            <w:r>
              <w:rPr/>
              <w:t xml:space="preserve">  </w:t>
            </w:r>
          </w:p>
        </w:tc>
        <w:tc>
          <w:tcPr>
            <w:tcW w:w="590"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2022 </w:t>
            </w:r>
          </w:p>
        </w:tc>
        <w:tc>
          <w:tcPr>
            <w:tcW w:w="100" w:type="dxa"/>
            <w:tcBorders/>
            <w:vAlign w:val="center"/>
          </w:tcPr>
          <w:p>
            <w:pPr>
              <w:pStyle w:val="TableContents"/>
              <w:bidi w:val="0"/>
              <w:spacing w:before="0" w:after="0"/>
              <w:ind w:left="0" w:right="0" w:hanging="0"/>
              <w:jc w:val="center"/>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2020"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Change in % Favorable/(Adverse) </w:t>
            </w:r>
          </w:p>
        </w:tc>
        <w:tc>
          <w:tcPr>
            <w:tcW w:w="106" w:type="dxa"/>
            <w:tcBorders/>
            <w:vAlign w:val="center"/>
          </w:tcPr>
          <w:p>
            <w:pPr>
              <w:pStyle w:val="TableContents"/>
              <w:bidi w:val="0"/>
              <w:spacing w:before="0" w:after="0"/>
              <w:ind w:left="0" w:right="0" w:hanging="0"/>
              <w:jc w:val="center"/>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144" w:type="dxa"/>
            <w:tcBorders/>
            <w:vAlign w:val="center"/>
          </w:tcPr>
          <w:p>
            <w:pPr>
              <w:pStyle w:val="TableContents"/>
              <w:bidi w:val="0"/>
              <w:spacing w:before="0" w:after="0"/>
              <w:ind w:left="0" w:right="0" w:hanging="0"/>
              <w:jc w:val="left"/>
              <w:rPr/>
            </w:pPr>
            <w:r>
              <w:rPr/>
              <w:t xml:space="preserve">  </w:t>
            </w:r>
          </w:p>
        </w:tc>
        <w:tc>
          <w:tcPr>
            <w:tcW w:w="610"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2023 </w:t>
            </w:r>
          </w:p>
        </w:tc>
        <w:tc>
          <w:tcPr>
            <w:tcW w:w="87" w:type="dxa"/>
            <w:tcBorders/>
            <w:vAlign w:val="center"/>
          </w:tcPr>
          <w:p>
            <w:pPr>
              <w:pStyle w:val="TableContents"/>
              <w:bidi w:val="0"/>
              <w:spacing w:before="0" w:after="0"/>
              <w:ind w:left="0" w:right="0" w:hanging="0"/>
              <w:jc w:val="lef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145" w:type="dxa"/>
            <w:tcBorders/>
            <w:vAlign w:val="center"/>
          </w:tcPr>
          <w:p>
            <w:pPr>
              <w:pStyle w:val="TableContents"/>
              <w:bidi w:val="0"/>
              <w:spacing w:before="0" w:after="0"/>
              <w:ind w:left="0" w:right="0" w:hanging="0"/>
              <w:jc w:val="left"/>
              <w:rPr/>
            </w:pPr>
            <w:r>
              <w:rPr/>
              <w:t xml:space="preserve">  </w:t>
            </w:r>
          </w:p>
        </w:tc>
        <w:tc>
          <w:tcPr>
            <w:tcW w:w="610"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2022 </w:t>
            </w:r>
          </w:p>
        </w:tc>
        <w:tc>
          <w:tcPr>
            <w:tcW w:w="100" w:type="dxa"/>
            <w:tcBorders/>
            <w:vAlign w:val="center"/>
          </w:tcPr>
          <w:p>
            <w:pPr>
              <w:pStyle w:val="TableContents"/>
              <w:bidi w:val="0"/>
              <w:spacing w:before="0" w:after="0"/>
              <w:ind w:left="0" w:right="0" w:hanging="0"/>
              <w:jc w:val="lef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2020"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Change in % Favorable/(Adverse) </w:t>
            </w:r>
          </w:p>
        </w:tc>
        <w:tc>
          <w:tcPr>
            <w:tcW w:w="133" w:type="dxa"/>
            <w:tcBorders/>
            <w:vAlign w:val="center"/>
          </w:tcPr>
          <w:p>
            <w:pPr>
              <w:pStyle w:val="TableContents"/>
              <w:bidi w:val="0"/>
              <w:spacing w:before="0" w:after="0"/>
              <w:ind w:left="0" w:right="0" w:hanging="0"/>
              <w:jc w:val="left"/>
              <w:rPr/>
            </w:pPr>
            <w:r>
              <w:rPr/>
              <w:t xml:space="preserve">  </w:t>
            </w:r>
          </w:p>
        </w:tc>
      </w:tr>
      <w:tr>
        <w:trPr/>
        <w:tc>
          <w:tcPr>
            <w:tcW w:w="2156" w:type="dxa"/>
            <w:tcBorders/>
            <w:shd w:fill="CCEEFF" w:val="clear"/>
            <w:vAlign w:val="center"/>
          </w:tcPr>
          <w:p>
            <w:pPr>
              <w:pStyle w:val="TableContents"/>
              <w:bidi w:val="0"/>
              <w:spacing w:before="0" w:after="0"/>
              <w:ind w:left="0" w:right="0" w:hanging="0"/>
              <w:jc w:val="left"/>
              <w:rPr>
                <w:rFonts w:ascii="times new roman;times" w:hAnsi="times new roman;times"/>
                <w:b/>
                <w:sz w:val="20"/>
                <w:u w:val="single"/>
              </w:rPr>
            </w:pPr>
            <w:r>
              <w:rPr>
                <w:rFonts w:ascii="times new roman;times" w:hAnsi="times new roman;times"/>
                <w:b/>
                <w:sz w:val="20"/>
                <w:u w:val="single"/>
              </w:rPr>
              <w:t xml:space="preserve">GAAP </w:t>
            </w:r>
          </w:p>
        </w:tc>
        <w:tc>
          <w:tcPr>
            <w:tcW w:w="145" w:type="dxa"/>
            <w:tcBorders/>
            <w:shd w:fill="CCEEFF" w:val="clear"/>
            <w:vAlign w:val="center"/>
          </w:tcPr>
          <w:p>
            <w:pPr>
              <w:pStyle w:val="TableContents"/>
              <w:bidi w:val="0"/>
              <w:spacing w:before="0" w:after="0"/>
              <w:ind w:left="0" w:right="0" w:hanging="0"/>
              <w:jc w:val="left"/>
              <w:rPr/>
            </w:pPr>
            <w:r>
              <w:rPr/>
              <w:t xml:space="preserve">  </w:t>
            </w:r>
          </w:p>
        </w:tc>
        <w:tc>
          <w:tcPr>
            <w:tcW w:w="572" w:type="dxa"/>
            <w:tcBorders/>
            <w:shd w:fill="CCEEFF" w:val="clear"/>
            <w:vAlign w:val="center"/>
          </w:tcPr>
          <w:p>
            <w:pPr>
              <w:pStyle w:val="TableContents"/>
              <w:bidi w:val="0"/>
              <w:spacing w:before="0" w:after="0"/>
              <w:ind w:left="0" w:right="0" w:hanging="0"/>
              <w:jc w:val="left"/>
              <w:rPr/>
            </w:pPr>
            <w:r>
              <w:rPr/>
              <w:t xml:space="preserve">  </w:t>
            </w:r>
          </w:p>
        </w:tc>
        <w:tc>
          <w:tcPr>
            <w:tcW w:w="87" w:type="dxa"/>
            <w:tcBorders/>
            <w:shd w:fill="CCEEFF" w:val="clear"/>
            <w:vAlign w:val="center"/>
          </w:tcPr>
          <w:p>
            <w:pPr>
              <w:pStyle w:val="TableContents"/>
              <w:bidi w:val="0"/>
              <w:spacing w:before="0" w:after="0"/>
              <w:ind w:left="0" w:right="0" w:hanging="0"/>
              <w:jc w:val="center"/>
              <w:rPr/>
            </w:pPr>
            <w:r>
              <w:rPr/>
              <w:t xml:space="preserve">  </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145" w:type="dxa"/>
            <w:tcBorders/>
            <w:shd w:fill="CCEEFF" w:val="clear"/>
            <w:vAlign w:val="center"/>
          </w:tcPr>
          <w:p>
            <w:pPr>
              <w:pStyle w:val="TableContents"/>
              <w:bidi w:val="0"/>
              <w:spacing w:before="0" w:after="0"/>
              <w:ind w:left="0" w:right="0" w:hanging="0"/>
              <w:jc w:val="left"/>
              <w:rPr/>
            </w:pPr>
            <w:r>
              <w:rPr/>
              <w:t xml:space="preserve">  </w:t>
            </w:r>
          </w:p>
        </w:tc>
        <w:tc>
          <w:tcPr>
            <w:tcW w:w="590" w:type="dxa"/>
            <w:tcBorders/>
            <w:shd w:fill="CCEEFF" w:val="clear"/>
            <w:vAlign w:val="center"/>
          </w:tcPr>
          <w:p>
            <w:pPr>
              <w:pStyle w:val="TableContents"/>
              <w:bidi w:val="0"/>
              <w:spacing w:before="0" w:after="0"/>
              <w:ind w:left="0" w:right="0" w:hanging="0"/>
              <w:jc w:val="left"/>
              <w:rPr/>
            </w:pPr>
            <w:r>
              <w:rPr/>
              <w:t xml:space="preserve">  </w:t>
            </w:r>
          </w:p>
        </w:tc>
        <w:tc>
          <w:tcPr>
            <w:tcW w:w="100" w:type="dxa"/>
            <w:tcBorders/>
            <w:shd w:fill="CCEEFF" w:val="clear"/>
            <w:vAlign w:val="center"/>
          </w:tcPr>
          <w:p>
            <w:pPr>
              <w:pStyle w:val="TableContents"/>
              <w:bidi w:val="0"/>
              <w:spacing w:before="0" w:after="0"/>
              <w:ind w:left="0" w:right="0" w:hanging="0"/>
              <w:jc w:val="center"/>
              <w:rPr/>
            </w:pPr>
            <w:r>
              <w:rPr/>
              <w:t xml:space="preserve">  </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2020" w:type="dxa"/>
            <w:tcBorders/>
            <w:shd w:fill="CCEEFF" w:val="clear"/>
            <w:vAlign w:val="center"/>
          </w:tcPr>
          <w:p>
            <w:pPr>
              <w:pStyle w:val="TableContents"/>
              <w:bidi w:val="0"/>
              <w:spacing w:before="0" w:after="0"/>
              <w:ind w:left="0" w:right="0" w:hanging="0"/>
              <w:jc w:val="left"/>
              <w:rPr/>
            </w:pPr>
            <w:r>
              <w:rPr/>
              <w:t xml:space="preserve">  </w:t>
            </w:r>
          </w:p>
        </w:tc>
        <w:tc>
          <w:tcPr>
            <w:tcW w:w="106" w:type="dxa"/>
            <w:tcBorders/>
            <w:shd w:fill="CCEEFF" w:val="clear"/>
            <w:vAlign w:val="center"/>
          </w:tcPr>
          <w:p>
            <w:pPr>
              <w:pStyle w:val="TableContents"/>
              <w:bidi w:val="0"/>
              <w:spacing w:before="0" w:after="0"/>
              <w:ind w:left="0" w:right="0" w:hanging="0"/>
              <w:jc w:val="center"/>
              <w:rPr/>
            </w:pPr>
            <w:r>
              <w:rPr/>
              <w:t xml:space="preserve">  </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144" w:type="dxa"/>
            <w:tcBorders/>
            <w:shd w:fill="CCEEFF" w:val="clear"/>
            <w:vAlign w:val="center"/>
          </w:tcPr>
          <w:p>
            <w:pPr>
              <w:pStyle w:val="TableContents"/>
              <w:bidi w:val="0"/>
              <w:spacing w:before="0" w:after="0"/>
              <w:ind w:left="0" w:right="0" w:hanging="0"/>
              <w:jc w:val="left"/>
              <w:rPr/>
            </w:pPr>
            <w:r>
              <w:rPr/>
              <w:t xml:space="preserve">  </w:t>
            </w:r>
          </w:p>
        </w:tc>
        <w:tc>
          <w:tcPr>
            <w:tcW w:w="610" w:type="dxa"/>
            <w:tcBorders/>
            <w:shd w:fill="CCEEFF" w:val="clear"/>
            <w:vAlign w:val="center"/>
          </w:tcPr>
          <w:p>
            <w:pPr>
              <w:pStyle w:val="TableContents"/>
              <w:bidi w:val="0"/>
              <w:spacing w:before="0" w:after="0"/>
              <w:ind w:left="0" w:right="0" w:hanging="0"/>
              <w:jc w:val="left"/>
              <w:rPr/>
            </w:pPr>
            <w:r>
              <w:rPr/>
              <w:t xml:space="preserve">  </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145" w:type="dxa"/>
            <w:tcBorders/>
            <w:shd w:fill="CCEEFF" w:val="clear"/>
            <w:vAlign w:val="center"/>
          </w:tcPr>
          <w:p>
            <w:pPr>
              <w:pStyle w:val="TableContents"/>
              <w:bidi w:val="0"/>
              <w:spacing w:before="0" w:after="0"/>
              <w:ind w:left="0" w:right="0" w:hanging="0"/>
              <w:jc w:val="left"/>
              <w:rPr/>
            </w:pPr>
            <w:r>
              <w:rPr/>
              <w:t xml:space="preserve">  </w:t>
            </w:r>
          </w:p>
        </w:tc>
        <w:tc>
          <w:tcPr>
            <w:tcW w:w="610" w:type="dxa"/>
            <w:tcBorders/>
            <w:shd w:fill="CCEEFF" w:val="clear"/>
            <w:vAlign w:val="center"/>
          </w:tcPr>
          <w:p>
            <w:pPr>
              <w:pStyle w:val="TableContents"/>
              <w:bidi w:val="0"/>
              <w:spacing w:before="0" w:after="0"/>
              <w:ind w:left="0" w:right="0" w:hanging="0"/>
              <w:jc w:val="left"/>
              <w:rPr/>
            </w:pPr>
            <w:r>
              <w:rPr/>
              <w:t xml:space="preserve">  </w:t>
            </w:r>
          </w:p>
        </w:tc>
        <w:tc>
          <w:tcPr>
            <w:tcW w:w="100" w:type="dxa"/>
            <w:tcBorders/>
            <w:shd w:fill="CCEEFF" w:val="clear"/>
            <w:vAlign w:val="center"/>
          </w:tcPr>
          <w:p>
            <w:pPr>
              <w:pStyle w:val="TableContents"/>
              <w:bidi w:val="0"/>
              <w:spacing w:before="0" w:after="0"/>
              <w:ind w:left="0" w:right="0" w:hanging="0"/>
              <w:jc w:val="left"/>
              <w:rPr/>
            </w:pPr>
            <w:r>
              <w:rPr/>
              <w:t xml:space="preserve">  </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2020" w:type="dxa"/>
            <w:tcBorders/>
            <w:shd w:fill="CCEEFF" w:val="clear"/>
            <w:vAlign w:val="center"/>
          </w:tcPr>
          <w:p>
            <w:pPr>
              <w:pStyle w:val="TableContents"/>
              <w:bidi w:val="0"/>
              <w:spacing w:before="0" w:after="0"/>
              <w:ind w:left="0" w:right="0" w:hanging="0"/>
              <w:jc w:val="left"/>
              <w:rPr/>
            </w:pPr>
            <w:r>
              <w:rPr/>
              <w:t xml:space="preserve">  </w:t>
            </w:r>
          </w:p>
        </w:tc>
        <w:tc>
          <w:tcPr>
            <w:tcW w:w="133" w:type="dxa"/>
            <w:tcBorders/>
            <w:shd w:fill="CCEEFF" w:val="clear"/>
            <w:vAlign w:val="center"/>
          </w:tcPr>
          <w:p>
            <w:pPr>
              <w:pStyle w:val="TableContents"/>
              <w:bidi w:val="0"/>
              <w:spacing w:before="0" w:after="0"/>
              <w:ind w:left="0" w:right="0" w:hanging="0"/>
              <w:jc w:val="left"/>
              <w:rPr/>
            </w:pPr>
            <w:r>
              <w:rPr/>
              <w:t xml:space="preserve">  </w:t>
            </w:r>
          </w:p>
        </w:tc>
      </w:tr>
      <w:tr>
        <w:trPr/>
        <w:tc>
          <w:tcPr>
            <w:tcW w:w="2156"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Revenue </w:t>
            </w:r>
          </w:p>
        </w:tc>
        <w:tc>
          <w:tcPr>
            <w:tcW w:w="14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57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4,154 </w:t>
            </w:r>
          </w:p>
        </w:tc>
        <w:tc>
          <w:tcPr>
            <w:tcW w:w="87" w:type="dxa"/>
            <w:tcBorders/>
            <w:vAlign w:val="center"/>
          </w:tcPr>
          <w:p>
            <w:pPr>
              <w:pStyle w:val="TableContents"/>
              <w:bidi w:val="0"/>
              <w:spacing w:before="0" w:after="0"/>
              <w:ind w:left="0" w:right="0" w:hanging="0"/>
              <w:jc w:val="lef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14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59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4,021 </w:t>
            </w:r>
          </w:p>
        </w:tc>
        <w:tc>
          <w:tcPr>
            <w:tcW w:w="100" w:type="dxa"/>
            <w:tcBorders/>
            <w:vAlign w:val="center"/>
          </w:tcPr>
          <w:p>
            <w:pPr>
              <w:pStyle w:val="TableContents"/>
              <w:bidi w:val="0"/>
              <w:spacing w:before="0" w:after="0"/>
              <w:ind w:left="0" w:right="0" w:hanging="0"/>
              <w:jc w:val="lef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202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3 </w:t>
            </w:r>
          </w:p>
        </w:tc>
        <w:tc>
          <w:tcPr>
            <w:tcW w:w="106" w:type="dxa"/>
            <w:tcBorders/>
            <w:vAlign w:val="center"/>
          </w:tcPr>
          <w:p>
            <w:pPr>
              <w:pStyle w:val="TableContents"/>
              <w:bidi w:val="0"/>
              <w:spacing w:before="0" w:after="0"/>
              <w:ind w:left="0" w:right="0" w:hanging="0"/>
              <w:jc w:val="left"/>
              <w:rPr/>
            </w:pPr>
            <w:r>
              <w:rPr/>
            </w:r>
          </w:p>
        </w:tc>
        <w:tc>
          <w:tcPr>
            <w:tcW w:w="87" w:type="dxa"/>
            <w:tcBorders/>
            <w:vAlign w:val="center"/>
          </w:tcPr>
          <w:p>
            <w:pPr>
              <w:pStyle w:val="TableContents"/>
              <w:bidi w:val="0"/>
              <w:spacing w:before="0" w:after="0"/>
              <w:ind w:left="0" w:right="0" w:hanging="0"/>
              <w:jc w:val="left"/>
              <w:rPr/>
            </w:pPr>
            <w:r>
              <w:rPr/>
              <w:t xml:space="preserve">  </w:t>
            </w:r>
          </w:p>
        </w:tc>
        <w:tc>
          <w:tcPr>
            <w:tcW w:w="14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61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18,704 </w:t>
            </w:r>
          </w:p>
        </w:tc>
        <w:tc>
          <w:tcPr>
            <w:tcW w:w="87" w:type="dxa"/>
            <w:tcBorders/>
            <w:vAlign w:val="center"/>
          </w:tcPr>
          <w:p>
            <w:pPr>
              <w:pStyle w:val="TableContents"/>
              <w:bidi w:val="0"/>
              <w:spacing w:before="0" w:after="0"/>
              <w:ind w:left="0" w:right="0" w:hanging="0"/>
              <w:jc w:val="lef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14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61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25,205 </w:t>
            </w:r>
          </w:p>
        </w:tc>
        <w:tc>
          <w:tcPr>
            <w:tcW w:w="100" w:type="dxa"/>
            <w:tcBorders/>
            <w:vAlign w:val="center"/>
          </w:tcPr>
          <w:p>
            <w:pPr>
              <w:pStyle w:val="TableContents"/>
              <w:bidi w:val="0"/>
              <w:spacing w:before="0" w:after="0"/>
              <w:ind w:left="0" w:right="0" w:hanging="0"/>
              <w:jc w:val="lef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202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(26 </w:t>
            </w:r>
          </w:p>
        </w:tc>
        <w:tc>
          <w:tcPr>
            <w:tcW w:w="133"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r>
        <w:trPr/>
        <w:tc>
          <w:tcPr>
            <w:tcW w:w="2156"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Gross profit </w:t>
            </w:r>
          </w:p>
        </w:tc>
        <w:tc>
          <w:tcPr>
            <w:tcW w:w="145" w:type="dxa"/>
            <w:tcBorders/>
            <w:shd w:fill="CCEEFF" w:val="clear"/>
            <w:vAlign w:val="center"/>
          </w:tcPr>
          <w:p>
            <w:pPr>
              <w:pStyle w:val="TableContents"/>
              <w:bidi w:val="0"/>
              <w:spacing w:before="0" w:after="0"/>
              <w:ind w:left="0" w:right="0" w:hanging="0"/>
              <w:jc w:val="right"/>
              <w:rPr/>
            </w:pPr>
            <w:r>
              <w:rPr/>
              <w:t xml:space="preserve">  </w:t>
            </w:r>
          </w:p>
        </w:tc>
        <w:tc>
          <w:tcPr>
            <w:tcW w:w="57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1,578 </w:t>
            </w:r>
          </w:p>
        </w:tc>
        <w:tc>
          <w:tcPr>
            <w:tcW w:w="87" w:type="dxa"/>
            <w:tcBorders/>
            <w:shd w:fill="CCEEFF" w:val="clear"/>
            <w:vAlign w:val="center"/>
          </w:tcPr>
          <w:p>
            <w:pPr>
              <w:pStyle w:val="TableContents"/>
              <w:bidi w:val="0"/>
              <w:spacing w:before="0" w:after="0"/>
              <w:ind w:left="0" w:right="0" w:hanging="0"/>
              <w:jc w:val="right"/>
              <w:rPr/>
            </w:pPr>
            <w:r>
              <w:rPr/>
              <w:t xml:space="preserve">  </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145" w:type="dxa"/>
            <w:tcBorders/>
            <w:shd w:fill="CCEEFF" w:val="clear"/>
            <w:vAlign w:val="center"/>
          </w:tcPr>
          <w:p>
            <w:pPr>
              <w:pStyle w:val="TableContents"/>
              <w:bidi w:val="0"/>
              <w:spacing w:before="0" w:after="0"/>
              <w:ind w:left="0" w:right="0" w:hanging="0"/>
              <w:jc w:val="right"/>
              <w:rPr/>
            </w:pPr>
            <w:r>
              <w:rPr/>
              <w:t xml:space="preserve">  </w:t>
            </w:r>
          </w:p>
        </w:tc>
        <w:tc>
          <w:tcPr>
            <w:tcW w:w="59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1,264 </w:t>
            </w:r>
          </w:p>
        </w:tc>
        <w:tc>
          <w:tcPr>
            <w:tcW w:w="100" w:type="dxa"/>
            <w:tcBorders/>
            <w:shd w:fill="CCEEFF" w:val="clear"/>
            <w:vAlign w:val="center"/>
          </w:tcPr>
          <w:p>
            <w:pPr>
              <w:pStyle w:val="TableContents"/>
              <w:bidi w:val="0"/>
              <w:spacing w:before="0" w:after="0"/>
              <w:ind w:left="0" w:right="0" w:hanging="0"/>
              <w:jc w:val="right"/>
              <w:rPr/>
            </w:pPr>
            <w:r>
              <w:rPr/>
              <w:t xml:space="preserve">  </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202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25</w:t>
            </w:r>
          </w:p>
        </w:tc>
        <w:tc>
          <w:tcPr>
            <w:tcW w:w="106" w:type="dxa"/>
            <w:tcBorders/>
            <w:shd w:fill="CCEEFF" w:val="clear"/>
            <w:vAlign w:val="center"/>
          </w:tcPr>
          <w:p>
            <w:pPr>
              <w:pStyle w:val="TableContents"/>
              <w:bidi w:val="0"/>
              <w:spacing w:before="0" w:after="283"/>
              <w:jc w:val="left"/>
              <w:rPr>
                <w:sz w:val="4"/>
                <w:szCs w:val="4"/>
              </w:rPr>
            </w:pPr>
            <w:r>
              <w:rPr>
                <w:sz w:val="4"/>
                <w:szCs w:val="4"/>
              </w:rPr>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144" w:type="dxa"/>
            <w:tcBorders/>
            <w:shd w:fill="CCEEFF" w:val="clear"/>
            <w:vAlign w:val="center"/>
          </w:tcPr>
          <w:p>
            <w:pPr>
              <w:pStyle w:val="TableContents"/>
              <w:bidi w:val="0"/>
              <w:spacing w:before="0" w:after="0"/>
              <w:ind w:left="0" w:right="0" w:hanging="0"/>
              <w:jc w:val="left"/>
              <w:rPr/>
            </w:pPr>
            <w:r>
              <w:rPr/>
              <w:t xml:space="preserve">  </w:t>
            </w:r>
          </w:p>
        </w:tc>
        <w:tc>
          <w:tcPr>
            <w:tcW w:w="61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6,357</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145" w:type="dxa"/>
            <w:tcBorders/>
            <w:shd w:fill="CCEEFF" w:val="clear"/>
            <w:vAlign w:val="center"/>
          </w:tcPr>
          <w:p>
            <w:pPr>
              <w:pStyle w:val="TableContents"/>
              <w:bidi w:val="0"/>
              <w:spacing w:before="0" w:after="0"/>
              <w:ind w:left="0" w:right="0" w:hanging="0"/>
              <w:jc w:val="left"/>
              <w:rPr/>
            </w:pPr>
            <w:r>
              <w:rPr/>
              <w:t xml:space="preserve">  </w:t>
            </w:r>
          </w:p>
        </w:tc>
        <w:tc>
          <w:tcPr>
            <w:tcW w:w="61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9,457 </w:t>
            </w:r>
          </w:p>
        </w:tc>
        <w:tc>
          <w:tcPr>
            <w:tcW w:w="100" w:type="dxa"/>
            <w:tcBorders/>
            <w:shd w:fill="CCEEFF" w:val="clear"/>
            <w:vAlign w:val="center"/>
          </w:tcPr>
          <w:p>
            <w:pPr>
              <w:pStyle w:val="TableContents"/>
              <w:bidi w:val="0"/>
              <w:spacing w:before="0" w:after="0"/>
              <w:ind w:left="0" w:right="0" w:hanging="0"/>
              <w:jc w:val="left"/>
              <w:rPr/>
            </w:pPr>
            <w:r>
              <w:rPr/>
              <w:t xml:space="preserve">  </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202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(33 </w:t>
            </w:r>
          </w:p>
        </w:tc>
        <w:tc>
          <w:tcPr>
            <w:tcW w:w="133"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r>
        <w:trPr/>
        <w:tc>
          <w:tcPr>
            <w:tcW w:w="2156"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Operating expenses </w:t>
            </w:r>
          </w:p>
        </w:tc>
        <w:tc>
          <w:tcPr>
            <w:tcW w:w="145" w:type="dxa"/>
            <w:tcBorders/>
            <w:vAlign w:val="center"/>
          </w:tcPr>
          <w:p>
            <w:pPr>
              <w:pStyle w:val="TableContents"/>
              <w:bidi w:val="0"/>
              <w:spacing w:before="0" w:after="0"/>
              <w:ind w:left="0" w:right="0" w:hanging="0"/>
              <w:jc w:val="right"/>
              <w:rPr/>
            </w:pPr>
            <w:r>
              <w:rPr/>
              <w:t xml:space="preserve">  </w:t>
            </w:r>
          </w:p>
        </w:tc>
        <w:tc>
          <w:tcPr>
            <w:tcW w:w="57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3,317 </w:t>
            </w:r>
          </w:p>
        </w:tc>
        <w:tc>
          <w:tcPr>
            <w:tcW w:w="87" w:type="dxa"/>
            <w:tcBorders/>
            <w:vAlign w:val="center"/>
          </w:tcPr>
          <w:p>
            <w:pPr>
              <w:pStyle w:val="TableContents"/>
              <w:bidi w:val="0"/>
              <w:spacing w:before="0" w:after="0"/>
              <w:ind w:left="0" w:right="0" w:hanging="0"/>
              <w:jc w:val="righ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145" w:type="dxa"/>
            <w:tcBorders/>
            <w:vAlign w:val="center"/>
          </w:tcPr>
          <w:p>
            <w:pPr>
              <w:pStyle w:val="TableContents"/>
              <w:bidi w:val="0"/>
              <w:spacing w:before="0" w:after="0"/>
              <w:ind w:left="0" w:right="0" w:hanging="0"/>
              <w:jc w:val="right"/>
              <w:rPr/>
            </w:pPr>
            <w:r>
              <w:rPr/>
              <w:t xml:space="preserve">  </w:t>
            </w:r>
          </w:p>
        </w:tc>
        <w:tc>
          <w:tcPr>
            <w:tcW w:w="59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3,854 </w:t>
            </w:r>
          </w:p>
        </w:tc>
        <w:tc>
          <w:tcPr>
            <w:tcW w:w="100" w:type="dxa"/>
            <w:tcBorders/>
            <w:vAlign w:val="center"/>
          </w:tcPr>
          <w:p>
            <w:pPr>
              <w:pStyle w:val="TableContents"/>
              <w:bidi w:val="0"/>
              <w:spacing w:before="0" w:after="0"/>
              <w:ind w:left="0" w:right="0" w:hanging="0"/>
              <w:jc w:val="righ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202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14 </w:t>
            </w:r>
          </w:p>
        </w:tc>
        <w:tc>
          <w:tcPr>
            <w:tcW w:w="106" w:type="dxa"/>
            <w:tcBorders/>
            <w:vAlign w:val="center"/>
          </w:tcPr>
          <w:p>
            <w:pPr>
              <w:pStyle w:val="TableContents"/>
              <w:bidi w:val="0"/>
              <w:spacing w:before="0" w:after="0"/>
              <w:ind w:left="0" w:right="0" w:hanging="0"/>
              <w:jc w:val="lef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144" w:type="dxa"/>
            <w:tcBorders/>
            <w:vAlign w:val="center"/>
          </w:tcPr>
          <w:p>
            <w:pPr>
              <w:pStyle w:val="TableContents"/>
              <w:bidi w:val="0"/>
              <w:spacing w:before="0" w:after="0"/>
              <w:ind w:left="0" w:right="0" w:hanging="0"/>
              <w:jc w:val="left"/>
              <w:rPr/>
            </w:pPr>
            <w:r>
              <w:rPr/>
              <w:t xml:space="preserve">  </w:t>
            </w:r>
          </w:p>
        </w:tc>
        <w:tc>
          <w:tcPr>
            <w:tcW w:w="61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13,129 </w:t>
            </w:r>
          </w:p>
        </w:tc>
        <w:tc>
          <w:tcPr>
            <w:tcW w:w="87" w:type="dxa"/>
            <w:tcBorders/>
            <w:vAlign w:val="center"/>
          </w:tcPr>
          <w:p>
            <w:pPr>
              <w:pStyle w:val="TableContents"/>
              <w:bidi w:val="0"/>
              <w:spacing w:before="0" w:after="0"/>
              <w:ind w:left="0" w:right="0" w:hanging="0"/>
              <w:jc w:val="lef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145" w:type="dxa"/>
            <w:tcBorders/>
            <w:vAlign w:val="center"/>
          </w:tcPr>
          <w:p>
            <w:pPr>
              <w:pStyle w:val="TableContents"/>
              <w:bidi w:val="0"/>
              <w:spacing w:before="0" w:after="0"/>
              <w:ind w:left="0" w:right="0" w:hanging="0"/>
              <w:jc w:val="left"/>
              <w:rPr/>
            </w:pPr>
            <w:r>
              <w:rPr/>
              <w:t xml:space="preserve">  </w:t>
            </w:r>
          </w:p>
        </w:tc>
        <w:tc>
          <w:tcPr>
            <w:tcW w:w="61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16,679 </w:t>
            </w:r>
          </w:p>
        </w:tc>
        <w:tc>
          <w:tcPr>
            <w:tcW w:w="100" w:type="dxa"/>
            <w:tcBorders/>
            <w:vAlign w:val="center"/>
          </w:tcPr>
          <w:p>
            <w:pPr>
              <w:pStyle w:val="TableContents"/>
              <w:bidi w:val="0"/>
              <w:spacing w:before="0" w:after="0"/>
              <w:ind w:left="0" w:right="0" w:hanging="0"/>
              <w:jc w:val="lef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202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21 </w:t>
            </w:r>
          </w:p>
        </w:tc>
        <w:tc>
          <w:tcPr>
            <w:tcW w:w="133" w:type="dxa"/>
            <w:tcBorders/>
            <w:vAlign w:val="center"/>
          </w:tcPr>
          <w:p>
            <w:pPr>
              <w:pStyle w:val="TableContents"/>
              <w:bidi w:val="0"/>
              <w:spacing w:before="0" w:after="0"/>
              <w:ind w:left="0" w:right="0" w:hanging="0"/>
              <w:jc w:val="left"/>
              <w:rPr/>
            </w:pPr>
            <w:r>
              <w:rPr/>
              <w:t xml:space="preserve">  </w:t>
            </w:r>
          </w:p>
        </w:tc>
      </w:tr>
      <w:tr>
        <w:trPr/>
        <w:tc>
          <w:tcPr>
            <w:tcW w:w="2156"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Operating loss </w:t>
            </w:r>
          </w:p>
        </w:tc>
        <w:tc>
          <w:tcPr>
            <w:tcW w:w="145" w:type="dxa"/>
            <w:tcBorders/>
            <w:shd w:fill="CCEEFF" w:val="clear"/>
            <w:vAlign w:val="center"/>
          </w:tcPr>
          <w:p>
            <w:pPr>
              <w:pStyle w:val="TableContents"/>
              <w:bidi w:val="0"/>
              <w:spacing w:before="0" w:after="0"/>
              <w:ind w:left="0" w:right="0" w:hanging="0"/>
              <w:jc w:val="right"/>
              <w:rPr/>
            </w:pPr>
            <w:r>
              <w:rPr/>
              <w:t xml:space="preserve">  </w:t>
            </w:r>
          </w:p>
        </w:tc>
        <w:tc>
          <w:tcPr>
            <w:tcW w:w="57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(1,739)</w:t>
            </w:r>
          </w:p>
        </w:tc>
        <w:tc>
          <w:tcPr>
            <w:tcW w:w="87" w:type="dxa"/>
            <w:tcBorders/>
            <w:shd w:fill="CCEEFF" w:val="clear"/>
            <w:vAlign w:val="center"/>
          </w:tcPr>
          <w:p>
            <w:pPr>
              <w:pStyle w:val="TableContents"/>
              <w:bidi w:val="0"/>
              <w:spacing w:before="0" w:after="283"/>
              <w:jc w:val="left"/>
              <w:rPr>
                <w:sz w:val="4"/>
                <w:szCs w:val="4"/>
              </w:rPr>
            </w:pPr>
            <w:r>
              <w:rPr>
                <w:sz w:val="4"/>
                <w:szCs w:val="4"/>
              </w:rPr>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145" w:type="dxa"/>
            <w:tcBorders/>
            <w:shd w:fill="CCEEFF" w:val="clear"/>
            <w:vAlign w:val="center"/>
          </w:tcPr>
          <w:p>
            <w:pPr>
              <w:pStyle w:val="TableContents"/>
              <w:bidi w:val="0"/>
              <w:spacing w:before="0" w:after="0"/>
              <w:ind w:left="0" w:right="0" w:hanging="0"/>
              <w:jc w:val="right"/>
              <w:rPr/>
            </w:pPr>
            <w:r>
              <w:rPr/>
              <w:t xml:space="preserve">  </w:t>
            </w:r>
          </w:p>
        </w:tc>
        <w:tc>
          <w:tcPr>
            <w:tcW w:w="59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(2,590 </w:t>
            </w:r>
          </w:p>
        </w:tc>
        <w:tc>
          <w:tcPr>
            <w:tcW w:w="10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202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33</w:t>
            </w:r>
          </w:p>
        </w:tc>
        <w:tc>
          <w:tcPr>
            <w:tcW w:w="106" w:type="dxa"/>
            <w:tcBorders/>
            <w:shd w:fill="CCEEFF" w:val="clear"/>
            <w:vAlign w:val="center"/>
          </w:tcPr>
          <w:p>
            <w:pPr>
              <w:pStyle w:val="TableContents"/>
              <w:bidi w:val="0"/>
              <w:spacing w:before="0" w:after="283"/>
              <w:jc w:val="left"/>
              <w:rPr>
                <w:sz w:val="4"/>
                <w:szCs w:val="4"/>
              </w:rPr>
            </w:pPr>
            <w:r>
              <w:rPr>
                <w:sz w:val="4"/>
                <w:szCs w:val="4"/>
              </w:rPr>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144" w:type="dxa"/>
            <w:tcBorders/>
            <w:shd w:fill="CCEEFF" w:val="clear"/>
            <w:vAlign w:val="center"/>
          </w:tcPr>
          <w:p>
            <w:pPr>
              <w:pStyle w:val="TableContents"/>
              <w:bidi w:val="0"/>
              <w:spacing w:before="0" w:after="0"/>
              <w:ind w:left="0" w:right="0" w:hanging="0"/>
              <w:jc w:val="left"/>
              <w:rPr/>
            </w:pPr>
            <w:r>
              <w:rPr/>
              <w:t xml:space="preserve">  </w:t>
            </w:r>
          </w:p>
        </w:tc>
        <w:tc>
          <w:tcPr>
            <w:tcW w:w="61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(6,772)</w:t>
            </w:r>
          </w:p>
        </w:tc>
        <w:tc>
          <w:tcPr>
            <w:tcW w:w="87" w:type="dxa"/>
            <w:tcBorders/>
            <w:shd w:fill="CCEEFF" w:val="clear"/>
            <w:vAlign w:val="center"/>
          </w:tcPr>
          <w:p>
            <w:pPr>
              <w:pStyle w:val="TableContents"/>
              <w:bidi w:val="0"/>
              <w:spacing w:before="0" w:after="283"/>
              <w:jc w:val="left"/>
              <w:rPr>
                <w:sz w:val="4"/>
                <w:szCs w:val="4"/>
              </w:rPr>
            </w:pPr>
            <w:r>
              <w:rPr>
                <w:sz w:val="4"/>
                <w:szCs w:val="4"/>
              </w:rPr>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145" w:type="dxa"/>
            <w:tcBorders/>
            <w:shd w:fill="CCEEFF" w:val="clear"/>
            <w:vAlign w:val="center"/>
          </w:tcPr>
          <w:p>
            <w:pPr>
              <w:pStyle w:val="TableContents"/>
              <w:bidi w:val="0"/>
              <w:spacing w:before="0" w:after="0"/>
              <w:ind w:left="0" w:right="0" w:hanging="0"/>
              <w:jc w:val="left"/>
              <w:rPr/>
            </w:pPr>
            <w:r>
              <w:rPr/>
              <w:t xml:space="preserve">  </w:t>
            </w:r>
          </w:p>
        </w:tc>
        <w:tc>
          <w:tcPr>
            <w:tcW w:w="61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(7,222 </w:t>
            </w:r>
          </w:p>
        </w:tc>
        <w:tc>
          <w:tcPr>
            <w:tcW w:w="10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202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6</w:t>
            </w:r>
          </w:p>
        </w:tc>
        <w:tc>
          <w:tcPr>
            <w:tcW w:w="133" w:type="dxa"/>
            <w:tcBorders/>
            <w:shd w:fill="CCEEFF" w:val="clear"/>
            <w:vAlign w:val="center"/>
          </w:tcPr>
          <w:p>
            <w:pPr>
              <w:pStyle w:val="TableContents"/>
              <w:bidi w:val="0"/>
              <w:spacing w:before="0" w:after="283"/>
              <w:jc w:val="left"/>
              <w:rPr>
                <w:sz w:val="4"/>
                <w:szCs w:val="4"/>
              </w:rPr>
            </w:pPr>
            <w:r>
              <w:rPr>
                <w:sz w:val="4"/>
                <w:szCs w:val="4"/>
              </w:rPr>
            </w:r>
          </w:p>
        </w:tc>
      </w:tr>
      <w:tr>
        <w:trPr/>
        <w:tc>
          <w:tcPr>
            <w:tcW w:w="2156"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Net income (loss)</w:t>
            </w:r>
          </w:p>
        </w:tc>
        <w:tc>
          <w:tcPr>
            <w:tcW w:w="145" w:type="dxa"/>
            <w:tcBorders/>
            <w:vAlign w:val="center"/>
          </w:tcPr>
          <w:p>
            <w:pPr>
              <w:pStyle w:val="TableContents"/>
              <w:bidi w:val="0"/>
              <w:spacing w:before="0" w:after="0"/>
              <w:ind w:left="0" w:right="0" w:hanging="0"/>
              <w:jc w:val="right"/>
              <w:rPr/>
            </w:pPr>
            <w:r>
              <w:rPr/>
              <w:t xml:space="preserve">  </w:t>
            </w:r>
          </w:p>
        </w:tc>
        <w:tc>
          <w:tcPr>
            <w:tcW w:w="57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2,642</w:t>
            </w:r>
          </w:p>
        </w:tc>
        <w:tc>
          <w:tcPr>
            <w:tcW w:w="87"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0"/>
              <w:ind w:left="0" w:right="0" w:hanging="0"/>
              <w:jc w:val="left"/>
              <w:rPr/>
            </w:pPr>
            <w:r>
              <w:rPr/>
              <w:t xml:space="preserve">  </w:t>
            </w:r>
          </w:p>
        </w:tc>
        <w:tc>
          <w:tcPr>
            <w:tcW w:w="145" w:type="dxa"/>
            <w:tcBorders/>
            <w:vAlign w:val="center"/>
          </w:tcPr>
          <w:p>
            <w:pPr>
              <w:pStyle w:val="TableContents"/>
              <w:bidi w:val="0"/>
              <w:spacing w:before="0" w:after="0"/>
              <w:ind w:left="0" w:right="0" w:hanging="0"/>
              <w:jc w:val="right"/>
              <w:rPr/>
            </w:pPr>
            <w:r>
              <w:rPr/>
              <w:t xml:space="preserve">  </w:t>
            </w:r>
          </w:p>
        </w:tc>
        <w:tc>
          <w:tcPr>
            <w:tcW w:w="59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24,028</w:t>
            </w:r>
          </w:p>
        </w:tc>
        <w:tc>
          <w:tcPr>
            <w:tcW w:w="10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0"/>
              <w:ind w:left="0" w:right="0" w:hanging="0"/>
              <w:jc w:val="left"/>
              <w:rPr/>
            </w:pPr>
            <w:r>
              <w:rPr/>
              <w:t xml:space="preserve">  </w:t>
            </w:r>
          </w:p>
        </w:tc>
        <w:tc>
          <w:tcPr>
            <w:tcW w:w="202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89</w:t>
            </w:r>
          </w:p>
        </w:tc>
        <w:tc>
          <w:tcPr>
            <w:tcW w:w="106"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0"/>
              <w:ind w:left="0" w:right="0" w:hanging="0"/>
              <w:jc w:val="left"/>
              <w:rPr/>
            </w:pPr>
            <w:r>
              <w:rPr/>
              <w:t xml:space="preserve">  </w:t>
            </w:r>
          </w:p>
        </w:tc>
        <w:tc>
          <w:tcPr>
            <w:tcW w:w="144" w:type="dxa"/>
            <w:tcBorders/>
            <w:vAlign w:val="center"/>
          </w:tcPr>
          <w:p>
            <w:pPr>
              <w:pStyle w:val="TableContents"/>
              <w:bidi w:val="0"/>
              <w:spacing w:before="0" w:after="0"/>
              <w:ind w:left="0" w:right="0" w:hanging="0"/>
              <w:jc w:val="left"/>
              <w:rPr/>
            </w:pPr>
            <w:r>
              <w:rPr/>
              <w:t xml:space="preserve">  </w:t>
            </w:r>
          </w:p>
        </w:tc>
        <w:tc>
          <w:tcPr>
            <w:tcW w:w="61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(560)</w:t>
            </w:r>
          </w:p>
        </w:tc>
        <w:tc>
          <w:tcPr>
            <w:tcW w:w="87"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0"/>
              <w:ind w:left="0" w:right="0" w:hanging="0"/>
              <w:jc w:val="left"/>
              <w:rPr/>
            </w:pPr>
            <w:r>
              <w:rPr/>
              <w:t xml:space="preserve">  </w:t>
            </w:r>
          </w:p>
        </w:tc>
        <w:tc>
          <w:tcPr>
            <w:tcW w:w="145" w:type="dxa"/>
            <w:tcBorders/>
            <w:vAlign w:val="center"/>
          </w:tcPr>
          <w:p>
            <w:pPr>
              <w:pStyle w:val="TableContents"/>
              <w:bidi w:val="0"/>
              <w:spacing w:before="0" w:after="0"/>
              <w:ind w:left="0" w:right="0" w:hanging="0"/>
              <w:jc w:val="left"/>
              <w:rPr/>
            </w:pPr>
            <w:r>
              <w:rPr/>
              <w:t xml:space="preserve">  </w:t>
            </w:r>
          </w:p>
        </w:tc>
        <w:tc>
          <w:tcPr>
            <w:tcW w:w="61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20,556</w:t>
            </w:r>
          </w:p>
        </w:tc>
        <w:tc>
          <w:tcPr>
            <w:tcW w:w="10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0"/>
              <w:ind w:left="0" w:right="0" w:hanging="0"/>
              <w:jc w:val="left"/>
              <w:rPr/>
            </w:pPr>
            <w:r>
              <w:rPr/>
              <w:t xml:space="preserve">  </w:t>
            </w:r>
          </w:p>
        </w:tc>
        <w:tc>
          <w:tcPr>
            <w:tcW w:w="202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103</w:t>
            </w:r>
          </w:p>
        </w:tc>
        <w:tc>
          <w:tcPr>
            <w:tcW w:w="133" w:type="dxa"/>
            <w:tcBorders/>
            <w:vAlign w:val="center"/>
          </w:tcPr>
          <w:p>
            <w:pPr>
              <w:pStyle w:val="TableContents"/>
              <w:bidi w:val="0"/>
              <w:spacing w:before="0" w:after="0"/>
              <w:ind w:left="0" w:right="0" w:hanging="0"/>
              <w:jc w:val="left"/>
              <w:rPr/>
            </w:pPr>
            <w:r>
              <w:rPr/>
              <w:t xml:space="preserve">  </w:t>
            </w:r>
          </w:p>
        </w:tc>
      </w:tr>
      <w:tr>
        <w:trPr/>
        <w:tc>
          <w:tcPr>
            <w:tcW w:w="2156"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Diluted income (loss) per share </w:t>
            </w:r>
          </w:p>
        </w:tc>
        <w:tc>
          <w:tcPr>
            <w:tcW w:w="145" w:type="dxa"/>
            <w:tcBorders/>
            <w:shd w:fill="CCEEFF" w:val="clear"/>
            <w:vAlign w:val="center"/>
          </w:tcPr>
          <w:p>
            <w:pPr>
              <w:pStyle w:val="TableContents"/>
              <w:bidi w:val="0"/>
              <w:spacing w:before="0" w:after="0"/>
              <w:ind w:left="0" w:right="0" w:hanging="0"/>
              <w:jc w:val="right"/>
              <w:rPr/>
            </w:pPr>
            <w:r>
              <w:rPr/>
              <w:t xml:space="preserve">  </w:t>
            </w:r>
          </w:p>
        </w:tc>
        <w:tc>
          <w:tcPr>
            <w:tcW w:w="57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0.11</w:t>
            </w:r>
          </w:p>
        </w:tc>
        <w:tc>
          <w:tcPr>
            <w:tcW w:w="87" w:type="dxa"/>
            <w:tcBorders/>
            <w:shd w:fill="CCEEFF" w:val="clear"/>
            <w:vAlign w:val="center"/>
          </w:tcPr>
          <w:p>
            <w:pPr>
              <w:pStyle w:val="TableContents"/>
              <w:bidi w:val="0"/>
              <w:spacing w:before="0" w:after="283"/>
              <w:jc w:val="left"/>
              <w:rPr>
                <w:sz w:val="4"/>
                <w:szCs w:val="4"/>
              </w:rPr>
            </w:pPr>
            <w:r>
              <w:rPr>
                <w:sz w:val="4"/>
                <w:szCs w:val="4"/>
              </w:rPr>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145" w:type="dxa"/>
            <w:tcBorders/>
            <w:shd w:fill="CCEEFF" w:val="clear"/>
            <w:vAlign w:val="center"/>
          </w:tcPr>
          <w:p>
            <w:pPr>
              <w:pStyle w:val="TableContents"/>
              <w:bidi w:val="0"/>
              <w:spacing w:before="0" w:after="0"/>
              <w:ind w:left="0" w:right="0" w:hanging="0"/>
              <w:jc w:val="right"/>
              <w:rPr/>
            </w:pPr>
            <w:r>
              <w:rPr/>
              <w:t xml:space="preserve">  </w:t>
            </w:r>
          </w:p>
        </w:tc>
        <w:tc>
          <w:tcPr>
            <w:tcW w:w="59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0.97</w:t>
            </w:r>
          </w:p>
        </w:tc>
        <w:tc>
          <w:tcPr>
            <w:tcW w:w="100" w:type="dxa"/>
            <w:tcBorders/>
            <w:shd w:fill="CCEEFF" w:val="clear"/>
            <w:vAlign w:val="center"/>
          </w:tcPr>
          <w:p>
            <w:pPr>
              <w:pStyle w:val="TableContents"/>
              <w:bidi w:val="0"/>
              <w:spacing w:before="0" w:after="283"/>
              <w:jc w:val="left"/>
              <w:rPr>
                <w:sz w:val="4"/>
                <w:szCs w:val="4"/>
              </w:rPr>
            </w:pPr>
            <w:r>
              <w:rPr>
                <w:sz w:val="4"/>
                <w:szCs w:val="4"/>
              </w:rPr>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202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(89</w:t>
            </w:r>
          </w:p>
        </w:tc>
        <w:tc>
          <w:tcPr>
            <w:tcW w:w="106"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144" w:type="dxa"/>
            <w:tcBorders/>
            <w:shd w:fill="CCEEFF" w:val="clear"/>
            <w:vAlign w:val="center"/>
          </w:tcPr>
          <w:p>
            <w:pPr>
              <w:pStyle w:val="TableContents"/>
              <w:bidi w:val="0"/>
              <w:spacing w:before="0" w:after="0"/>
              <w:ind w:left="0" w:right="0" w:hanging="0"/>
              <w:jc w:val="left"/>
              <w:rPr/>
            </w:pPr>
            <w:r>
              <w:rPr/>
              <w:t xml:space="preserve">  </w:t>
            </w:r>
          </w:p>
        </w:tc>
        <w:tc>
          <w:tcPr>
            <w:tcW w:w="61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0.02</w:t>
            </w:r>
          </w:p>
        </w:tc>
        <w:tc>
          <w:tcPr>
            <w:tcW w:w="87" w:type="dxa"/>
            <w:tcBorders/>
            <w:shd w:fill="CCEEFF" w:val="clear"/>
            <w:vAlign w:val="center"/>
          </w:tcPr>
          <w:p>
            <w:pPr>
              <w:pStyle w:val="TableContents"/>
              <w:bidi w:val="0"/>
              <w:spacing w:before="0" w:after="283"/>
              <w:jc w:val="left"/>
              <w:rPr>
                <w:sz w:val="4"/>
                <w:szCs w:val="4"/>
              </w:rPr>
            </w:pPr>
            <w:r>
              <w:rPr>
                <w:sz w:val="4"/>
                <w:szCs w:val="4"/>
              </w:rPr>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145" w:type="dxa"/>
            <w:tcBorders/>
            <w:shd w:fill="CCEEFF" w:val="clear"/>
            <w:vAlign w:val="center"/>
          </w:tcPr>
          <w:p>
            <w:pPr>
              <w:pStyle w:val="TableContents"/>
              <w:bidi w:val="0"/>
              <w:spacing w:before="0" w:after="0"/>
              <w:ind w:left="0" w:right="0" w:hanging="0"/>
              <w:jc w:val="left"/>
              <w:rPr/>
            </w:pPr>
            <w:r>
              <w:rPr/>
              <w:t xml:space="preserve">  </w:t>
            </w:r>
          </w:p>
        </w:tc>
        <w:tc>
          <w:tcPr>
            <w:tcW w:w="61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0.83</w:t>
            </w:r>
          </w:p>
        </w:tc>
        <w:tc>
          <w:tcPr>
            <w:tcW w:w="100" w:type="dxa"/>
            <w:tcBorders/>
            <w:shd w:fill="CCEEFF" w:val="clear"/>
            <w:vAlign w:val="center"/>
          </w:tcPr>
          <w:p>
            <w:pPr>
              <w:pStyle w:val="TableContents"/>
              <w:bidi w:val="0"/>
              <w:spacing w:before="0" w:after="283"/>
              <w:jc w:val="left"/>
              <w:rPr>
                <w:sz w:val="4"/>
                <w:szCs w:val="4"/>
              </w:rPr>
            </w:pPr>
            <w:r>
              <w:rPr>
                <w:sz w:val="4"/>
                <w:szCs w:val="4"/>
              </w:rPr>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202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(102)</w:t>
            </w:r>
          </w:p>
        </w:tc>
        <w:tc>
          <w:tcPr>
            <w:tcW w:w="133" w:type="dxa"/>
            <w:tcBorders/>
            <w:shd w:fill="CCEEFF" w:val="clear"/>
            <w:vAlign w:val="center"/>
          </w:tcPr>
          <w:p>
            <w:pPr>
              <w:pStyle w:val="TableContents"/>
              <w:bidi w:val="0"/>
              <w:spacing w:before="0" w:after="0"/>
              <w:ind w:left="0" w:right="0" w:hanging="0"/>
              <w:jc w:val="left"/>
              <w:rPr/>
            </w:pPr>
            <w:r>
              <w:rPr/>
              <w:t xml:space="preserve">  </w:t>
            </w:r>
          </w:p>
        </w:tc>
      </w:tr>
      <w:tr>
        <w:trPr/>
        <w:tc>
          <w:tcPr>
            <w:tcW w:w="2156" w:type="dxa"/>
            <w:tcBorders/>
            <w:vAlign w:val="center"/>
          </w:tcPr>
          <w:p>
            <w:pPr>
              <w:pStyle w:val="TableContents"/>
              <w:bidi w:val="0"/>
              <w:spacing w:before="0" w:after="0"/>
              <w:ind w:left="0" w:right="0" w:hanging="0"/>
              <w:jc w:val="left"/>
              <w:rPr>
                <w:rFonts w:ascii="times new roman;times" w:hAnsi="times new roman;times"/>
                <w:b/>
                <w:sz w:val="20"/>
                <w:u w:val="single"/>
              </w:rPr>
            </w:pPr>
            <w:r>
              <w:rPr>
                <w:rFonts w:ascii="times new roman;times" w:hAnsi="times new roman;times"/>
                <w:b/>
                <w:sz w:val="20"/>
                <w:u w:val="single"/>
              </w:rPr>
              <w:t xml:space="preserve">Non-GAAP </w:t>
            </w:r>
          </w:p>
        </w:tc>
        <w:tc>
          <w:tcPr>
            <w:tcW w:w="145" w:type="dxa"/>
            <w:tcBorders/>
            <w:vAlign w:val="center"/>
          </w:tcPr>
          <w:p>
            <w:pPr>
              <w:pStyle w:val="TableContents"/>
              <w:bidi w:val="0"/>
              <w:spacing w:before="0" w:after="0"/>
              <w:ind w:left="0" w:right="0" w:hanging="0"/>
              <w:jc w:val="right"/>
              <w:rPr/>
            </w:pPr>
            <w:r>
              <w:rPr/>
              <w:t xml:space="preserve">  </w:t>
            </w:r>
          </w:p>
        </w:tc>
        <w:tc>
          <w:tcPr>
            <w:tcW w:w="572" w:type="dxa"/>
            <w:tcBorders/>
            <w:vAlign w:val="center"/>
          </w:tcPr>
          <w:p>
            <w:pPr>
              <w:pStyle w:val="TableContents"/>
              <w:bidi w:val="0"/>
              <w:spacing w:before="0" w:after="0"/>
              <w:ind w:left="0" w:right="0" w:hanging="0"/>
              <w:jc w:val="right"/>
              <w:rPr/>
            </w:pPr>
            <w:r>
              <w:rPr/>
              <w:t xml:space="preserve">  </w:t>
            </w:r>
          </w:p>
        </w:tc>
        <w:tc>
          <w:tcPr>
            <w:tcW w:w="87" w:type="dxa"/>
            <w:tcBorders/>
            <w:vAlign w:val="center"/>
          </w:tcPr>
          <w:p>
            <w:pPr>
              <w:pStyle w:val="TableContents"/>
              <w:bidi w:val="0"/>
              <w:spacing w:before="0" w:after="0"/>
              <w:ind w:left="0" w:right="0" w:hanging="0"/>
              <w:jc w:val="righ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145" w:type="dxa"/>
            <w:tcBorders/>
            <w:vAlign w:val="center"/>
          </w:tcPr>
          <w:p>
            <w:pPr>
              <w:pStyle w:val="TableContents"/>
              <w:bidi w:val="0"/>
              <w:spacing w:before="0" w:after="0"/>
              <w:ind w:left="0" w:right="0" w:hanging="0"/>
              <w:jc w:val="right"/>
              <w:rPr/>
            </w:pPr>
            <w:r>
              <w:rPr/>
              <w:t xml:space="preserve">  </w:t>
            </w:r>
          </w:p>
        </w:tc>
        <w:tc>
          <w:tcPr>
            <w:tcW w:w="590" w:type="dxa"/>
            <w:tcBorders/>
            <w:vAlign w:val="center"/>
          </w:tcPr>
          <w:p>
            <w:pPr>
              <w:pStyle w:val="TableContents"/>
              <w:bidi w:val="0"/>
              <w:spacing w:before="0" w:after="0"/>
              <w:ind w:left="0" w:right="0" w:hanging="0"/>
              <w:jc w:val="right"/>
              <w:rPr/>
            </w:pPr>
            <w:r>
              <w:rPr/>
              <w:t xml:space="preserve">  </w:t>
            </w:r>
          </w:p>
        </w:tc>
        <w:tc>
          <w:tcPr>
            <w:tcW w:w="100" w:type="dxa"/>
            <w:tcBorders/>
            <w:vAlign w:val="center"/>
          </w:tcPr>
          <w:p>
            <w:pPr>
              <w:pStyle w:val="TableContents"/>
              <w:bidi w:val="0"/>
              <w:spacing w:before="0" w:after="0"/>
              <w:ind w:left="0" w:right="0" w:hanging="0"/>
              <w:jc w:val="righ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2020" w:type="dxa"/>
            <w:tcBorders/>
            <w:vAlign w:val="center"/>
          </w:tcPr>
          <w:p>
            <w:pPr>
              <w:pStyle w:val="TableContents"/>
              <w:bidi w:val="0"/>
              <w:spacing w:before="0" w:after="0"/>
              <w:ind w:left="0" w:right="0" w:hanging="0"/>
              <w:jc w:val="right"/>
              <w:rPr/>
            </w:pPr>
            <w:r>
              <w:rPr/>
              <w:t xml:space="preserve">  </w:t>
            </w:r>
          </w:p>
        </w:tc>
        <w:tc>
          <w:tcPr>
            <w:tcW w:w="106" w:type="dxa"/>
            <w:tcBorders/>
            <w:vAlign w:val="center"/>
          </w:tcPr>
          <w:p>
            <w:pPr>
              <w:pStyle w:val="TableContents"/>
              <w:bidi w:val="0"/>
              <w:spacing w:before="0" w:after="0"/>
              <w:ind w:left="0" w:right="0" w:hanging="0"/>
              <w:jc w:val="righ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144" w:type="dxa"/>
            <w:tcBorders/>
            <w:vAlign w:val="center"/>
          </w:tcPr>
          <w:p>
            <w:pPr>
              <w:pStyle w:val="TableContents"/>
              <w:bidi w:val="0"/>
              <w:spacing w:before="0" w:after="0"/>
              <w:ind w:left="0" w:right="0" w:hanging="0"/>
              <w:jc w:val="left"/>
              <w:rPr/>
            </w:pPr>
            <w:r>
              <w:rPr/>
              <w:t xml:space="preserve">  </w:t>
            </w:r>
          </w:p>
        </w:tc>
        <w:tc>
          <w:tcPr>
            <w:tcW w:w="610" w:type="dxa"/>
            <w:tcBorders/>
            <w:vAlign w:val="center"/>
          </w:tcPr>
          <w:p>
            <w:pPr>
              <w:pStyle w:val="TableContents"/>
              <w:bidi w:val="0"/>
              <w:spacing w:before="0" w:after="0"/>
              <w:ind w:left="0" w:right="0" w:hanging="0"/>
              <w:jc w:val="righ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145" w:type="dxa"/>
            <w:tcBorders/>
            <w:vAlign w:val="center"/>
          </w:tcPr>
          <w:p>
            <w:pPr>
              <w:pStyle w:val="TableContents"/>
              <w:bidi w:val="0"/>
              <w:spacing w:before="0" w:after="0"/>
              <w:ind w:left="0" w:right="0" w:hanging="0"/>
              <w:jc w:val="left"/>
              <w:rPr/>
            </w:pPr>
            <w:r>
              <w:rPr/>
              <w:t xml:space="preserve">  </w:t>
            </w:r>
          </w:p>
        </w:tc>
        <w:tc>
          <w:tcPr>
            <w:tcW w:w="610" w:type="dxa"/>
            <w:tcBorders/>
            <w:vAlign w:val="center"/>
          </w:tcPr>
          <w:p>
            <w:pPr>
              <w:pStyle w:val="TableContents"/>
              <w:bidi w:val="0"/>
              <w:spacing w:before="0" w:after="0"/>
              <w:ind w:left="0" w:right="0" w:hanging="0"/>
              <w:jc w:val="right"/>
              <w:rPr/>
            </w:pPr>
            <w:r>
              <w:rPr/>
              <w:t xml:space="preserve">  </w:t>
            </w:r>
          </w:p>
        </w:tc>
        <w:tc>
          <w:tcPr>
            <w:tcW w:w="100" w:type="dxa"/>
            <w:tcBorders/>
            <w:vAlign w:val="center"/>
          </w:tcPr>
          <w:p>
            <w:pPr>
              <w:pStyle w:val="TableContents"/>
              <w:bidi w:val="0"/>
              <w:spacing w:before="0" w:after="0"/>
              <w:ind w:left="0" w:right="0" w:hanging="0"/>
              <w:jc w:val="lef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2020" w:type="dxa"/>
            <w:tcBorders/>
            <w:vAlign w:val="center"/>
          </w:tcPr>
          <w:p>
            <w:pPr>
              <w:pStyle w:val="TableContents"/>
              <w:bidi w:val="0"/>
              <w:spacing w:before="0" w:after="0"/>
              <w:ind w:left="0" w:right="0" w:hanging="0"/>
              <w:jc w:val="right"/>
              <w:rPr/>
            </w:pPr>
            <w:r>
              <w:rPr/>
              <w:t xml:space="preserve">  </w:t>
            </w:r>
          </w:p>
        </w:tc>
        <w:tc>
          <w:tcPr>
            <w:tcW w:w="133" w:type="dxa"/>
            <w:tcBorders/>
            <w:vAlign w:val="center"/>
          </w:tcPr>
          <w:p>
            <w:pPr>
              <w:pStyle w:val="TableContents"/>
              <w:bidi w:val="0"/>
              <w:spacing w:before="0" w:after="0"/>
              <w:ind w:left="0" w:right="0" w:hanging="0"/>
              <w:jc w:val="left"/>
              <w:rPr/>
            </w:pPr>
            <w:r>
              <w:rPr/>
              <w:t xml:space="preserve">  </w:t>
            </w:r>
          </w:p>
        </w:tc>
      </w:tr>
      <w:tr>
        <w:trPr/>
        <w:tc>
          <w:tcPr>
            <w:tcW w:w="2156"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Non-GAAP operating expenses </w:t>
            </w:r>
          </w:p>
        </w:tc>
        <w:tc>
          <w:tcPr>
            <w:tcW w:w="145" w:type="dxa"/>
            <w:tcBorders/>
            <w:shd w:fill="CCEEFF" w:val="clear"/>
            <w:vAlign w:val="center"/>
          </w:tcPr>
          <w:p>
            <w:pPr>
              <w:pStyle w:val="TableContents"/>
              <w:bidi w:val="0"/>
              <w:spacing w:before="0" w:after="0"/>
              <w:ind w:left="0" w:right="0" w:hanging="0"/>
              <w:jc w:val="right"/>
              <w:rPr/>
            </w:pPr>
            <w:r>
              <w:rPr/>
              <w:t>  </w:t>
            </w:r>
          </w:p>
        </w:tc>
        <w:tc>
          <w:tcPr>
            <w:tcW w:w="57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3,162</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145" w:type="dxa"/>
            <w:tcBorders/>
            <w:shd w:fill="CCEEFF" w:val="clear"/>
            <w:vAlign w:val="center"/>
          </w:tcPr>
          <w:p>
            <w:pPr>
              <w:pStyle w:val="TableContents"/>
              <w:bidi w:val="0"/>
              <w:spacing w:before="0" w:after="0"/>
              <w:ind w:left="0" w:right="0" w:hanging="0"/>
              <w:jc w:val="left"/>
              <w:rPr/>
            </w:pPr>
            <w:r>
              <w:rPr/>
            </w:r>
          </w:p>
        </w:tc>
        <w:tc>
          <w:tcPr>
            <w:tcW w:w="59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3,358 </w:t>
            </w:r>
          </w:p>
        </w:tc>
        <w:tc>
          <w:tcPr>
            <w:tcW w:w="100" w:type="dxa"/>
            <w:tcBorders/>
            <w:shd w:fill="CCEEFF" w:val="clear"/>
            <w:vAlign w:val="center"/>
          </w:tcPr>
          <w:p>
            <w:pPr>
              <w:pStyle w:val="TableContents"/>
              <w:bidi w:val="0"/>
              <w:spacing w:before="0" w:after="0"/>
              <w:ind w:left="0" w:right="0" w:hanging="0"/>
              <w:jc w:val="right"/>
              <w:rPr/>
            </w:pPr>
            <w:r>
              <w:rPr/>
              <w:t xml:space="preserve">  </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202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6</w:t>
            </w:r>
          </w:p>
        </w:tc>
        <w:tc>
          <w:tcPr>
            <w:tcW w:w="106" w:type="dxa"/>
            <w:tcBorders/>
            <w:shd w:fill="CCEEFF" w:val="clear"/>
            <w:vAlign w:val="center"/>
          </w:tcPr>
          <w:p>
            <w:pPr>
              <w:pStyle w:val="TableContents"/>
              <w:bidi w:val="0"/>
              <w:spacing w:before="0" w:after="283"/>
              <w:jc w:val="left"/>
              <w:rPr>
                <w:sz w:val="4"/>
                <w:szCs w:val="4"/>
              </w:rPr>
            </w:pPr>
            <w:r>
              <w:rPr>
                <w:sz w:val="4"/>
                <w:szCs w:val="4"/>
              </w:rPr>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144" w:type="dxa"/>
            <w:tcBorders/>
            <w:shd w:fill="CCEEFF" w:val="clear"/>
            <w:vAlign w:val="center"/>
          </w:tcPr>
          <w:p>
            <w:pPr>
              <w:pStyle w:val="TableContents"/>
              <w:bidi w:val="0"/>
              <w:spacing w:before="0" w:after="0"/>
              <w:ind w:left="0" w:right="0" w:hanging="0"/>
              <w:jc w:val="left"/>
              <w:rPr/>
            </w:pPr>
            <w:r>
              <w:rPr/>
            </w:r>
          </w:p>
        </w:tc>
        <w:tc>
          <w:tcPr>
            <w:tcW w:w="61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12,511 </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145" w:type="dxa"/>
            <w:tcBorders/>
            <w:shd w:fill="CCEEFF" w:val="clear"/>
            <w:vAlign w:val="center"/>
          </w:tcPr>
          <w:p>
            <w:pPr>
              <w:pStyle w:val="TableContents"/>
              <w:bidi w:val="0"/>
              <w:spacing w:before="0" w:after="0"/>
              <w:ind w:left="0" w:right="0" w:hanging="0"/>
              <w:jc w:val="left"/>
              <w:rPr/>
            </w:pPr>
            <w:r>
              <w:rPr/>
            </w:r>
          </w:p>
        </w:tc>
        <w:tc>
          <w:tcPr>
            <w:tcW w:w="61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14,062 </w:t>
            </w:r>
          </w:p>
        </w:tc>
        <w:tc>
          <w:tcPr>
            <w:tcW w:w="100" w:type="dxa"/>
            <w:tcBorders/>
            <w:shd w:fill="CCEEFF" w:val="clear"/>
            <w:vAlign w:val="center"/>
          </w:tcPr>
          <w:p>
            <w:pPr>
              <w:pStyle w:val="TableContents"/>
              <w:bidi w:val="0"/>
              <w:spacing w:before="0" w:after="0"/>
              <w:ind w:left="0" w:right="0" w:hanging="0"/>
              <w:jc w:val="left"/>
              <w:rPr/>
            </w:pPr>
            <w:r>
              <w:rPr/>
              <w:t xml:space="preserve">  </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202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w:t>
            </w:r>
          </w:p>
        </w:tc>
        <w:tc>
          <w:tcPr>
            <w:tcW w:w="133" w:type="dxa"/>
            <w:tcBorders/>
            <w:shd w:fill="CCEEFF" w:val="clear"/>
            <w:vAlign w:val="center"/>
          </w:tcPr>
          <w:p>
            <w:pPr>
              <w:pStyle w:val="TableContents"/>
              <w:bidi w:val="0"/>
              <w:spacing w:before="0" w:after="283"/>
              <w:jc w:val="left"/>
              <w:rPr>
                <w:sz w:val="4"/>
                <w:szCs w:val="4"/>
              </w:rPr>
            </w:pPr>
            <w:r>
              <w:rPr>
                <w:sz w:val="4"/>
                <w:szCs w:val="4"/>
              </w:rPr>
            </w:r>
          </w:p>
        </w:tc>
      </w:tr>
      <w:tr>
        <w:trPr/>
        <w:tc>
          <w:tcPr>
            <w:tcW w:w="2156"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Non-GAAP operating loss </w:t>
            </w:r>
          </w:p>
        </w:tc>
        <w:tc>
          <w:tcPr>
            <w:tcW w:w="145" w:type="dxa"/>
            <w:tcBorders/>
            <w:vAlign w:val="center"/>
          </w:tcPr>
          <w:p>
            <w:pPr>
              <w:pStyle w:val="TableContents"/>
              <w:bidi w:val="0"/>
              <w:spacing w:before="0" w:after="0"/>
              <w:ind w:left="0" w:right="0" w:hanging="0"/>
              <w:jc w:val="right"/>
              <w:rPr/>
            </w:pPr>
            <w:r>
              <w:rPr/>
              <w:t xml:space="preserve">  </w:t>
            </w:r>
          </w:p>
        </w:tc>
        <w:tc>
          <w:tcPr>
            <w:tcW w:w="57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(1,582)</w:t>
            </w:r>
          </w:p>
        </w:tc>
        <w:tc>
          <w:tcPr>
            <w:tcW w:w="87"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0"/>
              <w:ind w:left="0" w:right="0" w:hanging="0"/>
              <w:jc w:val="left"/>
              <w:rPr/>
            </w:pPr>
            <w:r>
              <w:rPr/>
              <w:t xml:space="preserve">  </w:t>
            </w:r>
          </w:p>
        </w:tc>
        <w:tc>
          <w:tcPr>
            <w:tcW w:w="145" w:type="dxa"/>
            <w:tcBorders/>
            <w:vAlign w:val="center"/>
          </w:tcPr>
          <w:p>
            <w:pPr>
              <w:pStyle w:val="TableContents"/>
              <w:bidi w:val="0"/>
              <w:spacing w:before="0" w:after="0"/>
              <w:ind w:left="0" w:right="0" w:hanging="0"/>
              <w:jc w:val="right"/>
              <w:rPr/>
            </w:pPr>
            <w:r>
              <w:rPr/>
              <w:t xml:space="preserve">  </w:t>
            </w:r>
          </w:p>
        </w:tc>
        <w:tc>
          <w:tcPr>
            <w:tcW w:w="59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(2,092 </w:t>
            </w:r>
          </w:p>
        </w:tc>
        <w:tc>
          <w:tcPr>
            <w:tcW w:w="10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202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24</w:t>
            </w:r>
          </w:p>
        </w:tc>
        <w:tc>
          <w:tcPr>
            <w:tcW w:w="106"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0"/>
              <w:ind w:left="0" w:right="0" w:hanging="0"/>
              <w:jc w:val="left"/>
              <w:rPr/>
            </w:pPr>
            <w:r>
              <w:rPr/>
              <w:t xml:space="preserve">  </w:t>
            </w:r>
          </w:p>
        </w:tc>
        <w:tc>
          <w:tcPr>
            <w:tcW w:w="144" w:type="dxa"/>
            <w:tcBorders/>
            <w:vAlign w:val="center"/>
          </w:tcPr>
          <w:p>
            <w:pPr>
              <w:pStyle w:val="TableContents"/>
              <w:bidi w:val="0"/>
              <w:spacing w:before="0" w:after="0"/>
              <w:ind w:left="0" w:right="0" w:hanging="0"/>
              <w:jc w:val="left"/>
              <w:rPr/>
            </w:pPr>
            <w:r>
              <w:rPr/>
              <w:t xml:space="preserve">  </w:t>
            </w:r>
          </w:p>
        </w:tc>
        <w:tc>
          <w:tcPr>
            <w:tcW w:w="61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(6,147)</w:t>
            </w:r>
          </w:p>
        </w:tc>
        <w:tc>
          <w:tcPr>
            <w:tcW w:w="87"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0"/>
              <w:ind w:left="0" w:right="0" w:hanging="0"/>
              <w:jc w:val="left"/>
              <w:rPr/>
            </w:pPr>
            <w:r>
              <w:rPr/>
              <w:t xml:space="preserve">  </w:t>
            </w:r>
          </w:p>
        </w:tc>
        <w:tc>
          <w:tcPr>
            <w:tcW w:w="145" w:type="dxa"/>
            <w:tcBorders/>
            <w:vAlign w:val="center"/>
          </w:tcPr>
          <w:p>
            <w:pPr>
              <w:pStyle w:val="TableContents"/>
              <w:bidi w:val="0"/>
              <w:spacing w:before="0" w:after="0"/>
              <w:ind w:left="0" w:right="0" w:hanging="0"/>
              <w:jc w:val="left"/>
              <w:rPr/>
            </w:pPr>
            <w:r>
              <w:rPr/>
              <w:t xml:space="preserve">  </w:t>
            </w:r>
          </w:p>
        </w:tc>
        <w:tc>
          <w:tcPr>
            <w:tcW w:w="61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(4,597 </w:t>
            </w:r>
          </w:p>
        </w:tc>
        <w:tc>
          <w:tcPr>
            <w:tcW w:w="10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202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(34)</w:t>
            </w:r>
          </w:p>
        </w:tc>
        <w:tc>
          <w:tcPr>
            <w:tcW w:w="133" w:type="dxa"/>
            <w:tcBorders/>
            <w:vAlign w:val="center"/>
          </w:tcPr>
          <w:p>
            <w:pPr>
              <w:pStyle w:val="TableContents"/>
              <w:bidi w:val="0"/>
              <w:spacing w:before="0" w:after="283"/>
              <w:jc w:val="left"/>
              <w:rPr>
                <w:sz w:val="4"/>
                <w:szCs w:val="4"/>
              </w:rPr>
            </w:pPr>
            <w:r>
              <w:rPr>
                <w:sz w:val="4"/>
                <w:szCs w:val="4"/>
              </w:rPr>
            </w:r>
          </w:p>
        </w:tc>
      </w:tr>
      <w:tr>
        <w:trPr/>
        <w:tc>
          <w:tcPr>
            <w:tcW w:w="2156"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Non-GAAP net income (loss)</w:t>
            </w:r>
          </w:p>
        </w:tc>
        <w:tc>
          <w:tcPr>
            <w:tcW w:w="145" w:type="dxa"/>
            <w:tcBorders/>
            <w:shd w:fill="CCEEFF" w:val="clear"/>
            <w:vAlign w:val="center"/>
          </w:tcPr>
          <w:p>
            <w:pPr>
              <w:pStyle w:val="TableContents"/>
              <w:bidi w:val="0"/>
              <w:spacing w:before="0" w:after="0"/>
              <w:ind w:left="0" w:right="0" w:hanging="0"/>
              <w:jc w:val="right"/>
              <w:rPr/>
            </w:pPr>
            <w:r>
              <w:rPr/>
              <w:t xml:space="preserve">  </w:t>
            </w:r>
          </w:p>
        </w:tc>
        <w:tc>
          <w:tcPr>
            <w:tcW w:w="57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(1,201)</w:t>
            </w:r>
          </w:p>
        </w:tc>
        <w:tc>
          <w:tcPr>
            <w:tcW w:w="87" w:type="dxa"/>
            <w:tcBorders/>
            <w:shd w:fill="CCEEFF" w:val="clear"/>
            <w:vAlign w:val="center"/>
          </w:tcPr>
          <w:p>
            <w:pPr>
              <w:pStyle w:val="TableContents"/>
              <w:bidi w:val="0"/>
              <w:spacing w:before="0" w:after="283"/>
              <w:jc w:val="left"/>
              <w:rPr>
                <w:sz w:val="4"/>
                <w:szCs w:val="4"/>
              </w:rPr>
            </w:pPr>
            <w:r>
              <w:rPr>
                <w:sz w:val="4"/>
                <w:szCs w:val="4"/>
              </w:rPr>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145" w:type="dxa"/>
            <w:tcBorders/>
            <w:shd w:fill="CCEEFF" w:val="clear"/>
            <w:vAlign w:val="center"/>
          </w:tcPr>
          <w:p>
            <w:pPr>
              <w:pStyle w:val="TableContents"/>
              <w:bidi w:val="0"/>
              <w:spacing w:before="0" w:after="0"/>
              <w:ind w:left="0" w:right="0" w:hanging="0"/>
              <w:jc w:val="right"/>
              <w:rPr/>
            </w:pPr>
            <w:r>
              <w:rPr/>
              <w:t xml:space="preserve">  </w:t>
            </w:r>
          </w:p>
        </w:tc>
        <w:tc>
          <w:tcPr>
            <w:tcW w:w="59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(2,292 </w:t>
            </w:r>
          </w:p>
        </w:tc>
        <w:tc>
          <w:tcPr>
            <w:tcW w:w="10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202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48</w:t>
            </w:r>
          </w:p>
        </w:tc>
        <w:tc>
          <w:tcPr>
            <w:tcW w:w="106" w:type="dxa"/>
            <w:tcBorders/>
            <w:shd w:fill="CCEEFF" w:val="clear"/>
            <w:vAlign w:val="center"/>
          </w:tcPr>
          <w:p>
            <w:pPr>
              <w:pStyle w:val="TableContents"/>
              <w:bidi w:val="0"/>
              <w:spacing w:before="0" w:after="283"/>
              <w:jc w:val="left"/>
              <w:rPr>
                <w:sz w:val="4"/>
                <w:szCs w:val="4"/>
              </w:rPr>
            </w:pPr>
            <w:r>
              <w:rPr>
                <w:sz w:val="4"/>
                <w:szCs w:val="4"/>
              </w:rPr>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144" w:type="dxa"/>
            <w:tcBorders/>
            <w:shd w:fill="CCEEFF" w:val="clear"/>
            <w:vAlign w:val="center"/>
          </w:tcPr>
          <w:p>
            <w:pPr>
              <w:pStyle w:val="TableContents"/>
              <w:bidi w:val="0"/>
              <w:spacing w:before="0" w:after="0"/>
              <w:ind w:left="0" w:right="0" w:hanging="0"/>
              <w:jc w:val="left"/>
              <w:rPr/>
            </w:pPr>
            <w:r>
              <w:rPr/>
              <w:t xml:space="preserve">  </w:t>
            </w:r>
          </w:p>
        </w:tc>
        <w:tc>
          <w:tcPr>
            <w:tcW w:w="61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(5,285)</w:t>
            </w:r>
          </w:p>
        </w:tc>
        <w:tc>
          <w:tcPr>
            <w:tcW w:w="87" w:type="dxa"/>
            <w:tcBorders/>
            <w:shd w:fill="CCEEFF" w:val="clear"/>
            <w:vAlign w:val="center"/>
          </w:tcPr>
          <w:p>
            <w:pPr>
              <w:pStyle w:val="TableContents"/>
              <w:bidi w:val="0"/>
              <w:spacing w:before="0" w:after="283"/>
              <w:jc w:val="left"/>
              <w:rPr>
                <w:sz w:val="4"/>
                <w:szCs w:val="4"/>
              </w:rPr>
            </w:pPr>
            <w:r>
              <w:rPr>
                <w:sz w:val="4"/>
                <w:szCs w:val="4"/>
              </w:rPr>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145" w:type="dxa"/>
            <w:tcBorders/>
            <w:shd w:fill="CCEEFF" w:val="clear"/>
            <w:vAlign w:val="center"/>
          </w:tcPr>
          <w:p>
            <w:pPr>
              <w:pStyle w:val="TableContents"/>
              <w:bidi w:val="0"/>
              <w:spacing w:before="0" w:after="0"/>
              <w:ind w:left="0" w:right="0" w:hanging="0"/>
              <w:jc w:val="left"/>
              <w:rPr/>
            </w:pPr>
            <w:r>
              <w:rPr/>
              <w:t xml:space="preserve">  </w:t>
            </w:r>
          </w:p>
        </w:tc>
        <w:tc>
          <w:tcPr>
            <w:tcW w:w="61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(5,165 </w:t>
            </w:r>
          </w:p>
        </w:tc>
        <w:tc>
          <w:tcPr>
            <w:tcW w:w="10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202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w:t>
            </w:r>
          </w:p>
        </w:tc>
        <w:tc>
          <w:tcPr>
            <w:tcW w:w="133" w:type="dxa"/>
            <w:tcBorders/>
            <w:shd w:fill="CCEEFF" w:val="clear"/>
            <w:vAlign w:val="center"/>
          </w:tcPr>
          <w:p>
            <w:pPr>
              <w:pStyle w:val="TableContents"/>
              <w:bidi w:val="0"/>
              <w:spacing w:before="0" w:after="283"/>
              <w:jc w:val="left"/>
              <w:rPr>
                <w:sz w:val="4"/>
                <w:szCs w:val="4"/>
              </w:rPr>
            </w:pPr>
            <w:r>
              <w:rPr>
                <w:sz w:val="4"/>
                <w:szCs w:val="4"/>
              </w:rPr>
            </w:r>
          </w:p>
        </w:tc>
      </w:tr>
      <w:tr>
        <w:trPr/>
        <w:tc>
          <w:tcPr>
            <w:tcW w:w="2156"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Non-GAAP Adjusted EBITDA </w:t>
            </w:r>
          </w:p>
        </w:tc>
        <w:tc>
          <w:tcPr>
            <w:tcW w:w="145" w:type="dxa"/>
            <w:tcBorders/>
            <w:vAlign w:val="center"/>
          </w:tcPr>
          <w:p>
            <w:pPr>
              <w:pStyle w:val="TableContents"/>
              <w:bidi w:val="0"/>
              <w:spacing w:before="0" w:after="0"/>
              <w:ind w:left="0" w:right="0" w:hanging="0"/>
              <w:jc w:val="right"/>
              <w:rPr/>
            </w:pPr>
            <w:r>
              <w:rPr/>
              <w:t xml:space="preserve">  </w:t>
            </w:r>
          </w:p>
        </w:tc>
        <w:tc>
          <w:tcPr>
            <w:tcW w:w="57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(681)</w:t>
            </w:r>
          </w:p>
        </w:tc>
        <w:tc>
          <w:tcPr>
            <w:tcW w:w="87"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0"/>
              <w:ind w:left="0" w:right="0" w:hanging="0"/>
              <w:jc w:val="left"/>
              <w:rPr/>
            </w:pPr>
            <w:r>
              <w:rPr/>
              <w:t xml:space="preserve">  </w:t>
            </w:r>
          </w:p>
        </w:tc>
        <w:tc>
          <w:tcPr>
            <w:tcW w:w="145" w:type="dxa"/>
            <w:tcBorders/>
            <w:vAlign w:val="center"/>
          </w:tcPr>
          <w:p>
            <w:pPr>
              <w:pStyle w:val="TableContents"/>
              <w:bidi w:val="0"/>
              <w:spacing w:before="0" w:after="0"/>
              <w:ind w:left="0" w:right="0" w:hanging="0"/>
              <w:jc w:val="right"/>
              <w:rPr/>
            </w:pPr>
            <w:r>
              <w:rPr/>
              <w:t xml:space="preserve">  </w:t>
            </w:r>
          </w:p>
        </w:tc>
        <w:tc>
          <w:tcPr>
            <w:tcW w:w="59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(2,062 </w:t>
            </w:r>
          </w:p>
        </w:tc>
        <w:tc>
          <w:tcPr>
            <w:tcW w:w="10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202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67</w:t>
            </w:r>
          </w:p>
        </w:tc>
        <w:tc>
          <w:tcPr>
            <w:tcW w:w="106"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0"/>
              <w:ind w:left="0" w:right="0" w:hanging="0"/>
              <w:jc w:val="left"/>
              <w:rPr/>
            </w:pPr>
            <w:r>
              <w:rPr/>
              <w:t xml:space="preserve">  </w:t>
            </w:r>
          </w:p>
        </w:tc>
        <w:tc>
          <w:tcPr>
            <w:tcW w:w="144" w:type="dxa"/>
            <w:tcBorders/>
            <w:vAlign w:val="center"/>
          </w:tcPr>
          <w:p>
            <w:pPr>
              <w:pStyle w:val="TableContents"/>
              <w:bidi w:val="0"/>
              <w:spacing w:before="0" w:after="0"/>
              <w:ind w:left="0" w:right="0" w:hanging="0"/>
              <w:jc w:val="left"/>
              <w:rPr/>
            </w:pPr>
            <w:r>
              <w:rPr/>
              <w:t xml:space="preserve">  </w:t>
            </w:r>
          </w:p>
        </w:tc>
        <w:tc>
          <w:tcPr>
            <w:tcW w:w="61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(4,076)</w:t>
            </w:r>
          </w:p>
        </w:tc>
        <w:tc>
          <w:tcPr>
            <w:tcW w:w="87"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0"/>
              <w:ind w:left="0" w:right="0" w:hanging="0"/>
              <w:jc w:val="left"/>
              <w:rPr/>
            </w:pPr>
            <w:r>
              <w:rPr/>
              <w:t xml:space="preserve">  </w:t>
            </w:r>
          </w:p>
        </w:tc>
        <w:tc>
          <w:tcPr>
            <w:tcW w:w="145" w:type="dxa"/>
            <w:tcBorders/>
            <w:vAlign w:val="center"/>
          </w:tcPr>
          <w:p>
            <w:pPr>
              <w:pStyle w:val="TableContents"/>
              <w:bidi w:val="0"/>
              <w:spacing w:before="0" w:after="0"/>
              <w:ind w:left="0" w:right="0" w:hanging="0"/>
              <w:jc w:val="left"/>
              <w:rPr/>
            </w:pPr>
            <w:r>
              <w:rPr/>
              <w:t xml:space="preserve">  </w:t>
            </w:r>
          </w:p>
        </w:tc>
        <w:tc>
          <w:tcPr>
            <w:tcW w:w="61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(4,383 </w:t>
            </w:r>
          </w:p>
        </w:tc>
        <w:tc>
          <w:tcPr>
            <w:tcW w:w="10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202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7</w:t>
            </w:r>
          </w:p>
        </w:tc>
        <w:tc>
          <w:tcPr>
            <w:tcW w:w="133" w:type="dxa"/>
            <w:tcBorders/>
            <w:vAlign w:val="center"/>
          </w:tcPr>
          <w:p>
            <w:pPr>
              <w:pStyle w:val="TableContents"/>
              <w:bidi w:val="0"/>
              <w:spacing w:before="0" w:after="283"/>
              <w:jc w:val="left"/>
              <w:rPr>
                <w:sz w:val="4"/>
                <w:szCs w:val="4"/>
              </w:rPr>
            </w:pPr>
            <w:r>
              <w:rPr>
                <w:sz w:val="4"/>
                <w:szCs w:val="4"/>
              </w:rPr>
            </w:r>
          </w:p>
        </w:tc>
      </w:tr>
      <w:tr>
        <w:trPr/>
        <w:tc>
          <w:tcPr>
            <w:tcW w:w="2156"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Non-GAAP diluted income (loss) per share </w:t>
            </w:r>
          </w:p>
        </w:tc>
        <w:tc>
          <w:tcPr>
            <w:tcW w:w="145" w:type="dxa"/>
            <w:tcBorders/>
            <w:shd w:fill="CCEEFF" w:val="clear"/>
            <w:vAlign w:val="center"/>
          </w:tcPr>
          <w:p>
            <w:pPr>
              <w:pStyle w:val="TableContents"/>
              <w:bidi w:val="0"/>
              <w:spacing w:before="0" w:after="0"/>
              <w:ind w:left="0" w:right="0" w:hanging="0"/>
              <w:jc w:val="left"/>
              <w:rPr/>
            </w:pPr>
            <w:r>
              <w:rPr/>
              <w:t xml:space="preserve">  </w:t>
            </w:r>
          </w:p>
        </w:tc>
        <w:tc>
          <w:tcPr>
            <w:tcW w:w="57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(0.05)</w:t>
            </w:r>
          </w:p>
        </w:tc>
        <w:tc>
          <w:tcPr>
            <w:tcW w:w="87" w:type="dxa"/>
            <w:tcBorders/>
            <w:shd w:fill="CCEEFF" w:val="clear"/>
            <w:vAlign w:val="center"/>
          </w:tcPr>
          <w:p>
            <w:pPr>
              <w:pStyle w:val="TableContents"/>
              <w:bidi w:val="0"/>
              <w:spacing w:before="0" w:after="283"/>
              <w:jc w:val="left"/>
              <w:rPr>
                <w:sz w:val="4"/>
                <w:szCs w:val="4"/>
              </w:rPr>
            </w:pPr>
            <w:r>
              <w:rPr>
                <w:sz w:val="4"/>
                <w:szCs w:val="4"/>
              </w:rPr>
            </w:r>
          </w:p>
        </w:tc>
        <w:tc>
          <w:tcPr>
            <w:tcW w:w="87" w:type="dxa"/>
            <w:tcBorders/>
            <w:shd w:fill="CCEEFF" w:val="clear"/>
            <w:vAlign w:val="center"/>
          </w:tcPr>
          <w:p>
            <w:pPr>
              <w:pStyle w:val="TableContents"/>
              <w:bidi w:val="0"/>
              <w:spacing w:before="0" w:after="0"/>
              <w:ind w:left="0" w:right="0" w:hanging="0"/>
              <w:jc w:val="right"/>
              <w:rPr/>
            </w:pPr>
            <w:r>
              <w:rPr/>
              <w:t xml:space="preserve">  </w:t>
            </w:r>
          </w:p>
        </w:tc>
        <w:tc>
          <w:tcPr>
            <w:tcW w:w="145" w:type="dxa"/>
            <w:tcBorders/>
            <w:shd w:fill="CCEEFF" w:val="clear"/>
            <w:vAlign w:val="center"/>
          </w:tcPr>
          <w:p>
            <w:pPr>
              <w:pStyle w:val="TableContents"/>
              <w:bidi w:val="0"/>
              <w:spacing w:before="0" w:after="0"/>
              <w:ind w:left="0" w:right="0" w:hanging="0"/>
              <w:jc w:val="right"/>
              <w:rPr/>
            </w:pPr>
            <w:r>
              <w:rPr/>
              <w:t xml:space="preserve">  </w:t>
            </w:r>
          </w:p>
        </w:tc>
        <w:tc>
          <w:tcPr>
            <w:tcW w:w="59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(0.09 </w:t>
            </w:r>
          </w:p>
        </w:tc>
        <w:tc>
          <w:tcPr>
            <w:tcW w:w="10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7" w:type="dxa"/>
            <w:tcBorders/>
            <w:shd w:fill="CCEEFF" w:val="clear"/>
            <w:vAlign w:val="center"/>
          </w:tcPr>
          <w:p>
            <w:pPr>
              <w:pStyle w:val="TableContents"/>
              <w:bidi w:val="0"/>
              <w:spacing w:before="0" w:after="0"/>
              <w:ind w:left="0" w:right="0" w:hanging="0"/>
              <w:jc w:val="right"/>
              <w:rPr/>
            </w:pPr>
            <w:r>
              <w:rPr/>
              <w:t xml:space="preserve">  </w:t>
            </w:r>
          </w:p>
        </w:tc>
        <w:tc>
          <w:tcPr>
            <w:tcW w:w="202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44</w:t>
            </w:r>
          </w:p>
        </w:tc>
        <w:tc>
          <w:tcPr>
            <w:tcW w:w="106" w:type="dxa"/>
            <w:tcBorders/>
            <w:shd w:fill="CCEEFF" w:val="clear"/>
            <w:vAlign w:val="center"/>
          </w:tcPr>
          <w:p>
            <w:pPr>
              <w:pStyle w:val="TableContents"/>
              <w:bidi w:val="0"/>
              <w:spacing w:before="0" w:after="283"/>
              <w:jc w:val="left"/>
              <w:rPr>
                <w:sz w:val="4"/>
                <w:szCs w:val="4"/>
              </w:rPr>
            </w:pPr>
            <w:r>
              <w:rPr>
                <w:sz w:val="4"/>
                <w:szCs w:val="4"/>
              </w:rPr>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144" w:type="dxa"/>
            <w:tcBorders/>
            <w:shd w:fill="CCEEFF" w:val="clear"/>
            <w:vAlign w:val="center"/>
          </w:tcPr>
          <w:p>
            <w:pPr>
              <w:pStyle w:val="TableContents"/>
              <w:bidi w:val="0"/>
              <w:spacing w:before="0" w:after="0"/>
              <w:ind w:left="0" w:right="0" w:hanging="0"/>
              <w:jc w:val="left"/>
              <w:rPr/>
            </w:pPr>
            <w:r>
              <w:rPr/>
              <w:t xml:space="preserve">  </w:t>
            </w:r>
          </w:p>
        </w:tc>
        <w:tc>
          <w:tcPr>
            <w:tcW w:w="61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(0.22)</w:t>
            </w:r>
          </w:p>
        </w:tc>
        <w:tc>
          <w:tcPr>
            <w:tcW w:w="87" w:type="dxa"/>
            <w:tcBorders/>
            <w:shd w:fill="CCEEFF" w:val="clear"/>
            <w:vAlign w:val="center"/>
          </w:tcPr>
          <w:p>
            <w:pPr>
              <w:pStyle w:val="TableContents"/>
              <w:bidi w:val="0"/>
              <w:spacing w:before="0" w:after="283"/>
              <w:jc w:val="left"/>
              <w:rPr>
                <w:sz w:val="4"/>
                <w:szCs w:val="4"/>
              </w:rPr>
            </w:pPr>
            <w:r>
              <w:rPr>
                <w:sz w:val="4"/>
                <w:szCs w:val="4"/>
              </w:rPr>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145" w:type="dxa"/>
            <w:tcBorders/>
            <w:shd w:fill="CCEEFF" w:val="clear"/>
            <w:vAlign w:val="center"/>
          </w:tcPr>
          <w:p>
            <w:pPr>
              <w:pStyle w:val="TableContents"/>
              <w:bidi w:val="0"/>
              <w:spacing w:before="0" w:after="0"/>
              <w:ind w:left="0" w:right="0" w:hanging="0"/>
              <w:jc w:val="left"/>
              <w:rPr/>
            </w:pPr>
            <w:r>
              <w:rPr/>
              <w:t xml:space="preserve">  </w:t>
            </w:r>
          </w:p>
        </w:tc>
        <w:tc>
          <w:tcPr>
            <w:tcW w:w="61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(0.19 </w:t>
            </w:r>
          </w:p>
        </w:tc>
        <w:tc>
          <w:tcPr>
            <w:tcW w:w="10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202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(16)</w:t>
            </w:r>
          </w:p>
        </w:tc>
        <w:tc>
          <w:tcPr>
            <w:tcW w:w="133"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Balance Sheet Highlights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As of December 31, 2023, cash, cash equivalents and investments were $21.3 million, as compared with $1.0 million as of December 31, 2022. As of December 31, 2023, the Company carried no aggregate debt, having made the final $1.0 million principal payment on its $3.0 million in senior secured convertible notes (the “Notes”) on December 17, 2023. The Notes were originally issued in December 2019.</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Company’s 2023 year-end cash balance also reflects a $6.9 million income tax refund, which was reported as a receivable on the balance sheet as of September 30, 2023. Subsequent to the fourth quarter of 2023, the Company received an additional $4.0 million in cash related to a non-exclusive patent cross-licensing agreement that was finalized and disclosed in December 2023.</w:t>
      </w:r>
    </w:p>
    <w:p>
      <w:pPr>
        <w:pStyle w:val="TextBody"/>
        <w:bidi w:val="0"/>
        <w:spacing w:lineRule="atLeast" w:line="240"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On March 10, 2024 the Company's Board of Directors declared a special dividend of $0.50 per share of the Company's stock and eligible warrants to be paid on April 10, 2024. This is expected to result in a cash outflow of approximately $14.5 million.</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3</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pPr>
      <w:r>
        <w:rPr/>
        <w:drawing>
          <wp:inline distT="0" distB="0" distL="0" distR="0">
            <wp:extent cx="1609725" cy="390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09725" cy="390525"/>
                    </a:xfrm>
                    <a:prstGeom prst="rect">
                      <a:avLst/>
                    </a:prstGeom>
                  </pic:spPr>
                </pic:pic>
              </a:graphicData>
            </a:graphic>
          </wp:inline>
        </w:drawing>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About ClearOne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ClearOne is a global market leader enabling conferencing, collaboration, and network streaming solutions. The performance and simplicity of its advanced, comprehensive solutions offer unprecedented levels of functionality, reliability, and scalability. Visit ClearOne at </w:t>
      </w:r>
      <w:r>
        <w:rPr>
          <w:rFonts w:ascii="times new roman;times" w:hAnsi="times new roman;times"/>
          <w:color w:val="4F81BD"/>
          <w:sz w:val="20"/>
          <w:u w:val="single"/>
        </w:rPr>
        <w:t>www.clearone.com</w:t>
      </w:r>
      <w:r>
        <w:rPr>
          <w:rFonts w:ascii="times new roman;times" w:hAnsi="times new roman;times"/>
          <w:sz w:val="20"/>
        </w:rPr>
        <w:t>.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Non-GAAP Financial Measures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in this release below.</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Forward Looking Statements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and the possible outcomes of litigation,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w:t>
      </w:r>
    </w:p>
    <w:p>
      <w:pPr>
        <w:pStyle w:val="TextBody"/>
        <w:bidi w:val="0"/>
        <w:spacing w:lineRule="auto" w:line="288" w:before="0" w:after="0"/>
        <w:ind w:left="0" w:right="144"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particular, the financial information contained herein is subject to and qualified by reference to the financial statements contained in the Company’s annual report on Form 10-K for the year ended December 31, 2023 (the “10-K”), the footnotes thereto and the limitations set forth therein. Investors may not rely on the press release without reference to the 10-K and the Public Filings.</w:t>
      </w:r>
    </w:p>
    <w:p>
      <w:pPr>
        <w:pStyle w:val="TextBody"/>
        <w:bidi w:val="0"/>
        <w:spacing w:lineRule="auto" w:line="288" w:before="0" w:after="0"/>
        <w:ind w:left="0" w:right="0" w:hanging="0"/>
        <w:jc w:val="left"/>
        <w:rPr/>
      </w:pPr>
      <w:r>
        <w:rPr/>
      </w:r>
    </w:p>
    <w:p>
      <w:pPr>
        <w:pStyle w:val="TextBody"/>
        <w:bidi w:val="0"/>
        <w:spacing w:lineRule="atLeast" w:line="264" w:before="0" w:after="0"/>
        <w:ind w:left="0" w:right="144" w:hanging="0"/>
        <w:jc w:val="both"/>
        <w:rPr>
          <w:rFonts w:ascii="times new roman;times" w:hAnsi="times new roman;times"/>
          <w:b/>
          <w:sz w:val="20"/>
          <w:u w:val="single"/>
          <w:lang w:val="fr-FR"/>
        </w:rPr>
      </w:pPr>
      <w:r>
        <w:rPr>
          <w:rFonts w:ascii="times new roman;times" w:hAnsi="times new roman;times"/>
          <w:b/>
          <w:sz w:val="20"/>
          <w:u w:val="single"/>
          <w:lang w:val="fr-FR"/>
        </w:rPr>
        <w:t>Contact:</w:t>
      </w:r>
    </w:p>
    <w:p>
      <w:pPr>
        <w:pStyle w:val="TextBody"/>
        <w:bidi w:val="0"/>
        <w:spacing w:lineRule="atLeast" w:line="264" w:before="0" w:after="0"/>
        <w:ind w:left="0" w:right="144" w:hanging="0"/>
        <w:jc w:val="left"/>
        <w:rPr>
          <w:rFonts w:ascii="times new roman;times" w:hAnsi="times new roman;times"/>
          <w:sz w:val="20"/>
          <w:lang w:val="fr-FR"/>
        </w:rPr>
      </w:pPr>
      <w:r>
        <w:rPr>
          <w:rFonts w:ascii="times new roman;times" w:hAnsi="times new roman;times"/>
          <w:sz w:val="20"/>
          <w:lang w:val="fr-FR"/>
        </w:rPr>
        <w:t>Derek Graham</w:t>
        <w:br/>
        <w:t>801-303-3425</w:t>
      </w:r>
    </w:p>
    <w:p>
      <w:pPr>
        <w:pStyle w:val="TextBody"/>
        <w:bidi w:val="0"/>
        <w:spacing w:lineRule="atLeast" w:line="264" w:before="0" w:after="0"/>
        <w:ind w:left="0" w:right="144" w:hanging="0"/>
        <w:jc w:val="both"/>
        <w:rPr>
          <w:rFonts w:ascii="times new roman;times" w:hAnsi="times new roman;times"/>
          <w:sz w:val="24"/>
        </w:rPr>
      </w:pPr>
      <w:r>
        <w:rPr>
          <w:rFonts w:ascii="times new roman;times" w:hAnsi="times new roman;times"/>
          <w:color w:val="4F81BD"/>
          <w:sz w:val="20"/>
          <w:lang w:val="fr-FR"/>
        </w:rPr>
        <w:t>investor_relations@clearone.com</w:t>
      </w:r>
      <w:r>
        <w:rPr>
          <w:rFonts w:ascii="times new roman;times" w:hAnsi="times new roman;times"/>
          <w:sz w:val="24"/>
          <w:u w:val="single"/>
        </w:rPr>
        <w:t xml:space="preserve"> </w:t>
      </w:r>
    </w:p>
    <w:p>
      <w:pPr>
        <w:pStyle w:val="TextBody"/>
        <w:bidi w:val="0"/>
        <w:spacing w:lineRule="atLeast" w:line="264" w:before="0" w:after="0"/>
        <w:ind w:left="0" w:right="144" w:hanging="0"/>
        <w:jc w:val="both"/>
        <w:rPr>
          <w:rFonts w:ascii="times new roman;times" w:hAnsi="times new roman;times"/>
          <w:color w:val="4F81BD"/>
          <w:sz w:val="20"/>
          <w:lang w:val="fr-FR"/>
        </w:rPr>
      </w:pPr>
      <w:r>
        <w:rPr>
          <w:rFonts w:ascii="times new roman;times" w:hAnsi="times new roman;times"/>
          <w:color w:val="4F81BD"/>
          <w:sz w:val="20"/>
          <w:lang w:val="fr-FR"/>
        </w:rPr>
        <w:t>http://investors.clearone.com</w:t>
      </w:r>
    </w:p>
    <w:p>
      <w:pPr>
        <w:pStyle w:val="TextBody"/>
        <w:bidi w:val="0"/>
        <w:spacing w:lineRule="auto" w:line="288"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4</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144" w:hanging="0"/>
        <w:jc w:val="left"/>
        <w:rPr/>
      </w:pPr>
      <w:r>
        <w:rPr/>
        <w:t> </w:t>
      </w:r>
    </w:p>
    <w:p>
      <w:pPr>
        <w:pStyle w:val="TextBody"/>
        <w:bidi w:val="0"/>
        <w:spacing w:lineRule="auto" w:line="288" w:before="0" w:after="0"/>
        <w:ind w:left="0" w:right="0" w:hanging="0"/>
        <w:jc w:val="left"/>
        <w:rPr/>
      </w:pPr>
      <w:r>
        <w:rPr/>
        <w:drawing>
          <wp:inline distT="0" distB="0" distL="0" distR="0">
            <wp:extent cx="1609725" cy="390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09725" cy="390525"/>
                    </a:xfrm>
                    <a:prstGeom prst="rect">
                      <a:avLst/>
                    </a:prstGeom>
                  </pic:spPr>
                </pic:pic>
              </a:graphicData>
            </a:graphic>
          </wp:inline>
        </w:drawing>
      </w:r>
    </w:p>
    <w:p>
      <w:pPr>
        <w:pStyle w:val="TextBody"/>
        <w:bidi w:val="0"/>
        <w:spacing w:lineRule="auto" w:line="288" w:before="0" w:after="0"/>
        <w:ind w:left="0" w:right="144" w:hanging="0"/>
        <w:jc w:val="left"/>
        <w:rPr/>
      </w:pPr>
      <w:r>
        <w:rPr/>
      </w:r>
    </w:p>
    <w:p>
      <w:pPr>
        <w:pStyle w:val="TextBody"/>
        <w:bidi w:val="0"/>
        <w:spacing w:lineRule="auto" w:line="288" w:before="0" w:after="0"/>
        <w:ind w:left="0" w:right="144" w:hanging="0"/>
        <w:jc w:val="center"/>
        <w:rPr/>
      </w:pPr>
      <w:r>
        <w:rPr/>
        <w:t> </w:t>
      </w:r>
      <w:r>
        <w:rPr>
          <w:rFonts w:ascii="times new roman;times" w:hAnsi="times new roman;times"/>
          <w:b/>
          <w:sz w:val="20"/>
        </w:rPr>
        <w:t>CLEARONE, INC</w:t>
      </w:r>
    </w:p>
    <w:p>
      <w:pPr>
        <w:pStyle w:val="TextBody"/>
        <w:bidi w:val="0"/>
        <w:spacing w:lineRule="auto" w:line="288" w:before="0" w:after="0"/>
        <w:ind w:left="144" w:right="144" w:hanging="0"/>
        <w:jc w:val="center"/>
        <w:rPr>
          <w:rFonts w:ascii="times new roman;times" w:hAnsi="times new roman;times"/>
          <w:b/>
          <w:sz w:val="20"/>
        </w:rPr>
      </w:pPr>
      <w:r>
        <w:rPr>
          <w:rFonts w:ascii="times new roman;times" w:hAnsi="times new roman;times"/>
          <w:b/>
          <w:sz w:val="20"/>
        </w:rPr>
        <w:t>UNAUDITED CONDENSED CONSOLIDATED BALANCE SHEETS</w:t>
      </w:r>
    </w:p>
    <w:p>
      <w:pPr>
        <w:pStyle w:val="TextBody"/>
        <w:bidi w:val="0"/>
        <w:spacing w:lineRule="auto" w:line="288" w:before="0" w:after="0"/>
        <w:ind w:left="144" w:right="144" w:hanging="0"/>
        <w:jc w:val="center"/>
        <w:rPr>
          <w:rFonts w:ascii="times new roman;times" w:hAnsi="times new roman;times"/>
          <w:sz w:val="20"/>
        </w:rPr>
      </w:pPr>
      <w:r>
        <w:rPr>
          <w:rFonts w:ascii="times new roman;times" w:hAnsi="times new roman;times"/>
          <w:sz w:val="20"/>
        </w:rPr>
        <w:t>(Dollars in thousands, except par value)</w:t>
      </w:r>
    </w:p>
    <w:p>
      <w:pPr>
        <w:pStyle w:val="TextBody"/>
        <w:bidi w:val="0"/>
        <w:spacing w:lineRule="auto" w:line="288" w:before="0" w:after="0"/>
        <w:ind w:left="144" w:right="144" w:hanging="0"/>
        <w:jc w:val="left"/>
        <w:rPr/>
      </w:pPr>
      <w:r>
        <w:rPr/>
        <w:t> </w:t>
      </w:r>
    </w:p>
    <w:tbl>
      <w:tblPr>
        <w:tblW w:w="5000" w:type="pct"/>
        <w:jc w:val="left"/>
        <w:tblInd w:w="0" w:type="dxa"/>
        <w:tblLayout w:type="fixed"/>
        <w:tblCellMar>
          <w:top w:w="0" w:type="dxa"/>
          <w:left w:w="0" w:type="dxa"/>
          <w:bottom w:w="0" w:type="dxa"/>
          <w:right w:w="0" w:type="dxa"/>
        </w:tblCellMar>
      </w:tblPr>
      <w:tblGrid>
        <w:gridCol w:w="7115"/>
        <w:gridCol w:w="94"/>
        <w:gridCol w:w="248"/>
        <w:gridCol w:w="1089"/>
        <w:gridCol w:w="102"/>
        <w:gridCol w:w="94"/>
        <w:gridCol w:w="248"/>
        <w:gridCol w:w="1089"/>
        <w:gridCol w:w="126"/>
      </w:tblGrid>
      <w:tr>
        <w:trPr/>
        <w:tc>
          <w:tcPr>
            <w:tcW w:w="7115" w:type="dxa"/>
            <w:tcBorders/>
            <w:vAlign w:val="center"/>
          </w:tcPr>
          <w:p>
            <w:pPr>
              <w:pStyle w:val="TableContents"/>
              <w:bidi w:val="0"/>
              <w:spacing w:before="0" w:after="0"/>
              <w:ind w:left="0" w:right="0" w:hanging="0"/>
              <w:jc w:val="left"/>
              <w:rPr/>
            </w:pPr>
            <w:r>
              <w:rPr/>
              <w:t xml:space="preserve">  </w:t>
            </w:r>
          </w:p>
        </w:tc>
        <w:tc>
          <w:tcPr>
            <w:tcW w:w="94" w:type="dxa"/>
            <w:tcBorders/>
            <w:vAlign w:val="center"/>
          </w:tcPr>
          <w:p>
            <w:pPr>
              <w:pStyle w:val="TableContents"/>
              <w:pBdr/>
              <w:bidi w:val="0"/>
              <w:spacing w:before="0" w:after="0"/>
              <w:ind w:left="0" w:right="0" w:hanging="0"/>
              <w:jc w:val="left"/>
              <w:rPr/>
            </w:pPr>
            <w:r>
              <w:rPr/>
              <w:t xml:space="preserve">  </w:t>
            </w:r>
          </w:p>
        </w:tc>
        <w:tc>
          <w:tcPr>
            <w:tcW w:w="1337" w:type="dxa"/>
            <w:gridSpan w:val="2"/>
            <w:tcBorders/>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December 31, 2023 </w:t>
            </w:r>
          </w:p>
        </w:tc>
        <w:tc>
          <w:tcPr>
            <w:tcW w:w="102" w:type="dxa"/>
            <w:tcBorders/>
            <w:vAlign w:val="center"/>
          </w:tcPr>
          <w:p>
            <w:pPr>
              <w:pStyle w:val="TableContents"/>
              <w:pBdr/>
              <w:bidi w:val="0"/>
              <w:spacing w:before="0" w:after="0"/>
              <w:ind w:left="0" w:right="0" w:hanging="0"/>
              <w:jc w:val="left"/>
              <w:rPr/>
            </w:pPr>
            <w:r>
              <w:rPr/>
              <w:t xml:space="preserve">  </w:t>
            </w:r>
          </w:p>
        </w:tc>
        <w:tc>
          <w:tcPr>
            <w:tcW w:w="94" w:type="dxa"/>
            <w:tcBorders/>
            <w:vAlign w:val="center"/>
          </w:tcPr>
          <w:p>
            <w:pPr>
              <w:pStyle w:val="TableContents"/>
              <w:pBdr/>
              <w:bidi w:val="0"/>
              <w:spacing w:before="0" w:after="0"/>
              <w:ind w:left="0" w:right="0" w:hanging="0"/>
              <w:jc w:val="left"/>
              <w:rPr/>
            </w:pPr>
            <w:r>
              <w:rPr/>
              <w:t xml:space="preserve">  </w:t>
            </w:r>
          </w:p>
        </w:tc>
        <w:tc>
          <w:tcPr>
            <w:tcW w:w="1337" w:type="dxa"/>
            <w:gridSpan w:val="2"/>
            <w:tcBorders/>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December 31, 2022 </w:t>
            </w:r>
          </w:p>
        </w:tc>
        <w:tc>
          <w:tcPr>
            <w:tcW w:w="126" w:type="dxa"/>
            <w:tcBorders/>
            <w:vAlign w:val="center"/>
          </w:tcPr>
          <w:p>
            <w:pPr>
              <w:pStyle w:val="TableContents"/>
              <w:pBdr/>
              <w:bidi w:val="0"/>
              <w:spacing w:before="0" w:after="0"/>
              <w:ind w:left="0" w:right="0" w:hanging="0"/>
              <w:jc w:val="left"/>
              <w:rPr/>
            </w:pPr>
            <w:r>
              <w:rPr/>
              <w:t xml:space="preserve">  </w:t>
            </w:r>
          </w:p>
        </w:tc>
      </w:tr>
      <w:tr>
        <w:trPr/>
        <w:tc>
          <w:tcPr>
            <w:tcW w:w="7115" w:type="dxa"/>
            <w:tcBorders/>
            <w:shd w:fill="CCEE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ASSETS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center"/>
              <w:rPr/>
            </w:pPr>
            <w:r>
              <w:rPr/>
              <w:t xml:space="preserve">  </w:t>
            </w:r>
          </w:p>
        </w:tc>
        <w:tc>
          <w:tcPr>
            <w:tcW w:w="102" w:type="dxa"/>
            <w:tcBorders/>
            <w:shd w:fill="CCEEFF" w:val="clear"/>
            <w:vAlign w:val="center"/>
          </w:tcPr>
          <w:p>
            <w:pPr>
              <w:pStyle w:val="TableContents"/>
              <w:pBdr/>
              <w:bidi w:val="0"/>
              <w:spacing w:before="0" w:after="0"/>
              <w:ind w:left="0" w:right="0" w:hanging="0"/>
              <w:jc w:val="left"/>
              <w:rPr/>
            </w:pPr>
            <w:r>
              <w:rPr/>
              <w:t xml:space="preserve">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center"/>
              <w:rPr/>
            </w:pPr>
            <w:r>
              <w:rPr/>
              <w:t xml:space="preserve">  </w:t>
            </w:r>
          </w:p>
        </w:tc>
        <w:tc>
          <w:tcPr>
            <w:tcW w:w="126" w:type="dxa"/>
            <w:tcBorders/>
            <w:shd w:fill="CCEEFF" w:val="clear"/>
            <w:vAlign w:val="center"/>
          </w:tcPr>
          <w:p>
            <w:pPr>
              <w:pStyle w:val="TableContents"/>
              <w:pBdr/>
              <w:bidi w:val="0"/>
              <w:spacing w:before="0" w:after="0"/>
              <w:ind w:left="0" w:right="0" w:hanging="0"/>
              <w:jc w:val="left"/>
              <w:rPr/>
            </w:pPr>
            <w:r>
              <w:rPr/>
              <w:t xml:space="preserve">  </w:t>
            </w:r>
          </w:p>
        </w:tc>
      </w:tr>
      <w:tr>
        <w:trPr/>
        <w:tc>
          <w:tcPr>
            <w:tcW w:w="711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Current assets: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left"/>
              <w:rPr/>
            </w:pPr>
            <w:r>
              <w:rPr/>
              <w:t xml:space="preserve">  </w:t>
            </w:r>
          </w:p>
        </w:tc>
        <w:tc>
          <w:tcPr>
            <w:tcW w:w="102" w:type="dxa"/>
            <w:tcBorders/>
            <w:vAlign w:val="center"/>
          </w:tcPr>
          <w:p>
            <w:pPr>
              <w:pStyle w:val="TableContents"/>
              <w:pBdr/>
              <w:bidi w:val="0"/>
              <w:spacing w:before="0" w:after="0"/>
              <w:ind w:left="0" w:right="0" w:hanging="0"/>
              <w:jc w:val="left"/>
              <w:rPr/>
            </w:pPr>
            <w:r>
              <w:rPr/>
              <w:t xml:space="preserve">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left"/>
              <w:rPr/>
            </w:pPr>
            <w:r>
              <w:rPr/>
              <w:t xml:space="preserve">  </w:t>
            </w:r>
          </w:p>
        </w:tc>
        <w:tc>
          <w:tcPr>
            <w:tcW w:w="126" w:type="dxa"/>
            <w:tcBorders/>
            <w:vAlign w:val="center"/>
          </w:tcPr>
          <w:p>
            <w:pPr>
              <w:pStyle w:val="TableContents"/>
              <w:pBdr/>
              <w:bidi w:val="0"/>
              <w:spacing w:before="0" w:after="0"/>
              <w:ind w:left="0" w:right="0" w:hanging="0"/>
              <w:jc w:val="left"/>
              <w:rPr/>
            </w:pPr>
            <w:r>
              <w:rPr/>
              <w:t xml:space="preserve">  </w:t>
            </w:r>
          </w:p>
        </w:tc>
      </w:tr>
      <w:tr>
        <w:trPr/>
        <w:tc>
          <w:tcPr>
            <w:tcW w:w="7115"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Cash and cash equivalents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8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17,835</w:t>
            </w:r>
          </w:p>
        </w:tc>
        <w:tc>
          <w:tcPr>
            <w:tcW w:w="102" w:type="dxa"/>
            <w:tcBorders/>
            <w:shd w:fill="CCEEFF" w:val="clear"/>
            <w:vAlign w:val="center"/>
          </w:tcPr>
          <w:p>
            <w:pPr>
              <w:pStyle w:val="TableContents"/>
              <w:pBdr/>
              <w:bidi w:val="0"/>
              <w:spacing w:before="0" w:after="0"/>
              <w:ind w:left="0" w:right="0" w:hanging="0"/>
              <w:jc w:val="left"/>
              <w:rPr/>
            </w:pPr>
            <w:r>
              <w:rPr/>
              <w:t xml:space="preserve">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8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984 </w:t>
            </w:r>
          </w:p>
        </w:tc>
        <w:tc>
          <w:tcPr>
            <w:tcW w:w="126" w:type="dxa"/>
            <w:tcBorders/>
            <w:shd w:fill="CCEEFF" w:val="clear"/>
            <w:vAlign w:val="center"/>
          </w:tcPr>
          <w:p>
            <w:pPr>
              <w:pStyle w:val="TableContents"/>
              <w:pBdr/>
              <w:bidi w:val="0"/>
              <w:spacing w:before="0" w:after="0"/>
              <w:ind w:left="0" w:right="0" w:hanging="0"/>
              <w:jc w:val="left"/>
              <w:rPr/>
            </w:pPr>
            <w:r>
              <w:rPr/>
              <w:t xml:space="preserve">  </w:t>
            </w:r>
          </w:p>
        </w:tc>
      </w:tr>
      <w:tr>
        <w:trPr/>
        <w:tc>
          <w:tcPr>
            <w:tcW w:w="711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Marketable securities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3,480 </w:t>
            </w:r>
          </w:p>
        </w:tc>
        <w:tc>
          <w:tcPr>
            <w:tcW w:w="102" w:type="dxa"/>
            <w:tcBorders/>
            <w:vAlign w:val="center"/>
          </w:tcPr>
          <w:p>
            <w:pPr>
              <w:pStyle w:val="TableContents"/>
              <w:pBdr/>
              <w:bidi w:val="0"/>
              <w:spacing w:before="0" w:after="0"/>
              <w:ind w:left="0" w:right="0" w:hanging="0"/>
              <w:jc w:val="left"/>
              <w:rPr/>
            </w:pPr>
            <w:r>
              <w:rPr/>
              <w:t xml:space="preserve">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right"/>
              <w:rPr/>
            </w:pPr>
            <w:r>
              <w:rPr/>
              <w:t>—</w:t>
            </w:r>
          </w:p>
        </w:tc>
        <w:tc>
          <w:tcPr>
            <w:tcW w:w="126" w:type="dxa"/>
            <w:tcBorders/>
            <w:vAlign w:val="center"/>
          </w:tcPr>
          <w:p>
            <w:pPr>
              <w:pStyle w:val="TableContents"/>
              <w:pBdr/>
              <w:bidi w:val="0"/>
              <w:spacing w:before="0" w:after="0"/>
              <w:ind w:left="0" w:right="0" w:hanging="0"/>
              <w:jc w:val="left"/>
              <w:rPr/>
            </w:pPr>
            <w:r>
              <w:rPr/>
              <w:t xml:space="preserve">  </w:t>
            </w:r>
          </w:p>
        </w:tc>
      </w:tr>
      <w:tr>
        <w:trPr/>
        <w:tc>
          <w:tcPr>
            <w:tcW w:w="7115"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Legal settlement receivable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4,000</w:t>
            </w:r>
          </w:p>
        </w:tc>
        <w:tc>
          <w:tcPr>
            <w:tcW w:w="102" w:type="dxa"/>
            <w:tcBorders/>
            <w:shd w:fill="CCEEFF" w:val="clear"/>
            <w:vAlign w:val="center"/>
          </w:tcPr>
          <w:p>
            <w:pPr>
              <w:pStyle w:val="TableContents"/>
              <w:pBdr/>
              <w:bidi w:val="0"/>
              <w:spacing w:before="0" w:after="0"/>
              <w:ind w:left="0" w:right="0" w:hanging="0"/>
              <w:jc w:val="left"/>
              <w:rPr/>
            </w:pPr>
            <w:r>
              <w:rPr/>
              <w:t xml:space="preserve">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55,000 </w:t>
            </w:r>
          </w:p>
        </w:tc>
        <w:tc>
          <w:tcPr>
            <w:tcW w:w="126" w:type="dxa"/>
            <w:tcBorders/>
            <w:shd w:fill="CCEEFF" w:val="clear"/>
            <w:vAlign w:val="center"/>
          </w:tcPr>
          <w:p>
            <w:pPr>
              <w:pStyle w:val="TableContents"/>
              <w:pBdr/>
              <w:bidi w:val="0"/>
              <w:spacing w:before="0" w:after="0"/>
              <w:ind w:left="0" w:right="0" w:hanging="0"/>
              <w:jc w:val="left"/>
              <w:rPr/>
            </w:pPr>
            <w:r>
              <w:rPr/>
              <w:t xml:space="preserve">  </w:t>
            </w:r>
          </w:p>
        </w:tc>
      </w:tr>
      <w:tr>
        <w:trPr/>
        <w:tc>
          <w:tcPr>
            <w:tcW w:w="711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Receivables, net of allowance for doubtful accounts of $326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3,279 </w:t>
            </w:r>
          </w:p>
        </w:tc>
        <w:tc>
          <w:tcPr>
            <w:tcW w:w="102" w:type="dxa"/>
            <w:tcBorders/>
            <w:vAlign w:val="center"/>
          </w:tcPr>
          <w:p>
            <w:pPr>
              <w:pStyle w:val="TableContents"/>
              <w:pBdr/>
              <w:bidi w:val="0"/>
              <w:spacing w:before="0" w:after="0"/>
              <w:ind w:left="0" w:right="0" w:hanging="0"/>
              <w:jc w:val="left"/>
              <w:rPr/>
            </w:pPr>
            <w:r>
              <w:rPr/>
              <w:t xml:space="preserve">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3,603 </w:t>
            </w:r>
          </w:p>
        </w:tc>
        <w:tc>
          <w:tcPr>
            <w:tcW w:w="126" w:type="dxa"/>
            <w:tcBorders/>
            <w:vAlign w:val="center"/>
          </w:tcPr>
          <w:p>
            <w:pPr>
              <w:pStyle w:val="TableContents"/>
              <w:pBdr/>
              <w:bidi w:val="0"/>
              <w:spacing w:before="0" w:after="0"/>
              <w:ind w:left="0" w:right="0" w:hanging="0"/>
              <w:jc w:val="left"/>
              <w:rPr/>
            </w:pPr>
            <w:r>
              <w:rPr/>
              <w:t xml:space="preserve">  </w:t>
            </w:r>
          </w:p>
        </w:tc>
      </w:tr>
      <w:tr>
        <w:trPr/>
        <w:tc>
          <w:tcPr>
            <w:tcW w:w="7115"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Inventories, net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10,625 </w:t>
            </w:r>
          </w:p>
        </w:tc>
        <w:tc>
          <w:tcPr>
            <w:tcW w:w="102" w:type="dxa"/>
            <w:tcBorders/>
            <w:shd w:fill="CCEEFF" w:val="clear"/>
            <w:vAlign w:val="center"/>
          </w:tcPr>
          <w:p>
            <w:pPr>
              <w:pStyle w:val="TableContents"/>
              <w:pBdr/>
              <w:bidi w:val="0"/>
              <w:spacing w:before="0" w:after="0"/>
              <w:ind w:left="0" w:right="0" w:hanging="0"/>
              <w:jc w:val="left"/>
              <w:rPr/>
            </w:pPr>
            <w:r>
              <w:rPr/>
              <w:t xml:space="preserve">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8,961 </w:t>
            </w:r>
          </w:p>
        </w:tc>
        <w:tc>
          <w:tcPr>
            <w:tcW w:w="126" w:type="dxa"/>
            <w:tcBorders/>
            <w:shd w:fill="CCEEFF" w:val="clear"/>
            <w:vAlign w:val="center"/>
          </w:tcPr>
          <w:p>
            <w:pPr>
              <w:pStyle w:val="TableContents"/>
              <w:pBdr/>
              <w:bidi w:val="0"/>
              <w:spacing w:before="0" w:after="0"/>
              <w:ind w:left="0" w:right="0" w:hanging="0"/>
              <w:jc w:val="left"/>
              <w:rPr/>
            </w:pPr>
            <w:r>
              <w:rPr/>
              <w:t xml:space="preserve">  </w:t>
            </w:r>
          </w:p>
        </w:tc>
      </w:tr>
      <w:tr>
        <w:trPr/>
        <w:tc>
          <w:tcPr>
            <w:tcW w:w="711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Income tax receivable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36 </w:t>
            </w:r>
          </w:p>
        </w:tc>
        <w:tc>
          <w:tcPr>
            <w:tcW w:w="102" w:type="dxa"/>
            <w:tcBorders/>
            <w:vAlign w:val="center"/>
          </w:tcPr>
          <w:p>
            <w:pPr>
              <w:pStyle w:val="TableContents"/>
              <w:pBdr/>
              <w:bidi w:val="0"/>
              <w:spacing w:before="0" w:after="0"/>
              <w:ind w:left="0" w:right="0" w:hanging="0"/>
              <w:jc w:val="right"/>
              <w:rPr/>
            </w:pPr>
            <w:r>
              <w:rPr/>
              <w:t xml:space="preserve">  </w:t>
            </w:r>
          </w:p>
        </w:tc>
        <w:tc>
          <w:tcPr>
            <w:tcW w:w="94" w:type="dxa"/>
            <w:tcBorders/>
            <w:vAlign w:val="center"/>
          </w:tcPr>
          <w:p>
            <w:pPr>
              <w:pStyle w:val="TableContents"/>
              <w:pBdr/>
              <w:bidi w:val="0"/>
              <w:spacing w:before="0" w:after="0"/>
              <w:ind w:left="0" w:right="0" w:hanging="0"/>
              <w:jc w:val="right"/>
              <w:rPr/>
            </w:pPr>
            <w:r>
              <w:rPr/>
              <w:t xml:space="preserve">  </w:t>
            </w:r>
          </w:p>
        </w:tc>
        <w:tc>
          <w:tcPr>
            <w:tcW w:w="248" w:type="dxa"/>
            <w:tcBorders/>
            <w:vAlign w:val="center"/>
          </w:tcPr>
          <w:p>
            <w:pPr>
              <w:pStyle w:val="TableContents"/>
              <w:pBdr/>
              <w:bidi w:val="0"/>
              <w:spacing w:before="0" w:after="0"/>
              <w:ind w:left="0" w:right="0" w:hanging="0"/>
              <w:jc w:val="right"/>
              <w:rPr/>
            </w:pPr>
            <w:r>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1,071 </w:t>
            </w:r>
          </w:p>
        </w:tc>
        <w:tc>
          <w:tcPr>
            <w:tcW w:w="126" w:type="dxa"/>
            <w:tcBorders/>
            <w:vAlign w:val="center"/>
          </w:tcPr>
          <w:p>
            <w:pPr>
              <w:pStyle w:val="TableContents"/>
              <w:pBdr/>
              <w:bidi w:val="0"/>
              <w:spacing w:before="0" w:after="0"/>
              <w:ind w:left="0" w:right="0" w:hanging="0"/>
              <w:jc w:val="left"/>
              <w:rPr/>
            </w:pPr>
            <w:r>
              <w:rPr/>
              <w:t xml:space="preserve">  </w:t>
            </w:r>
          </w:p>
        </w:tc>
      </w:tr>
      <w:tr>
        <w:trPr/>
        <w:tc>
          <w:tcPr>
            <w:tcW w:w="7115"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Prepaid expenses and other assets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4,062 </w:t>
            </w:r>
          </w:p>
        </w:tc>
        <w:tc>
          <w:tcPr>
            <w:tcW w:w="102" w:type="dxa"/>
            <w:tcBorders/>
            <w:shd w:fill="CCEEFF" w:val="clear"/>
            <w:vAlign w:val="center"/>
          </w:tcPr>
          <w:p>
            <w:pPr>
              <w:pStyle w:val="TableContents"/>
              <w:pBdr/>
              <w:bidi w:val="0"/>
              <w:spacing w:before="0" w:after="0"/>
              <w:ind w:left="0" w:right="0" w:hanging="0"/>
              <w:jc w:val="left"/>
              <w:rPr/>
            </w:pPr>
            <w:r>
              <w:rPr/>
              <w:t xml:space="preserve">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7,808 </w:t>
            </w:r>
          </w:p>
        </w:tc>
        <w:tc>
          <w:tcPr>
            <w:tcW w:w="126" w:type="dxa"/>
            <w:tcBorders/>
            <w:shd w:fill="CCEEFF" w:val="clear"/>
            <w:vAlign w:val="center"/>
          </w:tcPr>
          <w:p>
            <w:pPr>
              <w:pStyle w:val="TableContents"/>
              <w:pBdr/>
              <w:bidi w:val="0"/>
              <w:spacing w:before="0" w:after="0"/>
              <w:ind w:left="0" w:right="0" w:hanging="0"/>
              <w:jc w:val="left"/>
              <w:rPr/>
            </w:pPr>
            <w:r>
              <w:rPr/>
              <w:t xml:space="preserve">  </w:t>
            </w:r>
          </w:p>
        </w:tc>
      </w:tr>
      <w:tr>
        <w:trPr/>
        <w:tc>
          <w:tcPr>
            <w:tcW w:w="711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Total current assets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43,317</w:t>
            </w:r>
          </w:p>
        </w:tc>
        <w:tc>
          <w:tcPr>
            <w:tcW w:w="102" w:type="dxa"/>
            <w:tcBorders/>
            <w:vAlign w:val="center"/>
          </w:tcPr>
          <w:p>
            <w:pPr>
              <w:pStyle w:val="TableContents"/>
              <w:pBdr/>
              <w:bidi w:val="0"/>
              <w:spacing w:before="0" w:after="0"/>
              <w:ind w:left="0" w:right="0" w:hanging="0"/>
              <w:jc w:val="left"/>
              <w:rPr/>
            </w:pPr>
            <w:r>
              <w:rPr/>
              <w:t xml:space="preserve">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77,427 </w:t>
            </w:r>
          </w:p>
        </w:tc>
        <w:tc>
          <w:tcPr>
            <w:tcW w:w="126" w:type="dxa"/>
            <w:tcBorders/>
            <w:vAlign w:val="center"/>
          </w:tcPr>
          <w:p>
            <w:pPr>
              <w:pStyle w:val="TableContents"/>
              <w:pBdr/>
              <w:bidi w:val="0"/>
              <w:spacing w:before="0" w:after="0"/>
              <w:ind w:left="0" w:right="0" w:hanging="0"/>
              <w:jc w:val="left"/>
              <w:rPr/>
            </w:pPr>
            <w:r>
              <w:rPr/>
              <w:t xml:space="preserve">  </w:t>
            </w:r>
          </w:p>
        </w:tc>
      </w:tr>
      <w:tr>
        <w:trPr/>
        <w:tc>
          <w:tcPr>
            <w:tcW w:w="7115"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Long-term marketable securities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916 </w:t>
            </w:r>
          </w:p>
        </w:tc>
        <w:tc>
          <w:tcPr>
            <w:tcW w:w="102" w:type="dxa"/>
            <w:tcBorders/>
            <w:shd w:fill="CCEEFF" w:val="clear"/>
            <w:vAlign w:val="center"/>
          </w:tcPr>
          <w:p>
            <w:pPr>
              <w:pStyle w:val="TableContents"/>
              <w:pBdr/>
              <w:bidi w:val="0"/>
              <w:spacing w:before="0" w:after="0"/>
              <w:ind w:left="0" w:right="0" w:hanging="0"/>
              <w:jc w:val="left"/>
              <w:rPr/>
            </w:pPr>
            <w:r>
              <w:rPr/>
              <w:t xml:space="preserve">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right"/>
              <w:rPr/>
            </w:pPr>
            <w:r>
              <w:rPr/>
              <w:t>—</w:t>
            </w:r>
          </w:p>
        </w:tc>
        <w:tc>
          <w:tcPr>
            <w:tcW w:w="126" w:type="dxa"/>
            <w:tcBorders/>
            <w:shd w:fill="CCEEFF" w:val="clear"/>
            <w:vAlign w:val="center"/>
          </w:tcPr>
          <w:p>
            <w:pPr>
              <w:pStyle w:val="TableContents"/>
              <w:pBdr/>
              <w:bidi w:val="0"/>
              <w:spacing w:before="0" w:after="0"/>
              <w:ind w:left="0" w:right="0" w:hanging="0"/>
              <w:jc w:val="left"/>
              <w:rPr/>
            </w:pPr>
            <w:r>
              <w:rPr/>
              <w:t xml:space="preserve">  </w:t>
            </w:r>
          </w:p>
        </w:tc>
      </w:tr>
      <w:tr>
        <w:trPr/>
        <w:tc>
          <w:tcPr>
            <w:tcW w:w="711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Long-term inventories, net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3,143 </w:t>
            </w:r>
          </w:p>
        </w:tc>
        <w:tc>
          <w:tcPr>
            <w:tcW w:w="102" w:type="dxa"/>
            <w:tcBorders/>
            <w:vAlign w:val="center"/>
          </w:tcPr>
          <w:p>
            <w:pPr>
              <w:pStyle w:val="TableContents"/>
              <w:pBdr/>
              <w:bidi w:val="0"/>
              <w:spacing w:before="0" w:after="0"/>
              <w:ind w:left="0" w:right="0" w:hanging="0"/>
              <w:jc w:val="left"/>
              <w:rPr/>
            </w:pPr>
            <w:r>
              <w:rPr/>
              <w:t xml:space="preserve">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2,707 </w:t>
            </w:r>
          </w:p>
        </w:tc>
        <w:tc>
          <w:tcPr>
            <w:tcW w:w="126" w:type="dxa"/>
            <w:tcBorders/>
            <w:vAlign w:val="center"/>
          </w:tcPr>
          <w:p>
            <w:pPr>
              <w:pStyle w:val="TableContents"/>
              <w:pBdr/>
              <w:bidi w:val="0"/>
              <w:spacing w:before="0" w:after="0"/>
              <w:ind w:left="0" w:right="0" w:hanging="0"/>
              <w:jc w:val="left"/>
              <w:rPr/>
            </w:pPr>
            <w:r>
              <w:rPr/>
              <w:t xml:space="preserve">  </w:t>
            </w:r>
          </w:p>
        </w:tc>
      </w:tr>
      <w:tr>
        <w:trPr/>
        <w:tc>
          <w:tcPr>
            <w:tcW w:w="7115"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Property and equipment, net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530 </w:t>
            </w:r>
          </w:p>
        </w:tc>
        <w:tc>
          <w:tcPr>
            <w:tcW w:w="102" w:type="dxa"/>
            <w:tcBorders/>
            <w:shd w:fill="CCEEFF" w:val="clear"/>
            <w:vAlign w:val="center"/>
          </w:tcPr>
          <w:p>
            <w:pPr>
              <w:pStyle w:val="TableContents"/>
              <w:pBdr/>
              <w:bidi w:val="0"/>
              <w:spacing w:before="0" w:after="0"/>
              <w:ind w:left="0" w:right="0" w:hanging="0"/>
              <w:jc w:val="left"/>
              <w:rPr/>
            </w:pPr>
            <w:r>
              <w:rPr/>
              <w:t xml:space="preserve">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383 </w:t>
            </w:r>
          </w:p>
        </w:tc>
        <w:tc>
          <w:tcPr>
            <w:tcW w:w="126" w:type="dxa"/>
            <w:tcBorders/>
            <w:shd w:fill="CCEEFF" w:val="clear"/>
            <w:vAlign w:val="center"/>
          </w:tcPr>
          <w:p>
            <w:pPr>
              <w:pStyle w:val="TableContents"/>
              <w:pBdr/>
              <w:bidi w:val="0"/>
              <w:spacing w:before="0" w:after="0"/>
              <w:ind w:left="0" w:right="0" w:hanging="0"/>
              <w:jc w:val="left"/>
              <w:rPr/>
            </w:pPr>
            <w:r>
              <w:rPr/>
              <w:t xml:space="preserve">  </w:t>
            </w:r>
          </w:p>
        </w:tc>
      </w:tr>
      <w:tr>
        <w:trPr/>
        <w:tc>
          <w:tcPr>
            <w:tcW w:w="711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Operating lease - right of use assets, net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990 </w:t>
            </w:r>
          </w:p>
        </w:tc>
        <w:tc>
          <w:tcPr>
            <w:tcW w:w="102" w:type="dxa"/>
            <w:tcBorders/>
            <w:vAlign w:val="center"/>
          </w:tcPr>
          <w:p>
            <w:pPr>
              <w:pStyle w:val="TableContents"/>
              <w:pBdr/>
              <w:bidi w:val="0"/>
              <w:spacing w:before="0" w:after="0"/>
              <w:ind w:left="0" w:right="0" w:hanging="0"/>
              <w:jc w:val="left"/>
              <w:rPr/>
            </w:pPr>
            <w:r>
              <w:rPr/>
              <w:t xml:space="preserve">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1,047 </w:t>
            </w:r>
          </w:p>
        </w:tc>
        <w:tc>
          <w:tcPr>
            <w:tcW w:w="126" w:type="dxa"/>
            <w:tcBorders/>
            <w:vAlign w:val="center"/>
          </w:tcPr>
          <w:p>
            <w:pPr>
              <w:pStyle w:val="TableContents"/>
              <w:pBdr/>
              <w:bidi w:val="0"/>
              <w:spacing w:before="0" w:after="0"/>
              <w:ind w:left="0" w:right="0" w:hanging="0"/>
              <w:jc w:val="left"/>
              <w:rPr/>
            </w:pPr>
            <w:r>
              <w:rPr/>
              <w:t xml:space="preserve">  </w:t>
            </w:r>
          </w:p>
        </w:tc>
      </w:tr>
      <w:tr>
        <w:trPr/>
        <w:tc>
          <w:tcPr>
            <w:tcW w:w="7115"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Intangibles, net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1,689 </w:t>
            </w:r>
          </w:p>
        </w:tc>
        <w:tc>
          <w:tcPr>
            <w:tcW w:w="102" w:type="dxa"/>
            <w:tcBorders/>
            <w:shd w:fill="CCEEFF" w:val="clear"/>
            <w:vAlign w:val="center"/>
          </w:tcPr>
          <w:p>
            <w:pPr>
              <w:pStyle w:val="TableContents"/>
              <w:pBdr/>
              <w:bidi w:val="0"/>
              <w:spacing w:before="0" w:after="0"/>
              <w:ind w:left="0" w:right="0" w:hanging="0"/>
              <w:jc w:val="left"/>
              <w:rPr/>
            </w:pPr>
            <w:r>
              <w:rPr/>
              <w:t xml:space="preserve">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2,071 </w:t>
            </w:r>
          </w:p>
        </w:tc>
        <w:tc>
          <w:tcPr>
            <w:tcW w:w="126" w:type="dxa"/>
            <w:tcBorders/>
            <w:shd w:fill="CCEEFF" w:val="clear"/>
            <w:vAlign w:val="center"/>
          </w:tcPr>
          <w:p>
            <w:pPr>
              <w:pStyle w:val="TableContents"/>
              <w:pBdr/>
              <w:bidi w:val="0"/>
              <w:spacing w:before="0" w:after="0"/>
              <w:ind w:left="0" w:right="0" w:hanging="0"/>
              <w:jc w:val="left"/>
              <w:rPr/>
            </w:pPr>
            <w:r>
              <w:rPr/>
              <w:t xml:space="preserve">  </w:t>
            </w:r>
          </w:p>
        </w:tc>
      </w:tr>
      <w:tr>
        <w:trPr/>
        <w:tc>
          <w:tcPr>
            <w:tcW w:w="711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Other assets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109 </w:t>
            </w:r>
          </w:p>
        </w:tc>
        <w:tc>
          <w:tcPr>
            <w:tcW w:w="102" w:type="dxa"/>
            <w:tcBorders/>
            <w:vAlign w:val="center"/>
          </w:tcPr>
          <w:p>
            <w:pPr>
              <w:pStyle w:val="TableContents"/>
              <w:pBdr/>
              <w:bidi w:val="0"/>
              <w:spacing w:before="0" w:after="0"/>
              <w:ind w:left="0" w:right="0" w:hanging="0"/>
              <w:jc w:val="left"/>
              <w:rPr/>
            </w:pPr>
            <w:r>
              <w:rPr/>
              <w:t xml:space="preserve">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115 </w:t>
            </w:r>
          </w:p>
        </w:tc>
        <w:tc>
          <w:tcPr>
            <w:tcW w:w="126" w:type="dxa"/>
            <w:tcBorders/>
            <w:vAlign w:val="center"/>
          </w:tcPr>
          <w:p>
            <w:pPr>
              <w:pStyle w:val="TableContents"/>
              <w:pBdr/>
              <w:bidi w:val="0"/>
              <w:spacing w:before="0" w:after="0"/>
              <w:ind w:left="0" w:right="0" w:hanging="0"/>
              <w:jc w:val="left"/>
              <w:rPr/>
            </w:pPr>
            <w:r>
              <w:rPr/>
              <w:t xml:space="preserve">  </w:t>
            </w:r>
          </w:p>
        </w:tc>
      </w:tr>
      <w:tr>
        <w:trPr/>
        <w:tc>
          <w:tcPr>
            <w:tcW w:w="7115"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Total assets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8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50,694</w:t>
            </w:r>
          </w:p>
        </w:tc>
        <w:tc>
          <w:tcPr>
            <w:tcW w:w="102" w:type="dxa"/>
            <w:tcBorders/>
            <w:shd w:fill="CCEEFF" w:val="clear"/>
            <w:vAlign w:val="center"/>
          </w:tcPr>
          <w:p>
            <w:pPr>
              <w:pStyle w:val="TableContents"/>
              <w:pBdr/>
              <w:bidi w:val="0"/>
              <w:spacing w:before="0" w:after="0"/>
              <w:ind w:left="0" w:right="0" w:hanging="0"/>
              <w:jc w:val="left"/>
              <w:rPr/>
            </w:pPr>
            <w:r>
              <w:rPr/>
              <w:t xml:space="preserve">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8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83,750 </w:t>
            </w:r>
          </w:p>
        </w:tc>
        <w:tc>
          <w:tcPr>
            <w:tcW w:w="126" w:type="dxa"/>
            <w:tcBorders/>
            <w:shd w:fill="CCEEFF" w:val="clear"/>
            <w:vAlign w:val="center"/>
          </w:tcPr>
          <w:p>
            <w:pPr>
              <w:pStyle w:val="TableContents"/>
              <w:pBdr/>
              <w:bidi w:val="0"/>
              <w:spacing w:before="0" w:after="0"/>
              <w:ind w:left="0" w:right="0" w:hanging="0"/>
              <w:jc w:val="left"/>
              <w:rPr/>
            </w:pPr>
            <w:r>
              <w:rPr/>
              <w:t xml:space="preserve">  </w:t>
            </w:r>
          </w:p>
        </w:tc>
      </w:tr>
      <w:tr>
        <w:trPr/>
        <w:tc>
          <w:tcPr>
            <w:tcW w:w="7115"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LIABILITIES AND SHAREHOLDERS’ EQUITY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center"/>
              <w:rPr/>
            </w:pPr>
            <w:r>
              <w:rPr/>
              <w:t xml:space="preserve">  </w:t>
            </w:r>
          </w:p>
        </w:tc>
        <w:tc>
          <w:tcPr>
            <w:tcW w:w="102" w:type="dxa"/>
            <w:tcBorders/>
            <w:vAlign w:val="center"/>
          </w:tcPr>
          <w:p>
            <w:pPr>
              <w:pStyle w:val="TableContents"/>
              <w:pBdr/>
              <w:bidi w:val="0"/>
              <w:spacing w:before="0" w:after="0"/>
              <w:ind w:left="0" w:right="0" w:hanging="0"/>
              <w:jc w:val="left"/>
              <w:rPr/>
            </w:pPr>
            <w:r>
              <w:rPr/>
              <w:t xml:space="preserve">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center"/>
              <w:rPr/>
            </w:pPr>
            <w:r>
              <w:rPr/>
              <w:t xml:space="preserve">  </w:t>
            </w:r>
          </w:p>
        </w:tc>
        <w:tc>
          <w:tcPr>
            <w:tcW w:w="126" w:type="dxa"/>
            <w:tcBorders/>
            <w:vAlign w:val="center"/>
          </w:tcPr>
          <w:p>
            <w:pPr>
              <w:pStyle w:val="TableContents"/>
              <w:pBdr/>
              <w:bidi w:val="0"/>
              <w:spacing w:before="0" w:after="0"/>
              <w:ind w:left="0" w:right="0" w:hanging="0"/>
              <w:jc w:val="left"/>
              <w:rPr/>
            </w:pPr>
            <w:r>
              <w:rPr/>
              <w:t xml:space="preserve">  </w:t>
            </w:r>
          </w:p>
        </w:tc>
      </w:tr>
      <w:tr>
        <w:trPr/>
        <w:tc>
          <w:tcPr>
            <w:tcW w:w="7115"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Current liabilities: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left"/>
              <w:rPr/>
            </w:pPr>
            <w:r>
              <w:rPr/>
              <w:t xml:space="preserve">  </w:t>
            </w:r>
          </w:p>
        </w:tc>
        <w:tc>
          <w:tcPr>
            <w:tcW w:w="102" w:type="dxa"/>
            <w:tcBorders/>
            <w:shd w:fill="CCEEFF" w:val="clear"/>
            <w:vAlign w:val="center"/>
          </w:tcPr>
          <w:p>
            <w:pPr>
              <w:pStyle w:val="TableContents"/>
              <w:pBdr/>
              <w:bidi w:val="0"/>
              <w:spacing w:before="0" w:after="0"/>
              <w:ind w:left="0" w:right="0" w:hanging="0"/>
              <w:jc w:val="left"/>
              <w:rPr/>
            </w:pPr>
            <w:r>
              <w:rPr/>
              <w:t xml:space="preserve">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left"/>
              <w:rPr/>
            </w:pPr>
            <w:r>
              <w:rPr/>
              <w:t xml:space="preserve">  </w:t>
            </w:r>
          </w:p>
        </w:tc>
        <w:tc>
          <w:tcPr>
            <w:tcW w:w="126" w:type="dxa"/>
            <w:tcBorders/>
            <w:shd w:fill="CCEEFF" w:val="clear"/>
            <w:vAlign w:val="center"/>
          </w:tcPr>
          <w:p>
            <w:pPr>
              <w:pStyle w:val="TableContents"/>
              <w:pBdr/>
              <w:bidi w:val="0"/>
              <w:spacing w:before="0" w:after="0"/>
              <w:ind w:left="0" w:right="0" w:hanging="0"/>
              <w:jc w:val="left"/>
              <w:rPr/>
            </w:pPr>
            <w:r>
              <w:rPr/>
              <w:t xml:space="preserve">  </w:t>
            </w:r>
          </w:p>
        </w:tc>
      </w:tr>
      <w:tr>
        <w:trPr/>
        <w:tc>
          <w:tcPr>
            <w:tcW w:w="711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Accounts payable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1,945 </w:t>
            </w:r>
          </w:p>
        </w:tc>
        <w:tc>
          <w:tcPr>
            <w:tcW w:w="102" w:type="dxa"/>
            <w:tcBorders/>
            <w:vAlign w:val="center"/>
          </w:tcPr>
          <w:p>
            <w:pPr>
              <w:pStyle w:val="TableContents"/>
              <w:pBdr/>
              <w:bidi w:val="0"/>
              <w:spacing w:before="0" w:after="0"/>
              <w:ind w:left="0" w:right="0" w:hanging="0"/>
              <w:jc w:val="left"/>
              <w:rPr/>
            </w:pPr>
            <w:r>
              <w:rPr/>
              <w:t xml:space="preserve">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1,284 </w:t>
            </w:r>
          </w:p>
        </w:tc>
        <w:tc>
          <w:tcPr>
            <w:tcW w:w="126" w:type="dxa"/>
            <w:tcBorders/>
            <w:vAlign w:val="center"/>
          </w:tcPr>
          <w:p>
            <w:pPr>
              <w:pStyle w:val="TableContents"/>
              <w:pBdr/>
              <w:bidi w:val="0"/>
              <w:spacing w:before="0" w:after="0"/>
              <w:ind w:left="0" w:right="0" w:hanging="0"/>
              <w:jc w:val="left"/>
              <w:rPr/>
            </w:pPr>
            <w:r>
              <w:rPr/>
              <w:t xml:space="preserve">  </w:t>
            </w:r>
          </w:p>
        </w:tc>
      </w:tr>
      <w:tr>
        <w:trPr/>
        <w:tc>
          <w:tcPr>
            <w:tcW w:w="7115"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Accrued liabilities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2,290 </w:t>
            </w:r>
          </w:p>
        </w:tc>
        <w:tc>
          <w:tcPr>
            <w:tcW w:w="102" w:type="dxa"/>
            <w:tcBorders/>
            <w:shd w:fill="CCEEFF" w:val="clear"/>
            <w:vAlign w:val="center"/>
          </w:tcPr>
          <w:p>
            <w:pPr>
              <w:pStyle w:val="TableContents"/>
              <w:pBdr/>
              <w:bidi w:val="0"/>
              <w:spacing w:before="0" w:after="0"/>
              <w:ind w:left="0" w:right="0" w:hanging="0"/>
              <w:jc w:val="left"/>
              <w:rPr/>
            </w:pPr>
            <w:r>
              <w:rPr/>
              <w:t xml:space="preserve">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3,041 </w:t>
            </w:r>
          </w:p>
        </w:tc>
        <w:tc>
          <w:tcPr>
            <w:tcW w:w="126" w:type="dxa"/>
            <w:tcBorders/>
            <w:shd w:fill="CCEEFF" w:val="clear"/>
            <w:vAlign w:val="center"/>
          </w:tcPr>
          <w:p>
            <w:pPr>
              <w:pStyle w:val="TableContents"/>
              <w:pBdr/>
              <w:bidi w:val="0"/>
              <w:spacing w:before="0" w:after="0"/>
              <w:ind w:left="0" w:right="0" w:hanging="0"/>
              <w:jc w:val="left"/>
              <w:rPr/>
            </w:pPr>
            <w:r>
              <w:rPr/>
              <w:t xml:space="preserve">  </w:t>
            </w:r>
          </w:p>
        </w:tc>
      </w:tr>
      <w:tr>
        <w:trPr/>
        <w:tc>
          <w:tcPr>
            <w:tcW w:w="711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Deferred product revenue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30 </w:t>
            </w:r>
          </w:p>
        </w:tc>
        <w:tc>
          <w:tcPr>
            <w:tcW w:w="102" w:type="dxa"/>
            <w:tcBorders/>
            <w:vAlign w:val="center"/>
          </w:tcPr>
          <w:p>
            <w:pPr>
              <w:pStyle w:val="TableContents"/>
              <w:pBdr/>
              <w:bidi w:val="0"/>
              <w:spacing w:before="0" w:after="0"/>
              <w:ind w:left="0" w:right="0" w:hanging="0"/>
              <w:jc w:val="left"/>
              <w:rPr/>
            </w:pPr>
            <w:r>
              <w:rPr/>
              <w:t xml:space="preserve">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63 </w:t>
            </w:r>
          </w:p>
        </w:tc>
        <w:tc>
          <w:tcPr>
            <w:tcW w:w="126" w:type="dxa"/>
            <w:tcBorders/>
            <w:vAlign w:val="center"/>
          </w:tcPr>
          <w:p>
            <w:pPr>
              <w:pStyle w:val="TableContents"/>
              <w:pBdr/>
              <w:bidi w:val="0"/>
              <w:spacing w:before="0" w:after="0"/>
              <w:ind w:left="0" w:right="0" w:hanging="0"/>
              <w:jc w:val="left"/>
              <w:rPr/>
            </w:pPr>
            <w:r>
              <w:rPr/>
              <w:t xml:space="preserve">  </w:t>
            </w:r>
          </w:p>
        </w:tc>
      </w:tr>
      <w:tr>
        <w:trPr/>
        <w:tc>
          <w:tcPr>
            <w:tcW w:w="7115"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Short-term debt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right"/>
              <w:rPr/>
            </w:pPr>
            <w:r>
              <w:rPr/>
              <w:t xml:space="preserve">— </w:t>
            </w:r>
          </w:p>
        </w:tc>
        <w:tc>
          <w:tcPr>
            <w:tcW w:w="102" w:type="dxa"/>
            <w:tcBorders/>
            <w:shd w:fill="CCEEFF" w:val="clear"/>
            <w:vAlign w:val="center"/>
          </w:tcPr>
          <w:p>
            <w:pPr>
              <w:pStyle w:val="TableContents"/>
              <w:pBdr/>
              <w:bidi w:val="0"/>
              <w:spacing w:before="0" w:after="0"/>
              <w:ind w:left="0" w:right="0" w:hanging="0"/>
              <w:jc w:val="left"/>
              <w:rPr/>
            </w:pPr>
            <w:r>
              <w:rPr/>
              <w:t xml:space="preserve">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3,732 </w:t>
            </w:r>
          </w:p>
        </w:tc>
        <w:tc>
          <w:tcPr>
            <w:tcW w:w="126" w:type="dxa"/>
            <w:tcBorders/>
            <w:shd w:fill="CCEEFF" w:val="clear"/>
            <w:vAlign w:val="center"/>
          </w:tcPr>
          <w:p>
            <w:pPr>
              <w:pStyle w:val="TableContents"/>
              <w:pBdr/>
              <w:bidi w:val="0"/>
              <w:spacing w:before="0" w:after="0"/>
              <w:ind w:left="0" w:right="0" w:hanging="0"/>
              <w:jc w:val="left"/>
              <w:rPr/>
            </w:pPr>
            <w:r>
              <w:rPr/>
              <w:t xml:space="preserve">  </w:t>
            </w:r>
          </w:p>
        </w:tc>
      </w:tr>
      <w:tr>
        <w:trPr/>
        <w:tc>
          <w:tcPr>
            <w:tcW w:w="711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Total current liabilities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4,265 </w:t>
            </w:r>
          </w:p>
        </w:tc>
        <w:tc>
          <w:tcPr>
            <w:tcW w:w="102" w:type="dxa"/>
            <w:tcBorders/>
            <w:vAlign w:val="center"/>
          </w:tcPr>
          <w:p>
            <w:pPr>
              <w:pStyle w:val="TableContents"/>
              <w:pBdr/>
              <w:bidi w:val="0"/>
              <w:spacing w:before="0" w:after="0"/>
              <w:ind w:left="0" w:right="0" w:hanging="0"/>
              <w:jc w:val="left"/>
              <w:rPr/>
            </w:pPr>
            <w:r>
              <w:rPr/>
              <w:t xml:space="preserve">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8,120 </w:t>
            </w:r>
          </w:p>
        </w:tc>
        <w:tc>
          <w:tcPr>
            <w:tcW w:w="126" w:type="dxa"/>
            <w:tcBorders/>
            <w:vAlign w:val="center"/>
          </w:tcPr>
          <w:p>
            <w:pPr>
              <w:pStyle w:val="TableContents"/>
              <w:pBdr/>
              <w:bidi w:val="0"/>
              <w:spacing w:before="0" w:after="0"/>
              <w:ind w:left="0" w:right="0" w:hanging="0"/>
              <w:jc w:val="left"/>
              <w:rPr/>
            </w:pPr>
            <w:r>
              <w:rPr/>
              <w:t xml:space="preserve">  </w:t>
            </w:r>
          </w:p>
        </w:tc>
      </w:tr>
      <w:tr>
        <w:trPr/>
        <w:tc>
          <w:tcPr>
            <w:tcW w:w="7115" w:type="dxa"/>
            <w:tcBorders/>
            <w:shd w:fill="CCEEFF" w:val="clear"/>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Long-term debt</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right"/>
              <w:rPr/>
            </w:pPr>
            <w:r>
              <w:rPr/>
              <w:t xml:space="preserve">— </w:t>
            </w:r>
          </w:p>
        </w:tc>
        <w:tc>
          <w:tcPr>
            <w:tcW w:w="102" w:type="dxa"/>
            <w:tcBorders/>
            <w:shd w:fill="CCEEFF" w:val="clear"/>
            <w:vAlign w:val="center"/>
          </w:tcPr>
          <w:p>
            <w:pPr>
              <w:pStyle w:val="TableContents"/>
              <w:pBdr/>
              <w:bidi w:val="0"/>
              <w:spacing w:before="0" w:after="0"/>
              <w:ind w:left="0" w:right="0" w:hanging="0"/>
              <w:jc w:val="left"/>
              <w:rPr/>
            </w:pPr>
            <w:r>
              <w:rPr/>
              <w:t xml:space="preserve">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right"/>
              <w:rPr/>
            </w:pPr>
            <w:r>
              <w:rPr/>
              <w:t xml:space="preserve">— </w:t>
            </w:r>
          </w:p>
        </w:tc>
        <w:tc>
          <w:tcPr>
            <w:tcW w:w="126" w:type="dxa"/>
            <w:tcBorders/>
            <w:shd w:fill="CCEEFF" w:val="clear"/>
            <w:vAlign w:val="center"/>
          </w:tcPr>
          <w:p>
            <w:pPr>
              <w:pStyle w:val="TableContents"/>
              <w:pBdr/>
              <w:bidi w:val="0"/>
              <w:spacing w:before="0" w:after="0"/>
              <w:ind w:left="0" w:right="0" w:hanging="0"/>
              <w:jc w:val="left"/>
              <w:rPr/>
            </w:pPr>
            <w:r>
              <w:rPr/>
              <w:t xml:space="preserve">  </w:t>
            </w:r>
          </w:p>
        </w:tc>
      </w:tr>
      <w:tr>
        <w:trPr/>
        <w:tc>
          <w:tcPr>
            <w:tcW w:w="711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Operating lease liability, net of current</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665 </w:t>
            </w:r>
          </w:p>
        </w:tc>
        <w:tc>
          <w:tcPr>
            <w:tcW w:w="102" w:type="dxa"/>
            <w:tcBorders/>
            <w:vAlign w:val="center"/>
          </w:tcPr>
          <w:p>
            <w:pPr>
              <w:pStyle w:val="TableContents"/>
              <w:pBdr/>
              <w:bidi w:val="0"/>
              <w:spacing w:before="0" w:after="0"/>
              <w:ind w:left="0" w:right="0" w:hanging="0"/>
              <w:jc w:val="left"/>
              <w:rPr/>
            </w:pPr>
            <w:r>
              <w:rPr/>
              <w:t xml:space="preserve">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492 </w:t>
            </w:r>
          </w:p>
        </w:tc>
        <w:tc>
          <w:tcPr>
            <w:tcW w:w="126" w:type="dxa"/>
            <w:tcBorders/>
            <w:vAlign w:val="center"/>
          </w:tcPr>
          <w:p>
            <w:pPr>
              <w:pStyle w:val="TableContents"/>
              <w:pBdr/>
              <w:bidi w:val="0"/>
              <w:spacing w:before="0" w:after="0"/>
              <w:ind w:left="0" w:right="0" w:hanging="0"/>
              <w:jc w:val="left"/>
              <w:rPr/>
            </w:pPr>
            <w:r>
              <w:rPr/>
              <w:t xml:space="preserve">  </w:t>
            </w:r>
          </w:p>
        </w:tc>
      </w:tr>
      <w:tr>
        <w:trPr/>
        <w:tc>
          <w:tcPr>
            <w:tcW w:w="7115" w:type="dxa"/>
            <w:tcBorders/>
            <w:shd w:fill="CCEEFF" w:val="clear"/>
            <w:vAlign w:val="center"/>
          </w:tcPr>
          <w:p>
            <w:pPr>
              <w:pStyle w:val="TableContents"/>
              <w:bidi w:val="0"/>
              <w:spacing w:before="0" w:after="283"/>
              <w:ind w:left="0" w:right="0" w:hanging="0"/>
              <w:jc w:val="left"/>
              <w:rPr>
                <w:sz w:val="20"/>
              </w:rPr>
            </w:pPr>
            <w:r>
              <w:rPr>
                <w:rFonts w:ascii="Times New Roman;serif" w:hAnsi="Times New Roman;serif"/>
                <w:color w:val="000000"/>
                <w:sz w:val="20"/>
              </w:rPr>
              <w:t>Other long-term liabilities</w:t>
            </w:r>
            <w:r>
              <w:rPr>
                <w:sz w:val="20"/>
              </w:rPr>
              <w:t xml:space="preserve"> </w:t>
            </w:r>
          </w:p>
        </w:tc>
        <w:tc>
          <w:tcPr>
            <w:tcW w:w="94" w:type="dxa"/>
            <w:tcBorders/>
            <w:shd w:fill="CCEEFF" w:val="clear"/>
            <w:vAlign w:val="center"/>
          </w:tcPr>
          <w:p>
            <w:pPr>
              <w:pStyle w:val="TableContents"/>
              <w:bidi w:val="0"/>
              <w:spacing w:before="0" w:after="283"/>
              <w:ind w:left="0" w:right="0" w:hanging="0"/>
              <w:jc w:val="left"/>
              <w:rPr/>
            </w:pPr>
            <w:r>
              <w:rPr/>
            </w:r>
          </w:p>
        </w:tc>
        <w:tc>
          <w:tcPr>
            <w:tcW w:w="248" w:type="dxa"/>
            <w:tcBorders>
              <w:bottom w:val="single" w:sz="8" w:space="0" w:color="000000"/>
            </w:tcBorders>
            <w:shd w:fill="CCEEFF" w:val="clear"/>
            <w:tcMar>
              <w:bottom w:w="28" w:type="dxa"/>
            </w:tcMar>
            <w:vAlign w:val="center"/>
          </w:tcPr>
          <w:p>
            <w:pPr>
              <w:pStyle w:val="TableContents"/>
              <w:bidi w:val="0"/>
              <w:spacing w:before="0" w:after="283"/>
              <w:ind w:left="0" w:right="0" w:hanging="0"/>
              <w:jc w:val="left"/>
              <w:rPr/>
            </w:pPr>
            <w:r>
              <w:rPr/>
            </w:r>
          </w:p>
        </w:tc>
        <w:tc>
          <w:tcPr>
            <w:tcW w:w="1089" w:type="dxa"/>
            <w:tcBorders>
              <w:bottom w:val="single" w:sz="8" w:space="0" w:color="000000"/>
            </w:tcBorders>
            <w:shd w:fill="CCEEFF" w:val="clear"/>
            <w:tcMar>
              <w:bottom w:w="28" w:type="dxa"/>
            </w:tcMar>
            <w:vAlign w:val="center"/>
          </w:tcPr>
          <w:p>
            <w:pPr>
              <w:pStyle w:val="TableContents"/>
              <w:bidi w:val="0"/>
              <w:spacing w:before="0" w:after="0"/>
              <w:ind w:left="0" w:right="0" w:hanging="0"/>
              <w:jc w:val="right"/>
              <w:rPr>
                <w:sz w:val="20"/>
              </w:rPr>
            </w:pPr>
            <w:r>
              <w:rPr>
                <w:sz w:val="20"/>
              </w:rPr>
              <w:t>1,079</w:t>
            </w:r>
          </w:p>
        </w:tc>
        <w:tc>
          <w:tcPr>
            <w:tcW w:w="102" w:type="dxa"/>
            <w:tcBorders/>
            <w:shd w:fill="CCEEFF" w:val="clear"/>
            <w:vAlign w:val="center"/>
          </w:tcPr>
          <w:p>
            <w:pPr>
              <w:pStyle w:val="TableContents"/>
              <w:bidi w:val="0"/>
              <w:spacing w:before="0" w:after="283"/>
              <w:ind w:left="0" w:right="0" w:hanging="0"/>
              <w:jc w:val="left"/>
              <w:rPr/>
            </w:pPr>
            <w:r>
              <w:rPr/>
            </w:r>
          </w:p>
        </w:tc>
        <w:tc>
          <w:tcPr>
            <w:tcW w:w="94" w:type="dxa"/>
            <w:tcBorders/>
            <w:shd w:fill="CCEEFF" w:val="clear"/>
            <w:vAlign w:val="center"/>
          </w:tcPr>
          <w:p>
            <w:pPr>
              <w:pStyle w:val="TableContents"/>
              <w:bidi w:val="0"/>
              <w:spacing w:before="0" w:after="283"/>
              <w:ind w:left="0" w:right="0" w:hanging="0"/>
              <w:jc w:val="left"/>
              <w:rPr/>
            </w:pPr>
            <w:r>
              <w:rPr/>
            </w:r>
          </w:p>
        </w:tc>
        <w:tc>
          <w:tcPr>
            <w:tcW w:w="248" w:type="dxa"/>
            <w:tcBorders>
              <w:bottom w:val="single" w:sz="8" w:space="0" w:color="000000"/>
            </w:tcBorders>
            <w:shd w:fill="CCEEFF" w:val="clear"/>
            <w:tcMar>
              <w:bottom w:w="28" w:type="dxa"/>
            </w:tcMar>
            <w:vAlign w:val="center"/>
          </w:tcPr>
          <w:p>
            <w:pPr>
              <w:pStyle w:val="TableContents"/>
              <w:bidi w:val="0"/>
              <w:spacing w:before="0" w:after="283"/>
              <w:ind w:left="0" w:right="0" w:hanging="0"/>
              <w:jc w:val="left"/>
              <w:rPr/>
            </w:pPr>
            <w:r>
              <w:rPr/>
            </w:r>
          </w:p>
        </w:tc>
        <w:tc>
          <w:tcPr>
            <w:tcW w:w="1089" w:type="dxa"/>
            <w:tcBorders>
              <w:bottom w:val="single" w:sz="8" w:space="0" w:color="000000"/>
            </w:tcBorders>
            <w:shd w:fill="CCEEFF" w:val="clear"/>
            <w:tcMar>
              <w:bottom w:w="28" w:type="dxa"/>
            </w:tcMar>
            <w:vAlign w:val="center"/>
          </w:tcPr>
          <w:p>
            <w:pPr>
              <w:pStyle w:val="TableContents"/>
              <w:bidi w:val="0"/>
              <w:spacing w:before="0" w:after="0"/>
              <w:ind w:left="0" w:right="0" w:hanging="0"/>
              <w:jc w:val="right"/>
              <w:rPr>
                <w:sz w:val="20"/>
              </w:rPr>
            </w:pPr>
            <w:r>
              <w:rPr>
                <w:sz w:val="20"/>
              </w:rPr>
              <w:t>1,008</w:t>
            </w:r>
          </w:p>
        </w:tc>
        <w:tc>
          <w:tcPr>
            <w:tcW w:w="126" w:type="dxa"/>
            <w:tcBorders/>
            <w:shd w:fill="CCEEFF" w:val="clear"/>
            <w:vAlign w:val="center"/>
          </w:tcPr>
          <w:p>
            <w:pPr>
              <w:pStyle w:val="TableContents"/>
              <w:bidi w:val="0"/>
              <w:spacing w:before="0" w:after="283"/>
              <w:jc w:val="left"/>
              <w:rPr/>
            </w:pPr>
            <w:r>
              <w:rPr/>
            </w:r>
          </w:p>
        </w:tc>
      </w:tr>
      <w:tr>
        <w:trPr/>
        <w:tc>
          <w:tcPr>
            <w:tcW w:w="711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Total liabilities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6,009 </w:t>
            </w:r>
          </w:p>
        </w:tc>
        <w:tc>
          <w:tcPr>
            <w:tcW w:w="102" w:type="dxa"/>
            <w:tcBorders/>
            <w:vAlign w:val="center"/>
          </w:tcPr>
          <w:p>
            <w:pPr>
              <w:pStyle w:val="TableContents"/>
              <w:pBdr/>
              <w:bidi w:val="0"/>
              <w:spacing w:before="0" w:after="0"/>
              <w:ind w:left="0" w:right="0" w:hanging="0"/>
              <w:jc w:val="left"/>
              <w:rPr/>
            </w:pPr>
            <w:r>
              <w:rPr/>
              <w:t xml:space="preserve">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9,620 </w:t>
            </w:r>
          </w:p>
        </w:tc>
        <w:tc>
          <w:tcPr>
            <w:tcW w:w="126" w:type="dxa"/>
            <w:tcBorders/>
            <w:vAlign w:val="center"/>
          </w:tcPr>
          <w:p>
            <w:pPr>
              <w:pStyle w:val="TableContents"/>
              <w:pBdr/>
              <w:bidi w:val="0"/>
              <w:spacing w:before="0" w:after="0"/>
              <w:ind w:left="0" w:right="0" w:hanging="0"/>
              <w:jc w:val="left"/>
              <w:rPr/>
            </w:pPr>
            <w:r>
              <w:rPr/>
              <w:t xml:space="preserve">  </w:t>
            </w:r>
          </w:p>
        </w:tc>
      </w:tr>
      <w:tr>
        <w:trPr/>
        <w:tc>
          <w:tcPr>
            <w:tcW w:w="7115" w:type="dxa"/>
            <w:tcBorders/>
            <w:shd w:fill="CCEEFF" w:val="clear"/>
            <w:vAlign w:val="center"/>
          </w:tcPr>
          <w:p>
            <w:pPr>
              <w:pStyle w:val="TableContents"/>
              <w:bidi w:val="0"/>
              <w:spacing w:before="0" w:after="0"/>
              <w:ind w:left="0" w:right="0" w:hanging="0"/>
              <w:jc w:val="left"/>
              <w:rPr/>
            </w:pPr>
            <w:r>
              <w:rPr/>
              <w:t xml:space="preserve">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left"/>
              <w:rPr/>
            </w:pPr>
            <w:r>
              <w:rPr/>
              <w:t xml:space="preserve">  </w:t>
            </w:r>
          </w:p>
        </w:tc>
        <w:tc>
          <w:tcPr>
            <w:tcW w:w="102" w:type="dxa"/>
            <w:tcBorders/>
            <w:shd w:fill="CCEEFF" w:val="clear"/>
            <w:vAlign w:val="center"/>
          </w:tcPr>
          <w:p>
            <w:pPr>
              <w:pStyle w:val="TableContents"/>
              <w:pBdr/>
              <w:bidi w:val="0"/>
              <w:spacing w:before="0" w:after="0"/>
              <w:ind w:left="0" w:right="0" w:hanging="0"/>
              <w:jc w:val="left"/>
              <w:rPr/>
            </w:pPr>
            <w:r>
              <w:rPr/>
              <w:t xml:space="preserve">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left"/>
              <w:rPr/>
            </w:pPr>
            <w:r>
              <w:rPr/>
              <w:t xml:space="preserve">  </w:t>
            </w:r>
          </w:p>
        </w:tc>
        <w:tc>
          <w:tcPr>
            <w:tcW w:w="126" w:type="dxa"/>
            <w:tcBorders/>
            <w:shd w:fill="CCEEFF" w:val="clear"/>
            <w:vAlign w:val="center"/>
          </w:tcPr>
          <w:p>
            <w:pPr>
              <w:pStyle w:val="TableContents"/>
              <w:pBdr/>
              <w:bidi w:val="0"/>
              <w:spacing w:before="0" w:after="0"/>
              <w:ind w:left="0" w:right="0" w:hanging="0"/>
              <w:jc w:val="left"/>
              <w:rPr/>
            </w:pPr>
            <w:r>
              <w:rPr/>
              <w:t xml:space="preserve">  </w:t>
            </w:r>
          </w:p>
        </w:tc>
      </w:tr>
      <w:tr>
        <w:trPr/>
        <w:tc>
          <w:tcPr>
            <w:tcW w:w="711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Shareholders’ equity: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left"/>
              <w:rPr/>
            </w:pPr>
            <w:r>
              <w:rPr/>
              <w:t xml:space="preserve">  </w:t>
            </w:r>
          </w:p>
        </w:tc>
        <w:tc>
          <w:tcPr>
            <w:tcW w:w="102" w:type="dxa"/>
            <w:tcBorders/>
            <w:vAlign w:val="center"/>
          </w:tcPr>
          <w:p>
            <w:pPr>
              <w:pStyle w:val="TableContents"/>
              <w:pBdr/>
              <w:bidi w:val="0"/>
              <w:spacing w:before="0" w:after="0"/>
              <w:ind w:left="0" w:right="0" w:hanging="0"/>
              <w:jc w:val="left"/>
              <w:rPr/>
            </w:pPr>
            <w:r>
              <w:rPr/>
              <w:t xml:space="preserve">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left"/>
              <w:rPr/>
            </w:pPr>
            <w:r>
              <w:rPr/>
              <w:t xml:space="preserve">  </w:t>
            </w:r>
          </w:p>
        </w:tc>
        <w:tc>
          <w:tcPr>
            <w:tcW w:w="126" w:type="dxa"/>
            <w:tcBorders/>
            <w:vAlign w:val="center"/>
          </w:tcPr>
          <w:p>
            <w:pPr>
              <w:pStyle w:val="TableContents"/>
              <w:pBdr/>
              <w:bidi w:val="0"/>
              <w:spacing w:before="0" w:after="0"/>
              <w:ind w:left="0" w:right="0" w:hanging="0"/>
              <w:jc w:val="left"/>
              <w:rPr/>
            </w:pPr>
            <w:r>
              <w:rPr/>
              <w:t xml:space="preserve">  </w:t>
            </w:r>
          </w:p>
        </w:tc>
      </w:tr>
      <w:tr>
        <w:trPr/>
        <w:tc>
          <w:tcPr>
            <w:tcW w:w="7115"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Common stock, par value $0.001, 50,000,000 shares authorized, 23,969,148 and  23,955,767 shares issued and outstanding, respectively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24 </w:t>
            </w:r>
          </w:p>
        </w:tc>
        <w:tc>
          <w:tcPr>
            <w:tcW w:w="102" w:type="dxa"/>
            <w:tcBorders/>
            <w:shd w:fill="CCEEFF" w:val="clear"/>
            <w:vAlign w:val="center"/>
          </w:tcPr>
          <w:p>
            <w:pPr>
              <w:pStyle w:val="TableContents"/>
              <w:pBdr/>
              <w:bidi w:val="0"/>
              <w:spacing w:before="0" w:after="0"/>
              <w:ind w:left="0" w:right="0" w:hanging="0"/>
              <w:jc w:val="left"/>
              <w:rPr/>
            </w:pPr>
            <w:r>
              <w:rPr/>
              <w:t xml:space="preserve">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24 </w:t>
            </w:r>
          </w:p>
        </w:tc>
        <w:tc>
          <w:tcPr>
            <w:tcW w:w="126" w:type="dxa"/>
            <w:tcBorders/>
            <w:shd w:fill="CCEEFF" w:val="clear"/>
            <w:vAlign w:val="center"/>
          </w:tcPr>
          <w:p>
            <w:pPr>
              <w:pStyle w:val="TableContents"/>
              <w:pBdr/>
              <w:bidi w:val="0"/>
              <w:spacing w:before="0" w:after="0"/>
              <w:ind w:left="0" w:right="0" w:hanging="0"/>
              <w:jc w:val="left"/>
              <w:rPr/>
            </w:pPr>
            <w:r>
              <w:rPr/>
              <w:t xml:space="preserve">  </w:t>
            </w:r>
          </w:p>
        </w:tc>
      </w:tr>
      <w:tr>
        <w:trPr/>
        <w:tc>
          <w:tcPr>
            <w:tcW w:w="711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Additional paid-in capital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46,047 </w:t>
            </w:r>
          </w:p>
        </w:tc>
        <w:tc>
          <w:tcPr>
            <w:tcW w:w="102" w:type="dxa"/>
            <w:tcBorders/>
            <w:vAlign w:val="center"/>
          </w:tcPr>
          <w:p>
            <w:pPr>
              <w:pStyle w:val="TableContents"/>
              <w:pBdr/>
              <w:bidi w:val="0"/>
              <w:spacing w:before="0" w:after="0"/>
              <w:ind w:left="0" w:right="0" w:hanging="0"/>
              <w:jc w:val="left"/>
              <w:rPr/>
            </w:pPr>
            <w:r>
              <w:rPr/>
              <w:t xml:space="preserve">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74,910 </w:t>
            </w:r>
          </w:p>
        </w:tc>
        <w:tc>
          <w:tcPr>
            <w:tcW w:w="126" w:type="dxa"/>
            <w:tcBorders/>
            <w:vAlign w:val="center"/>
          </w:tcPr>
          <w:p>
            <w:pPr>
              <w:pStyle w:val="TableContents"/>
              <w:pBdr/>
              <w:bidi w:val="0"/>
              <w:spacing w:before="0" w:after="0"/>
              <w:ind w:left="0" w:right="0" w:hanging="0"/>
              <w:jc w:val="left"/>
              <w:rPr/>
            </w:pPr>
            <w:r>
              <w:rPr/>
              <w:t xml:space="preserve">  </w:t>
            </w:r>
          </w:p>
        </w:tc>
      </w:tr>
      <w:tr>
        <w:trPr/>
        <w:tc>
          <w:tcPr>
            <w:tcW w:w="7115"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Accumulated other comprehensive loss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(310</w:t>
            </w:r>
          </w:p>
        </w:tc>
        <w:tc>
          <w:tcPr>
            <w:tcW w:w="102"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(288 </w:t>
            </w:r>
          </w:p>
        </w:tc>
        <w:tc>
          <w:tcPr>
            <w:tcW w:w="126"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r>
        <w:trPr/>
        <w:tc>
          <w:tcPr>
            <w:tcW w:w="711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Accumulated deficit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(1,076</w:t>
            </w:r>
          </w:p>
        </w:tc>
        <w:tc>
          <w:tcPr>
            <w:tcW w:w="102"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pPr>
            <w:r>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(516 </w:t>
            </w:r>
          </w:p>
        </w:tc>
        <w:tc>
          <w:tcPr>
            <w:tcW w:w="126"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r>
        <w:trPr/>
        <w:tc>
          <w:tcPr>
            <w:tcW w:w="7115"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Total shareholders’ equity </w:t>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44,685</w:t>
            </w:r>
          </w:p>
        </w:tc>
        <w:tc>
          <w:tcPr>
            <w:tcW w:w="102"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4" w:type="dxa"/>
            <w:tcBorders/>
            <w:shd w:fill="CCEEFF" w:val="clear"/>
            <w:vAlign w:val="center"/>
          </w:tcPr>
          <w:p>
            <w:pPr>
              <w:pStyle w:val="TableContents"/>
              <w:pBdr/>
              <w:bidi w:val="0"/>
              <w:spacing w:before="0" w:after="0"/>
              <w:ind w:left="0" w:right="0" w:hanging="0"/>
              <w:jc w:val="left"/>
              <w:rPr/>
            </w:pPr>
            <w:r>
              <w:rPr/>
              <w:t xml:space="preserve">  </w:t>
            </w:r>
          </w:p>
        </w:tc>
        <w:tc>
          <w:tcPr>
            <w:tcW w:w="248" w:type="dxa"/>
            <w:tcBorders/>
            <w:shd w:fill="CCEEFF" w:val="clear"/>
            <w:vAlign w:val="center"/>
          </w:tcPr>
          <w:p>
            <w:pPr>
              <w:pStyle w:val="TableContents"/>
              <w:pBdr/>
              <w:bidi w:val="0"/>
              <w:spacing w:before="0" w:after="0"/>
              <w:ind w:left="0" w:right="0" w:hanging="0"/>
              <w:jc w:val="left"/>
              <w:rPr/>
            </w:pPr>
            <w:r>
              <w:rPr/>
              <w:t xml:space="preserve">  </w:t>
            </w:r>
          </w:p>
        </w:tc>
        <w:tc>
          <w:tcPr>
            <w:tcW w:w="108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74,130 </w:t>
            </w:r>
          </w:p>
        </w:tc>
        <w:tc>
          <w:tcPr>
            <w:tcW w:w="126" w:type="dxa"/>
            <w:tcBorders/>
            <w:shd w:fill="CCEEFF" w:val="clear"/>
            <w:vAlign w:val="center"/>
          </w:tcPr>
          <w:p>
            <w:pPr>
              <w:pStyle w:val="TableContents"/>
              <w:pBdr/>
              <w:bidi w:val="0"/>
              <w:spacing w:before="0" w:after="0"/>
              <w:ind w:left="0" w:right="0" w:hanging="0"/>
              <w:jc w:val="left"/>
              <w:rPr/>
            </w:pPr>
            <w:r>
              <w:rPr/>
              <w:t xml:space="preserve">  </w:t>
            </w:r>
          </w:p>
        </w:tc>
      </w:tr>
      <w:tr>
        <w:trPr/>
        <w:tc>
          <w:tcPr>
            <w:tcW w:w="711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Total liabilities and shareholders’ equity </w:t>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50,694</w:t>
            </w:r>
          </w:p>
        </w:tc>
        <w:tc>
          <w:tcPr>
            <w:tcW w:w="102" w:type="dxa"/>
            <w:tcBorders/>
            <w:vAlign w:val="center"/>
          </w:tcPr>
          <w:p>
            <w:pPr>
              <w:pStyle w:val="TableContents"/>
              <w:bidi w:val="0"/>
              <w:spacing w:before="0" w:after="283"/>
              <w:ind w:left="0" w:right="0" w:hanging="0"/>
              <w:jc w:val="left"/>
              <w:rPr>
                <w:sz w:val="4"/>
                <w:szCs w:val="4"/>
              </w:rPr>
            </w:pPr>
            <w:r>
              <w:rPr>
                <w:sz w:val="4"/>
                <w:szCs w:val="4"/>
              </w:rPr>
            </w:r>
          </w:p>
        </w:tc>
        <w:tc>
          <w:tcPr>
            <w:tcW w:w="94" w:type="dxa"/>
            <w:tcBorders/>
            <w:vAlign w:val="center"/>
          </w:tcPr>
          <w:p>
            <w:pPr>
              <w:pStyle w:val="TableContents"/>
              <w:pBdr/>
              <w:bidi w:val="0"/>
              <w:spacing w:before="0" w:after="0"/>
              <w:ind w:left="0" w:right="0" w:hanging="0"/>
              <w:jc w:val="left"/>
              <w:rPr/>
            </w:pPr>
            <w:r>
              <w:rPr/>
              <w:t xml:space="preserve">  </w:t>
            </w:r>
          </w:p>
        </w:tc>
        <w:tc>
          <w:tcPr>
            <w:tcW w:w="248"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8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83,750 </w:t>
            </w:r>
          </w:p>
        </w:tc>
        <w:tc>
          <w:tcPr>
            <w:tcW w:w="126" w:type="dxa"/>
            <w:tcBorders/>
            <w:vAlign w:val="center"/>
          </w:tcPr>
          <w:p>
            <w:pPr>
              <w:pStyle w:val="TableContents"/>
              <w:pBdr/>
              <w:bidi w:val="0"/>
              <w:spacing w:before="0" w:after="0"/>
              <w:ind w:left="0" w:right="0" w:hanging="0"/>
              <w:jc w:val="left"/>
              <w:rPr/>
            </w:pPr>
            <w:r>
              <w:rPr/>
              <w:t xml:space="preserve">  </w:t>
            </w:r>
          </w:p>
        </w:tc>
      </w:tr>
    </w:tbl>
    <w:p>
      <w:pPr>
        <w:pStyle w:val="TextBody"/>
        <w:bidi w:val="0"/>
        <w:spacing w:lineRule="auto" w:line="288" w:before="0" w:after="0"/>
        <w:ind w:left="144" w:right="144" w:hanging="0"/>
        <w:jc w:val="center"/>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5</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144" w:hanging="0"/>
        <w:jc w:val="left"/>
        <w:rPr/>
      </w:pPr>
      <w:r>
        <w:rPr/>
        <w:t> </w:t>
      </w:r>
    </w:p>
    <w:p>
      <w:pPr>
        <w:pStyle w:val="TextBody"/>
        <w:bidi w:val="0"/>
        <w:spacing w:lineRule="auto" w:line="288" w:before="0" w:after="0"/>
        <w:ind w:left="0" w:right="0" w:hanging="0"/>
        <w:jc w:val="left"/>
        <w:rPr/>
      </w:pPr>
      <w:r>
        <w:rPr/>
        <w:drawing>
          <wp:inline distT="0" distB="0" distL="0" distR="0">
            <wp:extent cx="1609725" cy="3905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09725" cy="390525"/>
                    </a:xfrm>
                    <a:prstGeom prst="rect">
                      <a:avLst/>
                    </a:prstGeom>
                  </pic:spPr>
                </pic:pic>
              </a:graphicData>
            </a:graphic>
          </wp:inline>
        </w:drawing>
      </w:r>
    </w:p>
    <w:p>
      <w:pPr>
        <w:pStyle w:val="TextBody"/>
        <w:bidi w:val="0"/>
        <w:spacing w:lineRule="auto" w:line="288" w:before="0" w:after="0"/>
        <w:ind w:left="144" w:right="144" w:hanging="0"/>
        <w:jc w:val="center"/>
        <w:rPr/>
      </w:pPr>
      <w:r>
        <w:rPr/>
      </w:r>
    </w:p>
    <w:p>
      <w:pPr>
        <w:pStyle w:val="TextBody"/>
        <w:bidi w:val="0"/>
        <w:spacing w:lineRule="auto" w:line="288" w:before="0" w:after="0"/>
        <w:ind w:left="144" w:right="144" w:hanging="0"/>
        <w:jc w:val="center"/>
        <w:rPr>
          <w:rFonts w:ascii="times new roman;times" w:hAnsi="times new roman;times"/>
          <w:b/>
          <w:sz w:val="20"/>
        </w:rPr>
      </w:pPr>
      <w:r>
        <w:rPr>
          <w:rFonts w:ascii="times new roman;times" w:hAnsi="times new roman;times"/>
          <w:b/>
          <w:sz w:val="20"/>
        </w:rPr>
        <w:t>CLEARONE, INC.</w:t>
      </w:r>
    </w:p>
    <w:p>
      <w:pPr>
        <w:pStyle w:val="TextBody"/>
        <w:bidi w:val="0"/>
        <w:spacing w:lineRule="auto" w:line="288" w:before="0" w:after="0"/>
        <w:ind w:left="144" w:right="144" w:hanging="0"/>
        <w:jc w:val="center"/>
        <w:rPr>
          <w:rFonts w:ascii="times new roman;times" w:hAnsi="times new roman;times"/>
          <w:b/>
          <w:sz w:val="20"/>
        </w:rPr>
      </w:pPr>
      <w:r>
        <w:rPr>
          <w:rFonts w:ascii="times new roman;times" w:hAnsi="times new roman;times"/>
          <w:b/>
          <w:sz w:val="20"/>
        </w:rPr>
        <w:t>UNAUDITED CONDENSED CONSOLIDATED STATEMENTS OF OPERATIONS AND</w:t>
      </w:r>
    </w:p>
    <w:p>
      <w:pPr>
        <w:pStyle w:val="TextBody"/>
        <w:bidi w:val="0"/>
        <w:spacing w:lineRule="auto" w:line="288" w:before="0" w:after="0"/>
        <w:ind w:left="144" w:right="144" w:hanging="0"/>
        <w:jc w:val="center"/>
        <w:rPr>
          <w:rFonts w:ascii="times new roman;times" w:hAnsi="times new roman;times"/>
          <w:b/>
          <w:sz w:val="20"/>
        </w:rPr>
      </w:pPr>
      <w:r>
        <w:rPr>
          <w:rFonts w:ascii="times new roman;times" w:hAnsi="times new roman;times"/>
          <w:b/>
          <w:sz w:val="20"/>
        </w:rPr>
        <w:t>COMPREHENSIVE LOSS</w:t>
      </w:r>
    </w:p>
    <w:p>
      <w:pPr>
        <w:pStyle w:val="TextBody"/>
        <w:bidi w:val="0"/>
        <w:spacing w:lineRule="auto" w:line="288" w:before="0" w:after="0"/>
        <w:ind w:left="144" w:right="144" w:hanging="0"/>
        <w:jc w:val="center"/>
        <w:rPr>
          <w:rFonts w:ascii="times new roman;times" w:hAnsi="times new roman;times"/>
          <w:sz w:val="20"/>
        </w:rPr>
      </w:pPr>
      <w:r>
        <w:rPr>
          <w:rFonts w:ascii="times new roman;times" w:hAnsi="times new roman;times"/>
          <w:sz w:val="20"/>
        </w:rPr>
        <w:t>(Dollars in thousands, except per share amounts)</w:t>
      </w:r>
    </w:p>
    <w:p>
      <w:pPr>
        <w:pStyle w:val="TextBody"/>
        <w:bidi w:val="0"/>
        <w:spacing w:lineRule="auto" w:line="288" w:before="0" w:after="0"/>
        <w:ind w:left="144" w:right="144" w:hanging="0"/>
        <w:jc w:val="center"/>
        <w:rPr/>
      </w:pPr>
      <w:r>
        <w:rPr/>
        <w:t> </w:t>
      </w:r>
    </w:p>
    <w:tbl>
      <w:tblPr>
        <w:tblW w:w="5000" w:type="pct"/>
        <w:jc w:val="left"/>
        <w:tblInd w:w="0" w:type="dxa"/>
        <w:tblLayout w:type="fixed"/>
        <w:tblCellMar>
          <w:top w:w="0" w:type="dxa"/>
          <w:left w:w="0" w:type="dxa"/>
          <w:bottom w:w="0" w:type="dxa"/>
          <w:right w:w="0" w:type="dxa"/>
        </w:tblCellMar>
      </w:tblPr>
      <w:tblGrid>
        <w:gridCol w:w="6369"/>
        <w:gridCol w:w="163"/>
        <w:gridCol w:w="230"/>
        <w:gridCol w:w="1349"/>
        <w:gridCol w:w="162"/>
        <w:gridCol w:w="163"/>
        <w:gridCol w:w="230"/>
        <w:gridCol w:w="1349"/>
        <w:gridCol w:w="190"/>
      </w:tblGrid>
      <w:tr>
        <w:trPr/>
        <w:tc>
          <w:tcPr>
            <w:tcW w:w="6369" w:type="dxa"/>
            <w:tcBorders/>
            <w:vAlign w:val="center"/>
          </w:tcPr>
          <w:p>
            <w:pPr>
              <w:pStyle w:val="TableContents"/>
              <w:pBdr/>
              <w:bidi w:val="0"/>
              <w:spacing w:before="0" w:after="0"/>
              <w:ind w:left="0" w:right="0" w:hanging="0"/>
              <w:jc w:val="left"/>
              <w:rPr/>
            </w:pPr>
            <w:r>
              <w:rPr/>
              <w:t xml:space="preserve">  </w:t>
            </w:r>
          </w:p>
        </w:tc>
        <w:tc>
          <w:tcPr>
            <w:tcW w:w="163" w:type="dxa"/>
            <w:tcBorders/>
            <w:vAlign w:val="center"/>
          </w:tcPr>
          <w:p>
            <w:pPr>
              <w:pStyle w:val="TableContents"/>
              <w:pBdr/>
              <w:bidi w:val="0"/>
              <w:spacing w:before="0" w:after="0"/>
              <w:ind w:left="0" w:right="0" w:hanging="0"/>
              <w:jc w:val="left"/>
              <w:rPr/>
            </w:pPr>
            <w:r>
              <w:rPr/>
              <w:t xml:space="preserve">  </w:t>
            </w:r>
          </w:p>
        </w:tc>
        <w:tc>
          <w:tcPr>
            <w:tcW w:w="3483" w:type="dxa"/>
            <w:gridSpan w:val="6"/>
            <w:tcBorders/>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Year ended December 31, </w:t>
            </w:r>
          </w:p>
        </w:tc>
        <w:tc>
          <w:tcPr>
            <w:tcW w:w="190" w:type="dxa"/>
            <w:tcBorders/>
            <w:vAlign w:val="center"/>
          </w:tcPr>
          <w:p>
            <w:pPr>
              <w:pStyle w:val="TableContents"/>
              <w:pBdr/>
              <w:bidi w:val="0"/>
              <w:spacing w:before="0" w:after="0"/>
              <w:ind w:left="0" w:right="0" w:hanging="0"/>
              <w:jc w:val="left"/>
              <w:rPr/>
            </w:pPr>
            <w:r>
              <w:rPr/>
              <w:t xml:space="preserve">  </w:t>
            </w:r>
          </w:p>
        </w:tc>
      </w:tr>
      <w:tr>
        <w:trPr/>
        <w:tc>
          <w:tcPr>
            <w:tcW w:w="6369" w:type="dxa"/>
            <w:tcBorders/>
            <w:vAlign w:val="center"/>
          </w:tcPr>
          <w:p>
            <w:pPr>
              <w:pStyle w:val="TableContents"/>
              <w:pBdr/>
              <w:bidi w:val="0"/>
              <w:spacing w:before="0" w:after="0"/>
              <w:ind w:left="0" w:right="0" w:hanging="0"/>
              <w:jc w:val="left"/>
              <w:rPr/>
            </w:pPr>
            <w:r>
              <w:rPr/>
              <w:t xml:space="preserve">  </w:t>
            </w:r>
          </w:p>
        </w:tc>
        <w:tc>
          <w:tcPr>
            <w:tcW w:w="163" w:type="dxa"/>
            <w:tcBorders/>
            <w:vAlign w:val="center"/>
          </w:tcPr>
          <w:p>
            <w:pPr>
              <w:pStyle w:val="TableContents"/>
              <w:pBdr/>
              <w:bidi w:val="0"/>
              <w:spacing w:before="0" w:after="0"/>
              <w:ind w:left="0" w:right="0" w:hanging="0"/>
              <w:jc w:val="left"/>
              <w:rPr/>
            </w:pPr>
            <w:r>
              <w:rPr/>
              <w:t xml:space="preserve">  </w:t>
            </w:r>
          </w:p>
        </w:tc>
        <w:tc>
          <w:tcPr>
            <w:tcW w:w="1579" w:type="dxa"/>
            <w:gridSpan w:val="2"/>
            <w:tcBorders/>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2023 </w:t>
            </w:r>
          </w:p>
        </w:tc>
        <w:tc>
          <w:tcPr>
            <w:tcW w:w="162" w:type="dxa"/>
            <w:tcBorders/>
            <w:vAlign w:val="center"/>
          </w:tcPr>
          <w:p>
            <w:pPr>
              <w:pStyle w:val="TableContents"/>
              <w:pBdr/>
              <w:bidi w:val="0"/>
              <w:spacing w:before="0" w:after="0"/>
              <w:ind w:left="0" w:right="0" w:hanging="0"/>
              <w:jc w:val="left"/>
              <w:rPr/>
            </w:pPr>
            <w:r>
              <w:rPr/>
              <w:t xml:space="preserve">  </w:t>
            </w:r>
          </w:p>
        </w:tc>
        <w:tc>
          <w:tcPr>
            <w:tcW w:w="163" w:type="dxa"/>
            <w:tcBorders/>
            <w:vAlign w:val="center"/>
          </w:tcPr>
          <w:p>
            <w:pPr>
              <w:pStyle w:val="TableContents"/>
              <w:pBdr/>
              <w:bidi w:val="0"/>
              <w:spacing w:before="0" w:after="0"/>
              <w:ind w:left="0" w:right="0" w:hanging="0"/>
              <w:jc w:val="left"/>
              <w:rPr/>
            </w:pPr>
            <w:r>
              <w:rPr/>
              <w:t xml:space="preserve">  </w:t>
            </w:r>
          </w:p>
        </w:tc>
        <w:tc>
          <w:tcPr>
            <w:tcW w:w="1579" w:type="dxa"/>
            <w:gridSpan w:val="2"/>
            <w:tcBorders/>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2022 </w:t>
            </w:r>
          </w:p>
        </w:tc>
        <w:tc>
          <w:tcPr>
            <w:tcW w:w="190" w:type="dxa"/>
            <w:tcBorders/>
            <w:vAlign w:val="center"/>
          </w:tcPr>
          <w:p>
            <w:pPr>
              <w:pStyle w:val="TableContents"/>
              <w:pBdr/>
              <w:bidi w:val="0"/>
              <w:spacing w:before="0" w:after="0"/>
              <w:ind w:left="0" w:right="0" w:hanging="0"/>
              <w:jc w:val="left"/>
              <w:rPr/>
            </w:pPr>
            <w:r>
              <w:rPr/>
              <w:t xml:space="preserve">  </w:t>
            </w:r>
          </w:p>
        </w:tc>
      </w:tr>
      <w:tr>
        <w:trPr/>
        <w:tc>
          <w:tcPr>
            <w:tcW w:w="636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Revenue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18,704 </w:t>
            </w:r>
          </w:p>
        </w:tc>
        <w:tc>
          <w:tcPr>
            <w:tcW w:w="162" w:type="dxa"/>
            <w:tcBorders/>
            <w:shd w:fill="CCEEFF" w:val="clear"/>
            <w:vAlign w:val="center"/>
          </w:tcPr>
          <w:p>
            <w:pPr>
              <w:pStyle w:val="TableContents"/>
              <w:pBdr/>
              <w:bidi w:val="0"/>
              <w:spacing w:before="0" w:after="0"/>
              <w:ind w:left="0" w:right="0" w:hanging="0"/>
              <w:jc w:val="left"/>
              <w:rPr/>
            </w:pPr>
            <w:r>
              <w:rPr/>
              <w:t xml:space="preserve">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25,205 </w:t>
            </w:r>
          </w:p>
        </w:tc>
        <w:tc>
          <w:tcPr>
            <w:tcW w:w="190" w:type="dxa"/>
            <w:tcBorders/>
            <w:shd w:fill="CCEEFF" w:val="clear"/>
            <w:vAlign w:val="center"/>
          </w:tcPr>
          <w:p>
            <w:pPr>
              <w:pStyle w:val="TableContents"/>
              <w:pBdr/>
              <w:bidi w:val="0"/>
              <w:spacing w:before="0" w:after="0"/>
              <w:ind w:left="0" w:right="0" w:hanging="0"/>
              <w:jc w:val="left"/>
              <w:rPr/>
            </w:pPr>
            <w:r>
              <w:rPr/>
              <w:t xml:space="preserve">  </w:t>
            </w:r>
          </w:p>
        </w:tc>
      </w:tr>
      <w:tr>
        <w:trPr/>
        <w:tc>
          <w:tcPr>
            <w:tcW w:w="6369"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Cost of goods sold  </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12,347 </w:t>
            </w:r>
          </w:p>
        </w:tc>
        <w:tc>
          <w:tcPr>
            <w:tcW w:w="162" w:type="dxa"/>
            <w:tcBorders/>
            <w:vAlign w:val="center"/>
          </w:tcPr>
          <w:p>
            <w:pPr>
              <w:pStyle w:val="TableContents"/>
              <w:pBdr/>
              <w:bidi w:val="0"/>
              <w:spacing w:before="0" w:after="0"/>
              <w:ind w:left="0" w:right="0" w:hanging="0"/>
              <w:jc w:val="left"/>
              <w:rPr/>
            </w:pPr>
            <w:r>
              <w:rPr/>
              <w:t xml:space="preserve">  </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15,748 </w:t>
            </w:r>
          </w:p>
        </w:tc>
        <w:tc>
          <w:tcPr>
            <w:tcW w:w="190" w:type="dxa"/>
            <w:tcBorders/>
            <w:vAlign w:val="center"/>
          </w:tcPr>
          <w:p>
            <w:pPr>
              <w:pStyle w:val="TableContents"/>
              <w:pBdr/>
              <w:bidi w:val="0"/>
              <w:spacing w:before="0" w:after="0"/>
              <w:ind w:left="0" w:right="0" w:hanging="0"/>
              <w:jc w:val="left"/>
              <w:rPr/>
            </w:pPr>
            <w:r>
              <w:rPr/>
              <w:t xml:space="preserve">  </w:t>
            </w:r>
          </w:p>
        </w:tc>
      </w:tr>
      <w:tr>
        <w:trPr/>
        <w:tc>
          <w:tcPr>
            <w:tcW w:w="636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Gross profit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6,357</w:t>
            </w:r>
          </w:p>
        </w:tc>
        <w:tc>
          <w:tcPr>
            <w:tcW w:w="162" w:type="dxa"/>
            <w:tcBorders/>
            <w:shd w:fill="CCEEFF" w:val="clear"/>
            <w:vAlign w:val="center"/>
          </w:tcPr>
          <w:p>
            <w:pPr>
              <w:pStyle w:val="TableContents"/>
              <w:pBdr/>
              <w:bidi w:val="0"/>
              <w:spacing w:before="0" w:after="0"/>
              <w:ind w:left="0" w:right="0" w:hanging="0"/>
              <w:jc w:val="left"/>
              <w:rPr/>
            </w:pPr>
            <w:r>
              <w:rPr/>
              <w:t xml:space="preserve">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9,457 </w:t>
            </w:r>
          </w:p>
        </w:tc>
        <w:tc>
          <w:tcPr>
            <w:tcW w:w="190" w:type="dxa"/>
            <w:tcBorders/>
            <w:shd w:fill="CCEEFF" w:val="clear"/>
            <w:vAlign w:val="center"/>
          </w:tcPr>
          <w:p>
            <w:pPr>
              <w:pStyle w:val="TableContents"/>
              <w:pBdr/>
              <w:bidi w:val="0"/>
              <w:spacing w:before="0" w:after="0"/>
              <w:ind w:left="0" w:right="0" w:hanging="0"/>
              <w:jc w:val="left"/>
              <w:rPr/>
            </w:pPr>
            <w:r>
              <w:rPr/>
              <w:t xml:space="preserve">  </w:t>
            </w:r>
          </w:p>
        </w:tc>
      </w:tr>
      <w:tr>
        <w:trPr/>
        <w:tc>
          <w:tcPr>
            <w:tcW w:w="6369" w:type="dxa"/>
            <w:tcBorders/>
            <w:vAlign w:val="center"/>
          </w:tcPr>
          <w:p>
            <w:pPr>
              <w:pStyle w:val="TableContents"/>
              <w:pBdr/>
              <w:bidi w:val="0"/>
              <w:spacing w:before="0" w:after="0"/>
              <w:ind w:left="0" w:right="0" w:hanging="0"/>
              <w:jc w:val="left"/>
              <w:rPr/>
            </w:pPr>
            <w:r>
              <w:rPr/>
              <w:t xml:space="preserve">  </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right"/>
              <w:rPr/>
            </w:pPr>
            <w:r>
              <w:rPr/>
              <w:t xml:space="preserve">  </w:t>
            </w:r>
          </w:p>
        </w:tc>
        <w:tc>
          <w:tcPr>
            <w:tcW w:w="162" w:type="dxa"/>
            <w:tcBorders/>
            <w:vAlign w:val="center"/>
          </w:tcPr>
          <w:p>
            <w:pPr>
              <w:pStyle w:val="TableContents"/>
              <w:pBdr/>
              <w:bidi w:val="0"/>
              <w:spacing w:before="0" w:after="0"/>
              <w:ind w:left="0" w:right="0" w:hanging="0"/>
              <w:jc w:val="left"/>
              <w:rPr/>
            </w:pPr>
            <w:r>
              <w:rPr/>
              <w:t xml:space="preserve">  </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right"/>
              <w:rPr/>
            </w:pPr>
            <w:r>
              <w:rPr/>
              <w:t xml:space="preserve">  </w:t>
            </w:r>
          </w:p>
        </w:tc>
        <w:tc>
          <w:tcPr>
            <w:tcW w:w="190" w:type="dxa"/>
            <w:tcBorders/>
            <w:vAlign w:val="center"/>
          </w:tcPr>
          <w:p>
            <w:pPr>
              <w:pStyle w:val="TableContents"/>
              <w:pBdr/>
              <w:bidi w:val="0"/>
              <w:spacing w:before="0" w:after="0"/>
              <w:ind w:left="0" w:right="0" w:hanging="0"/>
              <w:jc w:val="left"/>
              <w:rPr/>
            </w:pPr>
            <w:r>
              <w:rPr/>
              <w:t xml:space="preserve">  </w:t>
            </w:r>
          </w:p>
        </w:tc>
      </w:tr>
      <w:tr>
        <w:trPr/>
        <w:tc>
          <w:tcPr>
            <w:tcW w:w="636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Operating expenses: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pPr>
            <w:r>
              <w:rPr/>
              <w:t xml:space="preserve">  </w:t>
            </w:r>
          </w:p>
        </w:tc>
        <w:tc>
          <w:tcPr>
            <w:tcW w:w="162" w:type="dxa"/>
            <w:tcBorders/>
            <w:shd w:fill="CCEEFF" w:val="clear"/>
            <w:vAlign w:val="center"/>
          </w:tcPr>
          <w:p>
            <w:pPr>
              <w:pStyle w:val="TableContents"/>
              <w:pBdr/>
              <w:bidi w:val="0"/>
              <w:spacing w:before="0" w:after="0"/>
              <w:ind w:left="0" w:right="0" w:hanging="0"/>
              <w:jc w:val="left"/>
              <w:rPr/>
            </w:pPr>
            <w:r>
              <w:rPr/>
              <w:t xml:space="preserve">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pPr>
            <w:r>
              <w:rPr/>
              <w:t xml:space="preserve">  </w:t>
            </w:r>
          </w:p>
        </w:tc>
        <w:tc>
          <w:tcPr>
            <w:tcW w:w="190" w:type="dxa"/>
            <w:tcBorders/>
            <w:shd w:fill="CCEEFF" w:val="clear"/>
            <w:vAlign w:val="center"/>
          </w:tcPr>
          <w:p>
            <w:pPr>
              <w:pStyle w:val="TableContents"/>
              <w:pBdr/>
              <w:bidi w:val="0"/>
              <w:spacing w:before="0" w:after="0"/>
              <w:ind w:left="0" w:right="0" w:hanging="0"/>
              <w:jc w:val="left"/>
              <w:rPr/>
            </w:pPr>
            <w:r>
              <w:rPr/>
              <w:t xml:space="preserve">  </w:t>
            </w:r>
          </w:p>
        </w:tc>
      </w:tr>
      <w:tr>
        <w:trPr/>
        <w:tc>
          <w:tcPr>
            <w:tcW w:w="6369"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Sales and marketing </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4,897 </w:t>
            </w:r>
          </w:p>
        </w:tc>
        <w:tc>
          <w:tcPr>
            <w:tcW w:w="162" w:type="dxa"/>
            <w:tcBorders/>
            <w:vAlign w:val="center"/>
          </w:tcPr>
          <w:p>
            <w:pPr>
              <w:pStyle w:val="TableContents"/>
              <w:pBdr/>
              <w:bidi w:val="0"/>
              <w:spacing w:before="0" w:after="0"/>
              <w:ind w:left="0" w:right="0" w:hanging="0"/>
              <w:jc w:val="left"/>
              <w:rPr/>
            </w:pPr>
            <w:r>
              <w:rPr/>
              <w:t xml:space="preserve">  </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5,517 </w:t>
            </w:r>
          </w:p>
        </w:tc>
        <w:tc>
          <w:tcPr>
            <w:tcW w:w="190" w:type="dxa"/>
            <w:tcBorders/>
            <w:vAlign w:val="center"/>
          </w:tcPr>
          <w:p>
            <w:pPr>
              <w:pStyle w:val="TableContents"/>
              <w:pBdr/>
              <w:bidi w:val="0"/>
              <w:spacing w:before="0" w:after="0"/>
              <w:ind w:left="0" w:right="0" w:hanging="0"/>
              <w:jc w:val="left"/>
              <w:rPr/>
            </w:pPr>
            <w:r>
              <w:rPr/>
              <w:t xml:space="preserve">  </w:t>
            </w:r>
          </w:p>
        </w:tc>
      </w:tr>
      <w:tr>
        <w:trPr/>
        <w:tc>
          <w:tcPr>
            <w:tcW w:w="636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Research and product development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3,671 </w:t>
            </w:r>
          </w:p>
        </w:tc>
        <w:tc>
          <w:tcPr>
            <w:tcW w:w="162" w:type="dxa"/>
            <w:tcBorders/>
            <w:shd w:fill="CCEEFF" w:val="clear"/>
            <w:vAlign w:val="center"/>
          </w:tcPr>
          <w:p>
            <w:pPr>
              <w:pStyle w:val="TableContents"/>
              <w:pBdr/>
              <w:bidi w:val="0"/>
              <w:spacing w:before="0" w:after="0"/>
              <w:ind w:left="0" w:right="0" w:hanging="0"/>
              <w:jc w:val="left"/>
              <w:rPr/>
            </w:pPr>
            <w:r>
              <w:rPr/>
              <w:t xml:space="preserve">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4,390 </w:t>
            </w:r>
          </w:p>
        </w:tc>
        <w:tc>
          <w:tcPr>
            <w:tcW w:w="190" w:type="dxa"/>
            <w:tcBorders/>
            <w:shd w:fill="CCEEFF" w:val="clear"/>
            <w:vAlign w:val="center"/>
          </w:tcPr>
          <w:p>
            <w:pPr>
              <w:pStyle w:val="TableContents"/>
              <w:pBdr/>
              <w:bidi w:val="0"/>
              <w:spacing w:before="0" w:after="0"/>
              <w:ind w:left="0" w:right="0" w:hanging="0"/>
              <w:jc w:val="left"/>
              <w:rPr/>
            </w:pPr>
            <w:r>
              <w:rPr/>
              <w:t xml:space="preserve">  </w:t>
            </w:r>
          </w:p>
        </w:tc>
      </w:tr>
      <w:tr>
        <w:trPr/>
        <w:tc>
          <w:tcPr>
            <w:tcW w:w="6369"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General and administrative </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4,561 </w:t>
            </w:r>
          </w:p>
        </w:tc>
        <w:tc>
          <w:tcPr>
            <w:tcW w:w="162" w:type="dxa"/>
            <w:tcBorders/>
            <w:vAlign w:val="center"/>
          </w:tcPr>
          <w:p>
            <w:pPr>
              <w:pStyle w:val="TableContents"/>
              <w:pBdr/>
              <w:bidi w:val="0"/>
              <w:spacing w:before="0" w:after="0"/>
              <w:ind w:left="0" w:right="0" w:hanging="0"/>
              <w:jc w:val="left"/>
              <w:rPr/>
            </w:pPr>
            <w:r>
              <w:rPr/>
              <w:t xml:space="preserve">  </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6,772 </w:t>
            </w:r>
          </w:p>
        </w:tc>
        <w:tc>
          <w:tcPr>
            <w:tcW w:w="190" w:type="dxa"/>
            <w:tcBorders/>
            <w:vAlign w:val="center"/>
          </w:tcPr>
          <w:p>
            <w:pPr>
              <w:pStyle w:val="TableContents"/>
              <w:pBdr/>
              <w:bidi w:val="0"/>
              <w:spacing w:before="0" w:after="0"/>
              <w:ind w:left="0" w:right="0" w:hanging="0"/>
              <w:jc w:val="left"/>
              <w:rPr/>
            </w:pPr>
            <w:r>
              <w:rPr/>
              <w:t xml:space="preserve">  </w:t>
            </w:r>
          </w:p>
        </w:tc>
      </w:tr>
      <w:tr>
        <w:trPr/>
        <w:tc>
          <w:tcPr>
            <w:tcW w:w="636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Total operating expenses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13,129 </w:t>
            </w:r>
          </w:p>
        </w:tc>
        <w:tc>
          <w:tcPr>
            <w:tcW w:w="162" w:type="dxa"/>
            <w:tcBorders/>
            <w:shd w:fill="CCEEFF" w:val="clear"/>
            <w:vAlign w:val="center"/>
          </w:tcPr>
          <w:p>
            <w:pPr>
              <w:pStyle w:val="TableContents"/>
              <w:pBdr/>
              <w:bidi w:val="0"/>
              <w:spacing w:before="0" w:after="0"/>
              <w:ind w:left="0" w:right="0" w:hanging="0"/>
              <w:jc w:val="left"/>
              <w:rPr/>
            </w:pPr>
            <w:r>
              <w:rPr/>
              <w:t xml:space="preserve">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16,679 </w:t>
            </w:r>
          </w:p>
        </w:tc>
        <w:tc>
          <w:tcPr>
            <w:tcW w:w="190" w:type="dxa"/>
            <w:tcBorders/>
            <w:shd w:fill="CCEEFF" w:val="clear"/>
            <w:vAlign w:val="center"/>
          </w:tcPr>
          <w:p>
            <w:pPr>
              <w:pStyle w:val="TableContents"/>
              <w:pBdr/>
              <w:bidi w:val="0"/>
              <w:spacing w:before="0" w:after="0"/>
              <w:ind w:left="0" w:right="0" w:hanging="0"/>
              <w:jc w:val="left"/>
              <w:rPr/>
            </w:pPr>
            <w:r>
              <w:rPr/>
              <w:t xml:space="preserve">  </w:t>
            </w:r>
          </w:p>
        </w:tc>
      </w:tr>
      <w:tr>
        <w:trPr/>
        <w:tc>
          <w:tcPr>
            <w:tcW w:w="6369" w:type="dxa"/>
            <w:tcBorders/>
            <w:vAlign w:val="center"/>
          </w:tcPr>
          <w:p>
            <w:pPr>
              <w:pStyle w:val="TableContents"/>
              <w:pBdr/>
              <w:bidi w:val="0"/>
              <w:spacing w:before="0" w:after="0"/>
              <w:ind w:left="0" w:right="0" w:hanging="0"/>
              <w:jc w:val="left"/>
              <w:rPr/>
            </w:pPr>
            <w:r>
              <w:rPr/>
              <w:t xml:space="preserve">  </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right"/>
              <w:rPr/>
            </w:pPr>
            <w:r>
              <w:rPr/>
              <w:t xml:space="preserve">  </w:t>
            </w:r>
          </w:p>
        </w:tc>
        <w:tc>
          <w:tcPr>
            <w:tcW w:w="162" w:type="dxa"/>
            <w:tcBorders/>
            <w:vAlign w:val="center"/>
          </w:tcPr>
          <w:p>
            <w:pPr>
              <w:pStyle w:val="TableContents"/>
              <w:pBdr/>
              <w:bidi w:val="0"/>
              <w:spacing w:before="0" w:after="0"/>
              <w:ind w:left="0" w:right="0" w:hanging="0"/>
              <w:jc w:val="left"/>
              <w:rPr/>
            </w:pPr>
            <w:r>
              <w:rPr/>
              <w:t xml:space="preserve">  </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right"/>
              <w:rPr/>
            </w:pPr>
            <w:r>
              <w:rPr/>
              <w:t xml:space="preserve">  </w:t>
            </w:r>
          </w:p>
        </w:tc>
        <w:tc>
          <w:tcPr>
            <w:tcW w:w="190" w:type="dxa"/>
            <w:tcBorders/>
            <w:vAlign w:val="center"/>
          </w:tcPr>
          <w:p>
            <w:pPr>
              <w:pStyle w:val="TableContents"/>
              <w:pBdr/>
              <w:bidi w:val="0"/>
              <w:spacing w:before="0" w:after="0"/>
              <w:ind w:left="0" w:right="0" w:hanging="0"/>
              <w:jc w:val="left"/>
              <w:rPr/>
            </w:pPr>
            <w:r>
              <w:rPr/>
              <w:t xml:space="preserve">  </w:t>
            </w:r>
          </w:p>
        </w:tc>
      </w:tr>
      <w:tr>
        <w:trPr/>
        <w:tc>
          <w:tcPr>
            <w:tcW w:w="636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Operating loss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(6,772)</w:t>
            </w:r>
          </w:p>
        </w:tc>
        <w:tc>
          <w:tcPr>
            <w:tcW w:w="162"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(7,222 </w:t>
            </w:r>
          </w:p>
        </w:tc>
        <w:tc>
          <w:tcPr>
            <w:tcW w:w="190"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r>
        <w:trPr/>
        <w:tc>
          <w:tcPr>
            <w:tcW w:w="6369"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Interest expense </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(537)</w:t>
            </w:r>
          </w:p>
        </w:tc>
        <w:tc>
          <w:tcPr>
            <w:tcW w:w="162" w:type="dxa"/>
            <w:tcBorders/>
            <w:vAlign w:val="center"/>
          </w:tcPr>
          <w:p>
            <w:pPr>
              <w:pStyle w:val="TableContents"/>
              <w:bidi w:val="0"/>
              <w:spacing w:before="0" w:after="283"/>
              <w:ind w:left="0" w:right="0" w:hanging="0"/>
              <w:jc w:val="left"/>
              <w:rPr>
                <w:sz w:val="4"/>
                <w:szCs w:val="4"/>
              </w:rPr>
            </w:pPr>
            <w:r>
              <w:rPr>
                <w:sz w:val="4"/>
                <w:szCs w:val="4"/>
              </w:rPr>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(420 </w:t>
            </w:r>
          </w:p>
        </w:tc>
        <w:tc>
          <w:tcPr>
            <w:tcW w:w="190"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r>
        <w:trPr/>
        <w:tc>
          <w:tcPr>
            <w:tcW w:w="636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Other income, net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7,183 </w:t>
            </w:r>
          </w:p>
        </w:tc>
        <w:tc>
          <w:tcPr>
            <w:tcW w:w="162" w:type="dxa"/>
            <w:tcBorders/>
            <w:shd w:fill="CCEEFF" w:val="clear"/>
            <w:vAlign w:val="center"/>
          </w:tcPr>
          <w:p>
            <w:pPr>
              <w:pStyle w:val="TableContents"/>
              <w:pBdr/>
              <w:bidi w:val="0"/>
              <w:spacing w:before="0" w:after="0"/>
              <w:ind w:left="0" w:right="0" w:hanging="0"/>
              <w:jc w:val="left"/>
              <w:rPr/>
            </w:pPr>
            <w:r>
              <w:rPr/>
              <w:t xml:space="preserve">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35,102 </w:t>
            </w:r>
          </w:p>
        </w:tc>
        <w:tc>
          <w:tcPr>
            <w:tcW w:w="190" w:type="dxa"/>
            <w:tcBorders/>
            <w:shd w:fill="CCEEFF" w:val="clear"/>
            <w:vAlign w:val="center"/>
          </w:tcPr>
          <w:p>
            <w:pPr>
              <w:pStyle w:val="TableContents"/>
              <w:pBdr/>
              <w:bidi w:val="0"/>
              <w:spacing w:before="0" w:after="0"/>
              <w:ind w:left="0" w:right="0" w:hanging="0"/>
              <w:jc w:val="left"/>
              <w:rPr/>
            </w:pPr>
            <w:r>
              <w:rPr/>
              <w:t xml:space="preserve">  </w:t>
            </w:r>
          </w:p>
        </w:tc>
      </w:tr>
      <w:tr>
        <w:trPr/>
        <w:tc>
          <w:tcPr>
            <w:tcW w:w="6369"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Income (loss) before income taxes </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(126)</w:t>
            </w:r>
          </w:p>
        </w:tc>
        <w:tc>
          <w:tcPr>
            <w:tcW w:w="162" w:type="dxa"/>
            <w:tcBorders/>
            <w:vAlign w:val="center"/>
          </w:tcPr>
          <w:p>
            <w:pPr>
              <w:pStyle w:val="TableContents"/>
              <w:bidi w:val="0"/>
              <w:spacing w:before="0" w:after="283"/>
              <w:ind w:left="0" w:right="0" w:hanging="0"/>
              <w:jc w:val="left"/>
              <w:rPr>
                <w:sz w:val="4"/>
                <w:szCs w:val="4"/>
              </w:rPr>
            </w:pPr>
            <w:r>
              <w:rPr>
                <w:sz w:val="4"/>
                <w:szCs w:val="4"/>
              </w:rPr>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27,460</w:t>
            </w:r>
          </w:p>
        </w:tc>
        <w:tc>
          <w:tcPr>
            <w:tcW w:w="190" w:type="dxa"/>
            <w:tcBorders/>
            <w:vAlign w:val="center"/>
          </w:tcPr>
          <w:p>
            <w:pPr>
              <w:pStyle w:val="TableContents"/>
              <w:bidi w:val="0"/>
              <w:spacing w:before="0" w:after="283"/>
              <w:ind w:left="0" w:right="0" w:hanging="0"/>
              <w:jc w:val="left"/>
              <w:rPr>
                <w:sz w:val="4"/>
                <w:szCs w:val="4"/>
              </w:rPr>
            </w:pPr>
            <w:r>
              <w:rPr>
                <w:sz w:val="4"/>
                <w:szCs w:val="4"/>
              </w:rPr>
            </w:r>
          </w:p>
        </w:tc>
      </w:tr>
      <w:tr>
        <w:trPr/>
        <w:tc>
          <w:tcPr>
            <w:tcW w:w="636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Provision for </w:t>
            </w:r>
            <w:r>
              <w:rPr>
                <w:rFonts w:ascii="Times New Roman;serif" w:hAnsi="Times New Roman;serif"/>
                <w:color w:val="000000"/>
                <w:sz w:val="20"/>
              </w:rPr>
              <w:t xml:space="preserve">(benefit from) </w:t>
            </w:r>
            <w:r>
              <w:rPr>
                <w:rFonts w:ascii="times new roman;times" w:hAnsi="times new roman;times"/>
                <w:sz w:val="20"/>
              </w:rPr>
              <w:t xml:space="preserve">income taxes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434 </w:t>
            </w:r>
          </w:p>
        </w:tc>
        <w:tc>
          <w:tcPr>
            <w:tcW w:w="162" w:type="dxa"/>
            <w:tcBorders/>
            <w:shd w:fill="CCEEFF" w:val="clear"/>
            <w:vAlign w:val="center"/>
          </w:tcPr>
          <w:p>
            <w:pPr>
              <w:pStyle w:val="TableContents"/>
              <w:pBdr/>
              <w:bidi w:val="0"/>
              <w:spacing w:before="0" w:after="0"/>
              <w:ind w:left="0" w:right="0" w:hanging="0"/>
              <w:jc w:val="left"/>
              <w:rPr/>
            </w:pPr>
            <w:r>
              <w:rPr/>
              <w:t xml:space="preserve">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6,904 </w:t>
            </w:r>
          </w:p>
        </w:tc>
        <w:tc>
          <w:tcPr>
            <w:tcW w:w="190" w:type="dxa"/>
            <w:tcBorders/>
            <w:shd w:fill="CCEEFF" w:val="clear"/>
            <w:vAlign w:val="center"/>
          </w:tcPr>
          <w:p>
            <w:pPr>
              <w:pStyle w:val="TableContents"/>
              <w:pBdr/>
              <w:bidi w:val="0"/>
              <w:spacing w:before="0" w:after="0"/>
              <w:ind w:left="0" w:right="0" w:hanging="0"/>
              <w:jc w:val="left"/>
              <w:rPr/>
            </w:pPr>
            <w:r>
              <w:rPr/>
              <w:t xml:space="preserve">  </w:t>
            </w:r>
          </w:p>
        </w:tc>
      </w:tr>
      <w:tr>
        <w:trPr/>
        <w:tc>
          <w:tcPr>
            <w:tcW w:w="6369"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Net income (loss)</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34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(560)</w:t>
            </w:r>
          </w:p>
        </w:tc>
        <w:tc>
          <w:tcPr>
            <w:tcW w:w="162" w:type="dxa"/>
            <w:tcBorders/>
            <w:vAlign w:val="center"/>
          </w:tcPr>
          <w:p>
            <w:pPr>
              <w:pStyle w:val="TableContents"/>
              <w:bidi w:val="0"/>
              <w:spacing w:before="0" w:after="283"/>
              <w:ind w:left="0" w:right="0" w:hanging="0"/>
              <w:jc w:val="left"/>
              <w:rPr>
                <w:sz w:val="4"/>
                <w:szCs w:val="4"/>
              </w:rPr>
            </w:pPr>
            <w:r>
              <w:rPr>
                <w:sz w:val="4"/>
                <w:szCs w:val="4"/>
              </w:rPr>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34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20,556</w:t>
            </w:r>
          </w:p>
        </w:tc>
        <w:tc>
          <w:tcPr>
            <w:tcW w:w="190" w:type="dxa"/>
            <w:tcBorders/>
            <w:vAlign w:val="center"/>
          </w:tcPr>
          <w:p>
            <w:pPr>
              <w:pStyle w:val="TableContents"/>
              <w:bidi w:val="0"/>
              <w:spacing w:before="0" w:after="283"/>
              <w:ind w:left="0" w:right="0" w:hanging="0"/>
              <w:jc w:val="left"/>
              <w:rPr>
                <w:sz w:val="4"/>
                <w:szCs w:val="4"/>
              </w:rPr>
            </w:pPr>
            <w:r>
              <w:rPr>
                <w:sz w:val="4"/>
                <w:szCs w:val="4"/>
              </w:rPr>
            </w:r>
          </w:p>
        </w:tc>
      </w:tr>
      <w:tr>
        <w:trPr/>
        <w:tc>
          <w:tcPr>
            <w:tcW w:w="6369" w:type="dxa"/>
            <w:tcBorders/>
            <w:shd w:fill="CCEEFF" w:val="clear"/>
            <w:vAlign w:val="center"/>
          </w:tcPr>
          <w:p>
            <w:pPr>
              <w:pStyle w:val="TableContents"/>
              <w:pBdr/>
              <w:bidi w:val="0"/>
              <w:spacing w:before="0" w:after="0"/>
              <w:ind w:left="0" w:right="0" w:hanging="0"/>
              <w:jc w:val="left"/>
              <w:rPr/>
            </w:pPr>
            <w:r>
              <w:rPr/>
              <w:t xml:space="preserve">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pPr>
            <w:r>
              <w:rPr/>
              <w:t xml:space="preserve">  </w:t>
            </w:r>
          </w:p>
        </w:tc>
        <w:tc>
          <w:tcPr>
            <w:tcW w:w="162" w:type="dxa"/>
            <w:tcBorders/>
            <w:shd w:fill="CCEEFF" w:val="clear"/>
            <w:vAlign w:val="center"/>
          </w:tcPr>
          <w:p>
            <w:pPr>
              <w:pStyle w:val="TableContents"/>
              <w:pBdr/>
              <w:bidi w:val="0"/>
              <w:spacing w:before="0" w:after="0"/>
              <w:ind w:left="0" w:right="0" w:hanging="0"/>
              <w:jc w:val="left"/>
              <w:rPr/>
            </w:pPr>
            <w:r>
              <w:rPr/>
              <w:t xml:space="preserve">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pPr>
            <w:r>
              <w:rPr/>
              <w:t xml:space="preserve">  </w:t>
            </w:r>
          </w:p>
        </w:tc>
        <w:tc>
          <w:tcPr>
            <w:tcW w:w="190" w:type="dxa"/>
            <w:tcBorders/>
            <w:shd w:fill="CCEEFF" w:val="clear"/>
            <w:vAlign w:val="center"/>
          </w:tcPr>
          <w:p>
            <w:pPr>
              <w:pStyle w:val="TableContents"/>
              <w:pBdr/>
              <w:bidi w:val="0"/>
              <w:spacing w:before="0" w:after="0"/>
              <w:ind w:left="0" w:right="0" w:hanging="0"/>
              <w:jc w:val="left"/>
              <w:rPr/>
            </w:pPr>
            <w:r>
              <w:rPr/>
              <w:t xml:space="preserve">  </w:t>
            </w:r>
          </w:p>
        </w:tc>
      </w:tr>
      <w:tr>
        <w:trPr/>
        <w:tc>
          <w:tcPr>
            <w:tcW w:w="6369" w:type="dxa"/>
            <w:tcBorders/>
            <w:vAlign w:val="center"/>
          </w:tcPr>
          <w:p>
            <w:pPr>
              <w:pStyle w:val="TableContents"/>
              <w:pBdr/>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Basic income (loss) per common share</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34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(0.02)</w:t>
            </w:r>
          </w:p>
        </w:tc>
        <w:tc>
          <w:tcPr>
            <w:tcW w:w="162" w:type="dxa"/>
            <w:tcBorders/>
            <w:vAlign w:val="center"/>
          </w:tcPr>
          <w:p>
            <w:pPr>
              <w:pStyle w:val="TableContents"/>
              <w:bidi w:val="0"/>
              <w:spacing w:before="0" w:after="283"/>
              <w:ind w:left="0" w:right="0" w:hanging="0"/>
              <w:jc w:val="left"/>
              <w:rPr>
                <w:sz w:val="4"/>
                <w:szCs w:val="4"/>
              </w:rPr>
            </w:pPr>
            <w:r>
              <w:rPr>
                <w:sz w:val="4"/>
                <w:szCs w:val="4"/>
              </w:rPr>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34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0.86</w:t>
            </w:r>
          </w:p>
        </w:tc>
        <w:tc>
          <w:tcPr>
            <w:tcW w:w="190" w:type="dxa"/>
            <w:tcBorders/>
            <w:vAlign w:val="center"/>
          </w:tcPr>
          <w:p>
            <w:pPr>
              <w:pStyle w:val="TableContents"/>
              <w:bidi w:val="0"/>
              <w:spacing w:before="0" w:after="283"/>
              <w:ind w:left="0" w:right="0" w:hanging="0"/>
              <w:jc w:val="left"/>
              <w:rPr>
                <w:sz w:val="4"/>
                <w:szCs w:val="4"/>
              </w:rPr>
            </w:pPr>
            <w:r>
              <w:rPr>
                <w:sz w:val="4"/>
                <w:szCs w:val="4"/>
              </w:rPr>
            </w:r>
          </w:p>
        </w:tc>
      </w:tr>
      <w:tr>
        <w:trPr/>
        <w:tc>
          <w:tcPr>
            <w:tcW w:w="6369" w:type="dxa"/>
            <w:tcBorders/>
            <w:shd w:fill="CCEEFF" w:val="clear"/>
            <w:vAlign w:val="center"/>
          </w:tcPr>
          <w:p>
            <w:pPr>
              <w:pStyle w:val="TableContents"/>
              <w:pBdr/>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Diluted income (loss) per common share</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(0.02)</w:t>
            </w:r>
          </w:p>
        </w:tc>
        <w:tc>
          <w:tcPr>
            <w:tcW w:w="162"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0.83</w:t>
            </w:r>
          </w:p>
        </w:tc>
        <w:tc>
          <w:tcPr>
            <w:tcW w:w="190"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6369" w:type="dxa"/>
            <w:tcBorders/>
            <w:vAlign w:val="center"/>
          </w:tcPr>
          <w:p>
            <w:pPr>
              <w:pStyle w:val="TableContents"/>
              <w:pBdr/>
              <w:bidi w:val="0"/>
              <w:spacing w:before="0" w:after="0"/>
              <w:ind w:left="0" w:right="0" w:hanging="0"/>
              <w:jc w:val="left"/>
              <w:rPr/>
            </w:pPr>
            <w:r>
              <w:rPr/>
              <w:t xml:space="preserve">  </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right"/>
              <w:rPr/>
            </w:pPr>
            <w:r>
              <w:rPr/>
              <w:t xml:space="preserve">  </w:t>
            </w:r>
          </w:p>
        </w:tc>
        <w:tc>
          <w:tcPr>
            <w:tcW w:w="162" w:type="dxa"/>
            <w:tcBorders/>
            <w:vAlign w:val="center"/>
          </w:tcPr>
          <w:p>
            <w:pPr>
              <w:pStyle w:val="TableContents"/>
              <w:pBdr/>
              <w:bidi w:val="0"/>
              <w:spacing w:before="0" w:after="0"/>
              <w:ind w:left="0" w:right="0" w:hanging="0"/>
              <w:jc w:val="left"/>
              <w:rPr/>
            </w:pPr>
            <w:r>
              <w:rPr/>
              <w:t xml:space="preserve">  </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right"/>
              <w:rPr/>
            </w:pPr>
            <w:r>
              <w:rPr/>
              <w:t xml:space="preserve">  </w:t>
            </w:r>
          </w:p>
        </w:tc>
        <w:tc>
          <w:tcPr>
            <w:tcW w:w="190" w:type="dxa"/>
            <w:tcBorders/>
            <w:vAlign w:val="center"/>
          </w:tcPr>
          <w:p>
            <w:pPr>
              <w:pStyle w:val="TableContents"/>
              <w:pBdr/>
              <w:bidi w:val="0"/>
              <w:spacing w:before="0" w:after="0"/>
              <w:ind w:left="0" w:right="0" w:hanging="0"/>
              <w:jc w:val="left"/>
              <w:rPr/>
            </w:pPr>
            <w:r>
              <w:rPr/>
              <w:t xml:space="preserve">  </w:t>
            </w:r>
          </w:p>
        </w:tc>
      </w:tr>
      <w:tr>
        <w:trPr/>
        <w:tc>
          <w:tcPr>
            <w:tcW w:w="636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Basic weighted average shares outstanding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23,958,154 </w:t>
            </w:r>
          </w:p>
        </w:tc>
        <w:tc>
          <w:tcPr>
            <w:tcW w:w="162" w:type="dxa"/>
            <w:tcBorders/>
            <w:shd w:fill="CCEEFF" w:val="clear"/>
            <w:vAlign w:val="center"/>
          </w:tcPr>
          <w:p>
            <w:pPr>
              <w:pStyle w:val="TableContents"/>
              <w:pBdr/>
              <w:bidi w:val="0"/>
              <w:spacing w:before="0" w:after="0"/>
              <w:ind w:left="0" w:right="0" w:hanging="0"/>
              <w:jc w:val="left"/>
              <w:rPr/>
            </w:pPr>
            <w:r>
              <w:rPr/>
              <w:t xml:space="preserve">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23,937,962 </w:t>
            </w:r>
          </w:p>
        </w:tc>
        <w:tc>
          <w:tcPr>
            <w:tcW w:w="190" w:type="dxa"/>
            <w:tcBorders/>
            <w:shd w:fill="CCEEFF" w:val="clear"/>
            <w:vAlign w:val="center"/>
          </w:tcPr>
          <w:p>
            <w:pPr>
              <w:pStyle w:val="TableContents"/>
              <w:pBdr/>
              <w:bidi w:val="0"/>
              <w:spacing w:before="0" w:after="0"/>
              <w:ind w:left="0" w:right="0" w:hanging="0"/>
              <w:jc w:val="left"/>
              <w:rPr/>
            </w:pPr>
            <w:r>
              <w:rPr/>
              <w:t xml:space="preserve">  </w:t>
            </w:r>
          </w:p>
        </w:tc>
      </w:tr>
      <w:tr>
        <w:trPr/>
        <w:tc>
          <w:tcPr>
            <w:tcW w:w="6369"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Diluted weighted average shares outstanding </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23,958,184 </w:t>
            </w:r>
          </w:p>
        </w:tc>
        <w:tc>
          <w:tcPr>
            <w:tcW w:w="162" w:type="dxa"/>
            <w:tcBorders/>
            <w:vAlign w:val="center"/>
          </w:tcPr>
          <w:p>
            <w:pPr>
              <w:pStyle w:val="TableContents"/>
              <w:pBdr/>
              <w:bidi w:val="0"/>
              <w:spacing w:before="0" w:after="0"/>
              <w:ind w:left="0" w:right="0" w:hanging="0"/>
              <w:jc w:val="left"/>
              <w:rPr/>
            </w:pPr>
            <w:r>
              <w:rPr/>
              <w:t xml:space="preserve">  </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25,189,147 </w:t>
            </w:r>
          </w:p>
        </w:tc>
        <w:tc>
          <w:tcPr>
            <w:tcW w:w="190" w:type="dxa"/>
            <w:tcBorders/>
            <w:vAlign w:val="center"/>
          </w:tcPr>
          <w:p>
            <w:pPr>
              <w:pStyle w:val="TableContents"/>
              <w:pBdr/>
              <w:bidi w:val="0"/>
              <w:spacing w:before="0" w:after="0"/>
              <w:ind w:left="0" w:right="0" w:hanging="0"/>
              <w:jc w:val="left"/>
              <w:rPr/>
            </w:pPr>
            <w:r>
              <w:rPr/>
              <w:t xml:space="preserve">  </w:t>
            </w:r>
          </w:p>
        </w:tc>
      </w:tr>
      <w:tr>
        <w:trPr/>
        <w:tc>
          <w:tcPr>
            <w:tcW w:w="6369" w:type="dxa"/>
            <w:tcBorders/>
            <w:shd w:fill="CCEEFF" w:val="clear"/>
            <w:vAlign w:val="center"/>
          </w:tcPr>
          <w:p>
            <w:pPr>
              <w:pStyle w:val="TableContents"/>
              <w:pBdr/>
              <w:bidi w:val="0"/>
              <w:spacing w:before="0" w:after="0"/>
              <w:ind w:left="0" w:right="0" w:hanging="0"/>
              <w:jc w:val="left"/>
              <w:rPr/>
            </w:pPr>
            <w:r>
              <w:rPr/>
              <w:t xml:space="preserve">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pPr>
            <w:r>
              <w:rPr/>
              <w:t xml:space="preserve">  </w:t>
            </w:r>
          </w:p>
        </w:tc>
        <w:tc>
          <w:tcPr>
            <w:tcW w:w="162" w:type="dxa"/>
            <w:tcBorders/>
            <w:shd w:fill="CCEEFF" w:val="clear"/>
            <w:vAlign w:val="center"/>
          </w:tcPr>
          <w:p>
            <w:pPr>
              <w:pStyle w:val="TableContents"/>
              <w:pBdr/>
              <w:bidi w:val="0"/>
              <w:spacing w:before="0" w:after="0"/>
              <w:ind w:left="0" w:right="0" w:hanging="0"/>
              <w:jc w:val="left"/>
              <w:rPr/>
            </w:pPr>
            <w:r>
              <w:rPr/>
              <w:t xml:space="preserve">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pPr>
            <w:r>
              <w:rPr/>
              <w:t xml:space="preserve">  </w:t>
            </w:r>
          </w:p>
        </w:tc>
        <w:tc>
          <w:tcPr>
            <w:tcW w:w="190" w:type="dxa"/>
            <w:tcBorders/>
            <w:shd w:fill="CCEEFF" w:val="clear"/>
            <w:vAlign w:val="center"/>
          </w:tcPr>
          <w:p>
            <w:pPr>
              <w:pStyle w:val="TableContents"/>
              <w:pBdr/>
              <w:bidi w:val="0"/>
              <w:spacing w:before="0" w:after="0"/>
              <w:ind w:left="0" w:right="0" w:hanging="0"/>
              <w:jc w:val="left"/>
              <w:rPr/>
            </w:pPr>
            <w:r>
              <w:rPr/>
              <w:t xml:space="preserve">  </w:t>
            </w:r>
          </w:p>
        </w:tc>
      </w:tr>
      <w:tr>
        <w:trPr/>
        <w:tc>
          <w:tcPr>
            <w:tcW w:w="6369"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Comprehensive income (loss):</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right"/>
              <w:rPr/>
            </w:pPr>
            <w:r>
              <w:rPr/>
              <w:t xml:space="preserve">  </w:t>
            </w:r>
          </w:p>
        </w:tc>
        <w:tc>
          <w:tcPr>
            <w:tcW w:w="162" w:type="dxa"/>
            <w:tcBorders/>
            <w:vAlign w:val="center"/>
          </w:tcPr>
          <w:p>
            <w:pPr>
              <w:pStyle w:val="TableContents"/>
              <w:pBdr/>
              <w:bidi w:val="0"/>
              <w:spacing w:before="0" w:after="0"/>
              <w:ind w:left="0" w:right="0" w:hanging="0"/>
              <w:jc w:val="left"/>
              <w:rPr/>
            </w:pPr>
            <w:r>
              <w:rPr/>
              <w:t xml:space="preserve">  </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right"/>
              <w:rPr/>
            </w:pPr>
            <w:r>
              <w:rPr/>
              <w:t xml:space="preserve">  </w:t>
            </w:r>
          </w:p>
        </w:tc>
        <w:tc>
          <w:tcPr>
            <w:tcW w:w="190" w:type="dxa"/>
            <w:tcBorders/>
            <w:vAlign w:val="center"/>
          </w:tcPr>
          <w:p>
            <w:pPr>
              <w:pStyle w:val="TableContents"/>
              <w:pBdr/>
              <w:bidi w:val="0"/>
              <w:spacing w:before="0" w:after="0"/>
              <w:ind w:left="0" w:right="0" w:hanging="0"/>
              <w:jc w:val="left"/>
              <w:rPr/>
            </w:pPr>
            <w:r>
              <w:rPr/>
              <w:t xml:space="preserve">  </w:t>
            </w:r>
          </w:p>
        </w:tc>
      </w:tr>
      <w:tr>
        <w:trPr/>
        <w:tc>
          <w:tcPr>
            <w:tcW w:w="636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Net income (loss)</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(560)</w:t>
            </w:r>
          </w:p>
        </w:tc>
        <w:tc>
          <w:tcPr>
            <w:tcW w:w="162"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20,556</w:t>
            </w:r>
          </w:p>
        </w:tc>
        <w:tc>
          <w:tcPr>
            <w:tcW w:w="190"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6369" w:type="dxa"/>
            <w:tcBorders/>
            <w:vAlign w:val="center"/>
          </w:tcPr>
          <w:p>
            <w:pPr>
              <w:pStyle w:val="TableContents"/>
              <w:bidi w:val="0"/>
              <w:spacing w:before="0" w:after="0"/>
              <w:ind w:left="0" w:right="0" w:hanging="0"/>
              <w:jc w:val="left"/>
              <w:rPr>
                <w:sz w:val="20"/>
              </w:rPr>
            </w:pPr>
            <w:r>
              <w:rPr>
                <w:rFonts w:ascii="Times New Roman;serif" w:hAnsi="Times New Roman;serif"/>
                <w:color w:val="000000"/>
                <w:sz w:val="20"/>
              </w:rPr>
              <w:t>Other comprehensive income (loss):</w:t>
            </w:r>
            <w:r>
              <w:rPr>
                <w:sz w:val="20"/>
              </w:rPr>
              <w:t xml:space="preserve"> </w:t>
            </w:r>
          </w:p>
        </w:tc>
        <w:tc>
          <w:tcPr>
            <w:tcW w:w="163" w:type="dxa"/>
            <w:tcBorders/>
            <w:vAlign w:val="center"/>
          </w:tcPr>
          <w:p>
            <w:pPr>
              <w:pStyle w:val="TableContents"/>
              <w:bidi w:val="0"/>
              <w:spacing w:before="0" w:after="283"/>
              <w:ind w:left="0" w:right="0" w:hanging="0"/>
              <w:jc w:val="left"/>
              <w:rPr/>
            </w:pPr>
            <w:r>
              <w:rPr/>
            </w:r>
          </w:p>
        </w:tc>
        <w:tc>
          <w:tcPr>
            <w:tcW w:w="230" w:type="dxa"/>
            <w:tcBorders/>
            <w:vAlign w:val="center"/>
          </w:tcPr>
          <w:p>
            <w:pPr>
              <w:pStyle w:val="TableContents"/>
              <w:bidi w:val="0"/>
              <w:spacing w:before="0" w:after="283"/>
              <w:ind w:left="0" w:right="0" w:hanging="0"/>
              <w:jc w:val="left"/>
              <w:rPr/>
            </w:pPr>
            <w:r>
              <w:rPr/>
            </w:r>
          </w:p>
        </w:tc>
        <w:tc>
          <w:tcPr>
            <w:tcW w:w="1349" w:type="dxa"/>
            <w:tcBorders/>
            <w:vAlign w:val="center"/>
          </w:tcPr>
          <w:p>
            <w:pPr>
              <w:pStyle w:val="TableContents"/>
              <w:bidi w:val="0"/>
              <w:spacing w:before="0" w:after="283"/>
              <w:ind w:left="0" w:right="0" w:hanging="0"/>
              <w:jc w:val="left"/>
              <w:rPr/>
            </w:pPr>
            <w:r>
              <w:rPr/>
            </w:r>
          </w:p>
        </w:tc>
        <w:tc>
          <w:tcPr>
            <w:tcW w:w="162" w:type="dxa"/>
            <w:tcBorders/>
            <w:vAlign w:val="center"/>
          </w:tcPr>
          <w:p>
            <w:pPr>
              <w:pStyle w:val="TableContents"/>
              <w:bidi w:val="0"/>
              <w:spacing w:before="0" w:after="283"/>
              <w:ind w:left="0" w:right="0" w:hanging="0"/>
              <w:jc w:val="left"/>
              <w:rPr/>
            </w:pPr>
            <w:r>
              <w:rPr/>
            </w:r>
          </w:p>
        </w:tc>
        <w:tc>
          <w:tcPr>
            <w:tcW w:w="163" w:type="dxa"/>
            <w:tcBorders/>
            <w:vAlign w:val="center"/>
          </w:tcPr>
          <w:p>
            <w:pPr>
              <w:pStyle w:val="TableContents"/>
              <w:bidi w:val="0"/>
              <w:spacing w:before="0" w:after="283"/>
              <w:ind w:left="0" w:right="0" w:hanging="0"/>
              <w:jc w:val="left"/>
              <w:rPr/>
            </w:pPr>
            <w:r>
              <w:rPr/>
            </w:r>
          </w:p>
        </w:tc>
        <w:tc>
          <w:tcPr>
            <w:tcW w:w="230" w:type="dxa"/>
            <w:tcBorders/>
            <w:vAlign w:val="center"/>
          </w:tcPr>
          <w:p>
            <w:pPr>
              <w:pStyle w:val="TableContents"/>
              <w:bidi w:val="0"/>
              <w:spacing w:before="0" w:after="283"/>
              <w:ind w:left="0" w:right="0" w:hanging="0"/>
              <w:jc w:val="left"/>
              <w:rPr/>
            </w:pPr>
            <w:r>
              <w:rPr/>
            </w:r>
          </w:p>
        </w:tc>
        <w:tc>
          <w:tcPr>
            <w:tcW w:w="1349" w:type="dxa"/>
            <w:tcBorders/>
            <w:vAlign w:val="center"/>
          </w:tcPr>
          <w:p>
            <w:pPr>
              <w:pStyle w:val="TableContents"/>
              <w:bidi w:val="0"/>
              <w:spacing w:before="0" w:after="283"/>
              <w:ind w:left="0" w:right="0" w:hanging="0"/>
              <w:jc w:val="left"/>
              <w:rPr/>
            </w:pPr>
            <w:r>
              <w:rPr/>
            </w:r>
          </w:p>
        </w:tc>
        <w:tc>
          <w:tcPr>
            <w:tcW w:w="190" w:type="dxa"/>
            <w:tcBorders/>
            <w:vAlign w:val="center"/>
          </w:tcPr>
          <w:p>
            <w:pPr>
              <w:pStyle w:val="TableContents"/>
              <w:bidi w:val="0"/>
              <w:spacing w:before="0" w:after="283"/>
              <w:ind w:left="0" w:right="0" w:hanging="0"/>
              <w:jc w:val="left"/>
              <w:rPr/>
            </w:pPr>
            <w:r>
              <w:rPr/>
            </w:r>
          </w:p>
        </w:tc>
      </w:tr>
      <w:tr>
        <w:trPr/>
        <w:tc>
          <w:tcPr>
            <w:tcW w:w="636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Unrealized loss on available-for-sale securities, net of tax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(15)</w:t>
            </w:r>
          </w:p>
        </w:tc>
        <w:tc>
          <w:tcPr>
            <w:tcW w:w="162"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 </w:t>
            </w:r>
          </w:p>
        </w:tc>
        <w:tc>
          <w:tcPr>
            <w:tcW w:w="190"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r>
        <w:trPr/>
        <w:tc>
          <w:tcPr>
            <w:tcW w:w="6369"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Change in foreign currency translation adjustment </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(7)</w:t>
            </w:r>
          </w:p>
        </w:tc>
        <w:tc>
          <w:tcPr>
            <w:tcW w:w="162" w:type="dxa"/>
            <w:tcBorders/>
            <w:vAlign w:val="bottom"/>
          </w:tcPr>
          <w:p>
            <w:pPr>
              <w:pStyle w:val="TableContents"/>
              <w:bidi w:val="0"/>
              <w:spacing w:before="0" w:after="283"/>
              <w:ind w:left="0" w:right="0" w:hanging="0"/>
              <w:jc w:val="left"/>
              <w:rPr>
                <w:sz w:val="4"/>
                <w:szCs w:val="4"/>
              </w:rPr>
            </w:pPr>
            <w:r>
              <w:rPr>
                <w:sz w:val="4"/>
                <w:szCs w:val="4"/>
              </w:rPr>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(45 </w:t>
            </w:r>
          </w:p>
        </w:tc>
        <w:tc>
          <w:tcPr>
            <w:tcW w:w="190"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r>
        <w:trPr/>
        <w:tc>
          <w:tcPr>
            <w:tcW w:w="6369"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Comprehensive income (loss)</w:t>
            </w:r>
          </w:p>
        </w:tc>
        <w:tc>
          <w:tcPr>
            <w:tcW w:w="163" w:type="dxa"/>
            <w:tcBorders/>
            <w:shd w:fill="CCEEFF" w:val="clear"/>
            <w:vAlign w:val="center"/>
          </w:tcPr>
          <w:p>
            <w:pPr>
              <w:pStyle w:val="TableContents"/>
              <w:pBdr/>
              <w:bidi w:val="0"/>
              <w:spacing w:lineRule="atLeast" w:line="240"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(582)</w:t>
            </w:r>
          </w:p>
        </w:tc>
        <w:tc>
          <w:tcPr>
            <w:tcW w:w="162"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20,509</w:t>
            </w:r>
          </w:p>
        </w:tc>
        <w:tc>
          <w:tcPr>
            <w:tcW w:w="190"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144" w:right="144" w:hanging="0"/>
        <w:jc w:val="center"/>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6</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0" w:after="0"/>
        <w:ind w:left="0" w:right="144" w:hanging="0"/>
        <w:jc w:val="left"/>
        <w:rPr/>
      </w:pPr>
      <w:r>
        <w:rPr/>
        <w:t> </w:t>
      </w:r>
    </w:p>
    <w:p>
      <w:pPr>
        <w:pStyle w:val="TextBody"/>
        <w:bidi w:val="0"/>
        <w:spacing w:lineRule="auto" w:line="288" w:before="0" w:after="0"/>
        <w:ind w:left="0" w:right="0" w:hanging="0"/>
        <w:jc w:val="left"/>
        <w:rPr/>
      </w:pPr>
      <w:r>
        <w:rPr/>
        <w:drawing>
          <wp:inline distT="0" distB="0" distL="0" distR="0">
            <wp:extent cx="1609725" cy="3905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609725" cy="390525"/>
                    </a:xfrm>
                    <a:prstGeom prst="rect">
                      <a:avLst/>
                    </a:prstGeom>
                  </pic:spPr>
                </pic:pic>
              </a:graphicData>
            </a:graphic>
          </wp:inline>
        </w:drawing>
      </w:r>
    </w:p>
    <w:p>
      <w:pPr>
        <w:pStyle w:val="TextBody"/>
        <w:bidi w:val="0"/>
        <w:spacing w:lineRule="auto" w:line="288" w:before="0" w:after="0"/>
        <w:ind w:left="0" w:right="144" w:hanging="0"/>
        <w:jc w:val="left"/>
        <w:rPr/>
      </w:pPr>
      <w:r>
        <w:rPr/>
      </w:r>
    </w:p>
    <w:p>
      <w:pPr>
        <w:pStyle w:val="TextBody"/>
        <w:bidi w:val="0"/>
        <w:spacing w:lineRule="auto" w:line="288" w:before="0" w:after="0"/>
        <w:ind w:left="0" w:right="144" w:hanging="0"/>
        <w:jc w:val="center"/>
        <w:rPr>
          <w:rFonts w:ascii="times new roman;times" w:hAnsi="times new roman;times"/>
          <w:b/>
          <w:sz w:val="20"/>
        </w:rPr>
      </w:pPr>
      <w:r>
        <w:rPr>
          <w:rFonts w:ascii="times new roman;times" w:hAnsi="times new roman;times"/>
          <w:b/>
          <w:sz w:val="20"/>
        </w:rPr>
        <w:t>CLEARONE, INC.</w:t>
      </w:r>
    </w:p>
    <w:p>
      <w:pPr>
        <w:pStyle w:val="TextBody"/>
        <w:bidi w:val="0"/>
        <w:spacing w:lineRule="auto" w:line="288" w:before="0" w:after="0"/>
        <w:ind w:left="0" w:right="144" w:hanging="0"/>
        <w:jc w:val="center"/>
        <w:rPr>
          <w:rFonts w:ascii="times new roman;times" w:hAnsi="times new roman;times"/>
          <w:b/>
          <w:sz w:val="20"/>
        </w:rPr>
      </w:pPr>
      <w:r>
        <w:rPr>
          <w:rFonts w:ascii="times new roman;times" w:hAnsi="times new roman;times"/>
          <w:b/>
          <w:sz w:val="20"/>
        </w:rPr>
        <w:t>UNAUDITED RECONCILIATION OF GAAP MEASURES TO NON-GAAP MEASURES</w:t>
      </w:r>
    </w:p>
    <w:p>
      <w:pPr>
        <w:pStyle w:val="TextBody"/>
        <w:bidi w:val="0"/>
        <w:spacing w:lineRule="auto" w:line="288" w:before="0" w:after="0"/>
        <w:ind w:left="0" w:right="144" w:hanging="0"/>
        <w:jc w:val="center"/>
        <w:rPr>
          <w:rFonts w:ascii="times new roman;times" w:hAnsi="times new roman;times"/>
          <w:sz w:val="20"/>
        </w:rPr>
      </w:pPr>
      <w:r>
        <w:rPr>
          <w:rFonts w:ascii="times new roman;times" w:hAnsi="times new roman;times"/>
          <w:sz w:val="20"/>
        </w:rPr>
        <w:t>(Dollars in thousands, except per share values)</w:t>
      </w:r>
    </w:p>
    <w:p>
      <w:pPr>
        <w:pStyle w:val="TextBody"/>
        <w:bidi w:val="0"/>
        <w:spacing w:lineRule="auto" w:line="288" w:before="0" w:after="0"/>
        <w:ind w:left="0" w:right="294" w:hanging="0"/>
        <w:jc w:val="both"/>
        <w:rPr/>
      </w:pPr>
      <w:r>
        <w:rPr/>
        <w:t> </w:t>
      </w:r>
    </w:p>
    <w:tbl>
      <w:tblPr>
        <w:tblW w:w="5000" w:type="pct"/>
        <w:jc w:val="left"/>
        <w:tblInd w:w="0" w:type="dxa"/>
        <w:tblLayout w:type="fixed"/>
        <w:tblCellMar>
          <w:top w:w="0" w:type="dxa"/>
          <w:left w:w="0" w:type="dxa"/>
          <w:bottom w:w="0" w:type="dxa"/>
          <w:right w:w="0" w:type="dxa"/>
        </w:tblCellMar>
      </w:tblPr>
      <w:tblGrid>
        <w:gridCol w:w="4594"/>
        <w:gridCol w:w="98"/>
        <w:gridCol w:w="170"/>
        <w:gridCol w:w="1078"/>
        <w:gridCol w:w="109"/>
        <w:gridCol w:w="109"/>
        <w:gridCol w:w="170"/>
        <w:gridCol w:w="1078"/>
        <w:gridCol w:w="108"/>
        <w:gridCol w:w="97"/>
        <w:gridCol w:w="153"/>
        <w:gridCol w:w="978"/>
        <w:gridCol w:w="98"/>
        <w:gridCol w:w="98"/>
        <w:gridCol w:w="153"/>
        <w:gridCol w:w="978"/>
        <w:gridCol w:w="136"/>
      </w:tblGrid>
      <w:tr>
        <w:trPr/>
        <w:tc>
          <w:tcPr>
            <w:tcW w:w="4594" w:type="dxa"/>
            <w:tcBorders/>
            <w:vAlign w:val="center"/>
          </w:tcPr>
          <w:p>
            <w:pPr>
              <w:pStyle w:val="TableContents"/>
              <w:pBdr/>
              <w:bidi w:val="0"/>
              <w:spacing w:before="0" w:after="0"/>
              <w:ind w:left="0" w:right="0" w:hanging="0"/>
              <w:jc w:val="left"/>
              <w:rPr/>
            </w:pPr>
            <w:r>
              <w:rPr/>
              <w:t xml:space="preserve">  </w:t>
            </w:r>
          </w:p>
        </w:tc>
        <w:tc>
          <w:tcPr>
            <w:tcW w:w="98" w:type="dxa"/>
            <w:tcBorders/>
            <w:vAlign w:val="center"/>
          </w:tcPr>
          <w:p>
            <w:pPr>
              <w:pStyle w:val="TableContents"/>
              <w:pBdr/>
              <w:bidi w:val="0"/>
              <w:spacing w:before="0" w:after="0"/>
              <w:ind w:left="0" w:right="0" w:hanging="0"/>
              <w:jc w:val="left"/>
              <w:rPr/>
            </w:pPr>
            <w:r>
              <w:rPr/>
              <w:t xml:space="preserve">  </w:t>
            </w:r>
          </w:p>
        </w:tc>
        <w:tc>
          <w:tcPr>
            <w:tcW w:w="2714" w:type="dxa"/>
            <w:gridSpan w:val="6"/>
            <w:tcBorders/>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Three months ended December 31, </w:t>
            </w:r>
          </w:p>
        </w:tc>
        <w:tc>
          <w:tcPr>
            <w:tcW w:w="108" w:type="dxa"/>
            <w:tcBorders/>
            <w:vAlign w:val="center"/>
          </w:tcPr>
          <w:p>
            <w:pPr>
              <w:pStyle w:val="TableContents"/>
              <w:pBdr/>
              <w:bidi w:val="0"/>
              <w:spacing w:before="0" w:after="0"/>
              <w:ind w:left="0" w:right="0" w:hanging="0"/>
              <w:jc w:val="left"/>
              <w:rPr/>
            </w:pPr>
            <w:r>
              <w:rPr/>
              <w:t xml:space="preserve">  </w:t>
            </w:r>
          </w:p>
        </w:tc>
        <w:tc>
          <w:tcPr>
            <w:tcW w:w="97" w:type="dxa"/>
            <w:tcBorders/>
            <w:vAlign w:val="center"/>
          </w:tcPr>
          <w:p>
            <w:pPr>
              <w:pStyle w:val="TableContents"/>
              <w:pBdr/>
              <w:bidi w:val="0"/>
              <w:spacing w:before="0" w:after="0"/>
              <w:ind w:left="0" w:right="0" w:hanging="0"/>
              <w:jc w:val="left"/>
              <w:rPr/>
            </w:pPr>
            <w:r>
              <w:rPr/>
              <w:t xml:space="preserve">  </w:t>
            </w:r>
          </w:p>
        </w:tc>
        <w:tc>
          <w:tcPr>
            <w:tcW w:w="2458" w:type="dxa"/>
            <w:gridSpan w:val="6"/>
            <w:tcBorders/>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Year ended December 31, </w:t>
            </w:r>
          </w:p>
        </w:tc>
        <w:tc>
          <w:tcPr>
            <w:tcW w:w="136" w:type="dxa"/>
            <w:tcBorders/>
            <w:vAlign w:val="center"/>
          </w:tcPr>
          <w:p>
            <w:pPr>
              <w:pStyle w:val="TableContents"/>
              <w:pBdr/>
              <w:bidi w:val="0"/>
              <w:spacing w:before="0" w:after="0"/>
              <w:ind w:left="0" w:right="0" w:hanging="0"/>
              <w:jc w:val="left"/>
              <w:rPr/>
            </w:pPr>
            <w:r>
              <w:rPr/>
              <w:t xml:space="preserve">  </w:t>
            </w:r>
          </w:p>
        </w:tc>
      </w:tr>
      <w:tr>
        <w:trPr/>
        <w:tc>
          <w:tcPr>
            <w:tcW w:w="4594" w:type="dxa"/>
            <w:tcBorders/>
            <w:vAlign w:val="center"/>
          </w:tcPr>
          <w:p>
            <w:pPr>
              <w:pStyle w:val="TableContents"/>
              <w:pBdr/>
              <w:bidi w:val="0"/>
              <w:spacing w:before="0" w:after="0"/>
              <w:ind w:left="0" w:right="0" w:hanging="0"/>
              <w:jc w:val="center"/>
              <w:rPr/>
            </w:pPr>
            <w:r>
              <w:rPr/>
              <w:t xml:space="preserve">  </w:t>
            </w:r>
          </w:p>
        </w:tc>
        <w:tc>
          <w:tcPr>
            <w:tcW w:w="98" w:type="dxa"/>
            <w:tcBorders/>
            <w:vAlign w:val="center"/>
          </w:tcPr>
          <w:p>
            <w:pPr>
              <w:pStyle w:val="TableContents"/>
              <w:pBdr/>
              <w:bidi w:val="0"/>
              <w:spacing w:before="0" w:after="0"/>
              <w:ind w:left="0" w:right="0" w:hanging="0"/>
              <w:jc w:val="left"/>
              <w:rPr/>
            </w:pPr>
            <w:r>
              <w:rPr/>
              <w:t xml:space="preserve">  </w:t>
            </w:r>
          </w:p>
        </w:tc>
        <w:tc>
          <w:tcPr>
            <w:tcW w:w="1248" w:type="dxa"/>
            <w:gridSpan w:val="2"/>
            <w:tcBorders/>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2023 </w:t>
            </w:r>
          </w:p>
        </w:tc>
        <w:tc>
          <w:tcPr>
            <w:tcW w:w="109" w:type="dxa"/>
            <w:tcBorders/>
            <w:vAlign w:val="center"/>
          </w:tcPr>
          <w:p>
            <w:pPr>
              <w:pStyle w:val="TableContents"/>
              <w:pBdr/>
              <w:bidi w:val="0"/>
              <w:spacing w:before="0" w:after="0"/>
              <w:ind w:left="0" w:right="0" w:hanging="0"/>
              <w:jc w:val="left"/>
              <w:rPr/>
            </w:pPr>
            <w:r>
              <w:rPr/>
              <w:t xml:space="preserve">  </w:t>
            </w:r>
          </w:p>
        </w:tc>
        <w:tc>
          <w:tcPr>
            <w:tcW w:w="109" w:type="dxa"/>
            <w:tcBorders/>
            <w:vAlign w:val="center"/>
          </w:tcPr>
          <w:p>
            <w:pPr>
              <w:pStyle w:val="TableContents"/>
              <w:pBdr/>
              <w:bidi w:val="0"/>
              <w:spacing w:before="0" w:after="0"/>
              <w:ind w:left="0" w:right="0" w:hanging="0"/>
              <w:jc w:val="center"/>
              <w:rPr/>
            </w:pPr>
            <w:r>
              <w:rPr/>
              <w:t xml:space="preserve">  </w:t>
            </w:r>
          </w:p>
        </w:tc>
        <w:tc>
          <w:tcPr>
            <w:tcW w:w="1248" w:type="dxa"/>
            <w:gridSpan w:val="2"/>
            <w:tcBorders/>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2022 </w:t>
            </w:r>
          </w:p>
        </w:tc>
        <w:tc>
          <w:tcPr>
            <w:tcW w:w="108" w:type="dxa"/>
            <w:tcBorders/>
            <w:vAlign w:val="center"/>
          </w:tcPr>
          <w:p>
            <w:pPr>
              <w:pStyle w:val="TableContents"/>
              <w:pBdr/>
              <w:bidi w:val="0"/>
              <w:spacing w:before="0" w:after="0"/>
              <w:ind w:left="0" w:right="0" w:hanging="0"/>
              <w:jc w:val="left"/>
              <w:rPr/>
            </w:pPr>
            <w:r>
              <w:rPr/>
              <w:t xml:space="preserve">  </w:t>
            </w:r>
          </w:p>
        </w:tc>
        <w:tc>
          <w:tcPr>
            <w:tcW w:w="97" w:type="dxa"/>
            <w:tcBorders/>
            <w:vAlign w:val="center"/>
          </w:tcPr>
          <w:p>
            <w:pPr>
              <w:pStyle w:val="TableContents"/>
              <w:pBdr/>
              <w:bidi w:val="0"/>
              <w:spacing w:before="0" w:after="0"/>
              <w:ind w:left="0" w:right="0" w:hanging="0"/>
              <w:jc w:val="left"/>
              <w:rPr/>
            </w:pPr>
            <w:r>
              <w:rPr/>
              <w:t xml:space="preserve">  </w:t>
            </w:r>
          </w:p>
        </w:tc>
        <w:tc>
          <w:tcPr>
            <w:tcW w:w="1131" w:type="dxa"/>
            <w:gridSpan w:val="2"/>
            <w:tcBorders/>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2023 </w:t>
            </w:r>
          </w:p>
        </w:tc>
        <w:tc>
          <w:tcPr>
            <w:tcW w:w="98" w:type="dxa"/>
            <w:tcBorders/>
            <w:vAlign w:val="center"/>
          </w:tcPr>
          <w:p>
            <w:pPr>
              <w:pStyle w:val="TableContents"/>
              <w:pBdr/>
              <w:bidi w:val="0"/>
              <w:spacing w:before="0" w:after="0"/>
              <w:ind w:left="0" w:right="0" w:hanging="0"/>
              <w:jc w:val="left"/>
              <w:rPr/>
            </w:pPr>
            <w:r>
              <w:rPr/>
              <w:t xml:space="preserve">  </w:t>
            </w:r>
          </w:p>
        </w:tc>
        <w:tc>
          <w:tcPr>
            <w:tcW w:w="98" w:type="dxa"/>
            <w:tcBorders/>
            <w:vAlign w:val="center"/>
          </w:tcPr>
          <w:p>
            <w:pPr>
              <w:pStyle w:val="TableContents"/>
              <w:pBdr/>
              <w:bidi w:val="0"/>
              <w:spacing w:before="0" w:after="0"/>
              <w:ind w:left="0" w:right="0" w:hanging="0"/>
              <w:jc w:val="left"/>
              <w:rPr/>
            </w:pPr>
            <w:r>
              <w:rPr/>
              <w:t xml:space="preserve">  </w:t>
            </w:r>
          </w:p>
        </w:tc>
        <w:tc>
          <w:tcPr>
            <w:tcW w:w="1131" w:type="dxa"/>
            <w:gridSpan w:val="2"/>
            <w:tcBorders/>
            <w:vAlign w:val="center"/>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2022 </w:t>
            </w:r>
          </w:p>
        </w:tc>
        <w:tc>
          <w:tcPr>
            <w:tcW w:w="136" w:type="dxa"/>
            <w:tcBorders/>
            <w:vAlign w:val="center"/>
          </w:tcPr>
          <w:p>
            <w:pPr>
              <w:pStyle w:val="TableContents"/>
              <w:pBdr/>
              <w:bidi w:val="0"/>
              <w:spacing w:before="0" w:after="0"/>
              <w:ind w:left="0" w:right="0" w:hanging="0"/>
              <w:jc w:val="left"/>
              <w:rPr/>
            </w:pPr>
            <w:r>
              <w:rPr/>
              <w:t xml:space="preserve">  </w:t>
            </w:r>
          </w:p>
        </w:tc>
      </w:tr>
      <w:tr>
        <w:trPr/>
        <w:tc>
          <w:tcPr>
            <w:tcW w:w="4594" w:type="dxa"/>
            <w:tcBorders/>
            <w:shd w:fill="CCEEFF" w:val="clear"/>
            <w:vAlign w:val="center"/>
          </w:tcPr>
          <w:p>
            <w:pPr>
              <w:pStyle w:val="TableContents"/>
              <w:pBdr/>
              <w:bidi w:val="0"/>
              <w:spacing w:before="0" w:after="0"/>
              <w:ind w:left="0" w:right="0" w:hanging="0"/>
              <w:jc w:val="left"/>
              <w:rPr>
                <w:rFonts w:ascii="times new roman;times" w:hAnsi="times new roman;times"/>
                <w:b/>
                <w:sz w:val="20"/>
              </w:rPr>
            </w:pPr>
            <w:r>
              <w:rPr>
                <w:rFonts w:ascii="times new roman;times" w:hAnsi="times new roman;times"/>
                <w:b/>
                <w:sz w:val="20"/>
              </w:rPr>
              <w:t xml:space="preserve">GAAP operating loss </w:t>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170"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(1,739)</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9" w:type="dxa"/>
            <w:tcBorders/>
            <w:shd w:fill="CCEEFF" w:val="clear"/>
            <w:vAlign w:val="center"/>
          </w:tcPr>
          <w:p>
            <w:pPr>
              <w:pStyle w:val="TableContents"/>
              <w:pBdr/>
              <w:bidi w:val="0"/>
              <w:spacing w:before="0" w:after="0"/>
              <w:ind w:left="0" w:right="0" w:hanging="0"/>
              <w:jc w:val="right"/>
              <w:rPr/>
            </w:pPr>
            <w:r>
              <w:rPr/>
              <w:t xml:space="preserve">  </w:t>
            </w:r>
          </w:p>
        </w:tc>
        <w:tc>
          <w:tcPr>
            <w:tcW w:w="170"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(2,590</w:t>
            </w:r>
          </w:p>
        </w:tc>
        <w:tc>
          <w:tcPr>
            <w:tcW w:w="108"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7" w:type="dxa"/>
            <w:tcBorders/>
            <w:shd w:fill="CCEEFF" w:val="clear"/>
            <w:vAlign w:val="center"/>
          </w:tcPr>
          <w:p>
            <w:pPr>
              <w:pStyle w:val="TableContents"/>
              <w:pBdr/>
              <w:bidi w:val="0"/>
              <w:spacing w:before="0" w:after="0"/>
              <w:ind w:left="0" w:right="0" w:hanging="0"/>
              <w:jc w:val="left"/>
              <w:rPr/>
            </w:pPr>
            <w:r>
              <w:rPr/>
              <w:t xml:space="preserve">  </w:t>
            </w:r>
          </w:p>
        </w:tc>
        <w:tc>
          <w:tcPr>
            <w:tcW w:w="153"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(6,772)</w:t>
            </w:r>
          </w:p>
        </w:tc>
        <w:tc>
          <w:tcPr>
            <w:tcW w:w="98"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153"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(7,222</w:t>
            </w:r>
          </w:p>
        </w:tc>
        <w:tc>
          <w:tcPr>
            <w:tcW w:w="136"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r>
      <w:tr>
        <w:trPr/>
        <w:tc>
          <w:tcPr>
            <w:tcW w:w="4594"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Stock-based compensation </w:t>
            </w:r>
          </w:p>
        </w:tc>
        <w:tc>
          <w:tcPr>
            <w:tcW w:w="98" w:type="dxa"/>
            <w:tcBorders/>
            <w:vAlign w:val="center"/>
          </w:tcPr>
          <w:p>
            <w:pPr>
              <w:pStyle w:val="TableContents"/>
              <w:pBdr/>
              <w:bidi w:val="0"/>
              <w:spacing w:before="0" w:after="0"/>
              <w:ind w:left="0" w:right="0" w:hanging="0"/>
              <w:jc w:val="left"/>
              <w:rPr/>
            </w:pPr>
            <w:r>
              <w:rPr/>
              <w:t xml:space="preserve">  </w:t>
            </w:r>
          </w:p>
        </w:tc>
        <w:tc>
          <w:tcPr>
            <w:tcW w:w="170" w:type="dxa"/>
            <w:tcBorders/>
            <w:vAlign w:val="center"/>
          </w:tcPr>
          <w:p>
            <w:pPr>
              <w:pStyle w:val="TableContents"/>
              <w:pBdr/>
              <w:bidi w:val="0"/>
              <w:spacing w:before="0" w:after="0"/>
              <w:ind w:left="0" w:right="0" w:hanging="0"/>
              <w:jc w:val="right"/>
              <w:rPr/>
            </w:pPr>
            <w:r>
              <w:rPr/>
              <w:t xml:space="preserve">  </w:t>
            </w:r>
          </w:p>
        </w:tc>
        <w:tc>
          <w:tcPr>
            <w:tcW w:w="10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28 </w:t>
            </w:r>
          </w:p>
        </w:tc>
        <w:tc>
          <w:tcPr>
            <w:tcW w:w="109" w:type="dxa"/>
            <w:tcBorders/>
            <w:vAlign w:val="center"/>
          </w:tcPr>
          <w:p>
            <w:pPr>
              <w:pStyle w:val="TableContents"/>
              <w:pBdr/>
              <w:bidi w:val="0"/>
              <w:spacing w:before="0" w:after="0"/>
              <w:ind w:left="0" w:right="0" w:hanging="0"/>
              <w:jc w:val="left"/>
              <w:rPr/>
            </w:pPr>
            <w:r>
              <w:rPr/>
              <w:t xml:space="preserve">  </w:t>
            </w:r>
          </w:p>
        </w:tc>
        <w:tc>
          <w:tcPr>
            <w:tcW w:w="109" w:type="dxa"/>
            <w:tcBorders/>
            <w:vAlign w:val="center"/>
          </w:tcPr>
          <w:p>
            <w:pPr>
              <w:pStyle w:val="TableContents"/>
              <w:pBdr/>
              <w:bidi w:val="0"/>
              <w:spacing w:before="0" w:after="0"/>
              <w:ind w:left="0" w:right="0" w:hanging="0"/>
              <w:jc w:val="right"/>
              <w:rPr/>
            </w:pPr>
            <w:r>
              <w:rPr/>
              <w:t xml:space="preserve">  </w:t>
            </w:r>
          </w:p>
        </w:tc>
        <w:tc>
          <w:tcPr>
            <w:tcW w:w="170" w:type="dxa"/>
            <w:tcBorders/>
            <w:vAlign w:val="center"/>
          </w:tcPr>
          <w:p>
            <w:pPr>
              <w:pStyle w:val="TableContents"/>
              <w:pBdr/>
              <w:bidi w:val="0"/>
              <w:spacing w:before="0" w:after="0"/>
              <w:ind w:left="0" w:right="0" w:hanging="0"/>
              <w:jc w:val="right"/>
              <w:rPr/>
            </w:pPr>
            <w:r>
              <w:rPr/>
              <w:t xml:space="preserve">  </w:t>
            </w:r>
          </w:p>
        </w:tc>
        <w:tc>
          <w:tcPr>
            <w:tcW w:w="10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24 </w:t>
            </w:r>
          </w:p>
        </w:tc>
        <w:tc>
          <w:tcPr>
            <w:tcW w:w="108" w:type="dxa"/>
            <w:tcBorders/>
            <w:vAlign w:val="center"/>
          </w:tcPr>
          <w:p>
            <w:pPr>
              <w:pStyle w:val="TableContents"/>
              <w:pBdr/>
              <w:bidi w:val="0"/>
              <w:spacing w:before="0" w:after="0"/>
              <w:ind w:left="0" w:right="0" w:hanging="0"/>
              <w:jc w:val="left"/>
              <w:rPr/>
            </w:pPr>
            <w:r>
              <w:rPr/>
              <w:t xml:space="preserve">  </w:t>
            </w:r>
          </w:p>
        </w:tc>
        <w:tc>
          <w:tcPr>
            <w:tcW w:w="97" w:type="dxa"/>
            <w:tcBorders/>
            <w:vAlign w:val="center"/>
          </w:tcPr>
          <w:p>
            <w:pPr>
              <w:pStyle w:val="TableContents"/>
              <w:pBdr/>
              <w:bidi w:val="0"/>
              <w:spacing w:before="0" w:after="0"/>
              <w:ind w:left="0" w:right="0" w:hanging="0"/>
              <w:jc w:val="left"/>
              <w:rPr/>
            </w:pPr>
            <w:r>
              <w:rPr/>
              <w:t xml:space="preserve">  </w:t>
            </w:r>
          </w:p>
        </w:tc>
        <w:tc>
          <w:tcPr>
            <w:tcW w:w="153" w:type="dxa"/>
            <w:tcBorders/>
            <w:vAlign w:val="center"/>
          </w:tcPr>
          <w:p>
            <w:pPr>
              <w:pStyle w:val="TableContents"/>
              <w:pBdr/>
              <w:bidi w:val="0"/>
              <w:spacing w:before="0" w:after="0"/>
              <w:ind w:left="0" w:right="0" w:hanging="0"/>
              <w:jc w:val="left"/>
              <w:rPr/>
            </w:pPr>
            <w:r>
              <w:rPr/>
              <w:t xml:space="preserve">  </w:t>
            </w:r>
          </w:p>
        </w:tc>
        <w:tc>
          <w:tcPr>
            <w:tcW w:w="9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108 </w:t>
            </w:r>
          </w:p>
        </w:tc>
        <w:tc>
          <w:tcPr>
            <w:tcW w:w="98" w:type="dxa"/>
            <w:tcBorders/>
            <w:vAlign w:val="center"/>
          </w:tcPr>
          <w:p>
            <w:pPr>
              <w:pStyle w:val="TableContents"/>
              <w:pBdr/>
              <w:bidi w:val="0"/>
              <w:spacing w:before="0" w:after="0"/>
              <w:ind w:left="0" w:right="0" w:hanging="0"/>
              <w:jc w:val="left"/>
              <w:rPr/>
            </w:pPr>
            <w:r>
              <w:rPr/>
              <w:t xml:space="preserve">  </w:t>
            </w:r>
          </w:p>
        </w:tc>
        <w:tc>
          <w:tcPr>
            <w:tcW w:w="98" w:type="dxa"/>
            <w:tcBorders/>
            <w:vAlign w:val="center"/>
          </w:tcPr>
          <w:p>
            <w:pPr>
              <w:pStyle w:val="TableContents"/>
              <w:pBdr/>
              <w:bidi w:val="0"/>
              <w:spacing w:before="0" w:after="0"/>
              <w:ind w:left="0" w:right="0" w:hanging="0"/>
              <w:jc w:val="left"/>
              <w:rPr/>
            </w:pPr>
            <w:r>
              <w:rPr/>
              <w:t xml:space="preserve">  </w:t>
            </w:r>
          </w:p>
        </w:tc>
        <w:tc>
          <w:tcPr>
            <w:tcW w:w="153" w:type="dxa"/>
            <w:tcBorders/>
            <w:vAlign w:val="center"/>
          </w:tcPr>
          <w:p>
            <w:pPr>
              <w:pStyle w:val="TableContents"/>
              <w:pBdr/>
              <w:bidi w:val="0"/>
              <w:spacing w:before="0" w:after="0"/>
              <w:ind w:left="0" w:right="0" w:hanging="0"/>
              <w:jc w:val="left"/>
              <w:rPr/>
            </w:pPr>
            <w:r>
              <w:rPr/>
              <w:t xml:space="preserve">  </w:t>
            </w:r>
          </w:p>
        </w:tc>
        <w:tc>
          <w:tcPr>
            <w:tcW w:w="9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113 </w:t>
            </w:r>
          </w:p>
        </w:tc>
        <w:tc>
          <w:tcPr>
            <w:tcW w:w="136" w:type="dxa"/>
            <w:tcBorders/>
            <w:vAlign w:val="center"/>
          </w:tcPr>
          <w:p>
            <w:pPr>
              <w:pStyle w:val="TableContents"/>
              <w:pBdr/>
              <w:bidi w:val="0"/>
              <w:spacing w:before="0" w:after="0"/>
              <w:ind w:left="0" w:right="0" w:hanging="0"/>
              <w:jc w:val="left"/>
              <w:rPr/>
            </w:pPr>
            <w:r>
              <w:rPr/>
              <w:t xml:space="preserve">  </w:t>
            </w:r>
          </w:p>
        </w:tc>
      </w:tr>
      <w:tr>
        <w:trPr/>
        <w:tc>
          <w:tcPr>
            <w:tcW w:w="4594"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Amortization of intangibles </w:t>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170" w:type="dxa"/>
            <w:tcBorders/>
            <w:shd w:fill="CCEEFF" w:val="clear"/>
            <w:vAlign w:val="center"/>
          </w:tcPr>
          <w:p>
            <w:pPr>
              <w:pStyle w:val="TableContents"/>
              <w:pBdr/>
              <w:bidi w:val="0"/>
              <w:spacing w:before="0" w:after="0"/>
              <w:ind w:left="0" w:right="0" w:hanging="0"/>
              <w:jc w:val="right"/>
              <w:rPr/>
            </w:pPr>
            <w:r>
              <w:rPr/>
              <w:t xml:space="preserve">  </w:t>
            </w:r>
          </w:p>
        </w:tc>
        <w:tc>
          <w:tcPr>
            <w:tcW w:w="10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129 </w:t>
            </w:r>
          </w:p>
        </w:tc>
        <w:tc>
          <w:tcPr>
            <w:tcW w:w="109" w:type="dxa"/>
            <w:tcBorders/>
            <w:shd w:fill="CCEEFF" w:val="clear"/>
            <w:vAlign w:val="center"/>
          </w:tcPr>
          <w:p>
            <w:pPr>
              <w:pStyle w:val="TableContents"/>
              <w:pBdr/>
              <w:bidi w:val="0"/>
              <w:spacing w:before="0" w:after="0"/>
              <w:ind w:left="0" w:right="0" w:hanging="0"/>
              <w:jc w:val="left"/>
              <w:rPr/>
            </w:pPr>
            <w:r>
              <w:rPr/>
              <w:t xml:space="preserve">  </w:t>
            </w:r>
          </w:p>
        </w:tc>
        <w:tc>
          <w:tcPr>
            <w:tcW w:w="109" w:type="dxa"/>
            <w:tcBorders/>
            <w:shd w:fill="CCEEFF" w:val="clear"/>
            <w:vAlign w:val="center"/>
          </w:tcPr>
          <w:p>
            <w:pPr>
              <w:pStyle w:val="TableContents"/>
              <w:pBdr/>
              <w:bidi w:val="0"/>
              <w:spacing w:before="0" w:after="0"/>
              <w:ind w:left="0" w:right="0" w:hanging="0"/>
              <w:jc w:val="right"/>
              <w:rPr/>
            </w:pPr>
            <w:r>
              <w:rPr/>
              <w:t xml:space="preserve">  </w:t>
            </w:r>
          </w:p>
        </w:tc>
        <w:tc>
          <w:tcPr>
            <w:tcW w:w="170" w:type="dxa"/>
            <w:tcBorders/>
            <w:shd w:fill="CCEEFF" w:val="clear"/>
            <w:vAlign w:val="center"/>
          </w:tcPr>
          <w:p>
            <w:pPr>
              <w:pStyle w:val="TableContents"/>
              <w:pBdr/>
              <w:bidi w:val="0"/>
              <w:spacing w:before="0" w:after="0"/>
              <w:ind w:left="0" w:right="0" w:hanging="0"/>
              <w:jc w:val="right"/>
              <w:rPr/>
            </w:pPr>
            <w:r>
              <w:rPr/>
              <w:t xml:space="preserve">  </w:t>
            </w:r>
          </w:p>
        </w:tc>
        <w:tc>
          <w:tcPr>
            <w:tcW w:w="10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474 </w:t>
            </w:r>
          </w:p>
        </w:tc>
        <w:tc>
          <w:tcPr>
            <w:tcW w:w="108" w:type="dxa"/>
            <w:tcBorders/>
            <w:shd w:fill="CCEEFF" w:val="clear"/>
            <w:vAlign w:val="center"/>
          </w:tcPr>
          <w:p>
            <w:pPr>
              <w:pStyle w:val="TableContents"/>
              <w:pBdr/>
              <w:bidi w:val="0"/>
              <w:spacing w:before="0" w:after="0"/>
              <w:ind w:left="0" w:right="0" w:hanging="0"/>
              <w:jc w:val="left"/>
              <w:rPr/>
            </w:pPr>
            <w:r>
              <w:rPr/>
              <w:t xml:space="preserve">  </w:t>
            </w:r>
          </w:p>
        </w:tc>
        <w:tc>
          <w:tcPr>
            <w:tcW w:w="97" w:type="dxa"/>
            <w:tcBorders/>
            <w:shd w:fill="CCEEFF" w:val="clear"/>
            <w:vAlign w:val="center"/>
          </w:tcPr>
          <w:p>
            <w:pPr>
              <w:pStyle w:val="TableContents"/>
              <w:pBdr/>
              <w:bidi w:val="0"/>
              <w:spacing w:before="0" w:after="0"/>
              <w:ind w:left="0" w:right="0" w:hanging="0"/>
              <w:jc w:val="left"/>
              <w:rPr/>
            </w:pPr>
            <w:r>
              <w:rPr/>
              <w:t xml:space="preserve">  </w:t>
            </w:r>
          </w:p>
        </w:tc>
        <w:tc>
          <w:tcPr>
            <w:tcW w:w="153" w:type="dxa"/>
            <w:tcBorders/>
            <w:shd w:fill="CCEEFF" w:val="clear"/>
            <w:vAlign w:val="center"/>
          </w:tcPr>
          <w:p>
            <w:pPr>
              <w:pStyle w:val="TableContents"/>
              <w:pBdr/>
              <w:bidi w:val="0"/>
              <w:spacing w:before="0" w:after="0"/>
              <w:ind w:left="0" w:right="0" w:hanging="0"/>
              <w:jc w:val="left"/>
              <w:rPr/>
            </w:pPr>
            <w:r>
              <w:rPr/>
              <w:t xml:space="preserve">  </w:t>
            </w:r>
          </w:p>
        </w:tc>
        <w:tc>
          <w:tcPr>
            <w:tcW w:w="9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517 </w:t>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153" w:type="dxa"/>
            <w:tcBorders/>
            <w:shd w:fill="CCEEFF" w:val="clear"/>
            <w:vAlign w:val="center"/>
          </w:tcPr>
          <w:p>
            <w:pPr>
              <w:pStyle w:val="TableContents"/>
              <w:pBdr/>
              <w:bidi w:val="0"/>
              <w:spacing w:before="0" w:after="0"/>
              <w:ind w:left="0" w:right="0" w:hanging="0"/>
              <w:jc w:val="left"/>
              <w:rPr/>
            </w:pPr>
            <w:r>
              <w:rPr/>
              <w:t xml:space="preserve">  </w:t>
            </w:r>
          </w:p>
        </w:tc>
        <w:tc>
          <w:tcPr>
            <w:tcW w:w="9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2,512 </w:t>
            </w:r>
          </w:p>
        </w:tc>
        <w:tc>
          <w:tcPr>
            <w:tcW w:w="136" w:type="dxa"/>
            <w:tcBorders/>
            <w:shd w:fill="CCEEFF" w:val="clear"/>
            <w:vAlign w:val="center"/>
          </w:tcPr>
          <w:p>
            <w:pPr>
              <w:pStyle w:val="TableContents"/>
              <w:pBdr/>
              <w:bidi w:val="0"/>
              <w:spacing w:before="0" w:after="0"/>
              <w:ind w:left="0" w:right="0" w:hanging="0"/>
              <w:jc w:val="left"/>
              <w:rPr/>
            </w:pPr>
            <w:r>
              <w:rPr/>
              <w:t xml:space="preserve">  </w:t>
            </w:r>
          </w:p>
        </w:tc>
      </w:tr>
      <w:tr>
        <w:trPr/>
        <w:tc>
          <w:tcPr>
            <w:tcW w:w="4594" w:type="dxa"/>
            <w:tcBorders/>
            <w:vAlign w:val="center"/>
          </w:tcPr>
          <w:p>
            <w:pPr>
              <w:pStyle w:val="TableContents"/>
              <w:pBdr/>
              <w:bidi w:val="0"/>
              <w:spacing w:before="0" w:after="0"/>
              <w:ind w:left="0" w:right="0" w:hanging="0"/>
              <w:jc w:val="left"/>
              <w:rPr>
                <w:rFonts w:ascii="times new roman;times" w:hAnsi="times new roman;times"/>
                <w:b/>
                <w:sz w:val="20"/>
              </w:rPr>
            </w:pPr>
            <w:r>
              <w:rPr>
                <w:rFonts w:ascii="times new roman;times" w:hAnsi="times new roman;times"/>
                <w:b/>
                <w:sz w:val="20"/>
              </w:rPr>
              <w:t xml:space="preserve">Non-GAAP operating loss </w:t>
            </w:r>
          </w:p>
        </w:tc>
        <w:tc>
          <w:tcPr>
            <w:tcW w:w="98" w:type="dxa"/>
            <w:tcBorders/>
            <w:vAlign w:val="center"/>
          </w:tcPr>
          <w:p>
            <w:pPr>
              <w:pStyle w:val="TableContents"/>
              <w:pBdr/>
              <w:bidi w:val="0"/>
              <w:spacing w:before="0" w:after="0"/>
              <w:ind w:left="0" w:right="0" w:hanging="0"/>
              <w:jc w:val="left"/>
              <w:rPr/>
            </w:pPr>
            <w:r>
              <w:rPr/>
              <w:t xml:space="preserve">  </w:t>
            </w:r>
          </w:p>
        </w:tc>
        <w:tc>
          <w:tcPr>
            <w:tcW w:w="170"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(1,582)</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pBdr/>
              <w:bidi w:val="0"/>
              <w:spacing w:before="0" w:after="0"/>
              <w:ind w:left="0" w:right="0" w:hanging="0"/>
              <w:jc w:val="right"/>
              <w:rPr/>
            </w:pPr>
            <w:r>
              <w:rPr/>
              <w:t xml:space="preserve">  </w:t>
            </w:r>
          </w:p>
        </w:tc>
        <w:tc>
          <w:tcPr>
            <w:tcW w:w="170"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(2,092</w:t>
            </w:r>
          </w:p>
        </w:tc>
        <w:tc>
          <w:tcPr>
            <w:tcW w:w="10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7" w:type="dxa"/>
            <w:tcBorders/>
            <w:vAlign w:val="center"/>
          </w:tcPr>
          <w:p>
            <w:pPr>
              <w:pStyle w:val="TableContents"/>
              <w:pBdr/>
              <w:bidi w:val="0"/>
              <w:spacing w:before="0" w:after="0"/>
              <w:ind w:left="0" w:right="0" w:hanging="0"/>
              <w:jc w:val="left"/>
              <w:rPr/>
            </w:pPr>
            <w:r>
              <w:rPr/>
              <w:t xml:space="preserve">  </w:t>
            </w:r>
          </w:p>
        </w:tc>
        <w:tc>
          <w:tcPr>
            <w:tcW w:w="153"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(6,147)</w:t>
            </w:r>
          </w:p>
        </w:tc>
        <w:tc>
          <w:tcPr>
            <w:tcW w:w="98" w:type="dxa"/>
            <w:tcBorders/>
            <w:vAlign w:val="center"/>
          </w:tcPr>
          <w:p>
            <w:pPr>
              <w:pStyle w:val="TableContents"/>
              <w:bidi w:val="0"/>
              <w:spacing w:before="0" w:after="283"/>
              <w:ind w:left="0" w:right="0" w:hanging="0"/>
              <w:jc w:val="left"/>
              <w:rPr>
                <w:sz w:val="4"/>
                <w:szCs w:val="4"/>
              </w:rPr>
            </w:pPr>
            <w:r>
              <w:rPr>
                <w:sz w:val="4"/>
                <w:szCs w:val="4"/>
              </w:rPr>
            </w:r>
          </w:p>
        </w:tc>
        <w:tc>
          <w:tcPr>
            <w:tcW w:w="98" w:type="dxa"/>
            <w:tcBorders/>
            <w:vAlign w:val="center"/>
          </w:tcPr>
          <w:p>
            <w:pPr>
              <w:pStyle w:val="TableContents"/>
              <w:pBdr/>
              <w:bidi w:val="0"/>
              <w:spacing w:before="0" w:after="0"/>
              <w:ind w:left="0" w:right="0" w:hanging="0"/>
              <w:jc w:val="left"/>
              <w:rPr/>
            </w:pPr>
            <w:r>
              <w:rPr/>
              <w:t xml:space="preserve">  </w:t>
            </w:r>
          </w:p>
        </w:tc>
        <w:tc>
          <w:tcPr>
            <w:tcW w:w="153"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(4,597</w:t>
            </w:r>
          </w:p>
        </w:tc>
        <w:tc>
          <w:tcPr>
            <w:tcW w:w="136"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r>
      <w:tr>
        <w:trPr/>
        <w:tc>
          <w:tcPr>
            <w:tcW w:w="4594" w:type="dxa"/>
            <w:tcBorders/>
            <w:shd w:fill="CCEEFF" w:val="clear"/>
            <w:vAlign w:val="center"/>
          </w:tcPr>
          <w:p>
            <w:pPr>
              <w:pStyle w:val="TableContents"/>
              <w:pBdr/>
              <w:bidi w:val="0"/>
              <w:spacing w:before="0" w:after="0"/>
              <w:ind w:left="0" w:right="0" w:hanging="0"/>
              <w:jc w:val="right"/>
              <w:rPr/>
            </w:pPr>
            <w:r>
              <w:rPr/>
              <w:t xml:space="preserve">  </w:t>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170" w:type="dxa"/>
            <w:tcBorders/>
            <w:shd w:fill="CCEEFF" w:val="clear"/>
            <w:vAlign w:val="center"/>
          </w:tcPr>
          <w:p>
            <w:pPr>
              <w:pStyle w:val="TableContents"/>
              <w:pBdr/>
              <w:bidi w:val="0"/>
              <w:spacing w:before="0" w:after="0"/>
              <w:ind w:left="0" w:right="0" w:hanging="0"/>
              <w:jc w:val="right"/>
              <w:rPr/>
            </w:pPr>
            <w:r>
              <w:rPr/>
              <w:t xml:space="preserve">  </w:t>
            </w:r>
          </w:p>
        </w:tc>
        <w:tc>
          <w:tcPr>
            <w:tcW w:w="1078" w:type="dxa"/>
            <w:tcBorders/>
            <w:shd w:fill="CCEEFF" w:val="clear"/>
            <w:vAlign w:val="center"/>
          </w:tcPr>
          <w:p>
            <w:pPr>
              <w:pStyle w:val="TableContents"/>
              <w:pBdr/>
              <w:bidi w:val="0"/>
              <w:spacing w:before="0" w:after="0"/>
              <w:ind w:left="0" w:right="0" w:hanging="0"/>
              <w:jc w:val="right"/>
              <w:rPr/>
            </w:pPr>
            <w:r>
              <w:rPr/>
              <w:t xml:space="preserve">  </w:t>
            </w:r>
          </w:p>
        </w:tc>
        <w:tc>
          <w:tcPr>
            <w:tcW w:w="109" w:type="dxa"/>
            <w:tcBorders/>
            <w:shd w:fill="CCEEFF" w:val="clear"/>
            <w:vAlign w:val="center"/>
          </w:tcPr>
          <w:p>
            <w:pPr>
              <w:pStyle w:val="TableContents"/>
              <w:pBdr/>
              <w:bidi w:val="0"/>
              <w:spacing w:before="0" w:after="0"/>
              <w:ind w:left="0" w:right="0" w:hanging="0"/>
              <w:jc w:val="left"/>
              <w:rPr/>
            </w:pPr>
            <w:r>
              <w:rPr/>
              <w:t xml:space="preserve">  </w:t>
            </w:r>
          </w:p>
        </w:tc>
        <w:tc>
          <w:tcPr>
            <w:tcW w:w="109" w:type="dxa"/>
            <w:tcBorders/>
            <w:shd w:fill="CCEEFF" w:val="clear"/>
            <w:vAlign w:val="center"/>
          </w:tcPr>
          <w:p>
            <w:pPr>
              <w:pStyle w:val="TableContents"/>
              <w:pBdr/>
              <w:bidi w:val="0"/>
              <w:spacing w:before="0" w:after="0"/>
              <w:ind w:left="0" w:right="0" w:hanging="0"/>
              <w:jc w:val="right"/>
              <w:rPr/>
            </w:pPr>
            <w:r>
              <w:rPr/>
              <w:t xml:space="preserve">  </w:t>
            </w:r>
          </w:p>
        </w:tc>
        <w:tc>
          <w:tcPr>
            <w:tcW w:w="170" w:type="dxa"/>
            <w:tcBorders/>
            <w:shd w:fill="CCEEFF" w:val="clear"/>
            <w:vAlign w:val="center"/>
          </w:tcPr>
          <w:p>
            <w:pPr>
              <w:pStyle w:val="TableContents"/>
              <w:pBdr/>
              <w:bidi w:val="0"/>
              <w:spacing w:before="0" w:after="0"/>
              <w:ind w:left="0" w:right="0" w:hanging="0"/>
              <w:jc w:val="right"/>
              <w:rPr/>
            </w:pPr>
            <w:r>
              <w:rPr/>
              <w:t xml:space="preserve">  </w:t>
            </w:r>
          </w:p>
        </w:tc>
        <w:tc>
          <w:tcPr>
            <w:tcW w:w="1078" w:type="dxa"/>
            <w:tcBorders/>
            <w:shd w:fill="CCEEFF" w:val="clear"/>
            <w:vAlign w:val="center"/>
          </w:tcPr>
          <w:p>
            <w:pPr>
              <w:pStyle w:val="TableContents"/>
              <w:pBdr/>
              <w:bidi w:val="0"/>
              <w:spacing w:before="0" w:after="0"/>
              <w:ind w:left="0" w:right="0" w:hanging="0"/>
              <w:jc w:val="right"/>
              <w:rPr/>
            </w:pPr>
            <w:r>
              <w:rPr/>
              <w:t xml:space="preserve">  </w:t>
            </w:r>
          </w:p>
        </w:tc>
        <w:tc>
          <w:tcPr>
            <w:tcW w:w="108" w:type="dxa"/>
            <w:tcBorders/>
            <w:shd w:fill="CCEEFF" w:val="clear"/>
            <w:vAlign w:val="center"/>
          </w:tcPr>
          <w:p>
            <w:pPr>
              <w:pStyle w:val="TableContents"/>
              <w:pBdr/>
              <w:bidi w:val="0"/>
              <w:spacing w:before="0" w:after="0"/>
              <w:ind w:left="0" w:right="0" w:hanging="0"/>
              <w:jc w:val="left"/>
              <w:rPr/>
            </w:pPr>
            <w:r>
              <w:rPr/>
              <w:t xml:space="preserve">  </w:t>
            </w:r>
          </w:p>
        </w:tc>
        <w:tc>
          <w:tcPr>
            <w:tcW w:w="97" w:type="dxa"/>
            <w:tcBorders/>
            <w:shd w:fill="CCEEFF" w:val="clear"/>
            <w:vAlign w:val="center"/>
          </w:tcPr>
          <w:p>
            <w:pPr>
              <w:pStyle w:val="TableContents"/>
              <w:pBdr/>
              <w:bidi w:val="0"/>
              <w:spacing w:before="0" w:after="0"/>
              <w:ind w:left="0" w:right="0" w:hanging="0"/>
              <w:jc w:val="left"/>
              <w:rPr/>
            </w:pPr>
            <w:r>
              <w:rPr/>
              <w:t xml:space="preserve">  </w:t>
            </w:r>
          </w:p>
        </w:tc>
        <w:tc>
          <w:tcPr>
            <w:tcW w:w="153" w:type="dxa"/>
            <w:tcBorders/>
            <w:shd w:fill="CCEEFF" w:val="clear"/>
            <w:vAlign w:val="center"/>
          </w:tcPr>
          <w:p>
            <w:pPr>
              <w:pStyle w:val="TableContents"/>
              <w:pBdr/>
              <w:bidi w:val="0"/>
              <w:spacing w:before="0" w:after="0"/>
              <w:ind w:left="0" w:right="0" w:hanging="0"/>
              <w:jc w:val="left"/>
              <w:rPr/>
            </w:pPr>
            <w:r>
              <w:rPr/>
              <w:t xml:space="preserve">  </w:t>
            </w:r>
          </w:p>
        </w:tc>
        <w:tc>
          <w:tcPr>
            <w:tcW w:w="978" w:type="dxa"/>
            <w:tcBorders/>
            <w:shd w:fill="CCEEFF" w:val="clear"/>
            <w:vAlign w:val="center"/>
          </w:tcPr>
          <w:p>
            <w:pPr>
              <w:pStyle w:val="TableContents"/>
              <w:pBdr/>
              <w:bidi w:val="0"/>
              <w:spacing w:before="0" w:after="0"/>
              <w:ind w:left="0" w:right="0" w:hanging="0"/>
              <w:jc w:val="right"/>
              <w:rPr/>
            </w:pPr>
            <w:r>
              <w:rPr/>
              <w:t xml:space="preserve">  </w:t>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153" w:type="dxa"/>
            <w:tcBorders/>
            <w:shd w:fill="CCEEFF" w:val="clear"/>
            <w:vAlign w:val="center"/>
          </w:tcPr>
          <w:p>
            <w:pPr>
              <w:pStyle w:val="TableContents"/>
              <w:pBdr/>
              <w:bidi w:val="0"/>
              <w:spacing w:before="0" w:after="0"/>
              <w:ind w:left="0" w:right="0" w:hanging="0"/>
              <w:jc w:val="left"/>
              <w:rPr/>
            </w:pPr>
            <w:r>
              <w:rPr/>
              <w:t xml:space="preserve">  </w:t>
            </w:r>
          </w:p>
        </w:tc>
        <w:tc>
          <w:tcPr>
            <w:tcW w:w="978" w:type="dxa"/>
            <w:tcBorders/>
            <w:shd w:fill="CCEEFF" w:val="clear"/>
            <w:vAlign w:val="center"/>
          </w:tcPr>
          <w:p>
            <w:pPr>
              <w:pStyle w:val="TableContents"/>
              <w:pBdr/>
              <w:bidi w:val="0"/>
              <w:spacing w:before="0" w:after="0"/>
              <w:ind w:left="0" w:right="0" w:hanging="0"/>
              <w:jc w:val="right"/>
              <w:rPr/>
            </w:pPr>
            <w:r>
              <w:rPr/>
              <w:t xml:space="preserve">  </w:t>
            </w:r>
          </w:p>
        </w:tc>
        <w:tc>
          <w:tcPr>
            <w:tcW w:w="136" w:type="dxa"/>
            <w:tcBorders/>
            <w:shd w:fill="CCEEFF" w:val="clear"/>
            <w:vAlign w:val="center"/>
          </w:tcPr>
          <w:p>
            <w:pPr>
              <w:pStyle w:val="TableContents"/>
              <w:pBdr/>
              <w:bidi w:val="0"/>
              <w:spacing w:before="0" w:after="0"/>
              <w:ind w:left="0" w:right="0" w:hanging="0"/>
              <w:jc w:val="left"/>
              <w:rPr/>
            </w:pPr>
            <w:r>
              <w:rPr/>
              <w:t xml:space="preserve">  </w:t>
            </w:r>
          </w:p>
        </w:tc>
      </w:tr>
      <w:tr>
        <w:trPr/>
        <w:tc>
          <w:tcPr>
            <w:tcW w:w="4594" w:type="dxa"/>
            <w:tcBorders/>
            <w:vAlign w:val="center"/>
          </w:tcPr>
          <w:p>
            <w:pPr>
              <w:pStyle w:val="TableContents"/>
              <w:pBdr/>
              <w:bidi w:val="0"/>
              <w:spacing w:before="0" w:after="0"/>
              <w:ind w:left="0" w:right="0" w:hanging="0"/>
              <w:jc w:val="left"/>
              <w:rPr>
                <w:rFonts w:ascii="times new roman;times" w:hAnsi="times new roman;times"/>
                <w:b/>
                <w:sz w:val="20"/>
              </w:rPr>
            </w:pPr>
            <w:r>
              <w:rPr>
                <w:rFonts w:ascii="times new roman;times" w:hAnsi="times new roman;times"/>
                <w:b/>
                <w:sz w:val="20"/>
              </w:rPr>
              <w:t>GAAP net income (loss)</w:t>
            </w:r>
          </w:p>
        </w:tc>
        <w:tc>
          <w:tcPr>
            <w:tcW w:w="98" w:type="dxa"/>
            <w:tcBorders/>
            <w:vAlign w:val="center"/>
          </w:tcPr>
          <w:p>
            <w:pPr>
              <w:pStyle w:val="TableContents"/>
              <w:pBdr/>
              <w:bidi w:val="0"/>
              <w:spacing w:before="0" w:after="0"/>
              <w:ind w:left="0" w:right="0" w:hanging="0"/>
              <w:jc w:val="left"/>
              <w:rPr/>
            </w:pPr>
            <w:r>
              <w:rPr/>
              <w:t xml:space="preserve">  </w:t>
            </w:r>
          </w:p>
        </w:tc>
        <w:tc>
          <w:tcPr>
            <w:tcW w:w="170"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2,642</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pBdr/>
              <w:bidi w:val="0"/>
              <w:spacing w:before="0" w:after="0"/>
              <w:ind w:left="0" w:right="0" w:hanging="0"/>
              <w:jc w:val="right"/>
              <w:rPr/>
            </w:pPr>
            <w:r>
              <w:rPr/>
              <w:t xml:space="preserve">  </w:t>
            </w:r>
          </w:p>
        </w:tc>
        <w:tc>
          <w:tcPr>
            <w:tcW w:w="170"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24,028</w:t>
            </w:r>
          </w:p>
        </w:tc>
        <w:tc>
          <w:tcPr>
            <w:tcW w:w="108" w:type="dxa"/>
            <w:tcBorders/>
            <w:vAlign w:val="center"/>
          </w:tcPr>
          <w:p>
            <w:pPr>
              <w:pStyle w:val="TableContents"/>
              <w:bidi w:val="0"/>
              <w:spacing w:before="0" w:after="283"/>
              <w:ind w:left="0" w:right="0" w:hanging="0"/>
              <w:jc w:val="left"/>
              <w:rPr>
                <w:sz w:val="4"/>
                <w:szCs w:val="4"/>
              </w:rPr>
            </w:pPr>
            <w:r>
              <w:rPr>
                <w:sz w:val="4"/>
                <w:szCs w:val="4"/>
              </w:rPr>
            </w:r>
          </w:p>
        </w:tc>
        <w:tc>
          <w:tcPr>
            <w:tcW w:w="97" w:type="dxa"/>
            <w:tcBorders/>
            <w:vAlign w:val="center"/>
          </w:tcPr>
          <w:p>
            <w:pPr>
              <w:pStyle w:val="TableContents"/>
              <w:pBdr/>
              <w:bidi w:val="0"/>
              <w:spacing w:before="0" w:after="0"/>
              <w:ind w:left="0" w:right="0" w:hanging="0"/>
              <w:jc w:val="left"/>
              <w:rPr/>
            </w:pPr>
            <w:r>
              <w:rPr/>
              <w:t xml:space="preserve">  </w:t>
            </w:r>
          </w:p>
        </w:tc>
        <w:tc>
          <w:tcPr>
            <w:tcW w:w="153"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(560)</w:t>
            </w:r>
          </w:p>
        </w:tc>
        <w:tc>
          <w:tcPr>
            <w:tcW w:w="98" w:type="dxa"/>
            <w:tcBorders/>
            <w:vAlign w:val="center"/>
          </w:tcPr>
          <w:p>
            <w:pPr>
              <w:pStyle w:val="TableContents"/>
              <w:bidi w:val="0"/>
              <w:spacing w:before="0" w:after="283"/>
              <w:ind w:left="0" w:right="0" w:hanging="0"/>
              <w:jc w:val="left"/>
              <w:rPr>
                <w:sz w:val="4"/>
                <w:szCs w:val="4"/>
              </w:rPr>
            </w:pPr>
            <w:r>
              <w:rPr>
                <w:sz w:val="4"/>
                <w:szCs w:val="4"/>
              </w:rPr>
            </w:r>
          </w:p>
        </w:tc>
        <w:tc>
          <w:tcPr>
            <w:tcW w:w="98" w:type="dxa"/>
            <w:tcBorders/>
            <w:vAlign w:val="center"/>
          </w:tcPr>
          <w:p>
            <w:pPr>
              <w:pStyle w:val="TableContents"/>
              <w:pBdr/>
              <w:bidi w:val="0"/>
              <w:spacing w:before="0" w:after="0"/>
              <w:ind w:left="0" w:right="0" w:hanging="0"/>
              <w:jc w:val="left"/>
              <w:rPr/>
            </w:pPr>
            <w:r>
              <w:rPr/>
              <w:t xml:space="preserve">  </w:t>
            </w:r>
          </w:p>
        </w:tc>
        <w:tc>
          <w:tcPr>
            <w:tcW w:w="153"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20,556</w:t>
            </w:r>
          </w:p>
        </w:tc>
        <w:tc>
          <w:tcPr>
            <w:tcW w:w="136" w:type="dxa"/>
            <w:tcBorders/>
            <w:vAlign w:val="center"/>
          </w:tcPr>
          <w:p>
            <w:pPr>
              <w:pStyle w:val="TableContents"/>
              <w:bidi w:val="0"/>
              <w:spacing w:before="0" w:after="283"/>
              <w:ind w:left="0" w:right="0" w:hanging="0"/>
              <w:jc w:val="left"/>
              <w:rPr>
                <w:sz w:val="4"/>
                <w:szCs w:val="4"/>
              </w:rPr>
            </w:pPr>
            <w:r>
              <w:rPr>
                <w:sz w:val="4"/>
                <w:szCs w:val="4"/>
              </w:rPr>
            </w:r>
          </w:p>
        </w:tc>
      </w:tr>
      <w:tr>
        <w:trPr/>
        <w:tc>
          <w:tcPr>
            <w:tcW w:w="4594"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Stock-based compensation </w:t>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170" w:type="dxa"/>
            <w:tcBorders/>
            <w:shd w:fill="CCEEFF" w:val="clear"/>
            <w:vAlign w:val="center"/>
          </w:tcPr>
          <w:p>
            <w:pPr>
              <w:pStyle w:val="TableContents"/>
              <w:pBdr/>
              <w:bidi w:val="0"/>
              <w:spacing w:before="0" w:after="0"/>
              <w:ind w:left="0" w:right="0" w:hanging="0"/>
              <w:jc w:val="right"/>
              <w:rPr/>
            </w:pPr>
            <w:r>
              <w:rPr/>
              <w:t xml:space="preserve">  </w:t>
            </w:r>
          </w:p>
        </w:tc>
        <w:tc>
          <w:tcPr>
            <w:tcW w:w="10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28 </w:t>
            </w:r>
          </w:p>
        </w:tc>
        <w:tc>
          <w:tcPr>
            <w:tcW w:w="109" w:type="dxa"/>
            <w:tcBorders/>
            <w:shd w:fill="CCEEFF" w:val="clear"/>
            <w:vAlign w:val="center"/>
          </w:tcPr>
          <w:p>
            <w:pPr>
              <w:pStyle w:val="TableContents"/>
              <w:pBdr/>
              <w:bidi w:val="0"/>
              <w:spacing w:before="0" w:after="0"/>
              <w:ind w:left="0" w:right="0" w:hanging="0"/>
              <w:jc w:val="left"/>
              <w:rPr/>
            </w:pPr>
            <w:r>
              <w:rPr/>
              <w:t xml:space="preserve">  </w:t>
            </w:r>
          </w:p>
        </w:tc>
        <w:tc>
          <w:tcPr>
            <w:tcW w:w="109" w:type="dxa"/>
            <w:tcBorders/>
            <w:shd w:fill="CCEEFF" w:val="clear"/>
            <w:vAlign w:val="center"/>
          </w:tcPr>
          <w:p>
            <w:pPr>
              <w:pStyle w:val="TableContents"/>
              <w:pBdr/>
              <w:bidi w:val="0"/>
              <w:spacing w:before="0" w:after="0"/>
              <w:ind w:left="0" w:right="0" w:hanging="0"/>
              <w:jc w:val="right"/>
              <w:rPr/>
            </w:pPr>
            <w:r>
              <w:rPr/>
              <w:t xml:space="preserve">  </w:t>
            </w:r>
          </w:p>
        </w:tc>
        <w:tc>
          <w:tcPr>
            <w:tcW w:w="170" w:type="dxa"/>
            <w:tcBorders/>
            <w:shd w:fill="CCEEFF" w:val="clear"/>
            <w:vAlign w:val="center"/>
          </w:tcPr>
          <w:p>
            <w:pPr>
              <w:pStyle w:val="TableContents"/>
              <w:pBdr/>
              <w:bidi w:val="0"/>
              <w:spacing w:before="0" w:after="0"/>
              <w:ind w:left="0" w:right="0" w:hanging="0"/>
              <w:jc w:val="right"/>
              <w:rPr/>
            </w:pPr>
            <w:r>
              <w:rPr/>
              <w:t xml:space="preserve">  </w:t>
            </w:r>
          </w:p>
        </w:tc>
        <w:tc>
          <w:tcPr>
            <w:tcW w:w="10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24 </w:t>
            </w:r>
          </w:p>
        </w:tc>
        <w:tc>
          <w:tcPr>
            <w:tcW w:w="108" w:type="dxa"/>
            <w:tcBorders/>
            <w:shd w:fill="CCEEFF" w:val="clear"/>
            <w:vAlign w:val="center"/>
          </w:tcPr>
          <w:p>
            <w:pPr>
              <w:pStyle w:val="TableContents"/>
              <w:pBdr/>
              <w:bidi w:val="0"/>
              <w:spacing w:before="0" w:after="0"/>
              <w:ind w:left="0" w:right="0" w:hanging="0"/>
              <w:jc w:val="left"/>
              <w:rPr/>
            </w:pPr>
            <w:r>
              <w:rPr/>
              <w:t xml:space="preserve">  </w:t>
            </w:r>
          </w:p>
        </w:tc>
        <w:tc>
          <w:tcPr>
            <w:tcW w:w="97" w:type="dxa"/>
            <w:tcBorders/>
            <w:shd w:fill="CCEEFF" w:val="clear"/>
            <w:vAlign w:val="center"/>
          </w:tcPr>
          <w:p>
            <w:pPr>
              <w:pStyle w:val="TableContents"/>
              <w:pBdr/>
              <w:bidi w:val="0"/>
              <w:spacing w:before="0" w:after="0"/>
              <w:ind w:left="0" w:right="0" w:hanging="0"/>
              <w:jc w:val="left"/>
              <w:rPr/>
            </w:pPr>
            <w:r>
              <w:rPr/>
              <w:t xml:space="preserve">  </w:t>
            </w:r>
          </w:p>
        </w:tc>
        <w:tc>
          <w:tcPr>
            <w:tcW w:w="153" w:type="dxa"/>
            <w:tcBorders/>
            <w:shd w:fill="CCEEFF" w:val="clear"/>
            <w:vAlign w:val="center"/>
          </w:tcPr>
          <w:p>
            <w:pPr>
              <w:pStyle w:val="TableContents"/>
              <w:pBdr/>
              <w:bidi w:val="0"/>
              <w:spacing w:before="0" w:after="0"/>
              <w:ind w:left="0" w:right="0" w:hanging="0"/>
              <w:jc w:val="left"/>
              <w:rPr/>
            </w:pPr>
            <w:r>
              <w:rPr/>
              <w:t xml:space="preserve">  </w:t>
            </w:r>
          </w:p>
        </w:tc>
        <w:tc>
          <w:tcPr>
            <w:tcW w:w="9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108 </w:t>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153" w:type="dxa"/>
            <w:tcBorders/>
            <w:shd w:fill="CCEEFF" w:val="clear"/>
            <w:vAlign w:val="center"/>
          </w:tcPr>
          <w:p>
            <w:pPr>
              <w:pStyle w:val="TableContents"/>
              <w:pBdr/>
              <w:bidi w:val="0"/>
              <w:spacing w:before="0" w:after="0"/>
              <w:ind w:left="0" w:right="0" w:hanging="0"/>
              <w:jc w:val="left"/>
              <w:rPr/>
            </w:pPr>
            <w:r>
              <w:rPr/>
              <w:t xml:space="preserve">  </w:t>
            </w:r>
          </w:p>
        </w:tc>
        <w:tc>
          <w:tcPr>
            <w:tcW w:w="9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113 </w:t>
            </w:r>
          </w:p>
        </w:tc>
        <w:tc>
          <w:tcPr>
            <w:tcW w:w="136" w:type="dxa"/>
            <w:tcBorders/>
            <w:shd w:fill="CCEEFF" w:val="clear"/>
            <w:vAlign w:val="center"/>
          </w:tcPr>
          <w:p>
            <w:pPr>
              <w:pStyle w:val="TableContents"/>
              <w:pBdr/>
              <w:bidi w:val="0"/>
              <w:spacing w:before="0" w:after="0"/>
              <w:ind w:left="0" w:right="0" w:hanging="0"/>
              <w:jc w:val="left"/>
              <w:rPr/>
            </w:pPr>
            <w:r>
              <w:rPr/>
              <w:t xml:space="preserve">  </w:t>
            </w:r>
          </w:p>
        </w:tc>
      </w:tr>
      <w:tr>
        <w:trPr/>
        <w:tc>
          <w:tcPr>
            <w:tcW w:w="4594"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Amortization of intangibles </w:t>
            </w:r>
          </w:p>
        </w:tc>
        <w:tc>
          <w:tcPr>
            <w:tcW w:w="98" w:type="dxa"/>
            <w:tcBorders/>
            <w:vAlign w:val="center"/>
          </w:tcPr>
          <w:p>
            <w:pPr>
              <w:pStyle w:val="TableContents"/>
              <w:pBdr/>
              <w:bidi w:val="0"/>
              <w:spacing w:before="0" w:after="0"/>
              <w:ind w:left="0" w:right="0" w:hanging="0"/>
              <w:jc w:val="left"/>
              <w:rPr/>
            </w:pPr>
            <w:r>
              <w:rPr/>
              <w:t xml:space="preserve">  </w:t>
            </w:r>
          </w:p>
        </w:tc>
        <w:tc>
          <w:tcPr>
            <w:tcW w:w="170" w:type="dxa"/>
            <w:tcBorders/>
            <w:vAlign w:val="center"/>
          </w:tcPr>
          <w:p>
            <w:pPr>
              <w:pStyle w:val="TableContents"/>
              <w:pBdr/>
              <w:bidi w:val="0"/>
              <w:spacing w:before="0" w:after="0"/>
              <w:ind w:left="0" w:right="0" w:hanging="0"/>
              <w:jc w:val="right"/>
              <w:rPr/>
            </w:pPr>
            <w:r>
              <w:rPr/>
              <w:t xml:space="preserve">  </w:t>
            </w:r>
          </w:p>
        </w:tc>
        <w:tc>
          <w:tcPr>
            <w:tcW w:w="10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129 </w:t>
            </w:r>
          </w:p>
        </w:tc>
        <w:tc>
          <w:tcPr>
            <w:tcW w:w="109" w:type="dxa"/>
            <w:tcBorders/>
            <w:vAlign w:val="center"/>
          </w:tcPr>
          <w:p>
            <w:pPr>
              <w:pStyle w:val="TableContents"/>
              <w:pBdr/>
              <w:bidi w:val="0"/>
              <w:spacing w:before="0" w:after="0"/>
              <w:ind w:left="0" w:right="0" w:hanging="0"/>
              <w:jc w:val="left"/>
              <w:rPr/>
            </w:pPr>
            <w:r>
              <w:rPr/>
              <w:t xml:space="preserve">  </w:t>
            </w:r>
          </w:p>
        </w:tc>
        <w:tc>
          <w:tcPr>
            <w:tcW w:w="109" w:type="dxa"/>
            <w:tcBorders/>
            <w:vAlign w:val="center"/>
          </w:tcPr>
          <w:p>
            <w:pPr>
              <w:pStyle w:val="TableContents"/>
              <w:pBdr/>
              <w:bidi w:val="0"/>
              <w:spacing w:before="0" w:after="0"/>
              <w:ind w:left="0" w:right="0" w:hanging="0"/>
              <w:jc w:val="right"/>
              <w:rPr/>
            </w:pPr>
            <w:r>
              <w:rPr/>
              <w:t xml:space="preserve">  </w:t>
            </w:r>
          </w:p>
        </w:tc>
        <w:tc>
          <w:tcPr>
            <w:tcW w:w="170" w:type="dxa"/>
            <w:tcBorders/>
            <w:vAlign w:val="center"/>
          </w:tcPr>
          <w:p>
            <w:pPr>
              <w:pStyle w:val="TableContents"/>
              <w:pBdr/>
              <w:bidi w:val="0"/>
              <w:spacing w:before="0" w:after="0"/>
              <w:ind w:left="0" w:right="0" w:hanging="0"/>
              <w:jc w:val="right"/>
              <w:rPr/>
            </w:pPr>
            <w:r>
              <w:rPr/>
              <w:t xml:space="preserve">  </w:t>
            </w:r>
          </w:p>
        </w:tc>
        <w:tc>
          <w:tcPr>
            <w:tcW w:w="10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474 </w:t>
            </w:r>
          </w:p>
        </w:tc>
        <w:tc>
          <w:tcPr>
            <w:tcW w:w="108" w:type="dxa"/>
            <w:tcBorders/>
            <w:vAlign w:val="center"/>
          </w:tcPr>
          <w:p>
            <w:pPr>
              <w:pStyle w:val="TableContents"/>
              <w:pBdr/>
              <w:bidi w:val="0"/>
              <w:spacing w:before="0" w:after="0"/>
              <w:ind w:left="0" w:right="0" w:hanging="0"/>
              <w:jc w:val="left"/>
              <w:rPr/>
            </w:pPr>
            <w:r>
              <w:rPr/>
              <w:t xml:space="preserve">  </w:t>
            </w:r>
          </w:p>
        </w:tc>
        <w:tc>
          <w:tcPr>
            <w:tcW w:w="97" w:type="dxa"/>
            <w:tcBorders/>
            <w:vAlign w:val="center"/>
          </w:tcPr>
          <w:p>
            <w:pPr>
              <w:pStyle w:val="TableContents"/>
              <w:pBdr/>
              <w:bidi w:val="0"/>
              <w:spacing w:before="0" w:after="0"/>
              <w:ind w:left="0" w:right="0" w:hanging="0"/>
              <w:jc w:val="left"/>
              <w:rPr/>
            </w:pPr>
            <w:r>
              <w:rPr/>
              <w:t xml:space="preserve">  </w:t>
            </w:r>
          </w:p>
        </w:tc>
        <w:tc>
          <w:tcPr>
            <w:tcW w:w="153" w:type="dxa"/>
            <w:tcBorders/>
            <w:vAlign w:val="center"/>
          </w:tcPr>
          <w:p>
            <w:pPr>
              <w:pStyle w:val="TableContents"/>
              <w:pBdr/>
              <w:bidi w:val="0"/>
              <w:spacing w:before="0" w:after="0"/>
              <w:ind w:left="0" w:right="0" w:hanging="0"/>
              <w:jc w:val="left"/>
              <w:rPr/>
            </w:pPr>
            <w:r>
              <w:rPr/>
              <w:t xml:space="preserve">  </w:t>
            </w:r>
          </w:p>
        </w:tc>
        <w:tc>
          <w:tcPr>
            <w:tcW w:w="9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517 </w:t>
            </w:r>
          </w:p>
        </w:tc>
        <w:tc>
          <w:tcPr>
            <w:tcW w:w="98" w:type="dxa"/>
            <w:tcBorders/>
            <w:vAlign w:val="center"/>
          </w:tcPr>
          <w:p>
            <w:pPr>
              <w:pStyle w:val="TableContents"/>
              <w:pBdr/>
              <w:bidi w:val="0"/>
              <w:spacing w:before="0" w:after="0"/>
              <w:ind w:left="0" w:right="0" w:hanging="0"/>
              <w:jc w:val="left"/>
              <w:rPr/>
            </w:pPr>
            <w:r>
              <w:rPr/>
              <w:t xml:space="preserve">  </w:t>
            </w:r>
          </w:p>
        </w:tc>
        <w:tc>
          <w:tcPr>
            <w:tcW w:w="98" w:type="dxa"/>
            <w:tcBorders/>
            <w:vAlign w:val="center"/>
          </w:tcPr>
          <w:p>
            <w:pPr>
              <w:pStyle w:val="TableContents"/>
              <w:pBdr/>
              <w:bidi w:val="0"/>
              <w:spacing w:before="0" w:after="0"/>
              <w:ind w:left="0" w:right="0" w:hanging="0"/>
              <w:jc w:val="left"/>
              <w:rPr/>
            </w:pPr>
            <w:r>
              <w:rPr/>
              <w:t xml:space="preserve">  </w:t>
            </w:r>
          </w:p>
        </w:tc>
        <w:tc>
          <w:tcPr>
            <w:tcW w:w="153" w:type="dxa"/>
            <w:tcBorders/>
            <w:vAlign w:val="center"/>
          </w:tcPr>
          <w:p>
            <w:pPr>
              <w:pStyle w:val="TableContents"/>
              <w:pBdr/>
              <w:bidi w:val="0"/>
              <w:spacing w:before="0" w:after="0"/>
              <w:ind w:left="0" w:right="0" w:hanging="0"/>
              <w:jc w:val="left"/>
              <w:rPr/>
            </w:pPr>
            <w:r>
              <w:rPr/>
              <w:t xml:space="preserve">  </w:t>
            </w:r>
          </w:p>
        </w:tc>
        <w:tc>
          <w:tcPr>
            <w:tcW w:w="9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2,512 </w:t>
            </w:r>
          </w:p>
        </w:tc>
        <w:tc>
          <w:tcPr>
            <w:tcW w:w="136" w:type="dxa"/>
            <w:tcBorders/>
            <w:vAlign w:val="center"/>
          </w:tcPr>
          <w:p>
            <w:pPr>
              <w:pStyle w:val="TableContents"/>
              <w:pBdr/>
              <w:bidi w:val="0"/>
              <w:spacing w:before="0" w:after="0"/>
              <w:ind w:left="0" w:right="0" w:hanging="0"/>
              <w:jc w:val="left"/>
              <w:rPr/>
            </w:pPr>
            <w:r>
              <w:rPr/>
              <w:t xml:space="preserve">  </w:t>
            </w:r>
          </w:p>
        </w:tc>
      </w:tr>
      <w:tr>
        <w:trPr/>
        <w:tc>
          <w:tcPr>
            <w:tcW w:w="4594"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Other income adjustment </w:t>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170" w:type="dxa"/>
            <w:tcBorders/>
            <w:shd w:fill="CCEEFF" w:val="clear"/>
            <w:vAlign w:val="center"/>
          </w:tcPr>
          <w:p>
            <w:pPr>
              <w:pStyle w:val="TableContents"/>
              <w:pBdr/>
              <w:bidi w:val="0"/>
              <w:spacing w:before="0" w:after="0"/>
              <w:ind w:left="0" w:right="0" w:hanging="0"/>
              <w:jc w:val="right"/>
              <w:rPr/>
            </w:pPr>
            <w:r>
              <w:rPr/>
              <w:t xml:space="preserve">  </w:t>
            </w:r>
          </w:p>
        </w:tc>
        <w:tc>
          <w:tcPr>
            <w:tcW w:w="10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(4,000)</w:t>
            </w:r>
          </w:p>
        </w:tc>
        <w:tc>
          <w:tcPr>
            <w:tcW w:w="109" w:type="dxa"/>
            <w:tcBorders/>
            <w:shd w:fill="CCEEFF" w:val="clear"/>
            <w:vAlign w:val="center"/>
          </w:tcPr>
          <w:p>
            <w:pPr>
              <w:pStyle w:val="TableContents"/>
              <w:pBdr/>
              <w:bidi w:val="0"/>
              <w:spacing w:before="0" w:after="0"/>
              <w:ind w:left="0" w:right="0" w:hanging="0"/>
              <w:jc w:val="left"/>
              <w:rPr/>
            </w:pPr>
            <w:r>
              <w:rPr/>
              <w:t xml:space="preserve">  </w:t>
            </w:r>
          </w:p>
        </w:tc>
        <w:tc>
          <w:tcPr>
            <w:tcW w:w="109" w:type="dxa"/>
            <w:tcBorders/>
            <w:shd w:fill="CCEEFF" w:val="clear"/>
            <w:vAlign w:val="center"/>
          </w:tcPr>
          <w:p>
            <w:pPr>
              <w:pStyle w:val="TableContents"/>
              <w:pBdr/>
              <w:bidi w:val="0"/>
              <w:spacing w:before="0" w:after="0"/>
              <w:ind w:left="0" w:right="0" w:hanging="0"/>
              <w:jc w:val="right"/>
              <w:rPr/>
            </w:pPr>
            <w:r>
              <w:rPr/>
              <w:t xml:space="preserve">  </w:t>
            </w:r>
          </w:p>
        </w:tc>
        <w:tc>
          <w:tcPr>
            <w:tcW w:w="170" w:type="dxa"/>
            <w:tcBorders/>
            <w:shd w:fill="CCEEFF" w:val="clear"/>
            <w:vAlign w:val="center"/>
          </w:tcPr>
          <w:p>
            <w:pPr>
              <w:pStyle w:val="TableContents"/>
              <w:pBdr/>
              <w:bidi w:val="0"/>
              <w:spacing w:before="0" w:after="0"/>
              <w:ind w:left="0" w:right="0" w:hanging="0"/>
              <w:jc w:val="right"/>
              <w:rPr/>
            </w:pPr>
            <w:r>
              <w:rPr/>
              <w:t xml:space="preserve">  </w:t>
            </w:r>
          </w:p>
        </w:tc>
        <w:tc>
          <w:tcPr>
            <w:tcW w:w="10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(33,623</w:t>
            </w:r>
          </w:p>
        </w:tc>
        <w:tc>
          <w:tcPr>
            <w:tcW w:w="108" w:type="dxa"/>
            <w:tcBorders/>
            <w:shd w:fill="CCEEFF" w:val="clear"/>
            <w:vAlign w:val="center"/>
          </w:tcPr>
          <w:p>
            <w:pPr>
              <w:pStyle w:val="TableContents"/>
              <w:bidi w:val="0"/>
              <w:spacing w:before="0" w:after="0"/>
              <w:ind w:left="0" w:right="0" w:hanging="0"/>
              <w:jc w:val="left"/>
              <w:rPr>
                <w:sz w:val="20"/>
              </w:rPr>
            </w:pPr>
            <w:r>
              <w:rPr>
                <w:sz w:val="20"/>
              </w:rPr>
              <w:t>)</w:t>
            </w:r>
          </w:p>
        </w:tc>
        <w:tc>
          <w:tcPr>
            <w:tcW w:w="97" w:type="dxa"/>
            <w:tcBorders/>
            <w:shd w:fill="CCEEFF" w:val="clear"/>
            <w:vAlign w:val="center"/>
          </w:tcPr>
          <w:p>
            <w:pPr>
              <w:pStyle w:val="TableContents"/>
              <w:pBdr/>
              <w:bidi w:val="0"/>
              <w:spacing w:before="0" w:after="0"/>
              <w:ind w:left="0" w:right="0" w:hanging="0"/>
              <w:jc w:val="left"/>
              <w:rPr/>
            </w:pPr>
            <w:r>
              <w:rPr/>
              <w:t xml:space="preserve">  </w:t>
            </w:r>
          </w:p>
        </w:tc>
        <w:tc>
          <w:tcPr>
            <w:tcW w:w="153" w:type="dxa"/>
            <w:tcBorders/>
            <w:shd w:fill="CCEEFF" w:val="clear"/>
            <w:vAlign w:val="center"/>
          </w:tcPr>
          <w:p>
            <w:pPr>
              <w:pStyle w:val="TableContents"/>
              <w:pBdr/>
              <w:bidi w:val="0"/>
              <w:spacing w:before="0" w:after="0"/>
              <w:ind w:left="0" w:right="0" w:hanging="0"/>
              <w:jc w:val="left"/>
              <w:rPr/>
            </w:pPr>
            <w:r>
              <w:rPr/>
              <w:t xml:space="preserve">  </w:t>
            </w:r>
          </w:p>
        </w:tc>
        <w:tc>
          <w:tcPr>
            <w:tcW w:w="9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(5,350)</w:t>
            </w:r>
          </w:p>
        </w:tc>
        <w:tc>
          <w:tcPr>
            <w:tcW w:w="98"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153" w:type="dxa"/>
            <w:tcBorders/>
            <w:shd w:fill="CCEEFF" w:val="clear"/>
            <w:vAlign w:val="center"/>
          </w:tcPr>
          <w:p>
            <w:pPr>
              <w:pStyle w:val="TableContents"/>
              <w:pBdr/>
              <w:bidi w:val="0"/>
              <w:spacing w:before="0" w:after="0"/>
              <w:ind w:left="0" w:right="0" w:hanging="0"/>
              <w:jc w:val="left"/>
              <w:rPr/>
            </w:pPr>
            <w:r>
              <w:rPr/>
              <w:t xml:space="preserve">  </w:t>
            </w:r>
          </w:p>
        </w:tc>
        <w:tc>
          <w:tcPr>
            <w:tcW w:w="9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(35,151</w:t>
            </w:r>
          </w:p>
        </w:tc>
        <w:tc>
          <w:tcPr>
            <w:tcW w:w="136" w:type="dxa"/>
            <w:tcBorders/>
            <w:shd w:fill="CCEEFF" w:val="clear"/>
            <w:vAlign w:val="center"/>
          </w:tcPr>
          <w:p>
            <w:pPr>
              <w:pStyle w:val="TableContents"/>
              <w:bidi w:val="0"/>
              <w:spacing w:before="0" w:after="0"/>
              <w:ind w:left="0" w:right="0" w:hanging="0"/>
              <w:jc w:val="left"/>
              <w:rPr>
                <w:sz w:val="20"/>
              </w:rPr>
            </w:pPr>
            <w:r>
              <w:rPr>
                <w:sz w:val="20"/>
              </w:rPr>
              <w:t>)</w:t>
            </w:r>
          </w:p>
        </w:tc>
      </w:tr>
      <w:tr>
        <w:trPr/>
        <w:tc>
          <w:tcPr>
            <w:tcW w:w="4594"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Tax effect</w:t>
            </w:r>
          </w:p>
        </w:tc>
        <w:tc>
          <w:tcPr>
            <w:tcW w:w="98" w:type="dxa"/>
            <w:tcBorders/>
            <w:vAlign w:val="center"/>
          </w:tcPr>
          <w:p>
            <w:pPr>
              <w:pStyle w:val="TableContents"/>
              <w:pBdr/>
              <w:bidi w:val="0"/>
              <w:spacing w:before="0" w:after="0"/>
              <w:ind w:left="0" w:right="0" w:hanging="0"/>
              <w:jc w:val="left"/>
              <w:rPr/>
            </w:pPr>
            <w:r>
              <w:rPr/>
              <w:t xml:space="preserve">  </w:t>
            </w:r>
          </w:p>
        </w:tc>
        <w:tc>
          <w:tcPr>
            <w:tcW w:w="170" w:type="dxa"/>
            <w:tcBorders/>
            <w:vAlign w:val="center"/>
          </w:tcPr>
          <w:p>
            <w:pPr>
              <w:pStyle w:val="TableContents"/>
              <w:pBdr/>
              <w:bidi w:val="0"/>
              <w:spacing w:before="0" w:after="0"/>
              <w:ind w:left="0" w:right="0" w:hanging="0"/>
              <w:jc w:val="right"/>
              <w:rPr/>
            </w:pPr>
            <w:r>
              <w:rPr/>
              <w:t xml:space="preserve">  </w:t>
            </w:r>
          </w:p>
        </w:tc>
        <w:tc>
          <w:tcPr>
            <w:tcW w:w="1078" w:type="dxa"/>
            <w:tcBorders/>
            <w:vAlign w:val="center"/>
          </w:tcPr>
          <w:p>
            <w:pPr>
              <w:pStyle w:val="TableContents"/>
              <w:pBdr/>
              <w:bidi w:val="0"/>
              <w:spacing w:before="0" w:after="0"/>
              <w:ind w:left="0" w:right="0" w:hanging="0"/>
              <w:jc w:val="right"/>
              <w:rPr/>
            </w:pPr>
            <w:r>
              <w:rPr/>
              <w:t>—</w:t>
            </w:r>
          </w:p>
        </w:tc>
        <w:tc>
          <w:tcPr>
            <w:tcW w:w="109" w:type="dxa"/>
            <w:tcBorders/>
            <w:vAlign w:val="center"/>
          </w:tcPr>
          <w:p>
            <w:pPr>
              <w:pStyle w:val="TableContents"/>
              <w:pBdr/>
              <w:bidi w:val="0"/>
              <w:spacing w:before="0" w:after="0"/>
              <w:ind w:left="0" w:right="0" w:hanging="0"/>
              <w:jc w:val="left"/>
              <w:rPr/>
            </w:pPr>
            <w:r>
              <w:rPr/>
              <w:t xml:space="preserve">  </w:t>
            </w:r>
          </w:p>
        </w:tc>
        <w:tc>
          <w:tcPr>
            <w:tcW w:w="109" w:type="dxa"/>
            <w:tcBorders/>
            <w:vAlign w:val="center"/>
          </w:tcPr>
          <w:p>
            <w:pPr>
              <w:pStyle w:val="TableContents"/>
              <w:pBdr/>
              <w:bidi w:val="0"/>
              <w:spacing w:before="0" w:after="0"/>
              <w:ind w:left="0" w:right="0" w:hanging="0"/>
              <w:jc w:val="right"/>
              <w:rPr/>
            </w:pPr>
            <w:r>
              <w:rPr/>
              <w:t xml:space="preserve">  </w:t>
            </w:r>
          </w:p>
        </w:tc>
        <w:tc>
          <w:tcPr>
            <w:tcW w:w="170" w:type="dxa"/>
            <w:tcBorders/>
            <w:vAlign w:val="center"/>
          </w:tcPr>
          <w:p>
            <w:pPr>
              <w:pStyle w:val="TableContents"/>
              <w:pBdr/>
              <w:bidi w:val="0"/>
              <w:spacing w:before="0" w:after="0"/>
              <w:ind w:left="0" w:right="0" w:hanging="0"/>
              <w:jc w:val="right"/>
              <w:rPr/>
            </w:pPr>
            <w:r>
              <w:rPr/>
              <w:t xml:space="preserve">  </w:t>
            </w:r>
          </w:p>
        </w:tc>
        <w:tc>
          <w:tcPr>
            <w:tcW w:w="10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6,805</w:t>
            </w:r>
          </w:p>
        </w:tc>
        <w:tc>
          <w:tcPr>
            <w:tcW w:w="108" w:type="dxa"/>
            <w:tcBorders/>
            <w:vAlign w:val="center"/>
          </w:tcPr>
          <w:p>
            <w:pPr>
              <w:pStyle w:val="TableContents"/>
              <w:bidi w:val="0"/>
              <w:spacing w:before="0" w:after="283"/>
              <w:ind w:left="0" w:right="0" w:hanging="0"/>
              <w:jc w:val="left"/>
              <w:rPr>
                <w:sz w:val="4"/>
                <w:szCs w:val="4"/>
              </w:rPr>
            </w:pPr>
            <w:r>
              <w:rPr>
                <w:sz w:val="4"/>
                <w:szCs w:val="4"/>
              </w:rPr>
            </w:r>
          </w:p>
        </w:tc>
        <w:tc>
          <w:tcPr>
            <w:tcW w:w="97" w:type="dxa"/>
            <w:tcBorders/>
            <w:vAlign w:val="center"/>
          </w:tcPr>
          <w:p>
            <w:pPr>
              <w:pStyle w:val="TableContents"/>
              <w:pBdr/>
              <w:bidi w:val="0"/>
              <w:spacing w:before="0" w:after="0"/>
              <w:ind w:left="0" w:right="0" w:hanging="0"/>
              <w:jc w:val="left"/>
              <w:rPr/>
            </w:pPr>
            <w:r>
              <w:rPr/>
              <w:t xml:space="preserve">  </w:t>
            </w:r>
          </w:p>
        </w:tc>
        <w:tc>
          <w:tcPr>
            <w:tcW w:w="153" w:type="dxa"/>
            <w:tcBorders/>
            <w:vAlign w:val="center"/>
          </w:tcPr>
          <w:p>
            <w:pPr>
              <w:pStyle w:val="TableContents"/>
              <w:pBdr/>
              <w:bidi w:val="0"/>
              <w:spacing w:before="0" w:after="0"/>
              <w:ind w:left="0" w:right="0" w:hanging="0"/>
              <w:jc w:val="left"/>
              <w:rPr/>
            </w:pPr>
            <w:r>
              <w:rPr/>
              <w:t xml:space="preserve">  </w:t>
            </w:r>
          </w:p>
        </w:tc>
        <w:tc>
          <w:tcPr>
            <w:tcW w:w="978" w:type="dxa"/>
            <w:tcBorders/>
            <w:vAlign w:val="center"/>
          </w:tcPr>
          <w:p>
            <w:pPr>
              <w:pStyle w:val="TableContents"/>
              <w:pBdr/>
              <w:bidi w:val="0"/>
              <w:spacing w:before="0" w:after="0"/>
              <w:ind w:left="0" w:right="0" w:hanging="0"/>
              <w:jc w:val="right"/>
              <w:rPr/>
            </w:pPr>
            <w:r>
              <w:rPr/>
              <w:t>—</w:t>
            </w:r>
          </w:p>
        </w:tc>
        <w:tc>
          <w:tcPr>
            <w:tcW w:w="98" w:type="dxa"/>
            <w:tcBorders/>
            <w:vAlign w:val="center"/>
          </w:tcPr>
          <w:p>
            <w:pPr>
              <w:pStyle w:val="TableContents"/>
              <w:pBdr/>
              <w:bidi w:val="0"/>
              <w:spacing w:before="0" w:after="0"/>
              <w:ind w:left="0" w:right="0" w:hanging="0"/>
              <w:jc w:val="left"/>
              <w:rPr/>
            </w:pPr>
            <w:r>
              <w:rPr/>
              <w:t xml:space="preserve">  </w:t>
            </w:r>
          </w:p>
        </w:tc>
        <w:tc>
          <w:tcPr>
            <w:tcW w:w="98" w:type="dxa"/>
            <w:tcBorders/>
            <w:vAlign w:val="center"/>
          </w:tcPr>
          <w:p>
            <w:pPr>
              <w:pStyle w:val="TableContents"/>
              <w:pBdr/>
              <w:bidi w:val="0"/>
              <w:spacing w:before="0" w:after="0"/>
              <w:ind w:left="0" w:right="0" w:hanging="0"/>
              <w:jc w:val="left"/>
              <w:rPr/>
            </w:pPr>
            <w:r>
              <w:rPr/>
              <w:t xml:space="preserve">  </w:t>
            </w:r>
          </w:p>
        </w:tc>
        <w:tc>
          <w:tcPr>
            <w:tcW w:w="153" w:type="dxa"/>
            <w:tcBorders/>
            <w:vAlign w:val="center"/>
          </w:tcPr>
          <w:p>
            <w:pPr>
              <w:pStyle w:val="TableContents"/>
              <w:pBdr/>
              <w:bidi w:val="0"/>
              <w:spacing w:before="0" w:after="0"/>
              <w:ind w:left="0" w:right="0" w:hanging="0"/>
              <w:jc w:val="left"/>
              <w:rPr/>
            </w:pPr>
            <w:r>
              <w:rPr/>
              <w:t xml:space="preserve">  </w:t>
            </w:r>
          </w:p>
        </w:tc>
        <w:tc>
          <w:tcPr>
            <w:tcW w:w="9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6,805</w:t>
            </w:r>
          </w:p>
        </w:tc>
        <w:tc>
          <w:tcPr>
            <w:tcW w:w="136" w:type="dxa"/>
            <w:tcBorders/>
            <w:vAlign w:val="center"/>
          </w:tcPr>
          <w:p>
            <w:pPr>
              <w:pStyle w:val="TableContents"/>
              <w:bidi w:val="0"/>
              <w:spacing w:before="0" w:after="283"/>
              <w:ind w:left="0" w:right="0" w:hanging="0"/>
              <w:jc w:val="left"/>
              <w:rPr>
                <w:sz w:val="4"/>
                <w:szCs w:val="4"/>
              </w:rPr>
            </w:pPr>
            <w:r>
              <w:rPr>
                <w:sz w:val="4"/>
                <w:szCs w:val="4"/>
              </w:rPr>
            </w:r>
          </w:p>
        </w:tc>
      </w:tr>
      <w:tr>
        <w:trPr/>
        <w:tc>
          <w:tcPr>
            <w:tcW w:w="4594" w:type="dxa"/>
            <w:tcBorders/>
            <w:shd w:fill="CCEEFF" w:val="clear"/>
            <w:vAlign w:val="center"/>
          </w:tcPr>
          <w:p>
            <w:pPr>
              <w:pStyle w:val="TableContents"/>
              <w:pBdr/>
              <w:bidi w:val="0"/>
              <w:spacing w:before="0" w:after="0"/>
              <w:ind w:left="0" w:right="0" w:hanging="0"/>
              <w:jc w:val="left"/>
              <w:rPr>
                <w:rFonts w:ascii="times new roman;times" w:hAnsi="times new roman;times"/>
                <w:b/>
                <w:sz w:val="20"/>
              </w:rPr>
            </w:pPr>
            <w:r>
              <w:rPr>
                <w:rFonts w:ascii="times new roman;times" w:hAnsi="times new roman;times"/>
                <w:b/>
                <w:sz w:val="20"/>
              </w:rPr>
              <w:t>Non-GAAP net income (loss)</w:t>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170"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(1,201)</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9" w:type="dxa"/>
            <w:tcBorders/>
            <w:shd w:fill="CCEEFF" w:val="clear"/>
            <w:vAlign w:val="center"/>
          </w:tcPr>
          <w:p>
            <w:pPr>
              <w:pStyle w:val="TableContents"/>
              <w:pBdr/>
              <w:bidi w:val="0"/>
              <w:spacing w:before="0" w:after="0"/>
              <w:ind w:left="0" w:right="0" w:hanging="0"/>
              <w:jc w:val="right"/>
              <w:rPr/>
            </w:pPr>
            <w:r>
              <w:rPr/>
              <w:t xml:space="preserve">  </w:t>
            </w:r>
          </w:p>
        </w:tc>
        <w:tc>
          <w:tcPr>
            <w:tcW w:w="170"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(2,292 </w:t>
            </w:r>
          </w:p>
        </w:tc>
        <w:tc>
          <w:tcPr>
            <w:tcW w:w="108"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7" w:type="dxa"/>
            <w:tcBorders/>
            <w:shd w:fill="CCEEFF" w:val="clear"/>
            <w:vAlign w:val="center"/>
          </w:tcPr>
          <w:p>
            <w:pPr>
              <w:pStyle w:val="TableContents"/>
              <w:pBdr/>
              <w:bidi w:val="0"/>
              <w:spacing w:before="0" w:after="0"/>
              <w:ind w:left="0" w:right="0" w:hanging="0"/>
              <w:jc w:val="left"/>
              <w:rPr/>
            </w:pPr>
            <w:r>
              <w:rPr/>
              <w:t xml:space="preserve">  </w:t>
            </w:r>
          </w:p>
        </w:tc>
        <w:tc>
          <w:tcPr>
            <w:tcW w:w="153"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(5,165)</w:t>
            </w:r>
          </w:p>
        </w:tc>
        <w:tc>
          <w:tcPr>
            <w:tcW w:w="98"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153"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(5,165 </w:t>
            </w:r>
          </w:p>
        </w:tc>
        <w:tc>
          <w:tcPr>
            <w:tcW w:w="136"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r>
        <w:trPr/>
        <w:tc>
          <w:tcPr>
            <w:tcW w:w="4594" w:type="dxa"/>
            <w:tcBorders/>
            <w:vAlign w:val="center"/>
          </w:tcPr>
          <w:p>
            <w:pPr>
              <w:pStyle w:val="TableContents"/>
              <w:pBdr/>
              <w:bidi w:val="0"/>
              <w:spacing w:before="0" w:after="0"/>
              <w:ind w:left="0" w:right="0" w:hanging="0"/>
              <w:jc w:val="right"/>
              <w:rPr/>
            </w:pPr>
            <w:r>
              <w:rPr/>
              <w:t xml:space="preserve">  </w:t>
            </w:r>
          </w:p>
        </w:tc>
        <w:tc>
          <w:tcPr>
            <w:tcW w:w="98" w:type="dxa"/>
            <w:tcBorders/>
            <w:vAlign w:val="center"/>
          </w:tcPr>
          <w:p>
            <w:pPr>
              <w:pStyle w:val="TableContents"/>
              <w:pBdr/>
              <w:bidi w:val="0"/>
              <w:spacing w:before="0" w:after="0"/>
              <w:ind w:left="0" w:right="0" w:hanging="0"/>
              <w:jc w:val="left"/>
              <w:rPr/>
            </w:pPr>
            <w:r>
              <w:rPr/>
              <w:t xml:space="preserve">  </w:t>
            </w:r>
          </w:p>
        </w:tc>
        <w:tc>
          <w:tcPr>
            <w:tcW w:w="170" w:type="dxa"/>
            <w:tcBorders/>
            <w:vAlign w:val="center"/>
          </w:tcPr>
          <w:p>
            <w:pPr>
              <w:pStyle w:val="TableContents"/>
              <w:pBdr/>
              <w:bidi w:val="0"/>
              <w:spacing w:before="0" w:after="0"/>
              <w:ind w:left="0" w:right="0" w:hanging="0"/>
              <w:jc w:val="right"/>
              <w:rPr/>
            </w:pPr>
            <w:r>
              <w:rPr/>
              <w:t xml:space="preserve">  </w:t>
            </w:r>
          </w:p>
        </w:tc>
        <w:tc>
          <w:tcPr>
            <w:tcW w:w="1078" w:type="dxa"/>
            <w:tcBorders/>
            <w:vAlign w:val="center"/>
          </w:tcPr>
          <w:p>
            <w:pPr>
              <w:pStyle w:val="TableContents"/>
              <w:pBdr/>
              <w:bidi w:val="0"/>
              <w:spacing w:before="0" w:after="0"/>
              <w:ind w:left="0" w:right="0" w:hanging="0"/>
              <w:jc w:val="right"/>
              <w:rPr/>
            </w:pPr>
            <w:r>
              <w:rPr/>
              <w:t xml:space="preserve">  </w:t>
            </w:r>
          </w:p>
        </w:tc>
        <w:tc>
          <w:tcPr>
            <w:tcW w:w="109" w:type="dxa"/>
            <w:tcBorders/>
            <w:vAlign w:val="center"/>
          </w:tcPr>
          <w:p>
            <w:pPr>
              <w:pStyle w:val="TableContents"/>
              <w:pBdr/>
              <w:bidi w:val="0"/>
              <w:spacing w:before="0" w:after="0"/>
              <w:ind w:left="0" w:right="0" w:hanging="0"/>
              <w:jc w:val="left"/>
              <w:rPr/>
            </w:pPr>
            <w:r>
              <w:rPr/>
              <w:t xml:space="preserve">  </w:t>
            </w:r>
          </w:p>
        </w:tc>
        <w:tc>
          <w:tcPr>
            <w:tcW w:w="109" w:type="dxa"/>
            <w:tcBorders/>
            <w:vAlign w:val="center"/>
          </w:tcPr>
          <w:p>
            <w:pPr>
              <w:pStyle w:val="TableContents"/>
              <w:pBdr/>
              <w:bidi w:val="0"/>
              <w:spacing w:before="0" w:after="0"/>
              <w:ind w:left="0" w:right="0" w:hanging="0"/>
              <w:jc w:val="right"/>
              <w:rPr/>
            </w:pPr>
            <w:r>
              <w:rPr/>
              <w:t xml:space="preserve">  </w:t>
            </w:r>
          </w:p>
        </w:tc>
        <w:tc>
          <w:tcPr>
            <w:tcW w:w="170" w:type="dxa"/>
            <w:tcBorders/>
            <w:vAlign w:val="center"/>
          </w:tcPr>
          <w:p>
            <w:pPr>
              <w:pStyle w:val="TableContents"/>
              <w:pBdr/>
              <w:bidi w:val="0"/>
              <w:spacing w:before="0" w:after="0"/>
              <w:ind w:left="0" w:right="0" w:hanging="0"/>
              <w:jc w:val="right"/>
              <w:rPr/>
            </w:pPr>
            <w:r>
              <w:rPr/>
              <w:t xml:space="preserve">  </w:t>
            </w:r>
          </w:p>
        </w:tc>
        <w:tc>
          <w:tcPr>
            <w:tcW w:w="1078" w:type="dxa"/>
            <w:tcBorders/>
            <w:vAlign w:val="center"/>
          </w:tcPr>
          <w:p>
            <w:pPr>
              <w:pStyle w:val="TableContents"/>
              <w:pBdr/>
              <w:bidi w:val="0"/>
              <w:spacing w:before="0" w:after="0"/>
              <w:ind w:left="0" w:right="0" w:hanging="0"/>
              <w:jc w:val="right"/>
              <w:rPr/>
            </w:pPr>
            <w:r>
              <w:rPr/>
              <w:t xml:space="preserve">  </w:t>
            </w:r>
          </w:p>
        </w:tc>
        <w:tc>
          <w:tcPr>
            <w:tcW w:w="108" w:type="dxa"/>
            <w:tcBorders/>
            <w:vAlign w:val="center"/>
          </w:tcPr>
          <w:p>
            <w:pPr>
              <w:pStyle w:val="TableContents"/>
              <w:pBdr/>
              <w:bidi w:val="0"/>
              <w:spacing w:before="0" w:after="0"/>
              <w:ind w:left="0" w:right="0" w:hanging="0"/>
              <w:jc w:val="left"/>
              <w:rPr/>
            </w:pPr>
            <w:r>
              <w:rPr/>
              <w:t xml:space="preserve">  </w:t>
            </w:r>
          </w:p>
        </w:tc>
        <w:tc>
          <w:tcPr>
            <w:tcW w:w="97" w:type="dxa"/>
            <w:tcBorders/>
            <w:vAlign w:val="center"/>
          </w:tcPr>
          <w:p>
            <w:pPr>
              <w:pStyle w:val="TableContents"/>
              <w:pBdr/>
              <w:bidi w:val="0"/>
              <w:spacing w:before="0" w:after="0"/>
              <w:ind w:left="0" w:right="0" w:hanging="0"/>
              <w:jc w:val="left"/>
              <w:rPr/>
            </w:pPr>
            <w:r>
              <w:rPr/>
              <w:t xml:space="preserve">  </w:t>
            </w:r>
          </w:p>
        </w:tc>
        <w:tc>
          <w:tcPr>
            <w:tcW w:w="153" w:type="dxa"/>
            <w:tcBorders/>
            <w:vAlign w:val="center"/>
          </w:tcPr>
          <w:p>
            <w:pPr>
              <w:pStyle w:val="TableContents"/>
              <w:pBdr/>
              <w:bidi w:val="0"/>
              <w:spacing w:before="0" w:after="0"/>
              <w:ind w:left="0" w:right="0" w:hanging="0"/>
              <w:jc w:val="left"/>
              <w:rPr/>
            </w:pPr>
            <w:r>
              <w:rPr/>
              <w:t xml:space="preserve">  </w:t>
            </w:r>
          </w:p>
        </w:tc>
        <w:tc>
          <w:tcPr>
            <w:tcW w:w="978" w:type="dxa"/>
            <w:tcBorders/>
            <w:vAlign w:val="center"/>
          </w:tcPr>
          <w:p>
            <w:pPr>
              <w:pStyle w:val="TableContents"/>
              <w:pBdr/>
              <w:bidi w:val="0"/>
              <w:spacing w:before="0" w:after="0"/>
              <w:ind w:left="0" w:right="0" w:hanging="0"/>
              <w:jc w:val="right"/>
              <w:rPr/>
            </w:pPr>
            <w:r>
              <w:rPr/>
              <w:t xml:space="preserve">  </w:t>
            </w:r>
          </w:p>
        </w:tc>
        <w:tc>
          <w:tcPr>
            <w:tcW w:w="98" w:type="dxa"/>
            <w:tcBorders/>
            <w:vAlign w:val="center"/>
          </w:tcPr>
          <w:p>
            <w:pPr>
              <w:pStyle w:val="TableContents"/>
              <w:pBdr/>
              <w:bidi w:val="0"/>
              <w:spacing w:before="0" w:after="0"/>
              <w:ind w:left="0" w:right="0" w:hanging="0"/>
              <w:jc w:val="left"/>
              <w:rPr/>
            </w:pPr>
            <w:r>
              <w:rPr/>
              <w:t xml:space="preserve">  </w:t>
            </w:r>
          </w:p>
        </w:tc>
        <w:tc>
          <w:tcPr>
            <w:tcW w:w="98" w:type="dxa"/>
            <w:tcBorders/>
            <w:vAlign w:val="center"/>
          </w:tcPr>
          <w:p>
            <w:pPr>
              <w:pStyle w:val="TableContents"/>
              <w:pBdr/>
              <w:bidi w:val="0"/>
              <w:spacing w:before="0" w:after="0"/>
              <w:ind w:left="0" w:right="0" w:hanging="0"/>
              <w:jc w:val="left"/>
              <w:rPr/>
            </w:pPr>
            <w:r>
              <w:rPr/>
              <w:t xml:space="preserve">  </w:t>
            </w:r>
          </w:p>
        </w:tc>
        <w:tc>
          <w:tcPr>
            <w:tcW w:w="153" w:type="dxa"/>
            <w:tcBorders/>
            <w:vAlign w:val="center"/>
          </w:tcPr>
          <w:p>
            <w:pPr>
              <w:pStyle w:val="TableContents"/>
              <w:pBdr/>
              <w:bidi w:val="0"/>
              <w:spacing w:before="0" w:after="0"/>
              <w:ind w:left="0" w:right="0" w:hanging="0"/>
              <w:jc w:val="left"/>
              <w:rPr/>
            </w:pPr>
            <w:r>
              <w:rPr/>
              <w:t xml:space="preserve">  </w:t>
            </w:r>
          </w:p>
        </w:tc>
        <w:tc>
          <w:tcPr>
            <w:tcW w:w="978" w:type="dxa"/>
            <w:tcBorders/>
            <w:vAlign w:val="center"/>
          </w:tcPr>
          <w:p>
            <w:pPr>
              <w:pStyle w:val="TableContents"/>
              <w:pBdr/>
              <w:bidi w:val="0"/>
              <w:spacing w:before="0" w:after="0"/>
              <w:ind w:left="0" w:right="0" w:hanging="0"/>
              <w:jc w:val="right"/>
              <w:rPr/>
            </w:pPr>
            <w:r>
              <w:rPr/>
              <w:t xml:space="preserve">  </w:t>
            </w:r>
          </w:p>
        </w:tc>
        <w:tc>
          <w:tcPr>
            <w:tcW w:w="136" w:type="dxa"/>
            <w:tcBorders/>
            <w:vAlign w:val="center"/>
          </w:tcPr>
          <w:p>
            <w:pPr>
              <w:pStyle w:val="TableContents"/>
              <w:pBdr/>
              <w:bidi w:val="0"/>
              <w:spacing w:before="0" w:after="0"/>
              <w:ind w:left="0" w:right="0" w:hanging="0"/>
              <w:jc w:val="left"/>
              <w:rPr/>
            </w:pPr>
            <w:r>
              <w:rPr/>
              <w:t xml:space="preserve">  </w:t>
            </w:r>
          </w:p>
        </w:tc>
      </w:tr>
      <w:tr>
        <w:trPr/>
        <w:tc>
          <w:tcPr>
            <w:tcW w:w="4594" w:type="dxa"/>
            <w:tcBorders/>
            <w:shd w:fill="CCEEFF" w:val="clear"/>
            <w:vAlign w:val="center"/>
          </w:tcPr>
          <w:p>
            <w:pPr>
              <w:pStyle w:val="TableContents"/>
              <w:pBdr/>
              <w:bidi w:val="0"/>
              <w:spacing w:before="0" w:after="0"/>
              <w:ind w:left="0" w:right="0" w:hanging="0"/>
              <w:jc w:val="left"/>
              <w:rPr>
                <w:rFonts w:ascii="times new roman;times" w:hAnsi="times new roman;times"/>
                <w:b/>
                <w:sz w:val="20"/>
              </w:rPr>
            </w:pPr>
            <w:r>
              <w:rPr>
                <w:rFonts w:ascii="times new roman;times" w:hAnsi="times new roman;times"/>
                <w:b/>
                <w:sz w:val="20"/>
              </w:rPr>
              <w:t>GAAP net income (loss)</w:t>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170"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2,642</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9" w:type="dxa"/>
            <w:tcBorders/>
            <w:shd w:fill="CCEEFF" w:val="clear"/>
            <w:vAlign w:val="center"/>
          </w:tcPr>
          <w:p>
            <w:pPr>
              <w:pStyle w:val="TableContents"/>
              <w:pBdr/>
              <w:bidi w:val="0"/>
              <w:spacing w:before="0" w:after="0"/>
              <w:ind w:left="0" w:right="0" w:hanging="0"/>
              <w:jc w:val="right"/>
              <w:rPr/>
            </w:pPr>
            <w:r>
              <w:rPr/>
              <w:t xml:space="preserve">  </w:t>
            </w:r>
          </w:p>
        </w:tc>
        <w:tc>
          <w:tcPr>
            <w:tcW w:w="170"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24,028</w:t>
            </w:r>
          </w:p>
        </w:tc>
        <w:tc>
          <w:tcPr>
            <w:tcW w:w="108"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7" w:type="dxa"/>
            <w:tcBorders/>
            <w:shd w:fill="CCEEFF" w:val="clear"/>
            <w:vAlign w:val="center"/>
          </w:tcPr>
          <w:p>
            <w:pPr>
              <w:pStyle w:val="TableContents"/>
              <w:pBdr/>
              <w:bidi w:val="0"/>
              <w:spacing w:before="0" w:after="0"/>
              <w:ind w:left="0" w:right="0" w:hanging="0"/>
              <w:jc w:val="left"/>
              <w:rPr/>
            </w:pPr>
            <w:r>
              <w:rPr/>
              <w:t xml:space="preserve">  </w:t>
            </w:r>
          </w:p>
        </w:tc>
        <w:tc>
          <w:tcPr>
            <w:tcW w:w="153"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(560)</w:t>
            </w:r>
          </w:p>
        </w:tc>
        <w:tc>
          <w:tcPr>
            <w:tcW w:w="98"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153"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20,556</w:t>
            </w:r>
          </w:p>
        </w:tc>
        <w:tc>
          <w:tcPr>
            <w:tcW w:w="136"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4594"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Number of shares used in computing GAAP diluted income (loss) per share</w:t>
            </w:r>
          </w:p>
        </w:tc>
        <w:tc>
          <w:tcPr>
            <w:tcW w:w="98" w:type="dxa"/>
            <w:tcBorders/>
            <w:vAlign w:val="center"/>
          </w:tcPr>
          <w:p>
            <w:pPr>
              <w:pStyle w:val="TableContents"/>
              <w:pBdr/>
              <w:bidi w:val="0"/>
              <w:spacing w:before="0" w:after="0"/>
              <w:ind w:left="0" w:right="0" w:hanging="0"/>
              <w:jc w:val="left"/>
              <w:rPr/>
            </w:pPr>
            <w:r>
              <w:rPr/>
              <w:t xml:space="preserve">  </w:t>
            </w:r>
          </w:p>
        </w:tc>
        <w:tc>
          <w:tcPr>
            <w:tcW w:w="170" w:type="dxa"/>
            <w:tcBorders/>
            <w:vAlign w:val="center"/>
          </w:tcPr>
          <w:p>
            <w:pPr>
              <w:pStyle w:val="TableContents"/>
              <w:pBdr/>
              <w:bidi w:val="0"/>
              <w:spacing w:before="0" w:after="0"/>
              <w:ind w:left="0" w:right="0" w:hanging="0"/>
              <w:jc w:val="right"/>
              <w:rPr/>
            </w:pPr>
            <w:r>
              <w:rPr/>
              <w:t xml:space="preserve">  </w:t>
            </w:r>
          </w:p>
        </w:tc>
        <w:tc>
          <w:tcPr>
            <w:tcW w:w="10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23,960,776 </w:t>
            </w:r>
          </w:p>
        </w:tc>
        <w:tc>
          <w:tcPr>
            <w:tcW w:w="109" w:type="dxa"/>
            <w:tcBorders/>
            <w:vAlign w:val="center"/>
          </w:tcPr>
          <w:p>
            <w:pPr>
              <w:pStyle w:val="TableContents"/>
              <w:pBdr/>
              <w:bidi w:val="0"/>
              <w:spacing w:before="0" w:after="0"/>
              <w:ind w:left="0" w:right="0" w:hanging="0"/>
              <w:jc w:val="left"/>
              <w:rPr/>
            </w:pPr>
            <w:r>
              <w:rPr/>
              <w:t xml:space="preserve">  </w:t>
            </w:r>
          </w:p>
        </w:tc>
        <w:tc>
          <w:tcPr>
            <w:tcW w:w="109" w:type="dxa"/>
            <w:tcBorders/>
            <w:vAlign w:val="center"/>
          </w:tcPr>
          <w:p>
            <w:pPr>
              <w:pStyle w:val="TableContents"/>
              <w:pBdr/>
              <w:bidi w:val="0"/>
              <w:spacing w:before="0" w:after="0"/>
              <w:ind w:left="0" w:right="0" w:hanging="0"/>
              <w:jc w:val="right"/>
              <w:rPr/>
            </w:pPr>
            <w:r>
              <w:rPr/>
              <w:t xml:space="preserve">  </w:t>
            </w:r>
          </w:p>
        </w:tc>
        <w:tc>
          <w:tcPr>
            <w:tcW w:w="170" w:type="dxa"/>
            <w:tcBorders/>
            <w:vAlign w:val="center"/>
          </w:tcPr>
          <w:p>
            <w:pPr>
              <w:pStyle w:val="TableContents"/>
              <w:pBdr/>
              <w:bidi w:val="0"/>
              <w:spacing w:before="0" w:after="0"/>
              <w:ind w:left="0" w:right="0" w:hanging="0"/>
              <w:jc w:val="right"/>
              <w:rPr/>
            </w:pPr>
            <w:r>
              <w:rPr/>
              <w:t xml:space="preserve">  </w:t>
            </w:r>
          </w:p>
        </w:tc>
        <w:tc>
          <w:tcPr>
            <w:tcW w:w="10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24,947,851 </w:t>
            </w:r>
          </w:p>
        </w:tc>
        <w:tc>
          <w:tcPr>
            <w:tcW w:w="108" w:type="dxa"/>
            <w:tcBorders/>
            <w:vAlign w:val="center"/>
          </w:tcPr>
          <w:p>
            <w:pPr>
              <w:pStyle w:val="TableContents"/>
              <w:pBdr/>
              <w:bidi w:val="0"/>
              <w:spacing w:before="0" w:after="0"/>
              <w:ind w:left="0" w:right="0" w:hanging="0"/>
              <w:jc w:val="left"/>
              <w:rPr/>
            </w:pPr>
            <w:r>
              <w:rPr/>
              <w:t xml:space="preserve">  </w:t>
            </w:r>
          </w:p>
        </w:tc>
        <w:tc>
          <w:tcPr>
            <w:tcW w:w="97" w:type="dxa"/>
            <w:tcBorders/>
            <w:vAlign w:val="center"/>
          </w:tcPr>
          <w:p>
            <w:pPr>
              <w:pStyle w:val="TableContents"/>
              <w:pBdr/>
              <w:bidi w:val="0"/>
              <w:spacing w:before="0" w:after="0"/>
              <w:ind w:left="0" w:right="0" w:hanging="0"/>
              <w:jc w:val="left"/>
              <w:rPr/>
            </w:pPr>
            <w:r>
              <w:rPr/>
              <w:t xml:space="preserve">  </w:t>
            </w:r>
          </w:p>
        </w:tc>
        <w:tc>
          <w:tcPr>
            <w:tcW w:w="153" w:type="dxa"/>
            <w:tcBorders/>
            <w:vAlign w:val="center"/>
          </w:tcPr>
          <w:p>
            <w:pPr>
              <w:pStyle w:val="TableContents"/>
              <w:pBdr/>
              <w:bidi w:val="0"/>
              <w:spacing w:before="0" w:after="0"/>
              <w:ind w:left="0" w:right="0" w:hanging="0"/>
              <w:jc w:val="left"/>
              <w:rPr/>
            </w:pPr>
            <w:r>
              <w:rPr/>
              <w:t xml:space="preserve">  </w:t>
            </w:r>
          </w:p>
        </w:tc>
        <w:tc>
          <w:tcPr>
            <w:tcW w:w="9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23,958,184 </w:t>
            </w:r>
          </w:p>
        </w:tc>
        <w:tc>
          <w:tcPr>
            <w:tcW w:w="98" w:type="dxa"/>
            <w:tcBorders/>
            <w:vAlign w:val="center"/>
          </w:tcPr>
          <w:p>
            <w:pPr>
              <w:pStyle w:val="TableContents"/>
              <w:pBdr/>
              <w:bidi w:val="0"/>
              <w:spacing w:before="0" w:after="0"/>
              <w:ind w:left="0" w:right="0" w:hanging="0"/>
              <w:jc w:val="left"/>
              <w:rPr/>
            </w:pPr>
            <w:r>
              <w:rPr/>
              <w:t xml:space="preserve">  </w:t>
            </w:r>
          </w:p>
        </w:tc>
        <w:tc>
          <w:tcPr>
            <w:tcW w:w="98" w:type="dxa"/>
            <w:tcBorders/>
            <w:vAlign w:val="center"/>
          </w:tcPr>
          <w:p>
            <w:pPr>
              <w:pStyle w:val="TableContents"/>
              <w:pBdr/>
              <w:bidi w:val="0"/>
              <w:spacing w:before="0" w:after="0"/>
              <w:ind w:left="0" w:right="0" w:hanging="0"/>
              <w:jc w:val="left"/>
              <w:rPr/>
            </w:pPr>
            <w:r>
              <w:rPr/>
              <w:t xml:space="preserve">  </w:t>
            </w:r>
          </w:p>
        </w:tc>
        <w:tc>
          <w:tcPr>
            <w:tcW w:w="153" w:type="dxa"/>
            <w:tcBorders/>
            <w:vAlign w:val="center"/>
          </w:tcPr>
          <w:p>
            <w:pPr>
              <w:pStyle w:val="TableContents"/>
              <w:pBdr/>
              <w:bidi w:val="0"/>
              <w:spacing w:before="0" w:after="0"/>
              <w:ind w:left="0" w:right="0" w:hanging="0"/>
              <w:jc w:val="left"/>
              <w:rPr/>
            </w:pPr>
            <w:r>
              <w:rPr/>
              <w:t xml:space="preserve">  </w:t>
            </w:r>
          </w:p>
        </w:tc>
        <w:tc>
          <w:tcPr>
            <w:tcW w:w="9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25,189,147 </w:t>
            </w:r>
          </w:p>
        </w:tc>
        <w:tc>
          <w:tcPr>
            <w:tcW w:w="136" w:type="dxa"/>
            <w:tcBorders/>
            <w:vAlign w:val="center"/>
          </w:tcPr>
          <w:p>
            <w:pPr>
              <w:pStyle w:val="TableContents"/>
              <w:pBdr/>
              <w:bidi w:val="0"/>
              <w:spacing w:before="0" w:after="0"/>
              <w:ind w:left="0" w:right="0" w:hanging="0"/>
              <w:jc w:val="left"/>
              <w:rPr/>
            </w:pPr>
            <w:r>
              <w:rPr/>
              <w:t xml:space="preserve">  </w:t>
            </w:r>
          </w:p>
        </w:tc>
      </w:tr>
      <w:tr>
        <w:trPr/>
        <w:tc>
          <w:tcPr>
            <w:tcW w:w="4594" w:type="dxa"/>
            <w:tcBorders/>
            <w:shd w:fill="CCEEFF" w:val="clear"/>
            <w:vAlign w:val="center"/>
          </w:tcPr>
          <w:p>
            <w:pPr>
              <w:pStyle w:val="TableContents"/>
              <w:pBdr/>
              <w:bidi w:val="0"/>
              <w:spacing w:before="0" w:after="0"/>
              <w:ind w:left="0" w:right="0" w:hanging="0"/>
              <w:jc w:val="left"/>
              <w:rPr>
                <w:rFonts w:ascii="times new roman;times" w:hAnsi="times new roman;times"/>
                <w:b/>
                <w:sz w:val="20"/>
              </w:rPr>
            </w:pPr>
            <w:r>
              <w:rPr>
                <w:rFonts w:ascii="times new roman;times" w:hAnsi="times new roman;times"/>
                <w:b/>
                <w:sz w:val="20"/>
              </w:rPr>
              <w:t xml:space="preserve">GAAP diluted income (loss) per share </w:t>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170"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0.11</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9" w:type="dxa"/>
            <w:tcBorders/>
            <w:shd w:fill="CCEEFF" w:val="clear"/>
            <w:vAlign w:val="center"/>
          </w:tcPr>
          <w:p>
            <w:pPr>
              <w:pStyle w:val="TableContents"/>
              <w:pBdr/>
              <w:bidi w:val="0"/>
              <w:spacing w:before="0" w:after="0"/>
              <w:ind w:left="0" w:right="0" w:hanging="0"/>
              <w:jc w:val="right"/>
              <w:rPr/>
            </w:pPr>
            <w:r>
              <w:rPr/>
              <w:t xml:space="preserve">  </w:t>
            </w:r>
          </w:p>
        </w:tc>
        <w:tc>
          <w:tcPr>
            <w:tcW w:w="170"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0.97</w:t>
            </w:r>
          </w:p>
        </w:tc>
        <w:tc>
          <w:tcPr>
            <w:tcW w:w="108"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7" w:type="dxa"/>
            <w:tcBorders/>
            <w:shd w:fill="CCEEFF" w:val="clear"/>
            <w:vAlign w:val="center"/>
          </w:tcPr>
          <w:p>
            <w:pPr>
              <w:pStyle w:val="TableContents"/>
              <w:pBdr/>
              <w:bidi w:val="0"/>
              <w:spacing w:before="0" w:after="0"/>
              <w:ind w:left="0" w:right="0" w:hanging="0"/>
              <w:jc w:val="left"/>
              <w:rPr/>
            </w:pPr>
            <w:r>
              <w:rPr/>
              <w:t xml:space="preserve">  </w:t>
            </w:r>
          </w:p>
        </w:tc>
        <w:tc>
          <w:tcPr>
            <w:tcW w:w="153"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(0.02)</w:t>
            </w:r>
          </w:p>
        </w:tc>
        <w:tc>
          <w:tcPr>
            <w:tcW w:w="98"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153"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0.83</w:t>
            </w:r>
          </w:p>
        </w:tc>
        <w:tc>
          <w:tcPr>
            <w:tcW w:w="136"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4594"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Non-GAAP net income (loss)</w:t>
            </w:r>
          </w:p>
        </w:tc>
        <w:tc>
          <w:tcPr>
            <w:tcW w:w="98" w:type="dxa"/>
            <w:tcBorders/>
            <w:vAlign w:val="center"/>
          </w:tcPr>
          <w:p>
            <w:pPr>
              <w:pStyle w:val="TableContents"/>
              <w:pBdr/>
              <w:bidi w:val="0"/>
              <w:spacing w:before="0" w:after="0"/>
              <w:ind w:left="0" w:right="0" w:hanging="0"/>
              <w:jc w:val="left"/>
              <w:rPr/>
            </w:pPr>
            <w:r>
              <w:rPr/>
              <w:t xml:space="preserve">  </w:t>
            </w:r>
          </w:p>
        </w:tc>
        <w:tc>
          <w:tcPr>
            <w:tcW w:w="170"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(1,201)</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pBdr/>
              <w:bidi w:val="0"/>
              <w:spacing w:before="0" w:after="0"/>
              <w:ind w:left="0" w:right="0" w:hanging="0"/>
              <w:jc w:val="right"/>
              <w:rPr/>
            </w:pPr>
            <w:r>
              <w:rPr/>
              <w:t xml:space="preserve">  </w:t>
            </w:r>
          </w:p>
        </w:tc>
        <w:tc>
          <w:tcPr>
            <w:tcW w:w="170"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(2,292 </w:t>
            </w:r>
          </w:p>
        </w:tc>
        <w:tc>
          <w:tcPr>
            <w:tcW w:w="108"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7" w:type="dxa"/>
            <w:tcBorders/>
            <w:vAlign w:val="center"/>
          </w:tcPr>
          <w:p>
            <w:pPr>
              <w:pStyle w:val="TableContents"/>
              <w:pBdr/>
              <w:bidi w:val="0"/>
              <w:spacing w:before="0" w:after="0"/>
              <w:ind w:left="0" w:right="0" w:hanging="0"/>
              <w:jc w:val="left"/>
              <w:rPr/>
            </w:pPr>
            <w:r>
              <w:rPr/>
              <w:t xml:space="preserve">  </w:t>
            </w:r>
          </w:p>
        </w:tc>
        <w:tc>
          <w:tcPr>
            <w:tcW w:w="153"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(5,285)</w:t>
            </w:r>
          </w:p>
        </w:tc>
        <w:tc>
          <w:tcPr>
            <w:tcW w:w="98" w:type="dxa"/>
            <w:tcBorders/>
            <w:vAlign w:val="center"/>
          </w:tcPr>
          <w:p>
            <w:pPr>
              <w:pStyle w:val="TableContents"/>
              <w:bidi w:val="0"/>
              <w:spacing w:before="0" w:after="283"/>
              <w:ind w:left="0" w:right="0" w:hanging="0"/>
              <w:jc w:val="left"/>
              <w:rPr>
                <w:sz w:val="4"/>
                <w:szCs w:val="4"/>
              </w:rPr>
            </w:pPr>
            <w:r>
              <w:rPr>
                <w:sz w:val="4"/>
                <w:szCs w:val="4"/>
              </w:rPr>
            </w:r>
          </w:p>
        </w:tc>
        <w:tc>
          <w:tcPr>
            <w:tcW w:w="98" w:type="dxa"/>
            <w:tcBorders/>
            <w:vAlign w:val="center"/>
          </w:tcPr>
          <w:p>
            <w:pPr>
              <w:pStyle w:val="TableContents"/>
              <w:pBdr/>
              <w:bidi w:val="0"/>
              <w:spacing w:before="0" w:after="0"/>
              <w:ind w:left="0" w:right="0" w:hanging="0"/>
              <w:jc w:val="left"/>
              <w:rPr/>
            </w:pPr>
            <w:r>
              <w:rPr/>
              <w:t xml:space="preserve">  </w:t>
            </w:r>
          </w:p>
        </w:tc>
        <w:tc>
          <w:tcPr>
            <w:tcW w:w="153"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(5,165 </w:t>
            </w:r>
          </w:p>
        </w:tc>
        <w:tc>
          <w:tcPr>
            <w:tcW w:w="136"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r>
        <w:trPr/>
        <w:tc>
          <w:tcPr>
            <w:tcW w:w="4594"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Number of shares used in computing Non-GAAP diluted income (loss) per share </w:t>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170" w:type="dxa"/>
            <w:tcBorders/>
            <w:shd w:fill="CCEEFF" w:val="clear"/>
            <w:vAlign w:val="center"/>
          </w:tcPr>
          <w:p>
            <w:pPr>
              <w:pStyle w:val="TableContents"/>
              <w:pBdr/>
              <w:bidi w:val="0"/>
              <w:spacing w:before="0" w:after="0"/>
              <w:ind w:left="0" w:right="0" w:hanging="0"/>
              <w:jc w:val="right"/>
              <w:rPr/>
            </w:pPr>
            <w:r>
              <w:rPr/>
              <w:t xml:space="preserve">  </w:t>
            </w:r>
          </w:p>
        </w:tc>
        <w:tc>
          <w:tcPr>
            <w:tcW w:w="10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23,960,776 </w:t>
            </w:r>
          </w:p>
        </w:tc>
        <w:tc>
          <w:tcPr>
            <w:tcW w:w="109" w:type="dxa"/>
            <w:tcBorders/>
            <w:shd w:fill="CCEEFF" w:val="clear"/>
            <w:vAlign w:val="center"/>
          </w:tcPr>
          <w:p>
            <w:pPr>
              <w:pStyle w:val="TableContents"/>
              <w:pBdr/>
              <w:bidi w:val="0"/>
              <w:spacing w:before="0" w:after="0"/>
              <w:ind w:left="0" w:right="0" w:hanging="0"/>
              <w:jc w:val="left"/>
              <w:rPr/>
            </w:pPr>
            <w:r>
              <w:rPr/>
              <w:t xml:space="preserve">  </w:t>
            </w:r>
          </w:p>
        </w:tc>
        <w:tc>
          <w:tcPr>
            <w:tcW w:w="109" w:type="dxa"/>
            <w:tcBorders/>
            <w:shd w:fill="CCEEFF" w:val="clear"/>
            <w:vAlign w:val="center"/>
          </w:tcPr>
          <w:p>
            <w:pPr>
              <w:pStyle w:val="TableContents"/>
              <w:pBdr/>
              <w:bidi w:val="0"/>
              <w:spacing w:before="0" w:after="0"/>
              <w:ind w:left="0" w:right="0" w:hanging="0"/>
              <w:jc w:val="right"/>
              <w:rPr/>
            </w:pPr>
            <w:r>
              <w:rPr/>
              <w:t xml:space="preserve">  </w:t>
            </w:r>
          </w:p>
        </w:tc>
        <w:tc>
          <w:tcPr>
            <w:tcW w:w="170" w:type="dxa"/>
            <w:tcBorders/>
            <w:shd w:fill="CCEEFF" w:val="clear"/>
            <w:vAlign w:val="center"/>
          </w:tcPr>
          <w:p>
            <w:pPr>
              <w:pStyle w:val="TableContents"/>
              <w:pBdr/>
              <w:bidi w:val="0"/>
              <w:spacing w:before="0" w:after="0"/>
              <w:ind w:left="0" w:right="0" w:hanging="0"/>
              <w:jc w:val="right"/>
              <w:rPr/>
            </w:pPr>
            <w:r>
              <w:rPr/>
              <w:t xml:space="preserve">  </w:t>
            </w:r>
          </w:p>
        </w:tc>
        <w:tc>
          <w:tcPr>
            <w:tcW w:w="10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24,947,851 </w:t>
            </w:r>
          </w:p>
        </w:tc>
        <w:tc>
          <w:tcPr>
            <w:tcW w:w="108" w:type="dxa"/>
            <w:tcBorders/>
            <w:shd w:fill="CCEEFF" w:val="clear"/>
            <w:vAlign w:val="center"/>
          </w:tcPr>
          <w:p>
            <w:pPr>
              <w:pStyle w:val="TableContents"/>
              <w:pBdr/>
              <w:bidi w:val="0"/>
              <w:spacing w:before="0" w:after="0"/>
              <w:ind w:left="0" w:right="0" w:hanging="0"/>
              <w:jc w:val="left"/>
              <w:rPr/>
            </w:pPr>
            <w:r>
              <w:rPr/>
              <w:t xml:space="preserve">  </w:t>
            </w:r>
          </w:p>
        </w:tc>
        <w:tc>
          <w:tcPr>
            <w:tcW w:w="97" w:type="dxa"/>
            <w:tcBorders/>
            <w:shd w:fill="CCEEFF" w:val="clear"/>
            <w:vAlign w:val="center"/>
          </w:tcPr>
          <w:p>
            <w:pPr>
              <w:pStyle w:val="TableContents"/>
              <w:pBdr/>
              <w:bidi w:val="0"/>
              <w:spacing w:before="0" w:after="0"/>
              <w:ind w:left="0" w:right="0" w:hanging="0"/>
              <w:jc w:val="left"/>
              <w:rPr/>
            </w:pPr>
            <w:r>
              <w:rPr/>
              <w:t xml:space="preserve">  </w:t>
            </w:r>
          </w:p>
        </w:tc>
        <w:tc>
          <w:tcPr>
            <w:tcW w:w="153" w:type="dxa"/>
            <w:tcBorders/>
            <w:shd w:fill="CCEEFF" w:val="clear"/>
            <w:vAlign w:val="center"/>
          </w:tcPr>
          <w:p>
            <w:pPr>
              <w:pStyle w:val="TableContents"/>
              <w:pBdr/>
              <w:bidi w:val="0"/>
              <w:spacing w:before="0" w:after="0"/>
              <w:ind w:left="0" w:right="0" w:hanging="0"/>
              <w:jc w:val="left"/>
              <w:rPr/>
            </w:pPr>
            <w:r>
              <w:rPr/>
              <w:t xml:space="preserve">  </w:t>
            </w:r>
          </w:p>
        </w:tc>
        <w:tc>
          <w:tcPr>
            <w:tcW w:w="9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23,958,184 </w:t>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153" w:type="dxa"/>
            <w:tcBorders/>
            <w:shd w:fill="CCEEFF" w:val="clear"/>
            <w:vAlign w:val="center"/>
          </w:tcPr>
          <w:p>
            <w:pPr>
              <w:pStyle w:val="TableContents"/>
              <w:pBdr/>
              <w:bidi w:val="0"/>
              <w:spacing w:before="0" w:after="0"/>
              <w:ind w:left="0" w:right="0" w:hanging="0"/>
              <w:jc w:val="left"/>
              <w:rPr/>
            </w:pPr>
            <w:r>
              <w:rPr/>
              <w:t xml:space="preserve">  </w:t>
            </w:r>
          </w:p>
        </w:tc>
        <w:tc>
          <w:tcPr>
            <w:tcW w:w="9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25,189,147 </w:t>
            </w:r>
          </w:p>
        </w:tc>
        <w:tc>
          <w:tcPr>
            <w:tcW w:w="136" w:type="dxa"/>
            <w:tcBorders/>
            <w:shd w:fill="CCEEFF" w:val="clear"/>
            <w:vAlign w:val="center"/>
          </w:tcPr>
          <w:p>
            <w:pPr>
              <w:pStyle w:val="TableContents"/>
              <w:pBdr/>
              <w:bidi w:val="0"/>
              <w:spacing w:before="0" w:after="0"/>
              <w:ind w:left="0" w:right="0" w:hanging="0"/>
              <w:jc w:val="left"/>
              <w:rPr/>
            </w:pPr>
            <w:r>
              <w:rPr/>
              <w:t xml:space="preserve">  </w:t>
            </w:r>
          </w:p>
        </w:tc>
      </w:tr>
      <w:tr>
        <w:trPr/>
        <w:tc>
          <w:tcPr>
            <w:tcW w:w="4594" w:type="dxa"/>
            <w:tcBorders/>
            <w:vAlign w:val="center"/>
          </w:tcPr>
          <w:p>
            <w:pPr>
              <w:pStyle w:val="TableContents"/>
              <w:pBdr/>
              <w:bidi w:val="0"/>
              <w:spacing w:before="0" w:after="0"/>
              <w:ind w:left="0" w:right="0" w:hanging="0"/>
              <w:jc w:val="left"/>
              <w:rPr>
                <w:rFonts w:ascii="times new roman;times" w:hAnsi="times new roman;times"/>
                <w:b/>
                <w:sz w:val="20"/>
              </w:rPr>
            </w:pPr>
            <w:r>
              <w:rPr>
                <w:rFonts w:ascii="times new roman;times" w:hAnsi="times new roman;times"/>
                <w:b/>
                <w:sz w:val="20"/>
              </w:rPr>
              <w:t xml:space="preserve">Non-GAAP diluted income (loss) per share </w:t>
            </w:r>
          </w:p>
        </w:tc>
        <w:tc>
          <w:tcPr>
            <w:tcW w:w="98" w:type="dxa"/>
            <w:tcBorders/>
            <w:vAlign w:val="center"/>
          </w:tcPr>
          <w:p>
            <w:pPr>
              <w:pStyle w:val="TableContents"/>
              <w:pBdr/>
              <w:bidi w:val="0"/>
              <w:spacing w:before="0" w:after="0"/>
              <w:ind w:left="0" w:right="0" w:hanging="0"/>
              <w:jc w:val="left"/>
              <w:rPr/>
            </w:pPr>
            <w:r>
              <w:rPr/>
              <w:t xml:space="preserve">  </w:t>
            </w:r>
          </w:p>
        </w:tc>
        <w:tc>
          <w:tcPr>
            <w:tcW w:w="170"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(0.05)</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pBdr/>
              <w:bidi w:val="0"/>
              <w:spacing w:before="0" w:after="0"/>
              <w:ind w:left="0" w:right="0" w:hanging="0"/>
              <w:jc w:val="right"/>
              <w:rPr/>
            </w:pPr>
            <w:r>
              <w:rPr/>
              <w:t xml:space="preserve">  </w:t>
            </w:r>
          </w:p>
        </w:tc>
        <w:tc>
          <w:tcPr>
            <w:tcW w:w="170"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(0.09 </w:t>
            </w:r>
          </w:p>
        </w:tc>
        <w:tc>
          <w:tcPr>
            <w:tcW w:w="108"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7" w:type="dxa"/>
            <w:tcBorders/>
            <w:vAlign w:val="center"/>
          </w:tcPr>
          <w:p>
            <w:pPr>
              <w:pStyle w:val="TableContents"/>
              <w:pBdr/>
              <w:bidi w:val="0"/>
              <w:spacing w:before="0" w:after="0"/>
              <w:ind w:left="0" w:right="0" w:hanging="0"/>
              <w:jc w:val="left"/>
              <w:rPr/>
            </w:pPr>
            <w:r>
              <w:rPr/>
              <w:t xml:space="preserve">  </w:t>
            </w:r>
          </w:p>
        </w:tc>
        <w:tc>
          <w:tcPr>
            <w:tcW w:w="153"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(0.22)</w:t>
            </w:r>
          </w:p>
        </w:tc>
        <w:tc>
          <w:tcPr>
            <w:tcW w:w="98" w:type="dxa"/>
            <w:tcBorders/>
            <w:vAlign w:val="center"/>
          </w:tcPr>
          <w:p>
            <w:pPr>
              <w:pStyle w:val="TableContents"/>
              <w:bidi w:val="0"/>
              <w:spacing w:before="0" w:after="283"/>
              <w:ind w:left="0" w:right="0" w:hanging="0"/>
              <w:jc w:val="left"/>
              <w:rPr>
                <w:sz w:val="4"/>
                <w:szCs w:val="4"/>
              </w:rPr>
            </w:pPr>
            <w:r>
              <w:rPr>
                <w:sz w:val="4"/>
                <w:szCs w:val="4"/>
              </w:rPr>
            </w:r>
          </w:p>
        </w:tc>
        <w:tc>
          <w:tcPr>
            <w:tcW w:w="98" w:type="dxa"/>
            <w:tcBorders/>
            <w:vAlign w:val="center"/>
          </w:tcPr>
          <w:p>
            <w:pPr>
              <w:pStyle w:val="TableContents"/>
              <w:pBdr/>
              <w:bidi w:val="0"/>
              <w:spacing w:before="0" w:after="0"/>
              <w:ind w:left="0" w:right="0" w:hanging="0"/>
              <w:jc w:val="left"/>
              <w:rPr/>
            </w:pPr>
            <w:r>
              <w:rPr/>
              <w:t xml:space="preserve">  </w:t>
            </w:r>
          </w:p>
        </w:tc>
        <w:tc>
          <w:tcPr>
            <w:tcW w:w="153"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(0.19 </w:t>
            </w:r>
          </w:p>
        </w:tc>
        <w:tc>
          <w:tcPr>
            <w:tcW w:w="136"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r>
        <w:trPr/>
        <w:tc>
          <w:tcPr>
            <w:tcW w:w="4594" w:type="dxa"/>
            <w:tcBorders/>
            <w:shd w:fill="CCEEFF" w:val="clear"/>
            <w:vAlign w:val="center"/>
          </w:tcPr>
          <w:p>
            <w:pPr>
              <w:pStyle w:val="TableContents"/>
              <w:pBdr/>
              <w:bidi w:val="0"/>
              <w:spacing w:before="0" w:after="0"/>
              <w:ind w:left="0" w:right="0" w:hanging="0"/>
              <w:jc w:val="right"/>
              <w:rPr/>
            </w:pPr>
            <w:r>
              <w:rPr/>
              <w:t xml:space="preserve">  </w:t>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170" w:type="dxa"/>
            <w:tcBorders/>
            <w:shd w:fill="CCEEFF" w:val="clear"/>
            <w:vAlign w:val="center"/>
          </w:tcPr>
          <w:p>
            <w:pPr>
              <w:pStyle w:val="TableContents"/>
              <w:pBdr/>
              <w:bidi w:val="0"/>
              <w:spacing w:before="0" w:after="0"/>
              <w:ind w:left="0" w:right="0" w:hanging="0"/>
              <w:jc w:val="right"/>
              <w:rPr/>
            </w:pPr>
            <w:r>
              <w:rPr/>
              <w:t xml:space="preserve">  </w:t>
            </w:r>
          </w:p>
        </w:tc>
        <w:tc>
          <w:tcPr>
            <w:tcW w:w="1078" w:type="dxa"/>
            <w:tcBorders/>
            <w:shd w:fill="CCEEFF" w:val="clear"/>
            <w:vAlign w:val="center"/>
          </w:tcPr>
          <w:p>
            <w:pPr>
              <w:pStyle w:val="TableContents"/>
              <w:pBdr/>
              <w:bidi w:val="0"/>
              <w:spacing w:before="0" w:after="0"/>
              <w:ind w:left="0" w:right="0" w:hanging="0"/>
              <w:jc w:val="right"/>
              <w:rPr/>
            </w:pPr>
            <w:r>
              <w:rPr/>
              <w:t xml:space="preserve">  </w:t>
            </w:r>
          </w:p>
        </w:tc>
        <w:tc>
          <w:tcPr>
            <w:tcW w:w="109" w:type="dxa"/>
            <w:tcBorders/>
            <w:shd w:fill="CCEEFF" w:val="clear"/>
            <w:vAlign w:val="center"/>
          </w:tcPr>
          <w:p>
            <w:pPr>
              <w:pStyle w:val="TableContents"/>
              <w:pBdr/>
              <w:bidi w:val="0"/>
              <w:spacing w:before="0" w:after="0"/>
              <w:ind w:left="0" w:right="0" w:hanging="0"/>
              <w:jc w:val="left"/>
              <w:rPr/>
            </w:pPr>
            <w:r>
              <w:rPr/>
              <w:t xml:space="preserve">  </w:t>
            </w:r>
          </w:p>
        </w:tc>
        <w:tc>
          <w:tcPr>
            <w:tcW w:w="109" w:type="dxa"/>
            <w:tcBorders/>
            <w:shd w:fill="CCEEFF" w:val="clear"/>
            <w:vAlign w:val="center"/>
          </w:tcPr>
          <w:p>
            <w:pPr>
              <w:pStyle w:val="TableContents"/>
              <w:pBdr/>
              <w:bidi w:val="0"/>
              <w:spacing w:before="0" w:after="0"/>
              <w:ind w:left="0" w:right="0" w:hanging="0"/>
              <w:jc w:val="right"/>
              <w:rPr/>
            </w:pPr>
            <w:r>
              <w:rPr/>
              <w:t xml:space="preserve">  </w:t>
            </w:r>
          </w:p>
        </w:tc>
        <w:tc>
          <w:tcPr>
            <w:tcW w:w="170" w:type="dxa"/>
            <w:tcBorders/>
            <w:shd w:fill="CCEEFF" w:val="clear"/>
            <w:vAlign w:val="center"/>
          </w:tcPr>
          <w:p>
            <w:pPr>
              <w:pStyle w:val="TableContents"/>
              <w:pBdr/>
              <w:bidi w:val="0"/>
              <w:spacing w:before="0" w:after="0"/>
              <w:ind w:left="0" w:right="0" w:hanging="0"/>
              <w:jc w:val="right"/>
              <w:rPr/>
            </w:pPr>
            <w:r>
              <w:rPr/>
              <w:t xml:space="preserve">  </w:t>
            </w:r>
          </w:p>
        </w:tc>
        <w:tc>
          <w:tcPr>
            <w:tcW w:w="1078" w:type="dxa"/>
            <w:tcBorders/>
            <w:shd w:fill="CCEEFF" w:val="clear"/>
            <w:vAlign w:val="center"/>
          </w:tcPr>
          <w:p>
            <w:pPr>
              <w:pStyle w:val="TableContents"/>
              <w:pBdr/>
              <w:bidi w:val="0"/>
              <w:spacing w:before="0" w:after="0"/>
              <w:ind w:left="0" w:right="0" w:hanging="0"/>
              <w:jc w:val="right"/>
              <w:rPr/>
            </w:pPr>
            <w:r>
              <w:rPr/>
              <w:t xml:space="preserve">  </w:t>
            </w:r>
          </w:p>
        </w:tc>
        <w:tc>
          <w:tcPr>
            <w:tcW w:w="108" w:type="dxa"/>
            <w:tcBorders/>
            <w:shd w:fill="CCEEFF" w:val="clear"/>
            <w:vAlign w:val="center"/>
          </w:tcPr>
          <w:p>
            <w:pPr>
              <w:pStyle w:val="TableContents"/>
              <w:pBdr/>
              <w:bidi w:val="0"/>
              <w:spacing w:before="0" w:after="0"/>
              <w:ind w:left="0" w:right="0" w:hanging="0"/>
              <w:jc w:val="left"/>
              <w:rPr/>
            </w:pPr>
            <w:r>
              <w:rPr/>
              <w:t xml:space="preserve">  </w:t>
            </w:r>
          </w:p>
        </w:tc>
        <w:tc>
          <w:tcPr>
            <w:tcW w:w="97" w:type="dxa"/>
            <w:tcBorders/>
            <w:shd w:fill="CCEEFF" w:val="clear"/>
            <w:vAlign w:val="center"/>
          </w:tcPr>
          <w:p>
            <w:pPr>
              <w:pStyle w:val="TableContents"/>
              <w:pBdr/>
              <w:bidi w:val="0"/>
              <w:spacing w:before="0" w:after="0"/>
              <w:ind w:left="0" w:right="0" w:hanging="0"/>
              <w:jc w:val="left"/>
              <w:rPr/>
            </w:pPr>
            <w:r>
              <w:rPr/>
              <w:t xml:space="preserve">  </w:t>
            </w:r>
          </w:p>
        </w:tc>
        <w:tc>
          <w:tcPr>
            <w:tcW w:w="153" w:type="dxa"/>
            <w:tcBorders/>
            <w:shd w:fill="CCEEFF" w:val="clear"/>
            <w:vAlign w:val="center"/>
          </w:tcPr>
          <w:p>
            <w:pPr>
              <w:pStyle w:val="TableContents"/>
              <w:pBdr/>
              <w:bidi w:val="0"/>
              <w:spacing w:before="0" w:after="0"/>
              <w:ind w:left="0" w:right="0" w:hanging="0"/>
              <w:jc w:val="left"/>
              <w:rPr/>
            </w:pPr>
            <w:r>
              <w:rPr/>
              <w:t xml:space="preserve">  </w:t>
            </w:r>
          </w:p>
        </w:tc>
        <w:tc>
          <w:tcPr>
            <w:tcW w:w="978" w:type="dxa"/>
            <w:tcBorders/>
            <w:shd w:fill="CCEEFF" w:val="clear"/>
            <w:vAlign w:val="center"/>
          </w:tcPr>
          <w:p>
            <w:pPr>
              <w:pStyle w:val="TableContents"/>
              <w:pBdr/>
              <w:bidi w:val="0"/>
              <w:spacing w:before="0" w:after="0"/>
              <w:ind w:left="0" w:right="0" w:hanging="0"/>
              <w:jc w:val="right"/>
              <w:rPr/>
            </w:pPr>
            <w:r>
              <w:rPr/>
              <w:t xml:space="preserve">  </w:t>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153" w:type="dxa"/>
            <w:tcBorders/>
            <w:shd w:fill="CCEEFF" w:val="clear"/>
            <w:vAlign w:val="center"/>
          </w:tcPr>
          <w:p>
            <w:pPr>
              <w:pStyle w:val="TableContents"/>
              <w:pBdr/>
              <w:bidi w:val="0"/>
              <w:spacing w:before="0" w:after="0"/>
              <w:ind w:left="0" w:right="0" w:hanging="0"/>
              <w:jc w:val="left"/>
              <w:rPr/>
            </w:pPr>
            <w:r>
              <w:rPr/>
              <w:t xml:space="preserve">  </w:t>
            </w:r>
          </w:p>
        </w:tc>
        <w:tc>
          <w:tcPr>
            <w:tcW w:w="978" w:type="dxa"/>
            <w:tcBorders/>
            <w:shd w:fill="CCEEFF" w:val="clear"/>
            <w:vAlign w:val="center"/>
          </w:tcPr>
          <w:p>
            <w:pPr>
              <w:pStyle w:val="TableContents"/>
              <w:pBdr/>
              <w:bidi w:val="0"/>
              <w:spacing w:before="0" w:after="0"/>
              <w:ind w:left="0" w:right="0" w:hanging="0"/>
              <w:jc w:val="right"/>
              <w:rPr/>
            </w:pPr>
            <w:r>
              <w:rPr/>
              <w:t xml:space="preserve">  </w:t>
            </w:r>
          </w:p>
        </w:tc>
        <w:tc>
          <w:tcPr>
            <w:tcW w:w="136" w:type="dxa"/>
            <w:tcBorders/>
            <w:shd w:fill="CCEEFF" w:val="clear"/>
            <w:vAlign w:val="center"/>
          </w:tcPr>
          <w:p>
            <w:pPr>
              <w:pStyle w:val="TableContents"/>
              <w:pBdr/>
              <w:bidi w:val="0"/>
              <w:spacing w:before="0" w:after="0"/>
              <w:ind w:left="0" w:right="0" w:hanging="0"/>
              <w:jc w:val="left"/>
              <w:rPr/>
            </w:pPr>
            <w:r>
              <w:rPr/>
              <w:t xml:space="preserve">  </w:t>
            </w:r>
          </w:p>
        </w:tc>
      </w:tr>
      <w:tr>
        <w:trPr/>
        <w:tc>
          <w:tcPr>
            <w:tcW w:w="4594" w:type="dxa"/>
            <w:tcBorders/>
            <w:vAlign w:val="center"/>
          </w:tcPr>
          <w:p>
            <w:pPr>
              <w:pStyle w:val="TableContents"/>
              <w:pBdr/>
              <w:bidi w:val="0"/>
              <w:spacing w:before="0" w:after="0"/>
              <w:ind w:left="0" w:right="0" w:hanging="0"/>
              <w:jc w:val="left"/>
              <w:rPr>
                <w:rFonts w:ascii="times new roman;times" w:hAnsi="times new roman;times"/>
                <w:b/>
                <w:sz w:val="20"/>
              </w:rPr>
            </w:pPr>
            <w:r>
              <w:rPr>
                <w:rFonts w:ascii="times new roman;times" w:hAnsi="times new roman;times"/>
                <w:b/>
                <w:sz w:val="20"/>
              </w:rPr>
              <w:t>GAAP net income (loss)</w:t>
            </w:r>
          </w:p>
        </w:tc>
        <w:tc>
          <w:tcPr>
            <w:tcW w:w="98" w:type="dxa"/>
            <w:tcBorders/>
            <w:vAlign w:val="center"/>
          </w:tcPr>
          <w:p>
            <w:pPr>
              <w:pStyle w:val="TableContents"/>
              <w:pBdr/>
              <w:bidi w:val="0"/>
              <w:spacing w:before="0" w:after="0"/>
              <w:ind w:left="0" w:right="0" w:hanging="0"/>
              <w:jc w:val="left"/>
              <w:rPr/>
            </w:pPr>
            <w:r>
              <w:rPr/>
              <w:t xml:space="preserve">  </w:t>
            </w:r>
          </w:p>
        </w:tc>
        <w:tc>
          <w:tcPr>
            <w:tcW w:w="170"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2,642</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pBdr/>
              <w:bidi w:val="0"/>
              <w:spacing w:before="0" w:after="0"/>
              <w:ind w:left="0" w:right="0" w:hanging="0"/>
              <w:jc w:val="right"/>
              <w:rPr/>
            </w:pPr>
            <w:r>
              <w:rPr/>
              <w:t xml:space="preserve">  </w:t>
            </w:r>
          </w:p>
        </w:tc>
        <w:tc>
          <w:tcPr>
            <w:tcW w:w="170"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24,028</w:t>
            </w:r>
          </w:p>
        </w:tc>
        <w:tc>
          <w:tcPr>
            <w:tcW w:w="108" w:type="dxa"/>
            <w:tcBorders/>
            <w:vAlign w:val="center"/>
          </w:tcPr>
          <w:p>
            <w:pPr>
              <w:pStyle w:val="TableContents"/>
              <w:bidi w:val="0"/>
              <w:spacing w:before="0" w:after="283"/>
              <w:ind w:left="0" w:right="0" w:hanging="0"/>
              <w:jc w:val="left"/>
              <w:rPr>
                <w:sz w:val="4"/>
                <w:szCs w:val="4"/>
              </w:rPr>
            </w:pPr>
            <w:r>
              <w:rPr>
                <w:sz w:val="4"/>
                <w:szCs w:val="4"/>
              </w:rPr>
            </w:r>
          </w:p>
        </w:tc>
        <w:tc>
          <w:tcPr>
            <w:tcW w:w="97" w:type="dxa"/>
            <w:tcBorders/>
            <w:vAlign w:val="center"/>
          </w:tcPr>
          <w:p>
            <w:pPr>
              <w:pStyle w:val="TableContents"/>
              <w:pBdr/>
              <w:bidi w:val="0"/>
              <w:spacing w:before="0" w:after="0"/>
              <w:ind w:left="0" w:right="0" w:hanging="0"/>
              <w:jc w:val="left"/>
              <w:rPr/>
            </w:pPr>
            <w:r>
              <w:rPr/>
              <w:t xml:space="preserve">  </w:t>
            </w:r>
          </w:p>
        </w:tc>
        <w:tc>
          <w:tcPr>
            <w:tcW w:w="153"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(560)</w:t>
            </w:r>
          </w:p>
        </w:tc>
        <w:tc>
          <w:tcPr>
            <w:tcW w:w="98" w:type="dxa"/>
            <w:tcBorders/>
            <w:vAlign w:val="center"/>
          </w:tcPr>
          <w:p>
            <w:pPr>
              <w:pStyle w:val="TableContents"/>
              <w:bidi w:val="0"/>
              <w:spacing w:before="0" w:after="283"/>
              <w:ind w:left="0" w:right="0" w:hanging="0"/>
              <w:jc w:val="left"/>
              <w:rPr>
                <w:sz w:val="4"/>
                <w:szCs w:val="4"/>
              </w:rPr>
            </w:pPr>
            <w:r>
              <w:rPr>
                <w:sz w:val="4"/>
                <w:szCs w:val="4"/>
              </w:rPr>
            </w:r>
          </w:p>
        </w:tc>
        <w:tc>
          <w:tcPr>
            <w:tcW w:w="98" w:type="dxa"/>
            <w:tcBorders/>
            <w:vAlign w:val="center"/>
          </w:tcPr>
          <w:p>
            <w:pPr>
              <w:pStyle w:val="TableContents"/>
              <w:pBdr/>
              <w:bidi w:val="0"/>
              <w:spacing w:before="0" w:after="0"/>
              <w:ind w:left="0" w:right="0" w:hanging="0"/>
              <w:jc w:val="left"/>
              <w:rPr/>
            </w:pPr>
            <w:r>
              <w:rPr/>
              <w:t xml:space="preserve">  </w:t>
            </w:r>
          </w:p>
        </w:tc>
        <w:tc>
          <w:tcPr>
            <w:tcW w:w="153"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20,556</w:t>
            </w:r>
          </w:p>
        </w:tc>
        <w:tc>
          <w:tcPr>
            <w:tcW w:w="136" w:type="dxa"/>
            <w:tcBorders/>
            <w:vAlign w:val="center"/>
          </w:tcPr>
          <w:p>
            <w:pPr>
              <w:pStyle w:val="TableContents"/>
              <w:bidi w:val="0"/>
              <w:spacing w:before="0" w:after="283"/>
              <w:ind w:left="0" w:right="0" w:hanging="0"/>
              <w:jc w:val="left"/>
              <w:rPr>
                <w:sz w:val="4"/>
                <w:szCs w:val="4"/>
              </w:rPr>
            </w:pPr>
            <w:r>
              <w:rPr>
                <w:sz w:val="4"/>
                <w:szCs w:val="4"/>
              </w:rPr>
            </w:r>
          </w:p>
        </w:tc>
      </w:tr>
      <w:tr>
        <w:trPr/>
        <w:tc>
          <w:tcPr>
            <w:tcW w:w="4594"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Stock-based compensation </w:t>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170" w:type="dxa"/>
            <w:tcBorders/>
            <w:shd w:fill="CCEEFF" w:val="clear"/>
            <w:vAlign w:val="center"/>
          </w:tcPr>
          <w:p>
            <w:pPr>
              <w:pStyle w:val="TableContents"/>
              <w:pBdr/>
              <w:bidi w:val="0"/>
              <w:spacing w:before="0" w:after="0"/>
              <w:ind w:left="0" w:right="0" w:hanging="0"/>
              <w:jc w:val="right"/>
              <w:rPr/>
            </w:pPr>
            <w:r>
              <w:rPr/>
              <w:t xml:space="preserve">  </w:t>
            </w:r>
          </w:p>
        </w:tc>
        <w:tc>
          <w:tcPr>
            <w:tcW w:w="10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28 </w:t>
            </w:r>
          </w:p>
        </w:tc>
        <w:tc>
          <w:tcPr>
            <w:tcW w:w="109" w:type="dxa"/>
            <w:tcBorders/>
            <w:shd w:fill="CCEEFF" w:val="clear"/>
            <w:vAlign w:val="center"/>
          </w:tcPr>
          <w:p>
            <w:pPr>
              <w:pStyle w:val="TableContents"/>
              <w:pBdr/>
              <w:bidi w:val="0"/>
              <w:spacing w:before="0" w:after="0"/>
              <w:ind w:left="0" w:right="0" w:hanging="0"/>
              <w:jc w:val="left"/>
              <w:rPr/>
            </w:pPr>
            <w:r>
              <w:rPr/>
              <w:t xml:space="preserve">  </w:t>
            </w:r>
          </w:p>
        </w:tc>
        <w:tc>
          <w:tcPr>
            <w:tcW w:w="109" w:type="dxa"/>
            <w:tcBorders/>
            <w:shd w:fill="CCEEFF" w:val="clear"/>
            <w:vAlign w:val="center"/>
          </w:tcPr>
          <w:p>
            <w:pPr>
              <w:pStyle w:val="TableContents"/>
              <w:pBdr/>
              <w:bidi w:val="0"/>
              <w:spacing w:before="0" w:after="0"/>
              <w:ind w:left="0" w:right="0" w:hanging="0"/>
              <w:jc w:val="right"/>
              <w:rPr/>
            </w:pPr>
            <w:r>
              <w:rPr/>
              <w:t xml:space="preserve">  </w:t>
            </w:r>
          </w:p>
        </w:tc>
        <w:tc>
          <w:tcPr>
            <w:tcW w:w="170" w:type="dxa"/>
            <w:tcBorders/>
            <w:shd w:fill="CCEEFF" w:val="clear"/>
            <w:vAlign w:val="center"/>
          </w:tcPr>
          <w:p>
            <w:pPr>
              <w:pStyle w:val="TableContents"/>
              <w:pBdr/>
              <w:bidi w:val="0"/>
              <w:spacing w:before="0" w:after="0"/>
              <w:ind w:left="0" w:right="0" w:hanging="0"/>
              <w:jc w:val="right"/>
              <w:rPr/>
            </w:pPr>
            <w:r>
              <w:rPr/>
              <w:t xml:space="preserve">  </w:t>
            </w:r>
          </w:p>
        </w:tc>
        <w:tc>
          <w:tcPr>
            <w:tcW w:w="10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24 </w:t>
            </w:r>
          </w:p>
        </w:tc>
        <w:tc>
          <w:tcPr>
            <w:tcW w:w="108" w:type="dxa"/>
            <w:tcBorders/>
            <w:shd w:fill="CCEEFF" w:val="clear"/>
            <w:vAlign w:val="center"/>
          </w:tcPr>
          <w:p>
            <w:pPr>
              <w:pStyle w:val="TableContents"/>
              <w:pBdr/>
              <w:bidi w:val="0"/>
              <w:spacing w:before="0" w:after="0"/>
              <w:ind w:left="0" w:right="0" w:hanging="0"/>
              <w:jc w:val="left"/>
              <w:rPr/>
            </w:pPr>
            <w:r>
              <w:rPr/>
              <w:t xml:space="preserve">  </w:t>
            </w:r>
          </w:p>
        </w:tc>
        <w:tc>
          <w:tcPr>
            <w:tcW w:w="97" w:type="dxa"/>
            <w:tcBorders/>
            <w:shd w:fill="CCEEFF" w:val="clear"/>
            <w:vAlign w:val="center"/>
          </w:tcPr>
          <w:p>
            <w:pPr>
              <w:pStyle w:val="TableContents"/>
              <w:pBdr/>
              <w:bidi w:val="0"/>
              <w:spacing w:before="0" w:after="0"/>
              <w:ind w:left="0" w:right="0" w:hanging="0"/>
              <w:jc w:val="left"/>
              <w:rPr/>
            </w:pPr>
            <w:r>
              <w:rPr/>
              <w:t xml:space="preserve">  </w:t>
            </w:r>
          </w:p>
        </w:tc>
        <w:tc>
          <w:tcPr>
            <w:tcW w:w="153" w:type="dxa"/>
            <w:tcBorders/>
            <w:shd w:fill="CCEEFF" w:val="clear"/>
            <w:vAlign w:val="center"/>
          </w:tcPr>
          <w:p>
            <w:pPr>
              <w:pStyle w:val="TableContents"/>
              <w:pBdr/>
              <w:bidi w:val="0"/>
              <w:spacing w:before="0" w:after="0"/>
              <w:ind w:left="0" w:right="0" w:hanging="0"/>
              <w:jc w:val="left"/>
              <w:rPr/>
            </w:pPr>
            <w:r>
              <w:rPr/>
              <w:t xml:space="preserve">  </w:t>
            </w:r>
          </w:p>
        </w:tc>
        <w:tc>
          <w:tcPr>
            <w:tcW w:w="9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108 </w:t>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153" w:type="dxa"/>
            <w:tcBorders/>
            <w:shd w:fill="CCEEFF" w:val="clear"/>
            <w:vAlign w:val="center"/>
          </w:tcPr>
          <w:p>
            <w:pPr>
              <w:pStyle w:val="TableContents"/>
              <w:pBdr/>
              <w:bidi w:val="0"/>
              <w:spacing w:before="0" w:after="0"/>
              <w:ind w:left="0" w:right="0" w:hanging="0"/>
              <w:jc w:val="left"/>
              <w:rPr/>
            </w:pPr>
            <w:r>
              <w:rPr/>
              <w:t xml:space="preserve">  </w:t>
            </w:r>
          </w:p>
        </w:tc>
        <w:tc>
          <w:tcPr>
            <w:tcW w:w="9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113 </w:t>
            </w:r>
          </w:p>
        </w:tc>
        <w:tc>
          <w:tcPr>
            <w:tcW w:w="136" w:type="dxa"/>
            <w:tcBorders/>
            <w:shd w:fill="CCEEFF" w:val="clear"/>
            <w:vAlign w:val="center"/>
          </w:tcPr>
          <w:p>
            <w:pPr>
              <w:pStyle w:val="TableContents"/>
              <w:pBdr/>
              <w:bidi w:val="0"/>
              <w:spacing w:before="0" w:after="0"/>
              <w:ind w:left="0" w:right="0" w:hanging="0"/>
              <w:jc w:val="left"/>
              <w:rPr/>
            </w:pPr>
            <w:r>
              <w:rPr/>
              <w:t xml:space="preserve">  </w:t>
            </w:r>
          </w:p>
        </w:tc>
      </w:tr>
      <w:tr>
        <w:trPr/>
        <w:tc>
          <w:tcPr>
            <w:tcW w:w="4594"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Interest expense </w:t>
            </w:r>
          </w:p>
        </w:tc>
        <w:tc>
          <w:tcPr>
            <w:tcW w:w="98" w:type="dxa"/>
            <w:tcBorders/>
            <w:vAlign w:val="center"/>
          </w:tcPr>
          <w:p>
            <w:pPr>
              <w:pStyle w:val="TableContents"/>
              <w:pBdr/>
              <w:bidi w:val="0"/>
              <w:spacing w:before="0" w:after="0"/>
              <w:ind w:left="0" w:right="0" w:hanging="0"/>
              <w:jc w:val="left"/>
              <w:rPr/>
            </w:pPr>
            <w:r>
              <w:rPr/>
              <w:t xml:space="preserve">  </w:t>
            </w:r>
          </w:p>
        </w:tc>
        <w:tc>
          <w:tcPr>
            <w:tcW w:w="170" w:type="dxa"/>
            <w:tcBorders/>
            <w:vAlign w:val="center"/>
          </w:tcPr>
          <w:p>
            <w:pPr>
              <w:pStyle w:val="TableContents"/>
              <w:pBdr/>
              <w:bidi w:val="0"/>
              <w:spacing w:before="0" w:after="0"/>
              <w:ind w:left="0" w:right="0" w:hanging="0"/>
              <w:jc w:val="left"/>
              <w:rPr/>
            </w:pPr>
            <w:r>
              <w:rPr/>
              <w:t xml:space="preserve">  </w:t>
            </w:r>
          </w:p>
        </w:tc>
        <w:tc>
          <w:tcPr>
            <w:tcW w:w="10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68 </w:t>
            </w:r>
          </w:p>
        </w:tc>
        <w:tc>
          <w:tcPr>
            <w:tcW w:w="109" w:type="dxa"/>
            <w:tcBorders/>
            <w:vAlign w:val="center"/>
          </w:tcPr>
          <w:p>
            <w:pPr>
              <w:pStyle w:val="TableContents"/>
              <w:pBdr/>
              <w:bidi w:val="0"/>
              <w:spacing w:before="0" w:after="0"/>
              <w:ind w:left="0" w:right="0" w:hanging="0"/>
              <w:jc w:val="left"/>
              <w:rPr/>
            </w:pPr>
            <w:r>
              <w:rPr/>
              <w:t xml:space="preserve">  </w:t>
            </w:r>
          </w:p>
        </w:tc>
        <w:tc>
          <w:tcPr>
            <w:tcW w:w="109" w:type="dxa"/>
            <w:tcBorders/>
            <w:vAlign w:val="center"/>
          </w:tcPr>
          <w:p>
            <w:pPr>
              <w:pStyle w:val="TableContents"/>
              <w:pBdr/>
              <w:bidi w:val="0"/>
              <w:spacing w:before="0" w:after="0"/>
              <w:ind w:left="0" w:right="0" w:hanging="0"/>
              <w:jc w:val="left"/>
              <w:rPr/>
            </w:pPr>
            <w:r>
              <w:rPr/>
              <w:t xml:space="preserve">  </w:t>
            </w:r>
          </w:p>
        </w:tc>
        <w:tc>
          <w:tcPr>
            <w:tcW w:w="170" w:type="dxa"/>
            <w:tcBorders/>
            <w:vAlign w:val="center"/>
          </w:tcPr>
          <w:p>
            <w:pPr>
              <w:pStyle w:val="TableContents"/>
              <w:pBdr/>
              <w:bidi w:val="0"/>
              <w:spacing w:before="0" w:after="0"/>
              <w:ind w:left="0" w:right="0" w:hanging="0"/>
              <w:jc w:val="left"/>
              <w:rPr/>
            </w:pPr>
            <w:r>
              <w:rPr/>
              <w:t xml:space="preserve">  </w:t>
            </w:r>
          </w:p>
        </w:tc>
        <w:tc>
          <w:tcPr>
            <w:tcW w:w="10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135 </w:t>
            </w:r>
          </w:p>
        </w:tc>
        <w:tc>
          <w:tcPr>
            <w:tcW w:w="108" w:type="dxa"/>
            <w:tcBorders/>
            <w:vAlign w:val="center"/>
          </w:tcPr>
          <w:p>
            <w:pPr>
              <w:pStyle w:val="TableContents"/>
              <w:pBdr/>
              <w:bidi w:val="0"/>
              <w:spacing w:before="0" w:after="0"/>
              <w:ind w:left="0" w:right="0" w:hanging="0"/>
              <w:jc w:val="left"/>
              <w:rPr/>
            </w:pPr>
            <w:r>
              <w:rPr/>
              <w:t xml:space="preserve">  </w:t>
            </w:r>
          </w:p>
        </w:tc>
        <w:tc>
          <w:tcPr>
            <w:tcW w:w="97" w:type="dxa"/>
            <w:tcBorders/>
            <w:vAlign w:val="center"/>
          </w:tcPr>
          <w:p>
            <w:pPr>
              <w:pStyle w:val="TableContents"/>
              <w:pBdr/>
              <w:bidi w:val="0"/>
              <w:spacing w:before="0" w:after="0"/>
              <w:ind w:left="0" w:right="0" w:hanging="0"/>
              <w:jc w:val="left"/>
              <w:rPr/>
            </w:pPr>
            <w:r>
              <w:rPr/>
              <w:t xml:space="preserve">  </w:t>
            </w:r>
          </w:p>
        </w:tc>
        <w:tc>
          <w:tcPr>
            <w:tcW w:w="153" w:type="dxa"/>
            <w:tcBorders/>
            <w:vAlign w:val="center"/>
          </w:tcPr>
          <w:p>
            <w:pPr>
              <w:pStyle w:val="TableContents"/>
              <w:pBdr/>
              <w:bidi w:val="0"/>
              <w:spacing w:before="0" w:after="0"/>
              <w:ind w:left="0" w:right="0" w:hanging="0"/>
              <w:jc w:val="left"/>
              <w:rPr/>
            </w:pPr>
            <w:r>
              <w:rPr/>
              <w:t xml:space="preserve">  </w:t>
            </w:r>
          </w:p>
        </w:tc>
        <w:tc>
          <w:tcPr>
            <w:tcW w:w="9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537</w:t>
            </w:r>
          </w:p>
        </w:tc>
        <w:tc>
          <w:tcPr>
            <w:tcW w:w="98" w:type="dxa"/>
            <w:tcBorders/>
            <w:vAlign w:val="center"/>
          </w:tcPr>
          <w:p>
            <w:pPr>
              <w:pStyle w:val="TableContents"/>
              <w:bidi w:val="0"/>
              <w:spacing w:before="0" w:after="283"/>
              <w:ind w:left="0" w:right="0" w:hanging="0"/>
              <w:jc w:val="left"/>
              <w:rPr>
                <w:sz w:val="4"/>
                <w:szCs w:val="4"/>
              </w:rPr>
            </w:pPr>
            <w:r>
              <w:rPr>
                <w:sz w:val="4"/>
                <w:szCs w:val="4"/>
              </w:rPr>
            </w:r>
          </w:p>
        </w:tc>
        <w:tc>
          <w:tcPr>
            <w:tcW w:w="98" w:type="dxa"/>
            <w:tcBorders/>
            <w:vAlign w:val="center"/>
          </w:tcPr>
          <w:p>
            <w:pPr>
              <w:pStyle w:val="TableContents"/>
              <w:pBdr/>
              <w:bidi w:val="0"/>
              <w:spacing w:before="0" w:after="0"/>
              <w:ind w:left="0" w:right="0" w:hanging="0"/>
              <w:jc w:val="left"/>
              <w:rPr/>
            </w:pPr>
            <w:r>
              <w:rPr/>
              <w:t xml:space="preserve">  </w:t>
            </w:r>
          </w:p>
        </w:tc>
        <w:tc>
          <w:tcPr>
            <w:tcW w:w="153" w:type="dxa"/>
            <w:tcBorders/>
            <w:vAlign w:val="center"/>
          </w:tcPr>
          <w:p>
            <w:pPr>
              <w:pStyle w:val="TableContents"/>
              <w:pBdr/>
              <w:bidi w:val="0"/>
              <w:spacing w:before="0" w:after="0"/>
              <w:ind w:left="0" w:right="0" w:hanging="0"/>
              <w:jc w:val="left"/>
              <w:rPr/>
            </w:pPr>
            <w:r>
              <w:rPr/>
              <w:t xml:space="preserve">  </w:t>
            </w:r>
          </w:p>
        </w:tc>
        <w:tc>
          <w:tcPr>
            <w:tcW w:w="9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420 </w:t>
            </w:r>
          </w:p>
        </w:tc>
        <w:tc>
          <w:tcPr>
            <w:tcW w:w="136" w:type="dxa"/>
            <w:tcBorders/>
            <w:vAlign w:val="center"/>
          </w:tcPr>
          <w:p>
            <w:pPr>
              <w:pStyle w:val="TableContents"/>
              <w:pBdr/>
              <w:bidi w:val="0"/>
              <w:spacing w:before="0" w:after="0"/>
              <w:ind w:left="0" w:right="0" w:hanging="0"/>
              <w:jc w:val="left"/>
              <w:rPr/>
            </w:pPr>
            <w:r>
              <w:rPr/>
              <w:t xml:space="preserve">  </w:t>
            </w:r>
          </w:p>
        </w:tc>
      </w:tr>
      <w:tr>
        <w:trPr/>
        <w:tc>
          <w:tcPr>
            <w:tcW w:w="4594"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Depreciation </w:t>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170" w:type="dxa"/>
            <w:tcBorders/>
            <w:shd w:fill="CCEEFF" w:val="clear"/>
            <w:vAlign w:val="center"/>
          </w:tcPr>
          <w:p>
            <w:pPr>
              <w:pStyle w:val="TableContents"/>
              <w:pBdr/>
              <w:bidi w:val="0"/>
              <w:spacing w:before="0" w:after="0"/>
              <w:ind w:left="0" w:right="0" w:hanging="0"/>
              <w:jc w:val="right"/>
              <w:rPr/>
            </w:pPr>
            <w:r>
              <w:rPr/>
              <w:t xml:space="preserve">  </w:t>
            </w:r>
          </w:p>
        </w:tc>
        <w:tc>
          <w:tcPr>
            <w:tcW w:w="10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64 </w:t>
            </w:r>
          </w:p>
        </w:tc>
        <w:tc>
          <w:tcPr>
            <w:tcW w:w="109" w:type="dxa"/>
            <w:tcBorders/>
            <w:shd w:fill="CCEEFF" w:val="clear"/>
            <w:vAlign w:val="center"/>
          </w:tcPr>
          <w:p>
            <w:pPr>
              <w:pStyle w:val="TableContents"/>
              <w:pBdr/>
              <w:bidi w:val="0"/>
              <w:spacing w:before="0" w:after="0"/>
              <w:ind w:left="0" w:right="0" w:hanging="0"/>
              <w:jc w:val="left"/>
              <w:rPr/>
            </w:pPr>
            <w:r>
              <w:rPr/>
              <w:t xml:space="preserve">  </w:t>
            </w:r>
          </w:p>
        </w:tc>
        <w:tc>
          <w:tcPr>
            <w:tcW w:w="109" w:type="dxa"/>
            <w:tcBorders/>
            <w:shd w:fill="CCEEFF" w:val="clear"/>
            <w:vAlign w:val="center"/>
          </w:tcPr>
          <w:p>
            <w:pPr>
              <w:pStyle w:val="TableContents"/>
              <w:pBdr/>
              <w:bidi w:val="0"/>
              <w:spacing w:before="0" w:after="0"/>
              <w:ind w:left="0" w:right="0" w:hanging="0"/>
              <w:jc w:val="right"/>
              <w:rPr/>
            </w:pPr>
            <w:r>
              <w:rPr/>
              <w:t xml:space="preserve">  </w:t>
            </w:r>
          </w:p>
        </w:tc>
        <w:tc>
          <w:tcPr>
            <w:tcW w:w="170" w:type="dxa"/>
            <w:tcBorders/>
            <w:shd w:fill="CCEEFF" w:val="clear"/>
            <w:vAlign w:val="center"/>
          </w:tcPr>
          <w:p>
            <w:pPr>
              <w:pStyle w:val="TableContents"/>
              <w:pBdr/>
              <w:bidi w:val="0"/>
              <w:spacing w:before="0" w:after="0"/>
              <w:ind w:left="0" w:right="0" w:hanging="0"/>
              <w:jc w:val="right"/>
              <w:rPr/>
            </w:pPr>
            <w:r>
              <w:rPr/>
              <w:t xml:space="preserve">  </w:t>
            </w:r>
          </w:p>
        </w:tc>
        <w:tc>
          <w:tcPr>
            <w:tcW w:w="10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56 </w:t>
            </w:r>
          </w:p>
        </w:tc>
        <w:tc>
          <w:tcPr>
            <w:tcW w:w="108" w:type="dxa"/>
            <w:tcBorders/>
            <w:shd w:fill="CCEEFF" w:val="clear"/>
            <w:vAlign w:val="center"/>
          </w:tcPr>
          <w:p>
            <w:pPr>
              <w:pStyle w:val="TableContents"/>
              <w:pBdr/>
              <w:bidi w:val="0"/>
              <w:spacing w:before="0" w:after="0"/>
              <w:ind w:left="0" w:right="0" w:hanging="0"/>
              <w:jc w:val="left"/>
              <w:rPr/>
            </w:pPr>
            <w:r>
              <w:rPr/>
              <w:t xml:space="preserve">  </w:t>
            </w:r>
          </w:p>
        </w:tc>
        <w:tc>
          <w:tcPr>
            <w:tcW w:w="97" w:type="dxa"/>
            <w:tcBorders/>
            <w:shd w:fill="CCEEFF" w:val="clear"/>
            <w:vAlign w:val="center"/>
          </w:tcPr>
          <w:p>
            <w:pPr>
              <w:pStyle w:val="TableContents"/>
              <w:pBdr/>
              <w:bidi w:val="0"/>
              <w:spacing w:before="0" w:after="0"/>
              <w:ind w:left="0" w:right="0" w:hanging="0"/>
              <w:jc w:val="left"/>
              <w:rPr/>
            </w:pPr>
            <w:r>
              <w:rPr/>
              <w:t xml:space="preserve">  </w:t>
            </w:r>
          </w:p>
        </w:tc>
        <w:tc>
          <w:tcPr>
            <w:tcW w:w="153" w:type="dxa"/>
            <w:tcBorders/>
            <w:shd w:fill="CCEEFF" w:val="clear"/>
            <w:vAlign w:val="center"/>
          </w:tcPr>
          <w:p>
            <w:pPr>
              <w:pStyle w:val="TableContents"/>
              <w:pBdr/>
              <w:bidi w:val="0"/>
              <w:spacing w:before="0" w:after="0"/>
              <w:ind w:left="0" w:right="0" w:hanging="0"/>
              <w:jc w:val="left"/>
              <w:rPr/>
            </w:pPr>
            <w:r>
              <w:rPr/>
              <w:t xml:space="preserve">  </w:t>
            </w:r>
          </w:p>
        </w:tc>
        <w:tc>
          <w:tcPr>
            <w:tcW w:w="9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238 </w:t>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153" w:type="dxa"/>
            <w:tcBorders/>
            <w:shd w:fill="CCEEFF" w:val="clear"/>
            <w:vAlign w:val="center"/>
          </w:tcPr>
          <w:p>
            <w:pPr>
              <w:pStyle w:val="TableContents"/>
              <w:pBdr/>
              <w:bidi w:val="0"/>
              <w:spacing w:before="0" w:after="0"/>
              <w:ind w:left="0" w:right="0" w:hanging="0"/>
              <w:jc w:val="left"/>
              <w:rPr/>
            </w:pPr>
            <w:r>
              <w:rPr/>
              <w:t xml:space="preserve">  </w:t>
            </w:r>
          </w:p>
        </w:tc>
        <w:tc>
          <w:tcPr>
            <w:tcW w:w="9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263 </w:t>
            </w:r>
          </w:p>
        </w:tc>
        <w:tc>
          <w:tcPr>
            <w:tcW w:w="136" w:type="dxa"/>
            <w:tcBorders/>
            <w:shd w:fill="CCEEFF" w:val="clear"/>
            <w:vAlign w:val="center"/>
          </w:tcPr>
          <w:p>
            <w:pPr>
              <w:pStyle w:val="TableContents"/>
              <w:pBdr/>
              <w:bidi w:val="0"/>
              <w:spacing w:before="0" w:after="0"/>
              <w:ind w:left="0" w:right="0" w:hanging="0"/>
              <w:jc w:val="left"/>
              <w:rPr/>
            </w:pPr>
            <w:r>
              <w:rPr/>
              <w:t xml:space="preserve">  </w:t>
            </w:r>
          </w:p>
        </w:tc>
      </w:tr>
      <w:tr>
        <w:trPr/>
        <w:tc>
          <w:tcPr>
            <w:tcW w:w="4594"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Amortization of intangibles </w:t>
            </w:r>
          </w:p>
        </w:tc>
        <w:tc>
          <w:tcPr>
            <w:tcW w:w="98" w:type="dxa"/>
            <w:tcBorders/>
            <w:vAlign w:val="center"/>
          </w:tcPr>
          <w:p>
            <w:pPr>
              <w:pStyle w:val="TableContents"/>
              <w:pBdr/>
              <w:bidi w:val="0"/>
              <w:spacing w:before="0" w:after="0"/>
              <w:ind w:left="0" w:right="0" w:hanging="0"/>
              <w:jc w:val="left"/>
              <w:rPr/>
            </w:pPr>
            <w:r>
              <w:rPr/>
              <w:t xml:space="preserve">  </w:t>
            </w:r>
          </w:p>
        </w:tc>
        <w:tc>
          <w:tcPr>
            <w:tcW w:w="170" w:type="dxa"/>
            <w:tcBorders/>
            <w:vAlign w:val="center"/>
          </w:tcPr>
          <w:p>
            <w:pPr>
              <w:pStyle w:val="TableContents"/>
              <w:pBdr/>
              <w:bidi w:val="0"/>
              <w:spacing w:before="0" w:after="0"/>
              <w:ind w:left="0" w:right="0" w:hanging="0"/>
              <w:jc w:val="right"/>
              <w:rPr/>
            </w:pPr>
            <w:r>
              <w:rPr/>
              <w:t xml:space="preserve">  </w:t>
            </w:r>
          </w:p>
        </w:tc>
        <w:tc>
          <w:tcPr>
            <w:tcW w:w="10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129 </w:t>
            </w:r>
          </w:p>
        </w:tc>
        <w:tc>
          <w:tcPr>
            <w:tcW w:w="109" w:type="dxa"/>
            <w:tcBorders/>
            <w:vAlign w:val="center"/>
          </w:tcPr>
          <w:p>
            <w:pPr>
              <w:pStyle w:val="TableContents"/>
              <w:pBdr/>
              <w:bidi w:val="0"/>
              <w:spacing w:before="0" w:after="0"/>
              <w:ind w:left="0" w:right="0" w:hanging="0"/>
              <w:jc w:val="left"/>
              <w:rPr/>
            </w:pPr>
            <w:r>
              <w:rPr/>
              <w:t xml:space="preserve">  </w:t>
            </w:r>
          </w:p>
        </w:tc>
        <w:tc>
          <w:tcPr>
            <w:tcW w:w="109" w:type="dxa"/>
            <w:tcBorders/>
            <w:vAlign w:val="center"/>
          </w:tcPr>
          <w:p>
            <w:pPr>
              <w:pStyle w:val="TableContents"/>
              <w:pBdr/>
              <w:bidi w:val="0"/>
              <w:spacing w:before="0" w:after="0"/>
              <w:ind w:left="0" w:right="0" w:hanging="0"/>
              <w:jc w:val="right"/>
              <w:rPr/>
            </w:pPr>
            <w:r>
              <w:rPr/>
              <w:t xml:space="preserve">  </w:t>
            </w:r>
          </w:p>
        </w:tc>
        <w:tc>
          <w:tcPr>
            <w:tcW w:w="170" w:type="dxa"/>
            <w:tcBorders/>
            <w:vAlign w:val="center"/>
          </w:tcPr>
          <w:p>
            <w:pPr>
              <w:pStyle w:val="TableContents"/>
              <w:pBdr/>
              <w:bidi w:val="0"/>
              <w:spacing w:before="0" w:after="0"/>
              <w:ind w:left="0" w:right="0" w:hanging="0"/>
              <w:jc w:val="right"/>
              <w:rPr/>
            </w:pPr>
            <w:r>
              <w:rPr/>
              <w:t xml:space="preserve">  </w:t>
            </w:r>
          </w:p>
        </w:tc>
        <w:tc>
          <w:tcPr>
            <w:tcW w:w="10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474 </w:t>
            </w:r>
          </w:p>
        </w:tc>
        <w:tc>
          <w:tcPr>
            <w:tcW w:w="108" w:type="dxa"/>
            <w:tcBorders/>
            <w:vAlign w:val="center"/>
          </w:tcPr>
          <w:p>
            <w:pPr>
              <w:pStyle w:val="TableContents"/>
              <w:pBdr/>
              <w:bidi w:val="0"/>
              <w:spacing w:before="0" w:after="0"/>
              <w:ind w:left="0" w:right="0" w:hanging="0"/>
              <w:jc w:val="left"/>
              <w:rPr/>
            </w:pPr>
            <w:r>
              <w:rPr/>
              <w:t xml:space="preserve">  </w:t>
            </w:r>
          </w:p>
        </w:tc>
        <w:tc>
          <w:tcPr>
            <w:tcW w:w="97" w:type="dxa"/>
            <w:tcBorders/>
            <w:vAlign w:val="center"/>
          </w:tcPr>
          <w:p>
            <w:pPr>
              <w:pStyle w:val="TableContents"/>
              <w:pBdr/>
              <w:bidi w:val="0"/>
              <w:spacing w:before="0" w:after="0"/>
              <w:ind w:left="0" w:right="0" w:hanging="0"/>
              <w:jc w:val="left"/>
              <w:rPr/>
            </w:pPr>
            <w:r>
              <w:rPr/>
              <w:t xml:space="preserve">  </w:t>
            </w:r>
          </w:p>
        </w:tc>
        <w:tc>
          <w:tcPr>
            <w:tcW w:w="153" w:type="dxa"/>
            <w:tcBorders/>
            <w:vAlign w:val="center"/>
          </w:tcPr>
          <w:p>
            <w:pPr>
              <w:pStyle w:val="TableContents"/>
              <w:pBdr/>
              <w:bidi w:val="0"/>
              <w:spacing w:before="0" w:after="0"/>
              <w:ind w:left="0" w:right="0" w:hanging="0"/>
              <w:jc w:val="left"/>
              <w:rPr/>
            </w:pPr>
            <w:r>
              <w:rPr/>
              <w:t xml:space="preserve">  </w:t>
            </w:r>
          </w:p>
        </w:tc>
        <w:tc>
          <w:tcPr>
            <w:tcW w:w="9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517 </w:t>
            </w:r>
          </w:p>
        </w:tc>
        <w:tc>
          <w:tcPr>
            <w:tcW w:w="98" w:type="dxa"/>
            <w:tcBorders/>
            <w:vAlign w:val="center"/>
          </w:tcPr>
          <w:p>
            <w:pPr>
              <w:pStyle w:val="TableContents"/>
              <w:pBdr/>
              <w:bidi w:val="0"/>
              <w:spacing w:before="0" w:after="0"/>
              <w:ind w:left="0" w:right="0" w:hanging="0"/>
              <w:jc w:val="left"/>
              <w:rPr/>
            </w:pPr>
            <w:r>
              <w:rPr/>
              <w:t xml:space="preserve">  </w:t>
            </w:r>
          </w:p>
        </w:tc>
        <w:tc>
          <w:tcPr>
            <w:tcW w:w="98" w:type="dxa"/>
            <w:tcBorders/>
            <w:vAlign w:val="center"/>
          </w:tcPr>
          <w:p>
            <w:pPr>
              <w:pStyle w:val="TableContents"/>
              <w:pBdr/>
              <w:bidi w:val="0"/>
              <w:spacing w:before="0" w:after="0"/>
              <w:ind w:left="0" w:right="0" w:hanging="0"/>
              <w:jc w:val="left"/>
              <w:rPr/>
            </w:pPr>
            <w:r>
              <w:rPr/>
              <w:t xml:space="preserve">  </w:t>
            </w:r>
          </w:p>
        </w:tc>
        <w:tc>
          <w:tcPr>
            <w:tcW w:w="153" w:type="dxa"/>
            <w:tcBorders/>
            <w:vAlign w:val="center"/>
          </w:tcPr>
          <w:p>
            <w:pPr>
              <w:pStyle w:val="TableContents"/>
              <w:pBdr/>
              <w:bidi w:val="0"/>
              <w:spacing w:before="0" w:after="0"/>
              <w:ind w:left="0" w:right="0" w:hanging="0"/>
              <w:jc w:val="left"/>
              <w:rPr/>
            </w:pPr>
            <w:r>
              <w:rPr/>
              <w:t xml:space="preserve">  </w:t>
            </w:r>
          </w:p>
        </w:tc>
        <w:tc>
          <w:tcPr>
            <w:tcW w:w="9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2,512 </w:t>
            </w:r>
          </w:p>
        </w:tc>
        <w:tc>
          <w:tcPr>
            <w:tcW w:w="136" w:type="dxa"/>
            <w:tcBorders/>
            <w:vAlign w:val="center"/>
          </w:tcPr>
          <w:p>
            <w:pPr>
              <w:pStyle w:val="TableContents"/>
              <w:pBdr/>
              <w:bidi w:val="0"/>
              <w:spacing w:before="0" w:after="0"/>
              <w:ind w:left="0" w:right="0" w:hanging="0"/>
              <w:jc w:val="left"/>
              <w:rPr/>
            </w:pPr>
            <w:r>
              <w:rPr/>
              <w:t xml:space="preserve">  </w:t>
            </w:r>
          </w:p>
        </w:tc>
      </w:tr>
      <w:tr>
        <w:trPr/>
        <w:tc>
          <w:tcPr>
            <w:tcW w:w="4594"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Other income adjustment </w:t>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170" w:type="dxa"/>
            <w:tcBorders/>
            <w:shd w:fill="CCEEFF" w:val="clear"/>
            <w:vAlign w:val="center"/>
          </w:tcPr>
          <w:p>
            <w:pPr>
              <w:pStyle w:val="TableContents"/>
              <w:pBdr/>
              <w:bidi w:val="0"/>
              <w:spacing w:before="0" w:after="0"/>
              <w:ind w:left="0" w:right="0" w:hanging="0"/>
              <w:jc w:val="right"/>
              <w:rPr/>
            </w:pPr>
            <w:r>
              <w:rPr/>
              <w:t xml:space="preserve">  </w:t>
            </w:r>
          </w:p>
        </w:tc>
        <w:tc>
          <w:tcPr>
            <w:tcW w:w="10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(4,000)</w:t>
            </w:r>
          </w:p>
        </w:tc>
        <w:tc>
          <w:tcPr>
            <w:tcW w:w="109" w:type="dxa"/>
            <w:tcBorders/>
            <w:shd w:fill="CCEEFF" w:val="clear"/>
            <w:vAlign w:val="center"/>
          </w:tcPr>
          <w:p>
            <w:pPr>
              <w:pStyle w:val="TableContents"/>
              <w:pBdr/>
              <w:bidi w:val="0"/>
              <w:spacing w:before="0" w:after="0"/>
              <w:ind w:left="0" w:right="0" w:hanging="0"/>
              <w:jc w:val="left"/>
              <w:rPr/>
            </w:pPr>
            <w:r>
              <w:rPr/>
              <w:t xml:space="preserve">  </w:t>
            </w:r>
          </w:p>
        </w:tc>
        <w:tc>
          <w:tcPr>
            <w:tcW w:w="109" w:type="dxa"/>
            <w:tcBorders/>
            <w:shd w:fill="CCEEFF" w:val="clear"/>
            <w:vAlign w:val="center"/>
          </w:tcPr>
          <w:p>
            <w:pPr>
              <w:pStyle w:val="TableContents"/>
              <w:pBdr/>
              <w:bidi w:val="0"/>
              <w:spacing w:before="0" w:after="0"/>
              <w:ind w:left="0" w:right="0" w:hanging="0"/>
              <w:jc w:val="right"/>
              <w:rPr/>
            </w:pPr>
            <w:r>
              <w:rPr/>
              <w:t xml:space="preserve">  </w:t>
            </w:r>
          </w:p>
        </w:tc>
        <w:tc>
          <w:tcPr>
            <w:tcW w:w="170" w:type="dxa"/>
            <w:tcBorders/>
            <w:shd w:fill="CCEEFF" w:val="clear"/>
            <w:vAlign w:val="center"/>
          </w:tcPr>
          <w:p>
            <w:pPr>
              <w:pStyle w:val="TableContents"/>
              <w:pBdr/>
              <w:bidi w:val="0"/>
              <w:spacing w:before="0" w:after="0"/>
              <w:ind w:left="0" w:right="0" w:hanging="0"/>
              <w:jc w:val="right"/>
              <w:rPr/>
            </w:pPr>
            <w:r>
              <w:rPr/>
              <w:t xml:space="preserve">  </w:t>
            </w:r>
          </w:p>
        </w:tc>
        <w:tc>
          <w:tcPr>
            <w:tcW w:w="10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(33,623</w:t>
            </w:r>
          </w:p>
        </w:tc>
        <w:tc>
          <w:tcPr>
            <w:tcW w:w="108" w:type="dxa"/>
            <w:tcBorders/>
            <w:shd w:fill="CCEEFF" w:val="clear"/>
            <w:vAlign w:val="center"/>
          </w:tcPr>
          <w:p>
            <w:pPr>
              <w:pStyle w:val="TableContents"/>
              <w:bidi w:val="0"/>
              <w:spacing w:before="0" w:after="0"/>
              <w:ind w:left="0" w:right="0" w:hanging="0"/>
              <w:jc w:val="left"/>
              <w:rPr>
                <w:sz w:val="20"/>
              </w:rPr>
            </w:pPr>
            <w:r>
              <w:rPr>
                <w:sz w:val="20"/>
              </w:rPr>
              <w:t>)</w:t>
            </w:r>
          </w:p>
        </w:tc>
        <w:tc>
          <w:tcPr>
            <w:tcW w:w="97" w:type="dxa"/>
            <w:tcBorders/>
            <w:shd w:fill="CCEEFF" w:val="clear"/>
            <w:vAlign w:val="center"/>
          </w:tcPr>
          <w:p>
            <w:pPr>
              <w:pStyle w:val="TableContents"/>
              <w:pBdr/>
              <w:bidi w:val="0"/>
              <w:spacing w:before="0" w:after="0"/>
              <w:ind w:left="0" w:right="0" w:hanging="0"/>
              <w:jc w:val="left"/>
              <w:rPr/>
            </w:pPr>
            <w:r>
              <w:rPr/>
              <w:t xml:space="preserve">  </w:t>
            </w:r>
          </w:p>
        </w:tc>
        <w:tc>
          <w:tcPr>
            <w:tcW w:w="153" w:type="dxa"/>
            <w:tcBorders/>
            <w:shd w:fill="CCEEFF" w:val="clear"/>
            <w:vAlign w:val="center"/>
          </w:tcPr>
          <w:p>
            <w:pPr>
              <w:pStyle w:val="TableContents"/>
              <w:pBdr/>
              <w:bidi w:val="0"/>
              <w:spacing w:before="0" w:after="0"/>
              <w:ind w:left="0" w:right="0" w:hanging="0"/>
              <w:jc w:val="left"/>
              <w:rPr/>
            </w:pPr>
            <w:r>
              <w:rPr/>
              <w:t xml:space="preserve">  </w:t>
            </w:r>
          </w:p>
        </w:tc>
        <w:tc>
          <w:tcPr>
            <w:tcW w:w="9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(5,350)</w:t>
            </w:r>
          </w:p>
        </w:tc>
        <w:tc>
          <w:tcPr>
            <w:tcW w:w="98"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153" w:type="dxa"/>
            <w:tcBorders/>
            <w:shd w:fill="CCEEFF" w:val="clear"/>
            <w:vAlign w:val="center"/>
          </w:tcPr>
          <w:p>
            <w:pPr>
              <w:pStyle w:val="TableContents"/>
              <w:pBdr/>
              <w:bidi w:val="0"/>
              <w:spacing w:before="0" w:after="0"/>
              <w:ind w:left="0" w:right="0" w:hanging="0"/>
              <w:jc w:val="left"/>
              <w:rPr/>
            </w:pPr>
            <w:r>
              <w:rPr/>
              <w:t xml:space="preserve">  </w:t>
            </w:r>
          </w:p>
        </w:tc>
        <w:tc>
          <w:tcPr>
            <w:tcW w:w="9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(35,151</w:t>
            </w:r>
          </w:p>
        </w:tc>
        <w:tc>
          <w:tcPr>
            <w:tcW w:w="136" w:type="dxa"/>
            <w:tcBorders/>
            <w:shd w:fill="CCEEFF" w:val="clear"/>
            <w:vAlign w:val="center"/>
          </w:tcPr>
          <w:p>
            <w:pPr>
              <w:pStyle w:val="TableContents"/>
              <w:bidi w:val="0"/>
              <w:spacing w:before="0" w:after="0"/>
              <w:ind w:left="0" w:right="0" w:hanging="0"/>
              <w:jc w:val="left"/>
              <w:rPr>
                <w:sz w:val="20"/>
              </w:rPr>
            </w:pPr>
            <w:r>
              <w:rPr>
                <w:sz w:val="20"/>
              </w:rPr>
              <w:t>)</w:t>
            </w:r>
          </w:p>
        </w:tc>
      </w:tr>
      <w:tr>
        <w:trPr/>
        <w:tc>
          <w:tcPr>
            <w:tcW w:w="4594"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Provision for (benefit from) income taxes </w:t>
            </w:r>
          </w:p>
        </w:tc>
        <w:tc>
          <w:tcPr>
            <w:tcW w:w="98" w:type="dxa"/>
            <w:tcBorders/>
            <w:vAlign w:val="center"/>
          </w:tcPr>
          <w:p>
            <w:pPr>
              <w:pStyle w:val="TableContents"/>
              <w:pBdr/>
              <w:bidi w:val="0"/>
              <w:spacing w:before="0" w:after="0"/>
              <w:ind w:left="0" w:right="0" w:hanging="0"/>
              <w:jc w:val="left"/>
              <w:rPr/>
            </w:pPr>
            <w:r>
              <w:rPr/>
              <w:t xml:space="preserve">  </w:t>
            </w:r>
          </w:p>
        </w:tc>
        <w:tc>
          <w:tcPr>
            <w:tcW w:w="170" w:type="dxa"/>
            <w:tcBorders/>
            <w:vAlign w:val="center"/>
          </w:tcPr>
          <w:p>
            <w:pPr>
              <w:pStyle w:val="TableContents"/>
              <w:pBdr/>
              <w:bidi w:val="0"/>
              <w:spacing w:before="0" w:after="0"/>
              <w:ind w:left="0" w:right="0" w:hanging="0"/>
              <w:jc w:val="right"/>
              <w:rPr/>
            </w:pPr>
            <w:r>
              <w:rPr/>
              <w:t xml:space="preserve">  </w:t>
            </w:r>
          </w:p>
        </w:tc>
        <w:tc>
          <w:tcPr>
            <w:tcW w:w="10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388 </w:t>
            </w:r>
          </w:p>
        </w:tc>
        <w:tc>
          <w:tcPr>
            <w:tcW w:w="109" w:type="dxa"/>
            <w:tcBorders/>
            <w:vAlign w:val="center"/>
          </w:tcPr>
          <w:p>
            <w:pPr>
              <w:pStyle w:val="TableContents"/>
              <w:pBdr/>
              <w:bidi w:val="0"/>
              <w:spacing w:before="0" w:after="0"/>
              <w:ind w:left="0" w:right="0" w:hanging="0"/>
              <w:jc w:val="left"/>
              <w:rPr/>
            </w:pPr>
            <w:r>
              <w:rPr/>
              <w:t xml:space="preserve">  </w:t>
            </w:r>
          </w:p>
        </w:tc>
        <w:tc>
          <w:tcPr>
            <w:tcW w:w="109" w:type="dxa"/>
            <w:tcBorders/>
            <w:vAlign w:val="center"/>
          </w:tcPr>
          <w:p>
            <w:pPr>
              <w:pStyle w:val="TableContents"/>
              <w:pBdr/>
              <w:bidi w:val="0"/>
              <w:spacing w:before="0" w:after="0"/>
              <w:ind w:left="0" w:right="0" w:hanging="0"/>
              <w:jc w:val="right"/>
              <w:rPr/>
            </w:pPr>
            <w:r>
              <w:rPr/>
              <w:t xml:space="preserve">  </w:t>
            </w:r>
          </w:p>
        </w:tc>
        <w:tc>
          <w:tcPr>
            <w:tcW w:w="170" w:type="dxa"/>
            <w:tcBorders/>
            <w:vAlign w:val="center"/>
          </w:tcPr>
          <w:p>
            <w:pPr>
              <w:pStyle w:val="TableContents"/>
              <w:pBdr/>
              <w:bidi w:val="0"/>
              <w:spacing w:before="0" w:after="0"/>
              <w:ind w:left="0" w:right="0" w:hanging="0"/>
              <w:jc w:val="right"/>
              <w:rPr/>
            </w:pPr>
            <w:r>
              <w:rPr/>
              <w:t xml:space="preserve">  </w:t>
            </w:r>
          </w:p>
        </w:tc>
        <w:tc>
          <w:tcPr>
            <w:tcW w:w="10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6,844 </w:t>
            </w:r>
          </w:p>
        </w:tc>
        <w:tc>
          <w:tcPr>
            <w:tcW w:w="108" w:type="dxa"/>
            <w:tcBorders/>
            <w:vAlign w:val="center"/>
          </w:tcPr>
          <w:p>
            <w:pPr>
              <w:pStyle w:val="TableContents"/>
              <w:pBdr/>
              <w:bidi w:val="0"/>
              <w:spacing w:before="0" w:after="0"/>
              <w:ind w:left="0" w:right="0" w:hanging="0"/>
              <w:jc w:val="left"/>
              <w:rPr/>
            </w:pPr>
            <w:r>
              <w:rPr/>
              <w:t xml:space="preserve">  </w:t>
            </w:r>
          </w:p>
        </w:tc>
        <w:tc>
          <w:tcPr>
            <w:tcW w:w="97" w:type="dxa"/>
            <w:tcBorders/>
            <w:vAlign w:val="center"/>
          </w:tcPr>
          <w:p>
            <w:pPr>
              <w:pStyle w:val="TableContents"/>
              <w:pBdr/>
              <w:bidi w:val="0"/>
              <w:spacing w:before="0" w:after="0"/>
              <w:ind w:left="0" w:right="0" w:hanging="0"/>
              <w:jc w:val="left"/>
              <w:rPr/>
            </w:pPr>
            <w:r>
              <w:rPr/>
              <w:t xml:space="preserve">  </w:t>
            </w:r>
          </w:p>
        </w:tc>
        <w:tc>
          <w:tcPr>
            <w:tcW w:w="153" w:type="dxa"/>
            <w:tcBorders/>
            <w:vAlign w:val="center"/>
          </w:tcPr>
          <w:p>
            <w:pPr>
              <w:pStyle w:val="TableContents"/>
              <w:pBdr/>
              <w:bidi w:val="0"/>
              <w:spacing w:before="0" w:after="0"/>
              <w:ind w:left="0" w:right="0" w:hanging="0"/>
              <w:jc w:val="left"/>
              <w:rPr/>
            </w:pPr>
            <w:r>
              <w:rPr/>
              <w:t xml:space="preserve">  </w:t>
            </w:r>
          </w:p>
        </w:tc>
        <w:tc>
          <w:tcPr>
            <w:tcW w:w="9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434 </w:t>
            </w:r>
          </w:p>
        </w:tc>
        <w:tc>
          <w:tcPr>
            <w:tcW w:w="98" w:type="dxa"/>
            <w:tcBorders/>
            <w:vAlign w:val="center"/>
          </w:tcPr>
          <w:p>
            <w:pPr>
              <w:pStyle w:val="TableContents"/>
              <w:pBdr/>
              <w:bidi w:val="0"/>
              <w:spacing w:before="0" w:after="0"/>
              <w:ind w:left="0" w:right="0" w:hanging="0"/>
              <w:jc w:val="left"/>
              <w:rPr/>
            </w:pPr>
            <w:r>
              <w:rPr/>
              <w:t xml:space="preserve">  </w:t>
            </w:r>
          </w:p>
        </w:tc>
        <w:tc>
          <w:tcPr>
            <w:tcW w:w="98" w:type="dxa"/>
            <w:tcBorders/>
            <w:vAlign w:val="center"/>
          </w:tcPr>
          <w:p>
            <w:pPr>
              <w:pStyle w:val="TableContents"/>
              <w:pBdr/>
              <w:bidi w:val="0"/>
              <w:spacing w:before="0" w:after="0"/>
              <w:ind w:left="0" w:right="0" w:hanging="0"/>
              <w:jc w:val="left"/>
              <w:rPr/>
            </w:pPr>
            <w:r>
              <w:rPr/>
              <w:t xml:space="preserve">  </w:t>
            </w:r>
          </w:p>
        </w:tc>
        <w:tc>
          <w:tcPr>
            <w:tcW w:w="153" w:type="dxa"/>
            <w:tcBorders/>
            <w:vAlign w:val="center"/>
          </w:tcPr>
          <w:p>
            <w:pPr>
              <w:pStyle w:val="TableContents"/>
              <w:pBdr/>
              <w:bidi w:val="0"/>
              <w:spacing w:before="0" w:after="0"/>
              <w:ind w:left="0" w:right="0" w:hanging="0"/>
              <w:jc w:val="left"/>
              <w:rPr/>
            </w:pPr>
            <w:r>
              <w:rPr/>
              <w:t xml:space="preserve">  </w:t>
            </w:r>
          </w:p>
        </w:tc>
        <w:tc>
          <w:tcPr>
            <w:tcW w:w="97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6,904 </w:t>
            </w:r>
          </w:p>
        </w:tc>
        <w:tc>
          <w:tcPr>
            <w:tcW w:w="136" w:type="dxa"/>
            <w:tcBorders/>
            <w:vAlign w:val="center"/>
          </w:tcPr>
          <w:p>
            <w:pPr>
              <w:pStyle w:val="TableContents"/>
              <w:pBdr/>
              <w:bidi w:val="0"/>
              <w:spacing w:before="0" w:after="0"/>
              <w:ind w:left="0" w:right="0" w:hanging="0"/>
              <w:jc w:val="left"/>
              <w:rPr/>
            </w:pPr>
            <w:r>
              <w:rPr/>
              <w:t xml:space="preserve">  </w:t>
            </w:r>
          </w:p>
        </w:tc>
      </w:tr>
      <w:tr>
        <w:trPr/>
        <w:tc>
          <w:tcPr>
            <w:tcW w:w="4594" w:type="dxa"/>
            <w:tcBorders/>
            <w:shd w:fill="CCEEFF" w:val="clear"/>
            <w:vAlign w:val="bottom"/>
          </w:tcPr>
          <w:p>
            <w:pPr>
              <w:pStyle w:val="TableContents"/>
              <w:pBdr/>
              <w:bidi w:val="0"/>
              <w:spacing w:before="0" w:after="0"/>
              <w:ind w:left="0" w:right="0" w:hanging="0"/>
              <w:jc w:val="left"/>
              <w:rPr>
                <w:rFonts w:ascii="times new roman;times" w:hAnsi="times new roman;times"/>
                <w:b/>
                <w:sz w:val="20"/>
              </w:rPr>
            </w:pPr>
            <w:r>
              <w:rPr>
                <w:rFonts w:ascii="times new roman;times" w:hAnsi="times new roman;times"/>
                <w:b/>
                <w:sz w:val="20"/>
              </w:rPr>
              <w:t xml:space="preserve">Non-GAAP Adjusted EBITDA </w:t>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170"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(681)</w:t>
            </w:r>
          </w:p>
        </w:tc>
        <w:tc>
          <w:tcPr>
            <w:tcW w:w="10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09" w:type="dxa"/>
            <w:tcBorders/>
            <w:shd w:fill="CCEEFF" w:val="clear"/>
            <w:vAlign w:val="center"/>
          </w:tcPr>
          <w:p>
            <w:pPr>
              <w:pStyle w:val="TableContents"/>
              <w:pBdr/>
              <w:bidi w:val="0"/>
              <w:spacing w:before="0" w:after="0"/>
              <w:ind w:left="0" w:right="0" w:hanging="0"/>
              <w:jc w:val="right"/>
              <w:rPr/>
            </w:pPr>
            <w:r>
              <w:rPr/>
              <w:t xml:space="preserve">  </w:t>
            </w:r>
          </w:p>
        </w:tc>
        <w:tc>
          <w:tcPr>
            <w:tcW w:w="170"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(2,062 </w:t>
            </w:r>
          </w:p>
        </w:tc>
        <w:tc>
          <w:tcPr>
            <w:tcW w:w="108"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7" w:type="dxa"/>
            <w:tcBorders/>
            <w:shd w:fill="CCEEFF" w:val="clear"/>
            <w:vAlign w:val="center"/>
          </w:tcPr>
          <w:p>
            <w:pPr>
              <w:pStyle w:val="TableContents"/>
              <w:pBdr/>
              <w:bidi w:val="0"/>
              <w:spacing w:before="0" w:after="0"/>
              <w:ind w:left="0" w:right="0" w:hanging="0"/>
              <w:jc w:val="left"/>
              <w:rPr/>
            </w:pPr>
            <w:r>
              <w:rPr/>
              <w:t xml:space="preserve">  </w:t>
            </w:r>
          </w:p>
        </w:tc>
        <w:tc>
          <w:tcPr>
            <w:tcW w:w="153"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(4,076)</w:t>
            </w:r>
          </w:p>
        </w:tc>
        <w:tc>
          <w:tcPr>
            <w:tcW w:w="98"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98" w:type="dxa"/>
            <w:tcBorders/>
            <w:shd w:fill="CCEEFF" w:val="clear"/>
            <w:vAlign w:val="center"/>
          </w:tcPr>
          <w:p>
            <w:pPr>
              <w:pStyle w:val="TableContents"/>
              <w:pBdr/>
              <w:bidi w:val="0"/>
              <w:spacing w:before="0" w:after="0"/>
              <w:ind w:left="0" w:right="0" w:hanging="0"/>
              <w:jc w:val="left"/>
              <w:rPr/>
            </w:pPr>
            <w:r>
              <w:rPr/>
              <w:t xml:space="preserve">  </w:t>
            </w:r>
          </w:p>
        </w:tc>
        <w:tc>
          <w:tcPr>
            <w:tcW w:w="153"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78"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(4,383 </w:t>
            </w:r>
          </w:p>
        </w:tc>
        <w:tc>
          <w:tcPr>
            <w:tcW w:w="136"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bl>
    <w:p>
      <w:pPr>
        <w:pStyle w:val="TextBody"/>
        <w:bidi w:val="0"/>
        <w:spacing w:lineRule="auto" w:line="288" w:before="0" w:after="0"/>
        <w:ind w:left="294" w:right="294" w:hanging="0"/>
        <w:jc w:val="center"/>
        <w:rPr/>
      </w:pPr>
      <w:r>
        <w:rPr/>
        <w:t> </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7</w:t>
            </w:r>
          </w:p>
        </w:tc>
      </w:tr>
    </w:tbl>
    <w:p>
      <w:pPr>
        <w:pStyle w:val="HorizontalLine"/>
        <w:bidi w:val="0"/>
        <w:spacing w:lineRule="auto" w:line="288"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3498</Words>
  <Characters>19071</Characters>
  <CharactersWithSpaces>24061</CharactersWithSpaces>
  <Paragraphs>1489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