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June 24, 2026</w:t>
      </w:r>
    </w:p>
    <w:p>
      <w:pPr>
        <w:spacing w:after="0" w:line="43" w:lineRule="exact"/>
        <w:rPr>
          <w:sz w:val="24"/>
          <w:szCs w:val="24"/>
          <w:color w:val="auto"/>
        </w:rPr>
      </w:pPr>
    </w:p>
    <w:p>
      <w:pPr>
        <w:ind w:left="978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7165975"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597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59690</wp:posOffset>
            </wp:positionV>
            <wp:extent cx="716597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16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S-3</w:t>
      </w:r>
    </w:p>
    <w:p>
      <w:pPr>
        <w:spacing w:after="0" w:line="6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1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UNDER</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CLEARONE, INC.</w:t>
      </w:r>
    </w:p>
    <w:p>
      <w:pPr>
        <w:spacing w:after="0" w:line="34" w:lineRule="exact"/>
        <w:rPr>
          <w:sz w:val="24"/>
          <w:szCs w:val="24"/>
          <w:color w:val="auto"/>
        </w:rPr>
      </w:pPr>
    </w:p>
    <w:tbl>
      <w:tblPr>
        <w:tblLayout w:type="fixed"/>
        <w:tblInd w:w="2080" w:type="dxa"/>
        <w:tblCellMar>
          <w:top w:w="0" w:type="dxa"/>
          <w:left w:w="0" w:type="dxa"/>
          <w:bottom w:w="0" w:type="dxa"/>
          <w:right w:w="0" w:type="dxa"/>
        </w:tblCellMar>
      </w:tblPr>
      <w:tr>
        <w:trPr>
          <w:trHeight w:val="169"/>
        </w:trPr>
        <w:tc>
          <w:tcPr>
            <w:tcW w:w="18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61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r>
              <w:rPr>
                <w:rFonts w:ascii="Times New Roman" w:cs="Times New Roman" w:eastAsia="Times New Roman" w:hAnsi="Times New Roman"/>
                <w:sz w:val="13"/>
                <w:szCs w:val="13"/>
                <w:color w:val="auto"/>
              </w:rPr>
              <w:t>​</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80" w:type="dxa"/>
            <w:vAlign w:val="bottom"/>
            <w:vMerge w:val="continue"/>
          </w:tcPr>
          <w:p>
            <w:pPr>
              <w:spacing w:after="0"/>
              <w:rPr>
                <w:sz w:val="13"/>
                <w:szCs w:val="13"/>
                <w:color w:val="auto"/>
              </w:rPr>
            </w:pPr>
          </w:p>
        </w:tc>
        <w:tc>
          <w:tcPr>
            <w:tcW w:w="6140" w:type="dxa"/>
            <w:vAlign w:val="bottom"/>
          </w:tcPr>
          <w:p>
            <w:pPr>
              <w:jc w:val="right"/>
              <w:ind w:right="1266"/>
              <w:spacing w:after="0"/>
              <w:rPr>
                <w:sz w:val="20"/>
                <w:szCs w:val="20"/>
                <w:color w:val="auto"/>
              </w:rPr>
            </w:pPr>
            <w:r>
              <w:rPr>
                <w:rFonts w:ascii="Times New Roman" w:cs="Times New Roman" w:eastAsia="Times New Roman" w:hAnsi="Times New Roman"/>
                <w:sz w:val="11"/>
                <w:szCs w:val="11"/>
                <w:b w:val="1"/>
                <w:bCs w:val="1"/>
                <w:color w:val="auto"/>
              </w:rPr>
              <w:t>87-0398877</w:t>
            </w:r>
          </w:p>
        </w:tc>
        <w:tc>
          <w:tcPr>
            <w:tcW w:w="1200" w:type="dxa"/>
            <w:vAlign w:val="bottom"/>
          </w:tcPr>
          <w:p>
            <w:pPr>
              <w:ind w:left="118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1"/>
        </w:trPr>
        <w:tc>
          <w:tcPr>
            <w:tcW w:w="1880" w:type="dxa"/>
            <w:vAlign w:val="bottom"/>
          </w:tcPr>
          <w:p>
            <w:pPr>
              <w:spacing w:after="0"/>
              <w:rPr>
                <w:sz w:val="20"/>
                <w:szCs w:val="20"/>
                <w:color w:val="auto"/>
              </w:rPr>
            </w:pPr>
            <w:r>
              <w:rPr>
                <w:rFonts w:ascii="Times New Roman" w:cs="Times New Roman" w:eastAsia="Times New Roman" w:hAnsi="Times New Roman"/>
                <w:sz w:val="11"/>
                <w:szCs w:val="11"/>
                <w:color w:val="auto"/>
              </w:rPr>
              <w:t>(State or other jurisdiction of</w:t>
            </w:r>
          </w:p>
        </w:tc>
        <w:tc>
          <w:tcPr>
            <w:tcW w:w="6140" w:type="dxa"/>
            <w:vAlign w:val="bottom"/>
          </w:tcPr>
          <w:p>
            <w:pPr>
              <w:ind w:left="4160"/>
              <w:spacing w:after="0"/>
              <w:rPr>
                <w:sz w:val="20"/>
                <w:szCs w:val="20"/>
                <w:color w:val="auto"/>
              </w:rPr>
            </w:pPr>
            <w:r>
              <w:rPr>
                <w:rFonts w:ascii="Times New Roman" w:cs="Times New Roman" w:eastAsia="Times New Roman" w:hAnsi="Times New Roman"/>
                <w:sz w:val="11"/>
                <w:szCs w:val="11"/>
                <w:color w:val="auto"/>
              </w:rPr>
              <w:t>(I.R.S. Employer</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incorporation or organization) </w:t>
            </w:r>
            <w:r>
              <w:rPr>
                <w:rFonts w:ascii="Times New Roman" w:cs="Times New Roman" w:eastAsia="Times New Roman" w:hAnsi="Times New Roman"/>
                <w:sz w:val="13"/>
                <w:szCs w:val="13"/>
                <w:color w:val="auto"/>
              </w:rPr>
              <w:t>​</w:t>
            </w:r>
          </w:p>
        </w:tc>
        <w:tc>
          <w:tcPr>
            <w:tcW w:w="6140" w:type="dxa"/>
            <w:vAlign w:val="bottom"/>
          </w:tcPr>
          <w:p>
            <w:pPr>
              <w:jc w:val="center"/>
              <w:ind w:left="2926"/>
              <w:spacing w:after="0"/>
              <w:rPr>
                <w:sz w:val="20"/>
                <w:szCs w:val="20"/>
                <w:color w:val="auto"/>
              </w:rPr>
            </w:pPr>
            <w:r>
              <w:rPr>
                <w:rFonts w:ascii="Times New Roman" w:cs="Times New Roman" w:eastAsia="Times New Roman" w:hAnsi="Times New Roman"/>
                <w:sz w:val="11"/>
                <w:szCs w:val="11"/>
                <w:color w:val="auto"/>
              </w:rPr>
              <w:t>Identification No.)</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880" w:type="dxa"/>
            <w:vAlign w:val="bottom"/>
          </w:tcPr>
          <w:p>
            <w:pPr>
              <w:spacing w:after="0"/>
              <w:rPr>
                <w:sz w:val="14"/>
                <w:szCs w:val="14"/>
                <w:color w:val="auto"/>
              </w:rPr>
            </w:pPr>
          </w:p>
        </w:tc>
        <w:tc>
          <w:tcPr>
            <w:tcW w:w="6140" w:type="dxa"/>
            <w:vAlign w:val="bottom"/>
          </w:tcPr>
          <w:p>
            <w:pPr>
              <w:jc w:val="center"/>
              <w:ind w:right="2726"/>
              <w:spacing w:after="0"/>
              <w:rPr>
                <w:sz w:val="20"/>
                <w:szCs w:val="20"/>
                <w:color w:val="auto"/>
              </w:rPr>
            </w:pPr>
            <w:r>
              <w:rPr>
                <w:rFonts w:ascii="Times New Roman" w:cs="Times New Roman" w:eastAsia="Times New Roman" w:hAnsi="Times New Roman"/>
                <w:sz w:val="11"/>
                <w:szCs w:val="11"/>
                <w:b w:val="1"/>
                <w:bCs w:val="1"/>
                <w:color w:val="auto"/>
                <w:w w:val="92"/>
              </w:rPr>
              <w:t>7533 S Center View Ct. # 5311</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880" w:type="dxa"/>
            <w:vAlign w:val="bottom"/>
          </w:tcPr>
          <w:p>
            <w:pPr>
              <w:spacing w:after="0"/>
              <w:rPr>
                <w:sz w:val="11"/>
                <w:szCs w:val="11"/>
                <w:color w:val="auto"/>
              </w:rPr>
            </w:pPr>
          </w:p>
        </w:tc>
        <w:tc>
          <w:tcPr>
            <w:tcW w:w="6140" w:type="dxa"/>
            <w:vAlign w:val="bottom"/>
          </w:tcPr>
          <w:p>
            <w:pPr>
              <w:jc w:val="center"/>
              <w:ind w:right="2746"/>
              <w:spacing w:after="0"/>
              <w:rPr>
                <w:sz w:val="20"/>
                <w:szCs w:val="20"/>
                <w:color w:val="auto"/>
              </w:rPr>
            </w:pPr>
            <w:r>
              <w:rPr>
                <w:rFonts w:ascii="Times New Roman" w:cs="Times New Roman" w:eastAsia="Times New Roman" w:hAnsi="Times New Roman"/>
                <w:sz w:val="11"/>
                <w:szCs w:val="11"/>
                <w:b w:val="1"/>
                <w:bCs w:val="1"/>
                <w:color w:val="auto"/>
                <w:w w:val="92"/>
              </w:rPr>
              <w:t>West Jordan, Utah 84084</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880" w:type="dxa"/>
            <w:vAlign w:val="bottom"/>
          </w:tcPr>
          <w:p>
            <w:pPr>
              <w:spacing w:after="0"/>
              <w:rPr>
                <w:sz w:val="12"/>
                <w:szCs w:val="12"/>
                <w:color w:val="auto"/>
              </w:rPr>
            </w:pPr>
          </w:p>
        </w:tc>
        <w:tc>
          <w:tcPr>
            <w:tcW w:w="6140" w:type="dxa"/>
            <w:vAlign w:val="bottom"/>
          </w:tcPr>
          <w:p>
            <w:pPr>
              <w:jc w:val="center"/>
              <w:ind w:right="2706"/>
              <w:spacing w:after="0"/>
              <w:rPr>
                <w:sz w:val="20"/>
                <w:szCs w:val="20"/>
                <w:color w:val="auto"/>
              </w:rPr>
            </w:pPr>
            <w:r>
              <w:rPr>
                <w:rFonts w:ascii="Times New Roman" w:cs="Times New Roman" w:eastAsia="Times New Roman" w:hAnsi="Times New Roman"/>
                <w:sz w:val="11"/>
                <w:szCs w:val="11"/>
                <w:b w:val="1"/>
                <w:bCs w:val="1"/>
                <w:color w:val="auto"/>
                <w:w w:val="93"/>
              </w:rPr>
              <w:t>+1 (801) 975-7200</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p>
    <w:p>
      <w:pPr>
        <w:spacing w:after="0" w:line="17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1"/>
          <w:szCs w:val="11"/>
          <w:b w:val="1"/>
          <w:bCs w:val="1"/>
          <w:color w:val="auto"/>
        </w:rPr>
        <w:t>GKL Registered Agents of NV, Inc.</w:t>
      </w:r>
    </w:p>
    <w:p>
      <w:pPr>
        <w:spacing w:after="0" w:line="10"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1"/>
          <w:szCs w:val="11"/>
          <w:b w:val="1"/>
          <w:bCs w:val="1"/>
          <w:color w:val="auto"/>
        </w:rPr>
        <w:t>3064 Silver Sage Drive, Suite 150, Carson City,</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Nevada 89701,</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+1 (888) 682-4368</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(Name, address, including zip code, and telephone number, including area code, of agent for service)​</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Copy to:</w:t>
      </w:r>
    </w:p>
    <w:p>
      <w:pPr>
        <w:spacing w:after="0" w:line="57" w:lineRule="exact"/>
        <w:rPr>
          <w:sz w:val="24"/>
          <w:szCs w:val="24"/>
          <w:color w:val="auto"/>
        </w:rPr>
      </w:pPr>
    </w:p>
    <w:p>
      <w:pPr>
        <w:ind w:left="5400"/>
        <w:spacing w:after="0"/>
        <w:rPr>
          <w:sz w:val="20"/>
          <w:szCs w:val="20"/>
          <w:color w:val="auto"/>
        </w:rPr>
      </w:pPr>
      <w:r>
        <w:rPr>
          <w:rFonts w:ascii="Times New Roman" w:cs="Times New Roman" w:eastAsia="Times New Roman" w:hAnsi="Times New Roman"/>
          <w:sz w:val="11"/>
          <w:szCs w:val="11"/>
          <w:b w:val="1"/>
          <w:bCs w:val="1"/>
          <w:color w:val="auto"/>
        </w:rPr>
        <w:t>Virgil Hlus</w:t>
      </w:r>
    </w:p>
    <w:p>
      <w:pPr>
        <w:spacing w:after="0" w:line="16"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1"/>
          <w:szCs w:val="11"/>
          <w:b w:val="1"/>
          <w:bCs w:val="1"/>
          <w:color w:val="auto"/>
        </w:rPr>
        <w:t>Cozen O’Connor LLP</w:t>
      </w:r>
    </w:p>
    <w:p>
      <w:pPr>
        <w:spacing w:after="0" w:line="5"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1"/>
          <w:szCs w:val="11"/>
          <w:b w:val="1"/>
          <w:bCs w:val="1"/>
          <w:color w:val="auto"/>
        </w:rPr>
        <w:t>Bentall 5, 550 Burrard Street, Suite 2501</w:t>
      </w: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Vancouver, British Columbia V6C 2B5, Canada</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(236) 317-6885</w:t>
      </w:r>
    </w:p>
    <w:p>
      <w:pPr>
        <w:spacing w:after="0" w:line="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1"/>
          <w:szCs w:val="11"/>
          <w:b w:val="1"/>
          <w:bCs w:val="1"/>
          <w:color w:val="auto"/>
        </w:rPr>
        <w:t>From time to time after the effective date of this registration statement.</w:t>
      </w:r>
    </w:p>
    <w:p>
      <w:pPr>
        <w:spacing w:after="0" w:line="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1"/>
          <w:szCs w:val="11"/>
          <w:b w:val="1"/>
          <w:bCs w:val="1"/>
          <w:color w:val="auto"/>
        </w:rPr>
        <w:t>(Approximate date of commencement of proposed sale to the public)</w:t>
      </w:r>
    </w:p>
    <w:p>
      <w:pPr>
        <w:spacing w:after="0" w:line="75"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142" w:lineRule="exact"/>
        <w:rPr>
          <w:sz w:val="24"/>
          <w:szCs w:val="24"/>
          <w:color w:val="auto"/>
        </w:rPr>
      </w:pPr>
    </w:p>
    <w:p>
      <w:pPr>
        <w:ind w:right="20"/>
        <w:spacing w:after="0" w:line="141"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86" w:lineRule="exact"/>
        <w:rPr>
          <w:sz w:val="24"/>
          <w:szCs w:val="24"/>
          <w:color w:val="auto"/>
        </w:rPr>
      </w:pPr>
    </w:p>
    <w:p>
      <w:pPr>
        <w:ind w:right="20"/>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75" w:lineRule="exact"/>
        <w:rPr>
          <w:sz w:val="24"/>
          <w:szCs w:val="24"/>
          <w:color w:val="auto"/>
        </w:rPr>
      </w:pPr>
    </w:p>
    <w:p>
      <w:pPr>
        <w:ind w:right="20"/>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221" w:lineRule="exact"/>
        <w:rPr>
          <w:sz w:val="24"/>
          <w:szCs w:val="24"/>
          <w:color w:val="auto"/>
        </w:rPr>
      </w:pPr>
    </w:p>
    <w:p>
      <w:pPr>
        <w:ind w:right="20"/>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221" w:lineRule="exact"/>
        <w:rPr>
          <w:sz w:val="24"/>
          <w:szCs w:val="24"/>
          <w:color w:val="auto"/>
        </w:rPr>
      </w:pPr>
    </w:p>
    <w:p>
      <w:pPr>
        <w:ind w:right="20"/>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86" w:lineRule="exact"/>
        <w:rPr>
          <w:sz w:val="24"/>
          <w:szCs w:val="24"/>
          <w:color w:val="auto"/>
        </w:rPr>
      </w:pPr>
    </w:p>
    <w:p>
      <w:pPr>
        <w:ind w:right="20"/>
        <w:spacing w:after="0" w:line="249"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emerging growth. See the definitions of “large accelerated filer,” “accelerated filer,” “smaller reporting company” and “emerging growth company” in Rule 12b-2 of the Exchange Act.</w:t>
      </w:r>
    </w:p>
    <w:p>
      <w:pPr>
        <w:sectPr>
          <w:pgSz w:w="11900" w:h="16838" w:orient="portrait"/>
          <w:cols w:equalWidth="0" w:num="1">
            <w:col w:w="11300"/>
          </w:cols>
          <w:pgMar w:left="300" w:top="204" w:right="299" w:bottom="1440" w:gutter="0" w:footer="0" w:header="0"/>
        </w:sectPr>
      </w:pPr>
    </w:p>
    <w:p>
      <w:pPr>
        <w:ind w:left="60"/>
        <w:spacing w:after="0" w:line="127" w:lineRule="exact"/>
        <w:rPr>
          <w:sz w:val="20"/>
          <w:szCs w:val="20"/>
          <w:color w:val="auto"/>
        </w:rPr>
      </w:pPr>
      <w:r>
        <w:rPr>
          <w:rFonts w:ascii="Times New Roman" w:cs="Times New Roman" w:eastAsia="Times New Roman" w:hAnsi="Times New Roman"/>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Times New Roman" w:cs="Times New Roman" w:eastAsia="Times New Roman" w:hAnsi="Times New Roman"/>
          <w:sz w:val="11"/>
          <w:szCs w:val="11"/>
          <w:color w:val="auto"/>
        </w:rPr>
        <w:t xml:space="preserve">Accelerated filer </w:t>
      </w:r>
      <w:r>
        <w:rPr>
          <w:rFonts w:ascii="MS PGothic" w:cs="MS PGothic" w:eastAsia="MS PGothic" w:hAnsi="MS PGothic"/>
          <w:sz w:val="11"/>
          <w:szCs w:val="11"/>
          <w:color w:val="auto"/>
        </w:rPr>
        <w:t>☐</w:t>
      </w:r>
    </w:p>
    <w:p>
      <w:pPr>
        <w:spacing w:after="0" w:line="45" w:lineRule="exact"/>
        <w:rPr>
          <w:sz w:val="24"/>
          <w:szCs w:val="24"/>
          <w:color w:val="auto"/>
        </w:rPr>
      </w:pPr>
    </w:p>
    <w:p>
      <w:pPr>
        <w:sectPr>
          <w:pgSz w:w="11900" w:h="16838" w:orient="portrait"/>
          <w:cols w:equalWidth="0" w:num="2">
            <w:col w:w="6220" w:space="720"/>
            <w:col w:w="4360"/>
          </w:cols>
          <w:pgMar w:left="300" w:top="204" w:right="299" w:bottom="1440" w:gutter="0" w:footer="0" w:header="0"/>
          <w:type w:val="continuous"/>
        </w:sectPr>
      </w:pPr>
    </w:p>
    <w:p>
      <w:pPr>
        <w:ind w:left="60"/>
        <w:spacing w:after="0" w:line="127" w:lineRule="exact"/>
        <w:rPr>
          <w:sz w:val="20"/>
          <w:szCs w:val="20"/>
          <w:color w:val="auto"/>
        </w:rPr>
      </w:pPr>
      <w:r>
        <w:rPr>
          <w:rFonts w:ascii="Times New Roman" w:cs="Times New Roman" w:eastAsia="Times New Roman" w:hAnsi="Times New Roman"/>
          <w:sz w:val="11"/>
          <w:szCs w:val="11"/>
          <w:color w:val="auto"/>
        </w:rPr>
        <w:t xml:space="preserve">Non-accelerated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Times New Roman" w:cs="Times New Roman" w:eastAsia="Times New Roman" w:hAnsi="Times New Roman"/>
          <w:sz w:val="11"/>
          <w:szCs w:val="11"/>
          <w:color w:val="auto"/>
        </w:rPr>
        <w:t xml:space="preserve">Smaller reporting company </w:t>
      </w:r>
      <w:r>
        <w:rPr>
          <w:rFonts w:ascii="MS PGothic" w:cs="MS PGothic" w:eastAsia="MS PGothic" w:hAnsi="MS PGothic"/>
          <w:sz w:val="11"/>
          <w:szCs w:val="11"/>
          <w:color w:val="auto"/>
        </w:rPr>
        <w:t>☒</w:t>
      </w:r>
    </w:p>
    <w:p>
      <w:pPr>
        <w:spacing w:after="0" w:line="77" w:lineRule="exact"/>
        <w:rPr>
          <w:sz w:val="24"/>
          <w:szCs w:val="24"/>
          <w:color w:val="auto"/>
        </w:rPr>
      </w:pPr>
    </w:p>
    <w:p>
      <w:pPr>
        <w:sectPr>
          <w:pgSz w:w="11900" w:h="16838" w:orient="portrait"/>
          <w:cols w:equalWidth="0" w:num="2">
            <w:col w:w="6220" w:space="720"/>
            <w:col w:w="4360"/>
          </w:cols>
          <w:pgMar w:left="300" w:top="204" w:right="299" w:bottom="1440" w:gutter="0" w:footer="0" w:header="0"/>
          <w:type w:val="continuous"/>
        </w:sectPr>
      </w:pPr>
    </w:p>
    <w:p>
      <w:pPr>
        <w:ind w:left="694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ectPr>
          <w:pgSz w:w="11900" w:h="16838" w:orient="portrait"/>
          <w:cols w:equalWidth="0" w:num="1">
            <w:col w:w="11300"/>
          </w:cols>
          <w:pgMar w:left="300" w:top="204" w:right="299" w:bottom="1440" w:gutter="0" w:footer="0" w:header="0"/>
          <w:type w:val="continuous"/>
        </w:sectPr>
      </w:pPr>
    </w:p>
    <w:p>
      <w:pPr>
        <w:spacing w:after="0" w:line="152" w:lineRule="exact"/>
        <w:rPr>
          <w:sz w:val="24"/>
          <w:szCs w:val="24"/>
          <w:color w:val="auto"/>
        </w:rPr>
      </w:pPr>
    </w:p>
    <w:p>
      <w:pPr>
        <w:jc w:val="both"/>
        <w:ind w:right="20" w:firstLine="271"/>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716597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597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19685</wp:posOffset>
            </wp:positionV>
            <wp:extent cx="716597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168" w:lineRule="exact"/>
        <w:rPr>
          <w:sz w:val="24"/>
          <w:szCs w:val="24"/>
          <w:color w:val="auto"/>
        </w:rPr>
      </w:pPr>
    </w:p>
    <w:p>
      <w:pPr>
        <w:jc w:val="both"/>
        <w:ind w:right="20"/>
        <w:spacing w:after="0" w:line="25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16597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97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123190</wp:posOffset>
            </wp:positionV>
            <wp:extent cx="716597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5975" cy="127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355600</wp:posOffset>
            </wp:positionV>
            <wp:extent cx="719137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300"/>
          </w:cols>
          <w:pgMar w:left="300" w:top="204" w:right="299" w:bottom="1440" w:gutter="0" w:footer="0" w:header="0"/>
          <w:type w:val="continuous"/>
        </w:sectPr>
      </w:pPr>
    </w:p>
    <w:bookmarkStart w:id="1" w:name="page2"/>
    <w:bookmarkEnd w:id="1"/>
    <w:p>
      <w:pPr>
        <w:ind w:right="280"/>
        <w:spacing w:after="0" w:line="269" w:lineRule="auto"/>
        <w:rPr>
          <w:sz w:val="20"/>
          <w:szCs w:val="20"/>
          <w:color w:val="auto"/>
        </w:rPr>
      </w:pPr>
      <w:r>
        <w:rPr>
          <w:rFonts w:ascii="Times New Roman" w:cs="Times New Roman" w:eastAsia="Times New Roman" w:hAnsi="Times New Roman"/>
          <w:sz w:val="14"/>
          <w:szCs w:val="14"/>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nor does it seek an offer to buy these securities in any jurisdiction where the offer or sale is not permitted.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FF0000"/>
        </w:rPr>
        <w:t xml:space="preserve">Subject to completion, dated June 24, </w:t>
      </w:r>
      <w:r>
        <w:rPr>
          <w:rFonts w:ascii="Times New Roman" w:cs="Times New Roman" w:eastAsia="Times New Roman" w:hAnsi="Times New Roman"/>
          <w:sz w:val="14"/>
          <w:szCs w:val="14"/>
          <w:b w:val="1"/>
          <w:bCs w:val="1"/>
          <w:color w:val="FC0014"/>
        </w:rPr>
        <w:t>2026</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CLEARONE, INC.</w:t>
      </w:r>
    </w:p>
    <w:p>
      <w:pPr>
        <w:spacing w:after="0" w:line="4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$50,000,000</w:t>
      </w:r>
    </w:p>
    <w:p>
      <w:pPr>
        <w:spacing w:after="0" w:line="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Rights</w:t>
      </w:r>
    </w:p>
    <w:p>
      <w:pPr>
        <w:spacing w:after="0" w:line="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1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From time to time, we may offer and sell up to $50,000,000 in aggregate of the securities described in this prospectus, which may include common stock, preferred stock, debt securities, warrants, rights, subscription receipts, or units, separately or together in any combination, in one or more classes or series, in amounts, at prices and on terms that we will determine at the time of the offering.</w:t>
      </w:r>
    </w:p>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This prospectus provides a general description of the securities we may offer. We may provide specific terms of securities to be offered in one or more supplements to this prospectus. We may also provide a specific plan of distribution for any securities to be offered in a prospectus supplement. Prospectus supplements may also add, update or change information in this prospectus. You should carefully read this prospectus and the applicable prospectus supplement, together with any documents incorporated by reference herein, before you invest in our securities.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traded on the Nasdaq Capital Market under the symbol “CLRO.”</w:t>
      </w:r>
    </w:p>
    <w:p>
      <w:pPr>
        <w:spacing w:after="0" w:line="1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color w:val="auto"/>
        </w:rPr>
        <w:t>Investing in any of our securities involves a high degree of risk. Please read carefully the section entitled “</w:t>
      </w:r>
      <w:r>
        <w:rPr>
          <w:rFonts w:ascii="Times New Roman" w:cs="Times New Roman" w:eastAsia="Times New Roman" w:hAnsi="Times New Roman"/>
          <w:sz w:val="14"/>
          <w:szCs w:val="14"/>
          <w:b w:val="1"/>
          <w:bCs w:val="1"/>
          <w:u w:val="single" w:color="auto"/>
          <w:color w:val="auto"/>
        </w:rPr>
        <w:t>Risk Factors</w:t>
      </w:r>
      <w:r>
        <w:rPr>
          <w:rFonts w:ascii="Times New Roman" w:cs="Times New Roman" w:eastAsia="Times New Roman" w:hAnsi="Times New Roman"/>
          <w:sz w:val="14"/>
          <w:szCs w:val="14"/>
          <w:b w:val="1"/>
          <w:bCs w:val="1"/>
          <w:color w:val="auto"/>
        </w:rPr>
        <w:t>” on page 3 of this prospectus, the “Risk Factors” section contained in the applicable prospectus supplement and the information included and incorporated by reference in this prospectus.</w:t>
      </w:r>
    </w:p>
    <w:p>
      <w:pPr>
        <w:spacing w:after="0" w:line="12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140970</wp:posOffset>
            </wp:positionV>
            <wp:extent cx="719137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94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Table of Content</w:t>
            </w:r>
          </w:p>
        </w:tc>
        <w:tc>
          <w:tcPr>
            <w:tcW w:w="24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Page Number</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tcBorders>
              <w:bottom w:val="single" w:sz="8" w:color="0000EE"/>
            </w:tcBorders>
            <w:gridSpan w:val="8"/>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0000EE"/>
                <w:w w:val="94"/>
              </w:rPr>
              <w:t>About This Prospectus</w:t>
            </w:r>
          </w:p>
        </w:tc>
        <w:tc>
          <w:tcPr>
            <w:tcW w:w="7620" w:type="dxa"/>
            <w:vAlign w:val="bottom"/>
            <w:tcBorders>
              <w:bottom w:val="single" w:sz="8" w:color="CCEEFF"/>
            </w:tcBorders>
            <w:gridSpan w:val="9"/>
            <w:shd w:val="clear" w:color="auto" w:fill="CCEEFF"/>
          </w:tcPr>
          <w:p>
            <w:pPr>
              <w:spacing w:after="0"/>
              <w:rPr>
                <w:sz w:val="12"/>
                <w:szCs w:val="12"/>
                <w:color w:val="auto"/>
              </w:rPr>
            </w:pPr>
          </w:p>
        </w:tc>
        <w:tc>
          <w:tcPr>
            <w:tcW w:w="2420" w:type="dxa"/>
            <w:vAlign w:val="bottom"/>
            <w:tcBorders>
              <w:bottom w:val="single" w:sz="8" w:color="CCEEFF"/>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gridSpan w:val="17"/>
          </w:tcPr>
          <w:p>
            <w:pPr>
              <w:spacing w:after="0" w:line="133"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24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8840" w:type="dxa"/>
            <w:vAlign w:val="bottom"/>
            <w:gridSpan w:val="17"/>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242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00" w:type="dxa"/>
            <w:vAlign w:val="bottom"/>
            <w:tcBorders>
              <w:top w:val="single" w:sz="8" w:color="0000EE"/>
            </w:tcBorders>
            <w:gridSpan w:val="16"/>
          </w:tcPr>
          <w:p>
            <w:pPr>
              <w:spacing w:after="0" w:line="133" w:lineRule="exact"/>
              <w:rPr>
                <w:sz w:val="20"/>
                <w:szCs w:val="20"/>
                <w:color w:val="auto"/>
              </w:rPr>
            </w:pPr>
            <w:r>
              <w:rPr>
                <w:rFonts w:ascii="Times New Roman" w:cs="Times New Roman" w:eastAsia="Times New Roman" w:hAnsi="Times New Roman"/>
                <w:sz w:val="14"/>
                <w:szCs w:val="14"/>
                <w:color w:val="0000EE"/>
              </w:rPr>
              <w:t>Risk Factors</w:t>
            </w:r>
          </w:p>
        </w:tc>
        <w:tc>
          <w:tcPr>
            <w:tcW w:w="5940" w:type="dxa"/>
            <w:vAlign w:val="bottom"/>
            <w:tcBorders>
              <w:top w:val="single" w:sz="8" w:color="CCEEFF"/>
            </w:tcBorders>
          </w:tcPr>
          <w:p>
            <w:pPr>
              <w:spacing w:after="0"/>
              <w:rPr>
                <w:sz w:val="11"/>
                <w:szCs w:val="11"/>
                <w:color w:val="auto"/>
              </w:rPr>
            </w:pPr>
          </w:p>
        </w:tc>
        <w:tc>
          <w:tcPr>
            <w:tcW w:w="2420" w:type="dxa"/>
            <w:vAlign w:val="bottom"/>
            <w:tcBorders>
              <w:top w:val="single" w:sz="8" w:color="CCEEFF"/>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900" w:type="dxa"/>
            <w:vAlign w:val="bottom"/>
            <w:tcBorders>
              <w:bottom w:val="single" w:sz="8" w:color="0000EE"/>
            </w:tcBorders>
            <w:gridSpan w:val="4"/>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w w:val="93"/>
              </w:rPr>
              <w:t>Use Of Proceeds</w:t>
            </w:r>
          </w:p>
        </w:tc>
        <w:tc>
          <w:tcPr>
            <w:tcW w:w="7940" w:type="dxa"/>
            <w:vAlign w:val="bottom"/>
            <w:tcBorders>
              <w:bottom w:val="single" w:sz="8" w:color="CCEEFF"/>
            </w:tcBorders>
            <w:gridSpan w:val="13"/>
            <w:shd w:val="clear" w:color="auto" w:fill="CCEEFF"/>
          </w:tcPr>
          <w:p>
            <w:pPr>
              <w:spacing w:after="0"/>
              <w:rPr>
                <w:sz w:val="13"/>
                <w:szCs w:val="13"/>
                <w:color w:val="auto"/>
              </w:rPr>
            </w:pPr>
          </w:p>
        </w:tc>
        <w:tc>
          <w:tcPr>
            <w:tcW w:w="2420" w:type="dxa"/>
            <w:vAlign w:val="bottom"/>
            <w:tcBorders>
              <w:bottom w:val="single" w:sz="8" w:color="CCEEFF"/>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gridSpan w:val="17"/>
          </w:tcPr>
          <w:p>
            <w:pPr>
              <w:spacing w:after="0" w:line="133" w:lineRule="exact"/>
              <w:rPr>
                <w:sz w:val="20"/>
                <w:szCs w:val="20"/>
                <w:color w:val="auto"/>
              </w:rPr>
            </w:pPr>
            <w:r>
              <w:rPr>
                <w:rFonts w:ascii="Times New Roman" w:cs="Times New Roman" w:eastAsia="Times New Roman" w:hAnsi="Times New Roman"/>
                <w:sz w:val="14"/>
                <w:szCs w:val="14"/>
                <w:color w:val="0000EE"/>
              </w:rPr>
              <w:t>Plan Of Distribution</w:t>
            </w:r>
          </w:p>
        </w:tc>
        <w:tc>
          <w:tcPr>
            <w:tcW w:w="24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1560" w:type="dxa"/>
            <w:vAlign w:val="bottom"/>
            <w:tcBorders>
              <w:bottom w:val="single" w:sz="8" w:color="0000EE"/>
            </w:tcBorders>
            <w:gridSpan w:val="10"/>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w w:val="94"/>
              </w:rPr>
              <w:t>Description Of Capital Stock</w:t>
            </w:r>
          </w:p>
        </w:tc>
        <w:tc>
          <w:tcPr>
            <w:tcW w:w="7280" w:type="dxa"/>
            <w:vAlign w:val="bottom"/>
            <w:tcBorders>
              <w:bottom w:val="single" w:sz="8" w:color="CCEEFF"/>
            </w:tcBorders>
            <w:gridSpan w:val="7"/>
            <w:shd w:val="clear" w:color="auto" w:fill="CCEEFF"/>
          </w:tcPr>
          <w:p>
            <w:pPr>
              <w:spacing w:after="0"/>
              <w:rPr>
                <w:sz w:val="13"/>
                <w:szCs w:val="13"/>
                <w:color w:val="auto"/>
              </w:rPr>
            </w:pPr>
          </w:p>
        </w:tc>
        <w:tc>
          <w:tcPr>
            <w:tcW w:w="2420" w:type="dxa"/>
            <w:vAlign w:val="bottom"/>
            <w:tcBorders>
              <w:bottom w:val="single" w:sz="8" w:color="CCEEFF"/>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gridSpan w:val="17"/>
          </w:tcPr>
          <w:p>
            <w:pPr>
              <w:spacing w:after="0" w:line="133" w:lineRule="exact"/>
              <w:rPr>
                <w:sz w:val="20"/>
                <w:szCs w:val="20"/>
                <w:color w:val="auto"/>
              </w:rPr>
            </w:pPr>
            <w:r>
              <w:rPr>
                <w:rFonts w:ascii="Times New Roman" w:cs="Times New Roman" w:eastAsia="Times New Roman" w:hAnsi="Times New Roman"/>
                <w:sz w:val="14"/>
                <w:szCs w:val="14"/>
                <w:color w:val="0000EE"/>
              </w:rPr>
              <w:t>Description Of Preferred Stock</w:t>
            </w:r>
          </w:p>
        </w:tc>
        <w:tc>
          <w:tcPr>
            <w:tcW w:w="24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1660" w:type="dxa"/>
            <w:vAlign w:val="bottom"/>
            <w:tcBorders>
              <w:bottom w:val="single" w:sz="8" w:color="0000EE"/>
            </w:tcBorders>
            <w:gridSpan w:val="11"/>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w w:val="94"/>
              </w:rPr>
              <w:t>Description Of Debt Securities</w:t>
            </w:r>
          </w:p>
        </w:tc>
        <w:tc>
          <w:tcPr>
            <w:tcW w:w="7180" w:type="dxa"/>
            <w:vAlign w:val="bottom"/>
            <w:tcBorders>
              <w:bottom w:val="single" w:sz="8" w:color="CCEEFF"/>
            </w:tcBorders>
            <w:gridSpan w:val="6"/>
            <w:shd w:val="clear" w:color="auto" w:fill="CCEEFF"/>
          </w:tcPr>
          <w:p>
            <w:pPr>
              <w:spacing w:after="0"/>
              <w:rPr>
                <w:sz w:val="13"/>
                <w:szCs w:val="13"/>
                <w:color w:val="auto"/>
              </w:rPr>
            </w:pPr>
          </w:p>
        </w:tc>
        <w:tc>
          <w:tcPr>
            <w:tcW w:w="2420" w:type="dxa"/>
            <w:vAlign w:val="bottom"/>
            <w:tcBorders>
              <w:bottom w:val="single" w:sz="8" w:color="CCEEFF"/>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gridSpan w:val="17"/>
          </w:tcPr>
          <w:p>
            <w:pPr>
              <w:spacing w:after="0" w:line="133" w:lineRule="exact"/>
              <w:rPr>
                <w:sz w:val="20"/>
                <w:szCs w:val="20"/>
                <w:color w:val="auto"/>
              </w:rPr>
            </w:pPr>
            <w:r>
              <w:rPr>
                <w:rFonts w:ascii="Times New Roman" w:cs="Times New Roman" w:eastAsia="Times New Roman" w:hAnsi="Times New Roman"/>
                <w:sz w:val="14"/>
                <w:szCs w:val="14"/>
                <w:color w:val="0000EE"/>
              </w:rPr>
              <w:t>Description Of Warrants</w:t>
            </w:r>
          </w:p>
        </w:tc>
        <w:tc>
          <w:tcPr>
            <w:tcW w:w="24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1180" w:type="dxa"/>
            <w:vAlign w:val="bottom"/>
            <w:tcBorders>
              <w:bottom w:val="single" w:sz="8" w:color="0000EE"/>
            </w:tcBorders>
            <w:gridSpan w:val="7"/>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w w:val="93"/>
              </w:rPr>
              <w:t>Description Of Rights</w:t>
            </w:r>
          </w:p>
        </w:tc>
        <w:tc>
          <w:tcPr>
            <w:tcW w:w="7660" w:type="dxa"/>
            <w:vAlign w:val="bottom"/>
            <w:tcBorders>
              <w:bottom w:val="single" w:sz="8" w:color="CCEEFF"/>
            </w:tcBorders>
            <w:gridSpan w:val="10"/>
            <w:shd w:val="clear" w:color="auto" w:fill="CCEEFF"/>
          </w:tcPr>
          <w:p>
            <w:pPr>
              <w:spacing w:after="0"/>
              <w:rPr>
                <w:sz w:val="13"/>
                <w:szCs w:val="13"/>
                <w:color w:val="auto"/>
              </w:rPr>
            </w:pPr>
          </w:p>
        </w:tc>
        <w:tc>
          <w:tcPr>
            <w:tcW w:w="2420" w:type="dxa"/>
            <w:vAlign w:val="bottom"/>
            <w:tcBorders>
              <w:bottom w:val="single" w:sz="8" w:color="CCEEFF"/>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gridSpan w:val="17"/>
          </w:tcPr>
          <w:p>
            <w:pPr>
              <w:spacing w:after="0" w:line="133" w:lineRule="exact"/>
              <w:rPr>
                <w:sz w:val="20"/>
                <w:szCs w:val="20"/>
                <w:color w:val="auto"/>
              </w:rPr>
            </w:pPr>
            <w:r>
              <w:rPr>
                <w:rFonts w:ascii="Times New Roman" w:cs="Times New Roman" w:eastAsia="Times New Roman" w:hAnsi="Times New Roman"/>
                <w:sz w:val="14"/>
                <w:szCs w:val="14"/>
                <w:color w:val="0000EE"/>
              </w:rPr>
              <w:t>Description Of Subscription Receipts</w:t>
            </w:r>
          </w:p>
        </w:tc>
        <w:tc>
          <w:tcPr>
            <w:tcW w:w="24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9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1120" w:type="dxa"/>
            <w:vAlign w:val="bottom"/>
            <w:tcBorders>
              <w:bottom w:val="single" w:sz="8" w:color="0000EE"/>
            </w:tcBorders>
            <w:gridSpan w:val="6"/>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w w:val="93"/>
              </w:rPr>
              <w:t>Description Of Units</w:t>
            </w:r>
          </w:p>
        </w:tc>
        <w:tc>
          <w:tcPr>
            <w:tcW w:w="7720" w:type="dxa"/>
            <w:vAlign w:val="bottom"/>
            <w:tcBorders>
              <w:bottom w:val="single" w:sz="8" w:color="CCEEFF"/>
            </w:tcBorders>
            <w:gridSpan w:val="11"/>
            <w:shd w:val="clear" w:color="auto" w:fill="CCEEFF"/>
          </w:tcPr>
          <w:p>
            <w:pPr>
              <w:spacing w:after="0"/>
              <w:rPr>
                <w:sz w:val="13"/>
                <w:szCs w:val="13"/>
                <w:color w:val="auto"/>
              </w:rPr>
            </w:pPr>
          </w:p>
        </w:tc>
        <w:tc>
          <w:tcPr>
            <w:tcW w:w="2420" w:type="dxa"/>
            <w:vAlign w:val="bottom"/>
            <w:tcBorders>
              <w:bottom w:val="single" w:sz="8" w:color="CCEEFF"/>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9"/>
              </w:rPr>
              <w:t>11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gridSpan w:val="17"/>
          </w:tcPr>
          <w:p>
            <w:pPr>
              <w:spacing w:after="0" w:line="133" w:lineRule="exact"/>
              <w:rPr>
                <w:sz w:val="20"/>
                <w:szCs w:val="20"/>
                <w:color w:val="auto"/>
              </w:rPr>
            </w:pPr>
            <w:r>
              <w:rPr>
                <w:rFonts w:ascii="Times New Roman" w:cs="Times New Roman" w:eastAsia="Times New Roman" w:hAnsi="Times New Roman"/>
                <w:sz w:val="14"/>
                <w:szCs w:val="14"/>
                <w:color w:val="0000EE"/>
              </w:rPr>
              <w:t>Legal Matters</w:t>
            </w:r>
          </w:p>
        </w:tc>
        <w:tc>
          <w:tcPr>
            <w:tcW w:w="24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99"/>
              </w:rPr>
              <w:t>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400" w:type="dxa"/>
            <w:vAlign w:val="bottom"/>
            <w:tcBorders>
              <w:bottom w:val="single" w:sz="8" w:color="0000EE"/>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w w:val="88"/>
              </w:rPr>
              <w:t>Experts</w:t>
            </w:r>
          </w:p>
        </w:tc>
        <w:tc>
          <w:tcPr>
            <w:tcW w:w="8440" w:type="dxa"/>
            <w:vAlign w:val="bottom"/>
            <w:tcBorders>
              <w:bottom w:val="single" w:sz="8" w:color="CCEEFF"/>
            </w:tcBorders>
            <w:gridSpan w:val="16"/>
            <w:shd w:val="clear" w:color="auto" w:fill="CCEEFF"/>
          </w:tcPr>
          <w:p>
            <w:pPr>
              <w:spacing w:after="0"/>
              <w:rPr>
                <w:sz w:val="13"/>
                <w:szCs w:val="13"/>
                <w:color w:val="auto"/>
              </w:rPr>
            </w:pPr>
          </w:p>
        </w:tc>
        <w:tc>
          <w:tcPr>
            <w:tcW w:w="2420" w:type="dxa"/>
            <w:vAlign w:val="bottom"/>
            <w:tcBorders>
              <w:bottom w:val="single" w:sz="8" w:color="CCEEFF"/>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9"/>
              </w:rPr>
              <w:t>11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gridSpan w:val="17"/>
          </w:tcPr>
          <w:p>
            <w:pPr>
              <w:spacing w:after="0" w:line="133" w:lineRule="exact"/>
              <w:rPr>
                <w:sz w:val="20"/>
                <w:szCs w:val="20"/>
                <w:color w:val="auto"/>
              </w:rPr>
            </w:pPr>
            <w:r>
              <w:rPr>
                <w:rFonts w:ascii="Times New Roman" w:cs="Times New Roman" w:eastAsia="Times New Roman" w:hAnsi="Times New Roman"/>
                <w:sz w:val="14"/>
                <w:szCs w:val="14"/>
                <w:color w:val="0000EE"/>
              </w:rPr>
              <w:t>Incorporation Of Documents By Reference</w:t>
            </w:r>
          </w:p>
        </w:tc>
        <w:tc>
          <w:tcPr>
            <w:tcW w:w="24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99"/>
              </w:rPr>
              <w:t>12</w:t>
            </w:r>
          </w:p>
        </w:tc>
        <w:tc>
          <w:tcPr>
            <w:tcW w:w="0" w:type="dxa"/>
            <w:vAlign w:val="bottom"/>
          </w:tcPr>
          <w:p>
            <w:pPr>
              <w:spacing w:after="0"/>
              <w:rPr>
                <w:sz w:val="1"/>
                <w:szCs w:val="1"/>
                <w:color w:val="auto"/>
              </w:rPr>
            </w:pPr>
          </w:p>
        </w:tc>
      </w:tr>
      <w:tr>
        <w:trPr>
          <w:trHeight w:val="255"/>
        </w:trPr>
        <w:tc>
          <w:tcPr>
            <w:tcW w:w="20" w:type="dxa"/>
            <w:vAlign w:val="bottom"/>
            <w:tcBorders>
              <w:bottom w:val="single" w:sz="8" w:color="auto"/>
            </w:tcBorders>
          </w:tcPr>
          <w:p>
            <w:pPr>
              <w:spacing w:after="0"/>
              <w:rPr>
                <w:sz w:val="22"/>
                <w:szCs w:val="22"/>
                <w:color w:val="auto"/>
              </w:rPr>
            </w:pPr>
          </w:p>
        </w:tc>
        <w:tc>
          <w:tcPr>
            <w:tcW w:w="400" w:type="dxa"/>
            <w:vAlign w:val="bottom"/>
            <w:tcBorders>
              <w:top w:val="single" w:sz="8" w:color="0000EE"/>
              <w:bottom w:val="single" w:sz="8" w:color="auto"/>
            </w:tcBorders>
          </w:tcPr>
          <w:p>
            <w:pPr>
              <w:spacing w:after="0"/>
              <w:rPr>
                <w:sz w:val="22"/>
                <w:szCs w:val="22"/>
                <w:color w:val="auto"/>
              </w:rPr>
            </w:pPr>
          </w:p>
        </w:tc>
        <w:tc>
          <w:tcPr>
            <w:tcW w:w="26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160" w:type="dxa"/>
            <w:vAlign w:val="bottom"/>
            <w:tcBorders>
              <w:top w:val="single" w:sz="8" w:color="0000EE"/>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40" w:type="dxa"/>
            <w:vAlign w:val="bottom"/>
            <w:tcBorders>
              <w:top w:val="single" w:sz="8" w:color="0000EE"/>
              <w:bottom w:val="single" w:sz="8" w:color="auto"/>
            </w:tcBorders>
          </w:tcPr>
          <w:p>
            <w:pPr>
              <w:spacing w:after="0"/>
              <w:rPr>
                <w:sz w:val="22"/>
                <w:szCs w:val="22"/>
                <w:color w:val="auto"/>
              </w:rPr>
            </w:pPr>
          </w:p>
        </w:tc>
        <w:tc>
          <w:tcPr>
            <w:tcW w:w="60" w:type="dxa"/>
            <w:vAlign w:val="bottom"/>
            <w:tcBorders>
              <w:top w:val="single" w:sz="8" w:color="0000EE"/>
              <w:bottom w:val="single" w:sz="8" w:color="auto"/>
            </w:tcBorders>
          </w:tcPr>
          <w:p>
            <w:pPr>
              <w:spacing w:after="0"/>
              <w:rPr>
                <w:sz w:val="22"/>
                <w:szCs w:val="22"/>
                <w:color w:val="auto"/>
              </w:rPr>
            </w:pPr>
          </w:p>
        </w:tc>
        <w:tc>
          <w:tcPr>
            <w:tcW w:w="40" w:type="dxa"/>
            <w:vAlign w:val="bottom"/>
            <w:tcBorders>
              <w:top w:val="single" w:sz="8" w:color="0000EE"/>
              <w:bottom w:val="single" w:sz="8" w:color="auto"/>
            </w:tcBorders>
          </w:tcPr>
          <w:p>
            <w:pPr>
              <w:spacing w:after="0"/>
              <w:rPr>
                <w:sz w:val="22"/>
                <w:szCs w:val="22"/>
                <w:color w:val="auto"/>
              </w:rPr>
            </w:pPr>
          </w:p>
        </w:tc>
        <w:tc>
          <w:tcPr>
            <w:tcW w:w="100" w:type="dxa"/>
            <w:vAlign w:val="bottom"/>
            <w:tcBorders>
              <w:top w:val="single" w:sz="8" w:color="0000EE"/>
              <w:bottom w:val="single" w:sz="8" w:color="auto"/>
            </w:tcBorders>
          </w:tcPr>
          <w:p>
            <w:pPr>
              <w:spacing w:after="0"/>
              <w:rPr>
                <w:sz w:val="22"/>
                <w:szCs w:val="22"/>
                <w:color w:val="auto"/>
              </w:rPr>
            </w:pPr>
          </w:p>
        </w:tc>
        <w:tc>
          <w:tcPr>
            <w:tcW w:w="240" w:type="dxa"/>
            <w:vAlign w:val="bottom"/>
            <w:tcBorders>
              <w:top w:val="single" w:sz="8" w:color="0000EE"/>
              <w:bottom w:val="single" w:sz="8" w:color="auto"/>
            </w:tcBorders>
          </w:tcPr>
          <w:p>
            <w:pPr>
              <w:spacing w:after="0"/>
              <w:rPr>
                <w:sz w:val="22"/>
                <w:szCs w:val="22"/>
                <w:color w:val="auto"/>
              </w:rPr>
            </w:pPr>
          </w:p>
        </w:tc>
        <w:tc>
          <w:tcPr>
            <w:tcW w:w="10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340" w:type="dxa"/>
            <w:vAlign w:val="bottom"/>
            <w:tcBorders>
              <w:top w:val="single" w:sz="8" w:color="0000EE"/>
              <w:bottom w:val="single" w:sz="8" w:color="auto"/>
            </w:tcBorders>
          </w:tcPr>
          <w:p>
            <w:pPr>
              <w:spacing w:after="0"/>
              <w:rPr>
                <w:sz w:val="22"/>
                <w:szCs w:val="22"/>
                <w:color w:val="auto"/>
              </w:rPr>
            </w:pPr>
          </w:p>
        </w:tc>
        <w:tc>
          <w:tcPr>
            <w:tcW w:w="120" w:type="dxa"/>
            <w:vAlign w:val="bottom"/>
            <w:tcBorders>
              <w:top w:val="single" w:sz="8" w:color="0000EE"/>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-24765</wp:posOffset>
            </wp:positionV>
            <wp:extent cx="3175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448"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250"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2"/>
          <w:szCs w:val="12"/>
          <w:color w:val="auto"/>
        </w:rPr>
        <w:t>This prospectus is part of a registration statement on Form S-3 that we filed with the Securities and Exchange Commission, or the SEC, using a “shelf” registration or continuous offering process. Under this shelf registration process, we may, from time to time, sell any combination of the securities described in this prospectus in one or more offerings up to a total aggregate offering price of $50,000,000.</w:t>
      </w:r>
    </w:p>
    <w:p>
      <w:pPr>
        <w:spacing w:after="0" w:line="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This prospectus provides a general description of the securities we may offer. We may provide specific terms of securities to be offered in one or more supplements to this prospectus. We may also provide a specific plan of distribution for any securities to be offered in a prospectus supplement. Prospectus supplements may also add, update or change information in this prospectus. If the information varies between this prospectus and the accompanying prospectus supplement, you should rely on the information in the accompanying prospectus supplement.</w:t>
      </w:r>
    </w:p>
    <w:p>
      <w:pPr>
        <w:spacing w:after="0" w:line="14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2"/>
          <w:szCs w:val="12"/>
          <w:color w:val="auto"/>
        </w:rPr>
        <w:t>Before purchasing any securities, you should carefully read both this prospectus and any prospectus supplement, together with the additional information described under the heading “Information We Incorporate by Reference.” You should rely only on the information contained or incorporated by reference in this prospectus, any prospectus supplement and any free writing prospectus prepared by or on behalf of us or to which we have referred you. Neither we nor any underwriters have authorized any other person to provide you with different information. If anyone provides you with different or inconsistent information, you should not rely on it. We take no responsibility for, and can provide no assurance as to the reliability of, any other information that others may give you. You should assume that the information contained in this prospectus, any prospectus supplement or any free writing prospectus is accurate only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2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This prospectus and any applicable prospectus supplement do not constitute an offer to sell or the solicitation of an offer to buy any securities other than the registered securities to which they relate. We are not making offers to sell common shares or any other securities described in this prospectus in any jurisdiction in which an offer or solicitation is not authorized or in which we are not qualified to do so or to anyone to whom it is unlawful to make an offer or solicitation.</w:t>
      </w:r>
    </w:p>
    <w:p>
      <w:pPr>
        <w:spacing w:after="0" w:line="14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2"/>
          <w:szCs w:val="12"/>
          <w:color w:val="auto"/>
        </w:rPr>
        <w:t>Unless otherwise expressly indicated or the context otherwise requires, we use the terms “ClearOne” the “Company,” “we,” “us,” “our” or similar references to refer to ClearOne, Inc. and its subsidiaries.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CLEARONE</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ClearOne is a global market leader in enabling conferencing, collaboration, and network streaming solutions. We design, develop and sell conferencing, collaboration and network streaming solutions for voice and visual communications. The performance and simplicity of our advanced comprehensive solutions offer unprecedented levels of functionality, reliability and scalability.</w:t>
      </w:r>
    </w:p>
    <w:p>
      <w:pPr>
        <w:spacing w:after="0" w:line="1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comprehensive line of high-quality conferencing and collaboration products are targeted for large, medium and small businesses, as well as for personal use. We have been a global market leader in the installed professional audio-conferencing market, where our products are used in numerous industries such as enterprise, healthcare, education, government, legal and finance.</w:t>
      </w:r>
    </w:p>
    <w:p>
      <w:pPr>
        <w:spacing w:after="0" w:line="1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have an established history of product innovation and plan to continue to apply our expertise in audio, video and networked AV to design,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through a global network of independent distributors who, in turn, sell our products to dealers, systems integrators and other value-added resellers. We also sell directly to dealers, systems integrators and other value-added resellers. Our solutions save end-users time and money by creating a natural environment for collaboration and communication. Our partners, who are involved in system integration are benefitted with simpler project design and support costs with our products designed and built to work with each other seamlessly.</w:t>
      </w:r>
    </w:p>
    <w:p>
      <w:pPr>
        <w:spacing w:after="0" w:line="1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Additional information about the Company can be found in our periodic and current reports that we file with the SEC. See “Where You Can Find More Information” and “Incorporation of Certain Information By Reference.”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54610</wp:posOffset>
            </wp:positionV>
            <wp:extent cx="719137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 xml:space="preserve">We have filed our registration statement on Form S-3 with the SEC under the Securities Act of 1933, as amended, or the Securities Act. We also file annual, quarterly and current reports, proxy statements and other information with the SEC. You may read and copy any document that we file with the SEC, including the registration statement and the exhibits to the registration statement, at the SEC’s Public Reference Room located at 100 F Street, N.E., Washington D.C. 20549. Our SEC filings are also available to the public at the SEC’s web site at www.sec.gov. These documents may also be accessed on our web site at </w:t>
      </w:r>
      <w:r>
        <w:rPr>
          <w:rFonts w:ascii="Times New Roman" w:cs="Times New Roman" w:eastAsia="Times New Roman" w:hAnsi="Times New Roman"/>
          <w:sz w:val="14"/>
          <w:szCs w:val="14"/>
          <w:u w:val="single" w:color="auto"/>
          <w:color w:val="0000FF"/>
        </w:rPr>
        <w:t>https://investors.clearone.com</w:t>
      </w:r>
      <w:r>
        <w:rPr>
          <w:rFonts w:ascii="Times New Roman" w:cs="Times New Roman" w:eastAsia="Times New Roman" w:hAnsi="Times New Roman"/>
          <w:sz w:val="14"/>
          <w:szCs w:val="14"/>
          <w:color w:val="auto"/>
        </w:rPr>
        <w:t>. Information contained on our web site is not incorporated by reference into this prospectus and you should not consider information contained on our web site to be part of this prospectus.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This prospectus and any prospectus supplement are part of a registration statement filed with the SEC and do not contain all of the information in the registration statement. The full registration statement may be obtained from the SEC or us as indicated above. Other documents establishing the terms of the offered securities are filed as exhibits to the registration statement or will be filed through an amendment to our registration statement on Form S-3 or under cover of a Current Report on Form 8-K and incorporated into this prospectus by reference.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Certain information set forth in this prospectus may contain forward-looking statements within the meaning of Section 27A of the Securities Act of 1933, as amended, and Section 21E of the Securities Exchange Act of 1934, as amended,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“should,” “could,” “would,” “seek,” “intend,” “plan,” “goal,” “project,” “estimate,” “anticipate” “strategy,” “future,” “likely” or other comparable terms and references to future periods. All statements other than statements of historical facts included in this prospectus regarding our strategies, prospects, financial condition, operations, costs, plans and objectives are forward-looking statements. Examples of forward-looking statements include, among others, statements we make regarding: possible or assumed future results of our operations, including statements about potential acquisition or merger targets; business strategies; future cash flows; financing plans; plans and objectives of management; any other statements regarding future acquisitions, future cash needs, future operations, business plans and future financial results, and any other statements that are not historical facts.</w:t>
      </w:r>
    </w:p>
    <w:p>
      <w:pPr>
        <w:spacing w:after="0" w:line="1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known and unknown risks, changes in circumstances and other factors that are difficult to predict and many of which are outside of our control. Our actual results, performance, achievements and financial condition may differ materially from those expressed or implied in such forward-looking statements. Therefore, you should not place undue reliance on any of these forward-looking statements. The forward-looking statements contained herein and in the documents incorporated hereto by reference are presented for the purposes of assisting readers in understanding ClearOne’s expected financial and operating performance and ClearOne’s plans and objectives, and may not be appropriate for any other purpose.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forward-looking statement made by us in this prospectus is based only on information currently available to us and speaks only as of the date on which it is made.</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undertake no obligation to publicly update any forward-looking statement, whether written or oral that may be made from time to time, whether as a result of new information, future developments or otherwise, except as may be required under applicable law. We anticipate that subsequent events and developments will cause our views to change. You should read this prospectus and the documents filed as exhibits to the registration statement, of which this prospectus is a part, completely and with the understanding that our actual future results may be materially different from what we expect. Our forward-looking statements do not reflect the potential impact of any future acquisitions, merger, dispositions, joint ventures, spinouts or investments we may undertake. We qualify all of our forward-looking statements by these cautionary statements.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54610</wp:posOffset>
            </wp:positionV>
            <wp:extent cx="719137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448"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Investing in our securities involves a high degree of risk, and there are various risk factors that could cause the Company’s future results to differ materially from those described in this prospectus. Before making an investment decision, you should carefully consider any risk factors set forth in the applicable prospectus supplement and the documents incorporated by reference in this prospectus, including the factors discussed under the heading “Risk Factors” in our most recent Annual Report on Form 10-K and each subsequently filed Quarterly Report on Form 10-Q and any risk factors set forth in our other filings with the SEC pursuant to Sections 13(a), 13(c), 14 or 15(d) of the Securities Exchange. See “Where You Can Find More Information” and “Information We Incorporate By Reference”. Each of the risks described in these documents could materially and adversely affect our business, financial condition, results of operations and prospects, and could result in a partial or complete loss of your investment. If any of the risks described in these documents, or any other risks and uncertainties that we have not yet identified or that we currently consider not to be material, actually occur or become material risks, our business, financial condition, results of operations and cash flows, and consequently the price of the common shares, could be materially and adversely affected. The risks discussed in these documents also include forward- looking statements and our actual results may differ substantially from those discussed in these forward-looking statements. In addition, past financial performance may not be a reliable indicator of future performance and historical trends should not be used to anticipate results or trends in future periods.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311" w:lineRule="exact"/>
        <w:rPr>
          <w:sz w:val="20"/>
          <w:szCs w:val="20"/>
          <w:color w:val="auto"/>
        </w:rPr>
      </w:pPr>
    </w:p>
    <w:p>
      <w:pPr>
        <w:jc w:val="both"/>
        <w:ind w:firstLine="271"/>
        <w:spacing w:after="0" w:line="239" w:lineRule="auto"/>
        <w:rPr>
          <w:sz w:val="20"/>
          <w:szCs w:val="20"/>
          <w:color w:val="auto"/>
        </w:rPr>
      </w:pPr>
      <w:r>
        <w:rPr>
          <w:rFonts w:ascii="Times New Roman" w:cs="Times New Roman" w:eastAsia="Times New Roman" w:hAnsi="Times New Roman"/>
          <w:sz w:val="14"/>
          <w:szCs w:val="14"/>
          <w:color w:val="auto"/>
        </w:rPr>
        <w:t>Unless otherwise indicated in any applicable prospectus supplement, we currently intend to use the net proceeds from the sale of securities under this prospectus for general corporate purposes. Our general corporate purposes may include, but are not limited to, capital expenditures, funding possible acquisitions, working capital and satisfaction of other obligations. We have not determined the amount of net proceeds to be used specifically for the foregoing purposes. As a result, our management will have broad discretion over the allocation of the net proceeds. Until we use the net proceeds, we may invest the proceeds in short-term, investment-grade, interest-bearing instruments.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18" w:lineRule="exact"/>
        <w:rPr>
          <w:sz w:val="20"/>
          <w:szCs w:val="20"/>
          <w:color w:val="auto"/>
        </w:rPr>
      </w:pPr>
    </w:p>
    <w:p>
      <w:pPr>
        <w:jc w:val="both"/>
        <w:ind w:firstLine="271"/>
        <w:spacing w:after="0" w:line="248" w:lineRule="auto"/>
        <w:rPr>
          <w:sz w:val="20"/>
          <w:szCs w:val="20"/>
          <w:color w:val="auto"/>
        </w:rPr>
      </w:pPr>
      <w:r>
        <w:rPr>
          <w:rFonts w:ascii="Times New Roman" w:cs="Times New Roman" w:eastAsia="Times New Roman" w:hAnsi="Times New Roman"/>
          <w:sz w:val="14"/>
          <w:szCs w:val="14"/>
          <w:color w:val="auto"/>
        </w:rPr>
        <w:t>We will set forth in a prospectus supplement the following information regarding any material dilution of the equity interests of investors purchasing securities from us in a primary offering under this prospectus:</w:t>
      </w:r>
    </w:p>
    <w:p>
      <w:pPr>
        <w:spacing w:after="0" w:line="1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net tangible book value per share of our equity securities before and after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amount of the increase in such net tangible book value per share attributable to the cash payments made by purchasers in the offering;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amount of the immediate dilution from the public offering price which will be absorbed by such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48260</wp:posOffset>
            </wp:positionV>
            <wp:extent cx="719137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448" w:right="319" w:bottom="1440" w:gutter="0" w:footer="0" w:header="0"/>
        </w:sectPr>
      </w:pPr>
    </w:p>
    <w:bookmarkStart w:id="6" w:name="page7"/>
    <w:bookmarkEnd w:id="6"/>
    <w:p>
      <w:pPr>
        <w:ind w:left="486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sell the securities from time to time, by a variety of methods, including the following:</w:t>
      </w:r>
    </w:p>
    <w:p>
      <w:pPr>
        <w:spacing w:after="0" w:line="165" w:lineRule="exact"/>
        <w:rPr>
          <w:sz w:val="20"/>
          <w:szCs w:val="20"/>
          <w:color w:val="auto"/>
        </w:rPr>
      </w:pPr>
    </w:p>
    <w:p>
      <w:pPr>
        <w:ind w:left="140" w:hanging="139"/>
        <w:spacing w:after="0"/>
        <w:tabs>
          <w:tab w:leader="none" w:pos="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any national securities exchange or quotation service on which our securities may be listed at the time of sale, including the Nasdaq Capital Market;</w:t>
      </w:r>
    </w:p>
    <w:p>
      <w:pPr>
        <w:spacing w:after="0" w:line="164" w:lineRule="exact"/>
        <w:rPr>
          <w:rFonts w:ascii="Times New Roman" w:cs="Times New Roman" w:eastAsia="Times New Roman" w:hAnsi="Times New Roman"/>
          <w:sz w:val="14"/>
          <w:szCs w:val="14"/>
          <w:color w:val="auto"/>
        </w:rPr>
      </w:pPr>
    </w:p>
    <w:p>
      <w:pPr>
        <w:ind w:left="140" w:hanging="139"/>
        <w:spacing w:after="0"/>
        <w:tabs>
          <w:tab w:leader="none" w:pos="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over-the-counter market;</w:t>
      </w:r>
    </w:p>
    <w:p>
      <w:pPr>
        <w:spacing w:after="0" w:line="164" w:lineRule="exact"/>
        <w:rPr>
          <w:rFonts w:ascii="Times New Roman" w:cs="Times New Roman" w:eastAsia="Times New Roman" w:hAnsi="Times New Roman"/>
          <w:sz w:val="14"/>
          <w:szCs w:val="14"/>
          <w:color w:val="auto"/>
        </w:rPr>
      </w:pPr>
    </w:p>
    <w:p>
      <w:pPr>
        <w:ind w:left="140" w:hanging="139"/>
        <w:spacing w:after="0"/>
        <w:tabs>
          <w:tab w:leader="none" w:pos="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transactions otherwise than on such exchange or in the over-the-counter market, which may include privately negotiated transactions and sales directly to one or more purchasers;</w:t>
      </w:r>
    </w:p>
    <w:p>
      <w:pPr>
        <w:spacing w:after="0" w:line="164" w:lineRule="exact"/>
        <w:rPr>
          <w:rFonts w:ascii="Times New Roman" w:cs="Times New Roman" w:eastAsia="Times New Roman" w:hAnsi="Times New Roman"/>
          <w:sz w:val="14"/>
          <w:szCs w:val="14"/>
          <w:color w:val="auto"/>
        </w:rPr>
      </w:pPr>
    </w:p>
    <w:p>
      <w:pPr>
        <w:ind w:left="140" w:hanging="139"/>
        <w:spacing w:after="0"/>
        <w:tabs>
          <w:tab w:leader="none" w:pos="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ordinary brokerage transactions and transactions in which the broker-dealer solicits purchasers;</w:t>
      </w:r>
    </w:p>
    <w:p>
      <w:pPr>
        <w:spacing w:after="0" w:line="164" w:lineRule="exact"/>
        <w:rPr>
          <w:rFonts w:ascii="Times New Roman" w:cs="Times New Roman" w:eastAsia="Times New Roman" w:hAnsi="Times New Roman"/>
          <w:sz w:val="14"/>
          <w:szCs w:val="14"/>
          <w:color w:val="auto"/>
        </w:rPr>
      </w:pPr>
    </w:p>
    <w:p>
      <w:pPr>
        <w:ind w:left="140" w:hanging="139"/>
        <w:spacing w:after="0"/>
        <w:tabs>
          <w:tab w:leader="none" w:pos="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purchases by a broker-dealer as principal and resale by the broker-dealer for its account;</w:t>
      </w:r>
    </w:p>
    <w:p>
      <w:pPr>
        <w:spacing w:after="0" w:line="164" w:lineRule="exact"/>
        <w:rPr>
          <w:rFonts w:ascii="Times New Roman" w:cs="Times New Roman" w:eastAsia="Times New Roman" w:hAnsi="Times New Roman"/>
          <w:sz w:val="14"/>
          <w:szCs w:val="14"/>
          <w:color w:val="auto"/>
        </w:rPr>
      </w:pPr>
    </w:p>
    <w:p>
      <w:pPr>
        <w:ind w:left="140" w:hanging="139"/>
        <w:spacing w:after="0"/>
        <w:tabs>
          <w:tab w:leader="none" w:pos="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broker-dealers, agents, in privately negotiated transactions, or any combination of these methods;</w:t>
      </w:r>
    </w:p>
    <w:p>
      <w:pPr>
        <w:spacing w:after="0" w:line="164" w:lineRule="exact"/>
        <w:rPr>
          <w:rFonts w:ascii="Times New Roman" w:cs="Times New Roman" w:eastAsia="Times New Roman" w:hAnsi="Times New Roman"/>
          <w:sz w:val="14"/>
          <w:szCs w:val="14"/>
          <w:color w:val="auto"/>
        </w:rPr>
      </w:pPr>
    </w:p>
    <w:p>
      <w:pPr>
        <w:ind w:left="140" w:hanging="139"/>
        <w:spacing w:after="0"/>
        <w:tabs>
          <w:tab w:leader="none" w:pos="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secondary offerings;</w:t>
      </w:r>
    </w:p>
    <w:p>
      <w:pPr>
        <w:spacing w:after="0" w:line="164" w:lineRule="exact"/>
        <w:rPr>
          <w:rFonts w:ascii="Times New Roman" w:cs="Times New Roman" w:eastAsia="Times New Roman" w:hAnsi="Times New Roman"/>
          <w:sz w:val="14"/>
          <w:szCs w:val="14"/>
          <w:color w:val="auto"/>
        </w:rPr>
      </w:pPr>
    </w:p>
    <w:p>
      <w:pPr>
        <w:ind w:left="140" w:hanging="139"/>
        <w:spacing w:after="0"/>
        <w:tabs>
          <w:tab w:leader="none" w:pos="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w:t>
      </w:r>
    </w:p>
    <w:p>
      <w:pPr>
        <w:spacing w:after="0" w:line="164" w:lineRule="exact"/>
        <w:rPr>
          <w:rFonts w:ascii="Times New Roman" w:cs="Times New Roman" w:eastAsia="Times New Roman" w:hAnsi="Times New Roman"/>
          <w:sz w:val="14"/>
          <w:szCs w:val="14"/>
          <w:color w:val="auto"/>
        </w:rPr>
      </w:pPr>
    </w:p>
    <w:p>
      <w:pPr>
        <w:ind w:left="140" w:hanging="139"/>
        <w:spacing w:after="0"/>
        <w:tabs>
          <w:tab w:leader="none" w:pos="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at such prices and upon such terms as agreed to by us and the purchaser, without the involvement of underwriters, dealers or agents;</w:t>
      </w:r>
    </w:p>
    <w:p>
      <w:pPr>
        <w:spacing w:after="0" w:line="164" w:lineRule="exact"/>
        <w:rPr>
          <w:rFonts w:ascii="Times New Roman" w:cs="Times New Roman" w:eastAsia="Times New Roman" w:hAnsi="Times New Roman"/>
          <w:sz w:val="14"/>
          <w:szCs w:val="14"/>
          <w:color w:val="auto"/>
        </w:rPr>
      </w:pPr>
    </w:p>
    <w:p>
      <w:pPr>
        <w:ind w:left="140" w:hanging="139"/>
        <w:spacing w:after="0"/>
        <w:tabs>
          <w:tab w:leader="none" w:pos="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of these methods; or</w:t>
      </w:r>
    </w:p>
    <w:p>
      <w:pPr>
        <w:spacing w:after="0" w:line="164" w:lineRule="exact"/>
        <w:rPr>
          <w:rFonts w:ascii="Times New Roman" w:cs="Times New Roman" w:eastAsia="Times New Roman" w:hAnsi="Times New Roman"/>
          <w:sz w:val="14"/>
          <w:szCs w:val="14"/>
          <w:color w:val="auto"/>
        </w:rPr>
      </w:pPr>
    </w:p>
    <w:p>
      <w:pPr>
        <w:ind w:left="140" w:hanging="139"/>
        <w:spacing w:after="0"/>
        <w:tabs>
          <w:tab w:leader="none" w:pos="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any other method permitted pursuant to applicable law.</w:t>
      </w:r>
    </w:p>
    <w:p>
      <w:pPr>
        <w:spacing w:after="0" w:line="200" w:lineRule="exact"/>
        <w:rPr>
          <w:sz w:val="20"/>
          <w:szCs w:val="20"/>
          <w:color w:val="auto"/>
        </w:rPr>
      </w:pPr>
    </w:p>
    <w:p>
      <w:pPr>
        <w:spacing w:after="0" w:line="290" w:lineRule="exact"/>
        <w:rPr>
          <w:sz w:val="20"/>
          <w:szCs w:val="20"/>
          <w:color w:val="auto"/>
        </w:rPr>
      </w:pPr>
    </w:p>
    <w:p>
      <w:pPr>
        <w:ind w:left="340" w:hanging="339"/>
        <w:spacing w:after="0"/>
        <w:tabs>
          <w:tab w:leader="none" w:pos="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164" w:lineRule="exact"/>
        <w:rPr>
          <w:rFonts w:ascii="Times New Roman" w:cs="Times New Roman" w:eastAsia="Times New Roman" w:hAnsi="Times New Roman"/>
          <w:sz w:val="14"/>
          <w:szCs w:val="14"/>
          <w:color w:val="auto"/>
        </w:rPr>
      </w:pPr>
    </w:p>
    <w:p>
      <w:pPr>
        <w:ind w:left="340" w:hanging="339"/>
        <w:spacing w:after="0"/>
        <w:tabs>
          <w:tab w:leader="none" w:pos="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64" w:lineRule="exact"/>
        <w:rPr>
          <w:rFonts w:ascii="Times New Roman" w:cs="Times New Roman" w:eastAsia="Times New Roman" w:hAnsi="Times New Roman"/>
          <w:sz w:val="14"/>
          <w:szCs w:val="14"/>
          <w:color w:val="auto"/>
        </w:rPr>
      </w:pPr>
    </w:p>
    <w:p>
      <w:pPr>
        <w:ind w:left="340" w:hanging="339"/>
        <w:spacing w:after="0"/>
        <w:tabs>
          <w:tab w:leader="none" w:pos="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164" w:lineRule="exact"/>
        <w:rPr>
          <w:rFonts w:ascii="Times New Roman" w:cs="Times New Roman" w:eastAsia="Times New Roman" w:hAnsi="Times New Roman"/>
          <w:sz w:val="14"/>
          <w:szCs w:val="14"/>
          <w:color w:val="auto"/>
        </w:rPr>
      </w:pPr>
    </w:p>
    <w:p>
      <w:pPr>
        <w:ind w:left="340" w:hanging="339"/>
        <w:spacing w:after="0"/>
        <w:tabs>
          <w:tab w:leader="none" w:pos="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6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3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48260</wp:posOffset>
            </wp:positionV>
            <wp:extent cx="719137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448" w:right="319" w:bottom="1440" w:gutter="0" w:footer="0" w:header="0"/>
        </w:sectPr>
      </w:pPr>
    </w:p>
    <w:bookmarkStart w:id="7" w:name="page8"/>
    <w:bookmarkEnd w:id="7"/>
    <w:p>
      <w:pPr>
        <w:jc w:val="both"/>
        <w:spacing w:after="0" w:line="299" w:lineRule="auto"/>
        <w:rPr>
          <w:sz w:val="20"/>
          <w:szCs w:val="20"/>
          <w:color w:val="auto"/>
        </w:rPr>
      </w:pPr>
      <w:r>
        <w:rPr>
          <w:rFonts w:ascii="Times New Roman" w:cs="Times New Roman" w:eastAsia="Times New Roman" w:hAnsi="Times New Roman"/>
          <w:sz w:val="12"/>
          <w:szCs w:val="12"/>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1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2"/>
          <w:szCs w:val="12"/>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In compliance with the guidelines of the Financial Industry Regulatory Authority, Inc., or FINRA, the maximum amount of underwriting compensation, including underwriting discounts and commissions, to be paid in connection with any offering of securities pursuant to this prospectus may not exceed 8% of the aggregate principal amount of securities offered. We may enter into agreements to indemnify underwriters, dealers and agents against civil liabilities, including liabilities under the Securities Act, or to contribute to payments they may be required to make in respect thereof and to reimburse those persons for certain expenses. The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2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4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2"/>
          <w:szCs w:val="12"/>
          <w:color w:val="auto"/>
        </w:rPr>
        <w:t>We may engage in at-the-market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common shares, and may use securities received from us in settlement of those derivatives to close out any related open borrowings of our common shares. In addition, we may loan or pledge securities to a financial institution or other third party that in turn may sell the securities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underwriters, dealers and agents may engage in transactions with us, or perform services for us, in the ordinary course of business for which they receive compensation.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54610</wp:posOffset>
            </wp:positionV>
            <wp:extent cx="719137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 of Common Stock</w:t>
      </w:r>
    </w:p>
    <w:p>
      <w:pPr>
        <w:spacing w:after="0" w:line="1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following information describes the authorized share capital of the Company, as well as certain provisions of our articles of incorporation (the “</w:t>
      </w:r>
      <w:r>
        <w:rPr>
          <w:rFonts w:ascii="Times New Roman" w:cs="Times New Roman" w:eastAsia="Times New Roman" w:hAnsi="Times New Roman"/>
          <w:sz w:val="14"/>
          <w:szCs w:val="14"/>
          <w:b w:val="1"/>
          <w:bCs w:val="1"/>
          <w:color w:val="auto"/>
        </w:rPr>
        <w:t>Articles</w:t>
      </w:r>
      <w:r>
        <w:rPr>
          <w:rFonts w:ascii="Times New Roman" w:cs="Times New Roman" w:eastAsia="Times New Roman" w:hAnsi="Times New Roman"/>
          <w:sz w:val="14"/>
          <w:szCs w:val="14"/>
          <w:color w:val="auto"/>
        </w:rPr>
        <w:t>”) and our bylaws (the “</w:t>
      </w:r>
      <w:r>
        <w:rPr>
          <w:rFonts w:ascii="Times New Roman" w:cs="Times New Roman" w:eastAsia="Times New Roman" w:hAnsi="Times New Roman"/>
          <w:sz w:val="14"/>
          <w:szCs w:val="14"/>
          <w:b w:val="1"/>
          <w:bCs w:val="1"/>
          <w:color w:val="auto"/>
        </w:rPr>
        <w:t>Bylaws</w:t>
      </w:r>
      <w:r>
        <w:rPr>
          <w:rFonts w:ascii="Times New Roman" w:cs="Times New Roman" w:eastAsia="Times New Roman" w:hAnsi="Times New Roman"/>
          <w:sz w:val="14"/>
          <w:szCs w:val="14"/>
          <w:color w:val="auto"/>
        </w:rPr>
        <w:t>”). This description is only a summary. You should also refer to our Articles, which have been filed with the SEC as exhibits to the registration statement of which this prospectus forms a part.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 xml:space="preserve">The aggregate number of shares that we have authority to issue is 200,000,000, of which 150,000,000 shares are common stock, with a par value of $0.001 per share, and 50,000,000 shares are preferred stock, with a par value of $0.001 per share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Of 50,000,000 authorized shares of our preferred stock, 2,069,065 shares are designated as Class A Redeemable Preferred Stock and 5,100 shares are designated as Class B Convertible Preferred Stock.</w:t>
      </w:r>
    </w:p>
    <w:p>
      <w:pPr>
        <w:spacing w:after="0" w:line="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As of June 24, 2026, 2,675,412 shares of common stock are issued and outstanding and no shares of preferred stock are issued and outstanding. There are no redemption or sinking fund provisions applicable to the shares of our common stock, and such shares are not entitled to any preemptive rights.</w:t>
      </w:r>
    </w:p>
    <w:p>
      <w:pPr>
        <w:spacing w:after="0" w:line="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Our common stock is entitled to one vote per share on all matters submitted to a vote of our stockholders, including the election of directors. Except as otherwise provided by law or as provided in any resolution adopted by our board of directors providing for the issuance of any series of preferred stock, the holders of our common stock possess all voting power. There is no cumulative voting in the election of directors. Stockholders holding at least 33⅓% of the stock issued and outstanding and entitled to vote thereat, present in person or represented by proxy, will constitute a quorum at all meetings of the stockholders for the transaction of business except as otherwise provided by statute or by the articles of incorporation. When a quorum is present or represented at any meeting, the vote of the stockholders of a majority of the stock having voting power present in person or represented by proxy will be sufficient to elect members of our board of directors or to decide any question brought before such meeting, unless the question is one upon which by express provision of statute or of the articles of incorporation, a different vote is required in which case such express provision will govern and control the decision of such question. Any action which may be taken by the vote of our stockholders at a meeting may be taken without a meeting if authorized by the written consent of our stockholders holding at least a majority of the voting power, unless the provisions of the statutes or of the Articles require a greater proportion of voting power to authorize such action in which case such greater proportion of written consents will be required.</w:t>
      </w:r>
    </w:p>
    <w:p>
      <w:pPr>
        <w:spacing w:after="0" w:line="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board of directors has the power to amend our Bylaws. As a result, our board of directors can change the quorum and voting requirements at a meeting of our stockholders, subject to the applicable laws.</w:t>
      </w:r>
    </w:p>
    <w:p>
      <w:pPr>
        <w:spacing w:after="0" w:line="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Subject to the preferential rights of our preferred stock, the holders of shares of our common stock will be entitled to receive, when and if declared by our board of directors, out of the assets of our company which are by law available therefor, dividends payable either in cash, in property or in shares of capital stock. In the event of any dissolution, liquidation or winding up of the affairs of our company, after distribution in full of the preferential amounts, if any, to be distributed to the holders of shares of our preferred stock, holders of our common stock will be entitled, unless otherwise provided by law or our Articles, to receive all of the remaining assets of our company of whatever kind available for distribution to stockholders ratably in proportion to the number of shares of our common stock held by them respectively.</w:t>
      </w:r>
    </w:p>
    <w:p>
      <w:pPr>
        <w:spacing w:after="0" w:line="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common stock is not convertible or redeemable and has no preemptive, subscription or conversion rights. There are no conversions, redemption, sinking fund or similar provisions regarding our common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 of Preferred Stock</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preferred stock may be divided into and issued in series. The board of directors of the ClearOne is authorized to divide the authorized shares of preferred stock into one or more series, each of which shall be so designated as to distinguish the shares thereof from the shares of all other series and classes. The board of directors is authorized, within any limitations prescribed by law and this Article, to fix and determine the designations, rights, qualifications, preferences, limitations and terms of the shares of any series of preferred stock including but not limited to the following:</w:t>
      </w:r>
    </w:p>
    <w:p>
      <w:pPr>
        <w:spacing w:after="0" w:line="112" w:lineRule="exact"/>
        <w:rPr>
          <w:sz w:val="20"/>
          <w:szCs w:val="20"/>
          <w:color w:val="auto"/>
        </w:rPr>
      </w:pPr>
    </w:p>
    <w:p>
      <w:pPr>
        <w:ind w:left="900" w:right="2240"/>
        <w:spacing w:after="0" w:line="245" w:lineRule="auto"/>
        <w:rPr>
          <w:sz w:val="20"/>
          <w:szCs w:val="20"/>
          <w:color w:val="auto"/>
        </w:rPr>
      </w:pPr>
      <w:r>
        <w:rPr>
          <w:rFonts w:ascii="Times New Roman" w:cs="Times New Roman" w:eastAsia="Times New Roman" w:hAnsi="Times New Roman"/>
          <w:sz w:val="14"/>
          <w:szCs w:val="14"/>
          <w:color w:val="auto"/>
        </w:rPr>
        <w:t>The rate of dividend, the time of payment of dividends, whether dividends are cumulative, and the date from which any dividends shall accrue; Whether shares may be redeemed, and, if so, the redemption price and the terms and conditions of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-173990</wp:posOffset>
            </wp:positionV>
            <wp:extent cx="5143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-70485</wp:posOffset>
            </wp:positionV>
            <wp:extent cx="5143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ind w:left="900"/>
        <w:spacing w:after="0" w:line="228" w:lineRule="auto"/>
        <w:rPr>
          <w:sz w:val="20"/>
          <w:szCs w:val="20"/>
          <w:color w:val="auto"/>
        </w:rPr>
      </w:pPr>
      <w:r>
        <w:rPr>
          <w:rFonts w:ascii="Times New Roman" w:cs="Times New Roman" w:eastAsia="Times New Roman" w:hAnsi="Times New Roman"/>
          <w:sz w:val="14"/>
          <w:szCs w:val="14"/>
          <w:color w:val="auto"/>
        </w:rPr>
        <w:t>The amount payable upon shares in the event of voluntary or involuntary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-70485</wp:posOffset>
            </wp:positionV>
            <wp:extent cx="5143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4"/>
          <w:szCs w:val="14"/>
          <w:color w:val="auto"/>
        </w:rPr>
        <w:t>Sinking fund or other provisions, if any, for the redemption or purchase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-76200</wp:posOffset>
            </wp:positionV>
            <wp:extent cx="5143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ind w:left="900" w:right="2940"/>
        <w:spacing w:after="0" w:line="229" w:lineRule="auto"/>
        <w:rPr>
          <w:sz w:val="20"/>
          <w:szCs w:val="20"/>
          <w:color w:val="auto"/>
        </w:rPr>
      </w:pPr>
      <w:r>
        <w:rPr>
          <w:rFonts w:ascii="Times New Roman" w:cs="Times New Roman" w:eastAsia="Times New Roman" w:hAnsi="Times New Roman"/>
          <w:sz w:val="14"/>
          <w:szCs w:val="14"/>
          <w:color w:val="auto"/>
        </w:rPr>
        <w:t>The terms and conditions on which shares may be converted, if the shares of any series are issued with the privilege of conversion; Voting powers, if any, provided that if any of the Preferred Stock or series thereof shall have voting rights;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-167640</wp:posOffset>
            </wp:positionV>
            <wp:extent cx="5143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-71120</wp:posOffset>
            </wp:positionV>
            <wp:extent cx="5143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ind w:left="900"/>
        <w:spacing w:after="0" w:line="242" w:lineRule="auto"/>
        <w:rPr>
          <w:sz w:val="20"/>
          <w:szCs w:val="20"/>
          <w:color w:val="auto"/>
        </w:rPr>
      </w:pPr>
      <w:r>
        <w:rPr>
          <w:rFonts w:ascii="Times New Roman" w:cs="Times New Roman" w:eastAsia="Times New Roman" w:hAnsi="Times New Roman"/>
          <w:sz w:val="14"/>
          <w:szCs w:val="14"/>
          <w:color w:val="auto"/>
        </w:rPr>
        <w:t>Subject to the foregoing, such other terms, qualifications, privileges, limitations, options, restrictions, and special or relative rights and preferences, if any, of shares or such series as the Board of Directors of the Corporation may, at the time so acting, lawfully fix and determine under the laws of the State of 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-180340</wp:posOffset>
            </wp:positionV>
            <wp:extent cx="5143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54610</wp:posOffset>
            </wp:positionV>
            <wp:extent cx="719137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448" w:right="319" w:bottom="1440" w:gutter="0" w:footer="0" w:header="0"/>
        </w:sectPr>
      </w:pPr>
    </w:p>
    <w:bookmarkStart w:id="9" w:name="page10"/>
    <w:bookmarkEnd w:id="9"/>
    <w:p>
      <w:pPr>
        <w:ind w:right="120"/>
        <w:spacing w:after="0" w:line="247" w:lineRule="auto"/>
        <w:rPr>
          <w:sz w:val="20"/>
          <w:szCs w:val="20"/>
          <w:color w:val="auto"/>
        </w:rPr>
      </w:pPr>
      <w:r>
        <w:rPr>
          <w:rFonts w:ascii="Times New Roman" w:cs="Times New Roman" w:eastAsia="Times New Roman" w:hAnsi="Times New Roman"/>
          <w:sz w:val="14"/>
          <w:szCs w:val="14"/>
          <w:color w:val="auto"/>
        </w:rPr>
        <w:t>The Company shall not declare, pay or set apart for payment any dividend or other distribution (unless payable solely in shares of common stock or other class of stock junior to the preferred stock as to dividends or upon liquidation) in respect of common stock, or other class of stock junior to the preferred stock, nor shall it redeem, purchase or otherwise acquire for consideration shares of any of the foregoing, unless dividends, if any, payable to holders of preferred stock for the current period (and in the case of cumulative dividends, if any, payable to holders of preferred stock for the current period and in the case of cumulative dividends, if any, for all past periods) have been paid, are being paid or have been set aside for payment, in accordance with the terms of the preferred stock, as fixed by the board of directors.</w:t>
      </w:r>
    </w:p>
    <w:p>
      <w:pPr>
        <w:spacing w:after="0" w:line="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In the event of the liquidation of the Company, holders of preferred stock shall be entitled to receive, before any payment or distribution on the common stock or any other class of stock junior to the preferred stock upon liquidation, a distribution per share in the amount of the liquidation preference, if any, fixed or determined in accordance with the terms of such preferred stock plus, if so provided in such terms, an amount per share equal to accumulated and unpaid dividends in respect of such preferred stock (whether or not earned or declared) to the date of such distribution. Neither the sale, lease or exchange of all or substantially all of the property and assets of the Company, nor any consolidation or merger of the Company, shall be deemed to be a liquidation for the purposes of this Article.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Articles of Incorporation and Bylaws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There are no provisions in our articles of incorporation or our bylaws that would delay, defer or prevent a change in control of our company and that would operate only with respect to an extraordinary corporate transaction involving our company, such as merger, reorganization, tender offer, sale or transfer of substantially all of its assets, or liquidation.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following describes the general terms and provisions of the debt securities we may offer. When we offer to sell particular debt securities, we will describe the specific terms of any debt securities offered from time to time in a supplement to this prospectus, which may supplement or change the terms outlined below.</w:t>
      </w:r>
    </w:p>
    <w:p>
      <w:pPr>
        <w:spacing w:after="0" w:line="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may issue secured or unsecured and senior or subordinated debt securities. Particular debt securities may have different terms. The senior debt securities will be issued under one or more senior indentures, dated as of a date prior to such issuance, between us and a trustee to be named in a prospectus supplement, as amended or supplemented from time to time. Any subordinated debt securities will be issued under one or more subordinated indentures, dated as of a date prior to such issuance, between us and a trustee to be named in a prospectus supplement, as amended or supplemented from time to time. The indentures will be subject to and governed by the United States Trust Indenture Act of 1939.</w:t>
      </w:r>
    </w:p>
    <w:p>
      <w:pPr>
        <w:spacing w:after="0" w:line="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Before we issue any debt securities, the form of indentures will be filed with the SEC and incorporated by reference as an exhibit to the registration statement of which this prospectus is a part or as an exhibit to a current report on Form 8-K. For the complete terms of the debt securities, you should refer to the applicable prospectus supplement and the form of indentures for those particular debt securities. We encourage you to read the applicable prospectus supplement and the form of indenture for those particular debt securities before you purchase any of our debt securities.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we offer debt securities, we will describe the specific terms of the debt securities in a prospectus supplement, including:</w:t>
      </w:r>
    </w:p>
    <w:p>
      <w:pPr>
        <w:spacing w:after="0" w:line="13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title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84" w:lineRule="exact"/>
        <w:rPr>
          <w:sz w:val="20"/>
          <w:szCs w:val="20"/>
          <w:color w:val="auto"/>
        </w:rPr>
      </w:pPr>
    </w:p>
    <w:p>
      <w:pPr>
        <w:ind w:left="900"/>
        <w:spacing w:after="0" w:line="263" w:lineRule="auto"/>
        <w:rPr>
          <w:sz w:val="20"/>
          <w:szCs w:val="20"/>
          <w:color w:val="auto"/>
        </w:rPr>
      </w:pPr>
      <w:r>
        <w:rPr>
          <w:rFonts w:ascii="Times New Roman" w:cs="Times New Roman" w:eastAsia="Times New Roman" w:hAnsi="Times New Roman"/>
          <w:sz w:val="14"/>
          <w:szCs w:val="14"/>
          <w:color w:val="auto"/>
        </w:rPr>
        <w:t>the aggregate principal amount of the debt securities, the percentage of the principal amount at which the debt securities will be issued and the date or dates when the principal of the debt securities will be payable or how those dates will be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-189230</wp:posOffset>
            </wp:positionV>
            <wp:extent cx="5143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44" w:lineRule="exact"/>
        <w:rPr>
          <w:sz w:val="20"/>
          <w:szCs w:val="20"/>
          <w:color w:val="auto"/>
        </w:rPr>
      </w:pPr>
    </w:p>
    <w:p>
      <w:pPr>
        <w:ind w:left="900"/>
        <w:spacing w:after="0" w:line="263" w:lineRule="auto"/>
        <w:rPr>
          <w:sz w:val="20"/>
          <w:szCs w:val="20"/>
          <w:color w:val="auto"/>
        </w:rPr>
      </w:pPr>
      <w:r>
        <w:rPr>
          <w:rFonts w:ascii="Times New Roman" w:cs="Times New Roman" w:eastAsia="Times New Roman" w:hAnsi="Times New Roman"/>
          <w:sz w:val="14"/>
          <w:szCs w:val="14"/>
          <w:color w:val="auto"/>
        </w:rPr>
        <w:t>whether the amount of payments of principal of, or premium, if any, or interest on, the debt securities will be determined with reference to an index, formula or other method, which could be based on one or more commodities, equity indices or other indices, and how these amounts will be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-189230</wp:posOffset>
            </wp:positionV>
            <wp:extent cx="5143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5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provisions with respect to the subordination of the rights of holders of the debt securities to other security holders or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84" w:lineRule="exact"/>
        <w:rPr>
          <w:sz w:val="20"/>
          <w:szCs w:val="20"/>
          <w:color w:val="auto"/>
        </w:rPr>
      </w:pPr>
    </w:p>
    <w:p>
      <w:pPr>
        <w:ind w:left="900"/>
        <w:spacing w:after="0" w:line="248" w:lineRule="auto"/>
        <w:rPr>
          <w:sz w:val="20"/>
          <w:szCs w:val="20"/>
          <w:color w:val="auto"/>
        </w:rPr>
      </w:pPr>
      <w:r>
        <w:rPr>
          <w:rFonts w:ascii="Times New Roman" w:cs="Times New Roman" w:eastAsia="Times New Roman" w:hAnsi="Times New Roman"/>
          <w:sz w:val="14"/>
          <w:szCs w:val="14"/>
          <w:color w:val="auto"/>
        </w:rPr>
        <w:t>whether such debt securities will be convertible into or exchangeable for any other securities and, if so, the terms and conditions upon which such debt securities will be so convertible or exchangeable and any applicable limitations on ownership or transferability of such other securities received on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-176530</wp:posOffset>
            </wp:positionV>
            <wp:extent cx="5143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48260</wp:posOffset>
            </wp:positionV>
            <wp:extent cx="719137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10" w:name="page11"/>
    <w:bookmarkEnd w:id="10"/>
    <w:p>
      <w:pPr>
        <w:ind w:left="900" w:right="1780"/>
        <w:spacing w:after="0" w:line="394" w:lineRule="auto"/>
        <w:rPr>
          <w:sz w:val="20"/>
          <w:szCs w:val="20"/>
          <w:color w:val="auto"/>
        </w:rPr>
      </w:pPr>
      <w:r>
        <w:rPr>
          <w:rFonts w:ascii="Times New Roman" w:cs="Times New Roman" w:eastAsia="Times New Roman" w:hAnsi="Times New Roman"/>
          <w:sz w:val="14"/>
          <w:szCs w:val="14"/>
          <w:color w:val="auto"/>
        </w:rPr>
        <w:t>the person to whom any interest in a debt security will be payable, if other than the registered holder at the close of business on the regular record date; the interest rate or rates, which may be fixed or variable, that the debt securities will bear, if any, and how the rate or rates will be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-300990</wp:posOffset>
            </wp:positionV>
            <wp:extent cx="5143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-132715</wp:posOffset>
            </wp:positionV>
            <wp:extent cx="5143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jc w:val="both"/>
        <w:ind w:left="900"/>
        <w:spacing w:after="0" w:line="263" w:lineRule="auto"/>
        <w:rPr>
          <w:sz w:val="20"/>
          <w:szCs w:val="20"/>
          <w:color w:val="auto"/>
        </w:rPr>
      </w:pPr>
      <w:r>
        <w:rPr>
          <w:rFonts w:ascii="Times New Roman" w:cs="Times New Roman" w:eastAsia="Times New Roman" w:hAnsi="Times New Roman"/>
          <w:sz w:val="14"/>
          <w:szCs w:val="14"/>
          <w:color w:val="auto"/>
        </w:rPr>
        <w:t>the date or dates from which any interest will accrue or how the date or dates will be determined, the date or dates on which any interest will be payable, any regular record dates for these payments or how these dates will be determined and the basis on which any interest will be calculated, if other than on the basis of a 360-day year of twelve 30-day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-189230</wp:posOffset>
            </wp:positionV>
            <wp:extent cx="5143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5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place or places of payment, transfer, conversion and exchange of the debt securities and where notices or demands to or upon us in respect of the debt securities may be 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84" w:lineRule="exact"/>
        <w:rPr>
          <w:sz w:val="20"/>
          <w:szCs w:val="20"/>
          <w:color w:val="auto"/>
        </w:rPr>
      </w:pPr>
    </w:p>
    <w:p>
      <w:pPr>
        <w:jc w:val="both"/>
        <w:ind w:left="900"/>
        <w:spacing w:after="0" w:line="238" w:lineRule="auto"/>
        <w:rPr>
          <w:sz w:val="20"/>
          <w:szCs w:val="20"/>
          <w:color w:val="auto"/>
        </w:rPr>
      </w:pPr>
      <w:r>
        <w:rPr>
          <w:rFonts w:ascii="Times New Roman" w:cs="Times New Roman" w:eastAsia="Times New Roman" w:hAnsi="Times New Roman"/>
          <w:sz w:val="14"/>
          <w:szCs w:val="14"/>
          <w:color w:val="auto"/>
        </w:rPr>
        <w:t>any provisions granting special rights to the holders of the debt securities upon the occurrence of specified events, including but not limited to any make-whole amount, which is the amount in addition to principal and interest that is required to be paid to the holder of a debt security as a result of any optional redemption or accelerated payments of such debt security, or the method for determining the make-whole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-269240</wp:posOffset>
            </wp:positionV>
            <wp:extent cx="51435"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any optional redemption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provisions relating to subsidiary guarantees,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any sinking fund or other provisions that would obligate us to repurchase or redeem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any changes or additions to the events of default under the applicable indenture or our covenants, including additions of any restrictive covenants, with respect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any changes or additions to the provisions concerning defeasance and covenant defeasance contained in the indentures that will be applicable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if other than the trustee, the name of any paying agent, security registrar and transfer agent for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84" w:lineRule="exact"/>
        <w:rPr>
          <w:sz w:val="20"/>
          <w:szCs w:val="20"/>
          <w:color w:val="auto"/>
        </w:rPr>
      </w:pPr>
    </w:p>
    <w:p>
      <w:pPr>
        <w:jc w:val="both"/>
        <w:ind w:left="900"/>
        <w:spacing w:after="0" w:line="245" w:lineRule="auto"/>
        <w:rPr>
          <w:sz w:val="20"/>
          <w:szCs w:val="20"/>
          <w:color w:val="auto"/>
        </w:rPr>
      </w:pPr>
      <w:r>
        <w:rPr>
          <w:rFonts w:ascii="Times New Roman" w:cs="Times New Roman" w:eastAsia="Times New Roman" w:hAnsi="Times New Roman"/>
          <w:sz w:val="14"/>
          <w:szCs w:val="14"/>
          <w:color w:val="auto"/>
        </w:rPr>
        <w:t>if the debt securities are not to be issued in book-entry form only and held by The Depository Trust Company, or DTC, as depositary, the form of such debt securities, including whether such debt securities are to be issuable in permanent or temporary global form, as registered securities, bearer securities or both, any restrictions on the offer, sale or delivery of bearer securities and the terms, if any, upon which bearer securities may be exchanged for registered securities and vice versa, if permitted by applicable law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-278130</wp:posOffset>
            </wp:positionV>
            <wp:extent cx="51435"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following describes the general terms and provisions of the warrants that we may offer. When we offer to sell particular warrants, we will describe the specific terms of any warrants offered from time to time in a supplement to this prospectus, which may supplement or change the terms outlined below.</w:t>
      </w:r>
    </w:p>
    <w:p>
      <w:pPr>
        <w:spacing w:after="0" w:line="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may issue warrants for the purchase of common stock, preferred stock, debt securities, additional warrants, units or any combination thereof. We may issue warrants independently or together with common stock, preferred stock, debt securities or units and the warrants may be attached to or separate from these securities. We will evidence warrants by warrant certificates that we may issue under a separate agreement. We may enter into the warrant agreement with a warrant agent. We will indicate the name and address of any such warrant agent in the applicable prospectus supplement relating to particular warrants.</w:t>
      </w: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Before we issue any warrants, the forms of warrant agreement, if any, and warrant certificates will be filed with the SEC and incorporated by reference as exhibits to the registration statement of which this prospectus is a part or as exhibits to a current report on Form 8-K. For the complete terms of the warrants, you should refer to the applicable prospectus supplement and the forms of warrant agreement, if any, and warrant certificate for those particular warrants. We encourage you to read the applicable prospectus supplement and the forms of warrant agreement, if any, and warrant certificate for those particular warrants before you purchase any of our warrants.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54610</wp:posOffset>
            </wp:positionV>
            <wp:extent cx="719137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422"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color w:val="auto"/>
        </w:rPr>
        <w:t>If we offer warrants, we will describe the specific terms of the warrants in a prospectus supplement, including:</w:t>
      </w:r>
    </w:p>
    <w:p>
      <w:pPr>
        <w:spacing w:after="0" w:line="13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offering price and aggregate number of warrants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4"/>
          <w:szCs w:val="14"/>
          <w:color w:val="auto"/>
        </w:rPr>
        <w:t>the currency for which the warrants may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-76200</wp:posOffset>
            </wp:positionV>
            <wp:extent cx="51435"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ind w:left="900"/>
        <w:spacing w:after="0" w:line="229" w:lineRule="auto"/>
        <w:rPr>
          <w:sz w:val="20"/>
          <w:szCs w:val="20"/>
          <w:color w:val="auto"/>
        </w:rPr>
      </w:pPr>
      <w:r>
        <w:rPr>
          <w:rFonts w:ascii="Times New Roman" w:cs="Times New Roman" w:eastAsia="Times New Roman" w:hAnsi="Times New Roman"/>
          <w:sz w:val="14"/>
          <w:szCs w:val="14"/>
          <w:color w:val="auto"/>
        </w:rPr>
        <w:t>if applicable, the designation and terms of the securities with which the warrants are issued and the number of warrants issued with each such security or each principal amount of such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-167640</wp:posOffset>
            </wp:positionV>
            <wp:extent cx="51435"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4"/>
          <w:szCs w:val="14"/>
          <w:color w:val="auto"/>
        </w:rPr>
        <w:t>if applicable, the date on and after which the warrants and the related securities will be separately transferable;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-76200</wp:posOffset>
            </wp:positionV>
            <wp:extent cx="51435"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ind w:left="900"/>
        <w:spacing w:after="0" w:line="229" w:lineRule="auto"/>
        <w:rPr>
          <w:sz w:val="20"/>
          <w:szCs w:val="20"/>
          <w:color w:val="auto"/>
        </w:rPr>
      </w:pPr>
      <w:r>
        <w:rPr>
          <w:rFonts w:ascii="Times New Roman" w:cs="Times New Roman" w:eastAsia="Times New Roman" w:hAnsi="Times New Roman"/>
          <w:sz w:val="14"/>
          <w:szCs w:val="14"/>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-167640</wp:posOffset>
            </wp:positionV>
            <wp:extent cx="51435"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ind w:left="900"/>
        <w:spacing w:after="0" w:line="235" w:lineRule="auto"/>
        <w:rPr>
          <w:sz w:val="20"/>
          <w:szCs w:val="20"/>
          <w:color w:val="auto"/>
        </w:rPr>
      </w:pPr>
      <w:r>
        <w:rPr>
          <w:rFonts w:ascii="Times New Roman" w:cs="Times New Roman" w:eastAsia="Times New Roman" w:hAnsi="Times New Roman"/>
          <w:sz w:val="14"/>
          <w:szCs w:val="14"/>
          <w:color w:val="auto"/>
        </w:rPr>
        <w:t>in the case of warrants to purchase common stock, preferred stock, units or additional warrants, the number of shares of common stock, shares of preferred stock, units or additional warrants purchasable upon the exercise of one warrant and the price at which these securities may be purchased upon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-173990</wp:posOffset>
            </wp:positionV>
            <wp:extent cx="51435"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ind w:left="900"/>
        <w:spacing w:after="0" w:line="227" w:lineRule="auto"/>
        <w:rPr>
          <w:sz w:val="20"/>
          <w:szCs w:val="20"/>
          <w:color w:val="auto"/>
        </w:rPr>
      </w:pPr>
      <w:r>
        <w:rPr>
          <w:rFonts w:ascii="Times New Roman" w:cs="Times New Roman" w:eastAsia="Times New Roman" w:hAnsi="Times New Roman"/>
          <w:sz w:val="14"/>
          <w:szCs w:val="14"/>
          <w:color w:val="auto"/>
        </w:rPr>
        <w:t>the effect of any merger, consolidation, sale or other disposition of our business on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-70485</wp:posOffset>
            </wp:positionV>
            <wp:extent cx="51435"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4"/>
          <w:szCs w:val="14"/>
          <w:color w:val="auto"/>
        </w:rPr>
        <w:t>the terms of any rights to redeem or call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-76200</wp:posOffset>
            </wp:positionV>
            <wp:extent cx="51435"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ind w:left="900" w:right="3060"/>
        <w:spacing w:after="0" w:line="232" w:lineRule="auto"/>
        <w:rPr>
          <w:sz w:val="20"/>
          <w:szCs w:val="20"/>
          <w:color w:val="auto"/>
        </w:rPr>
      </w:pPr>
      <w:r>
        <w:rPr>
          <w:rFonts w:ascii="Times New Roman" w:cs="Times New Roman" w:eastAsia="Times New Roman" w:hAnsi="Times New Roman"/>
          <w:sz w:val="14"/>
          <w:szCs w:val="14"/>
          <w:color w:val="auto"/>
        </w:rPr>
        <w:t>any provisions for changes to or adjustments in the exercise price or number of securities issuable upon exercise of the warrants; the dates on which the right to exercise the warrants will commence and expire; the manner in which the warrant agreement, if any, and warrants may be modified;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-269240</wp:posOffset>
            </wp:positionV>
            <wp:extent cx="51435"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-172085</wp:posOffset>
            </wp:positionV>
            <wp:extent cx="51435"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-75565</wp:posOffset>
            </wp:positionV>
            <wp:extent cx="5143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ind w:left="900"/>
        <w:spacing w:after="0" w:line="232" w:lineRule="auto"/>
        <w:rPr>
          <w:sz w:val="20"/>
          <w:szCs w:val="20"/>
          <w:color w:val="auto"/>
        </w:rPr>
      </w:pPr>
      <w:r>
        <w:rPr>
          <w:rFonts w:ascii="Times New Roman" w:cs="Times New Roman" w:eastAsia="Times New Roman" w:hAnsi="Times New Roman"/>
          <w:sz w:val="14"/>
          <w:szCs w:val="14"/>
          <w:color w:val="auto"/>
        </w:rPr>
        <w:t>the terms of the securities issuable upon exercise of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-71120</wp:posOffset>
            </wp:positionV>
            <wp:extent cx="5143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4"/>
          <w:szCs w:val="14"/>
          <w:color w:val="auto"/>
        </w:rPr>
        <w:t>any other specific terms, preferences, rights or limitations of or restrictions on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-76200</wp:posOffset>
            </wp:positionV>
            <wp:extent cx="5143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 of Rights</w:t>
      </w:r>
    </w:p>
    <w:p>
      <w:pPr>
        <w:spacing w:after="0" w:line="1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include in any applicable prospectus supplement, summarizes the general features of the rights that we may offer under this prospectus. We may issue rights to our shareholders to purchase our common stock and/or any of the other securities offered hereby. Each series of rights will be issued under a separate rights agreement to be entered into between us and a bank or trust company, as rights agent. When we issue rights, we will provide the specific terms of the rights and the applicable rights agreement in a prospectus supplement. Because the terms of any rights we offer under a prospectus supplement may differ from the terms we describe below, you should rely solely on information in the applicable prospectus supplement if that summary is different from the summary in this prospectus. We will incorporate by reference into the registration statement of which this prospectus is a part, the form of rights agreement that describes the terms of the series of rights we are offering before the issuance of the related series of rights. The applicable prospectus supplement relating to any rights will describe the terms of the offered rights, including, where applicable, the following:</w:t>
      </w:r>
    </w:p>
    <w:p>
      <w:pPr>
        <w:spacing w:after="0" w:line="151" w:lineRule="exact"/>
        <w:rPr>
          <w:sz w:val="20"/>
          <w:szCs w:val="20"/>
          <w:color w:val="auto"/>
        </w:rPr>
      </w:pPr>
    </w:p>
    <w:p>
      <w:pPr>
        <w:ind w:left="140" w:hanging="139"/>
        <w:spacing w:after="0"/>
        <w:tabs>
          <w:tab w:leader="none" w:pos="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for determining the persons entitled to participate in the rights distribution;</w:t>
      </w:r>
    </w:p>
    <w:p>
      <w:pPr>
        <w:spacing w:after="0" w:line="164" w:lineRule="exact"/>
        <w:rPr>
          <w:rFonts w:ascii="Times New Roman" w:cs="Times New Roman" w:eastAsia="Times New Roman" w:hAnsi="Times New Roman"/>
          <w:sz w:val="14"/>
          <w:szCs w:val="14"/>
          <w:color w:val="auto"/>
        </w:rPr>
      </w:pPr>
    </w:p>
    <w:p>
      <w:pPr>
        <w:ind w:left="140" w:hanging="139"/>
        <w:spacing w:after="0"/>
        <w:tabs>
          <w:tab w:leader="none" w:pos="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for the rights;</w:t>
      </w:r>
    </w:p>
    <w:p>
      <w:pPr>
        <w:spacing w:after="0" w:line="164" w:lineRule="exact"/>
        <w:rPr>
          <w:rFonts w:ascii="Times New Roman" w:cs="Times New Roman" w:eastAsia="Times New Roman" w:hAnsi="Times New Roman"/>
          <w:sz w:val="14"/>
          <w:szCs w:val="14"/>
          <w:color w:val="auto"/>
        </w:rPr>
      </w:pPr>
    </w:p>
    <w:p>
      <w:pPr>
        <w:ind w:left="140" w:hanging="139"/>
        <w:spacing w:after="0"/>
        <w:tabs>
          <w:tab w:leader="none" w:pos="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or amount of underlying securities purchasable upon exercise of the rights;</w:t>
      </w:r>
    </w:p>
    <w:p>
      <w:pPr>
        <w:spacing w:after="0" w:line="164" w:lineRule="exact"/>
        <w:rPr>
          <w:rFonts w:ascii="Times New Roman" w:cs="Times New Roman" w:eastAsia="Times New Roman" w:hAnsi="Times New Roman"/>
          <w:sz w:val="14"/>
          <w:szCs w:val="14"/>
          <w:color w:val="auto"/>
        </w:rPr>
      </w:pPr>
    </w:p>
    <w:p>
      <w:pPr>
        <w:ind w:left="140" w:hanging="139"/>
        <w:spacing w:after="0"/>
        <w:tabs>
          <w:tab w:leader="none" w:pos="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rights issued to each stockholder and the number of rights outstanding, if any;</w:t>
      </w:r>
    </w:p>
    <w:p>
      <w:pPr>
        <w:spacing w:after="0" w:line="164" w:lineRule="exact"/>
        <w:rPr>
          <w:rFonts w:ascii="Times New Roman" w:cs="Times New Roman" w:eastAsia="Times New Roman" w:hAnsi="Times New Roman"/>
          <w:sz w:val="14"/>
          <w:szCs w:val="14"/>
          <w:color w:val="auto"/>
        </w:rPr>
      </w:pPr>
    </w:p>
    <w:p>
      <w:pPr>
        <w:ind w:left="140" w:hanging="139"/>
        <w:spacing w:after="0"/>
        <w:tabs>
          <w:tab w:leader="none" w:pos="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rights are transferable;</w:t>
      </w:r>
    </w:p>
    <w:p>
      <w:pPr>
        <w:spacing w:after="0" w:line="164" w:lineRule="exact"/>
        <w:rPr>
          <w:rFonts w:ascii="Times New Roman" w:cs="Times New Roman" w:eastAsia="Times New Roman" w:hAnsi="Times New Roman"/>
          <w:sz w:val="14"/>
          <w:szCs w:val="14"/>
          <w:color w:val="auto"/>
        </w:rPr>
      </w:pPr>
    </w:p>
    <w:p>
      <w:pPr>
        <w:ind w:left="140" w:hanging="139"/>
        <w:spacing w:after="0"/>
        <w:tabs>
          <w:tab w:leader="none" w:pos="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rights will commence and the date on which the right will expire;</w:t>
      </w:r>
    </w:p>
    <w:p>
      <w:pPr>
        <w:spacing w:after="0" w:line="164" w:lineRule="exact"/>
        <w:rPr>
          <w:rFonts w:ascii="Times New Roman" w:cs="Times New Roman" w:eastAsia="Times New Roman" w:hAnsi="Times New Roman"/>
          <w:sz w:val="14"/>
          <w:szCs w:val="14"/>
          <w:color w:val="auto"/>
        </w:rPr>
      </w:pPr>
    </w:p>
    <w:p>
      <w:pPr>
        <w:ind w:left="140" w:hanging="139"/>
        <w:spacing w:after="0"/>
        <w:tabs>
          <w:tab w:leader="none" w:pos="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rights include an over-subscription privilege with respect to unsubscribed securities;</w:t>
      </w:r>
    </w:p>
    <w:p>
      <w:pPr>
        <w:spacing w:after="0" w:line="164" w:lineRule="exact"/>
        <w:rPr>
          <w:rFonts w:ascii="Times New Roman" w:cs="Times New Roman" w:eastAsia="Times New Roman" w:hAnsi="Times New Roman"/>
          <w:sz w:val="14"/>
          <w:szCs w:val="14"/>
          <w:color w:val="auto"/>
        </w:rPr>
      </w:pPr>
    </w:p>
    <w:p>
      <w:pPr>
        <w:ind w:left="140" w:hanging="139"/>
        <w:spacing w:after="0"/>
        <w:tabs>
          <w:tab w:leader="none" w:pos="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anti-dilution provisions of the rights, if any; and</w:t>
      </w:r>
    </w:p>
    <w:p>
      <w:pPr>
        <w:spacing w:after="0" w:line="164" w:lineRule="exact"/>
        <w:rPr>
          <w:rFonts w:ascii="Times New Roman" w:cs="Times New Roman" w:eastAsia="Times New Roman" w:hAnsi="Times New Roman"/>
          <w:sz w:val="14"/>
          <w:szCs w:val="14"/>
          <w:color w:val="auto"/>
        </w:rPr>
      </w:pPr>
    </w:p>
    <w:p>
      <w:pPr>
        <w:ind w:left="5620" w:right="3720" w:hanging="5619"/>
        <w:spacing w:after="0" w:line="536" w:lineRule="auto"/>
        <w:tabs>
          <w:tab w:leader="none" w:pos="15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rights, including terms, procedures and limitations relating to the distribution, exchange and exercise of the rights.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-79375</wp:posOffset>
            </wp:positionV>
            <wp:extent cx="719137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401" w:right="319" w:bottom="1440" w:gutter="0" w:footer="0" w:header="0"/>
        </w:sectPr>
      </w:pPr>
    </w:p>
    <w:bookmarkStart w:id="12" w:name="page13"/>
    <w:bookmarkEnd w:id="12"/>
    <w:p>
      <w:pPr>
        <w:jc w:val="both"/>
        <w:spacing w:after="0" w:line="249" w:lineRule="auto"/>
        <w:rPr>
          <w:sz w:val="20"/>
          <w:szCs w:val="20"/>
          <w:color w:val="auto"/>
        </w:rPr>
      </w:pPr>
      <w:r>
        <w:rPr>
          <w:rFonts w:ascii="Times New Roman" w:cs="Times New Roman" w:eastAsia="Times New Roman" w:hAnsi="Times New Roman"/>
          <w:sz w:val="14"/>
          <w:szCs w:val="14"/>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securities purchasable upon exercise of the rights. If less than all of the rights issued in any rights offering are exercised, we may offer any unsubscribed securities directly to persons other than shareholders, to or through agents, underwriters or dealers or through a combination of such methods, including pursuant to standby underwriting arrangements, as described in the applicable prospectus supplement.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 of Subscription Receipts</w:t>
      </w:r>
    </w:p>
    <w:p>
      <w:pPr>
        <w:spacing w:after="0" w:line="1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following describes the general terms and provisions of the subscription receipts that we may offer. When we offer to sell particular subscription receipts, we will describe the specific terms of any subscription receipts offered from time to time in a supplement to this prospectus, which may supplement or change the terms outlined below.</w:t>
      </w:r>
    </w:p>
    <w:p>
      <w:pPr>
        <w:spacing w:after="0" w:line="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may issue subscription receipts, which will entitle holders to receive upon satisfaction of certain release conditions and for no additional consideration, common stock, preferred stock, warrants, debt securities or units or any combination thereof. We may issue subscription receipts independently or together with common stock, preferred stock, warrants, debt securities or units. We will evidence subscription receipts by subscription receipt certificates that we may issue under a separate agreement. We may enter into the subscription receipt agreement with a subscription receipt agent. We will indicate the name and address of any such subscription receipt agent in the applicable prospectus supplement relating to particular subscription receipts.</w:t>
      </w:r>
    </w:p>
    <w:p>
      <w:pPr>
        <w:spacing w:after="0" w:line="85"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2"/>
          <w:szCs w:val="12"/>
          <w:color w:val="auto"/>
        </w:rPr>
        <w:t>Before we issue any subscription receipts, the forms of subscription receipt agreement, if any, and subscription receipt certificates will be filed with the SEC and incorporated by reference as exhibits to the registration statement of which this prospectus is a part or as exhibits to a current report on Form 8-K. For the complete terms of the subscription receipts, you should refer to the applicable prospectus supplement and the forms of subscription receipt agreement, if any, and subscription receipt certificate for those particular subscription receipts. We encourage you to read the applicable prospectus supplement and the forms of subscription receipt agreement, if any, and subscription receipt certificate for those particular subscription receipts before you purchase any of our subscription receipts.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we offer subscription receipts, we will describe the specific terms of the subscription receipts in a prospectus supplement, including:</w:t>
      </w:r>
    </w:p>
    <w:p>
      <w:pPr>
        <w:spacing w:after="0" w:line="13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offering price and aggregate number of subscription receipts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currency for which the subscription receipts may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designation and terms of the securities into which the subscription receipts are convertible;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if applicable, the date on and after which the subscription receipts and the related securities will be separately transferable;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in the case of subscription receipts to acquire debt securities, the principal amount of debt securities convertible upon conversion of one subscription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84" w:lineRule="exact"/>
        <w:rPr>
          <w:sz w:val="20"/>
          <w:szCs w:val="20"/>
          <w:color w:val="auto"/>
        </w:rPr>
      </w:pPr>
    </w:p>
    <w:p>
      <w:pPr>
        <w:ind w:left="900"/>
        <w:spacing w:after="0" w:line="263" w:lineRule="auto"/>
        <w:rPr>
          <w:sz w:val="20"/>
          <w:szCs w:val="20"/>
          <w:color w:val="auto"/>
        </w:rPr>
      </w:pPr>
      <w:r>
        <w:rPr>
          <w:rFonts w:ascii="Times New Roman" w:cs="Times New Roman" w:eastAsia="Times New Roman" w:hAnsi="Times New Roman"/>
          <w:sz w:val="14"/>
          <w:szCs w:val="14"/>
          <w:color w:val="auto"/>
        </w:rPr>
        <w:t>in the case of subscription receipts to acquire common stock, preferred stock, warrants or units, the number of shares of common stock, shares of preferred stock, warrants, units or any combination thereof acquirable upon the conversion of one subscription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-189230</wp:posOffset>
            </wp:positionV>
            <wp:extent cx="5143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55" w:lineRule="exact"/>
        <w:rPr>
          <w:sz w:val="20"/>
          <w:szCs w:val="20"/>
          <w:color w:val="auto"/>
        </w:rPr>
      </w:pPr>
    </w:p>
    <w:p>
      <w:pPr>
        <w:ind w:left="900"/>
        <w:spacing w:after="0" w:line="248" w:lineRule="auto"/>
        <w:rPr>
          <w:sz w:val="20"/>
          <w:szCs w:val="20"/>
          <w:color w:val="auto"/>
        </w:rPr>
      </w:pPr>
      <w:r>
        <w:rPr>
          <w:rFonts w:ascii="Times New Roman" w:cs="Times New Roman" w:eastAsia="Times New Roman" w:hAnsi="Times New Roman"/>
          <w:sz w:val="14"/>
          <w:szCs w:val="14"/>
          <w:color w:val="auto"/>
        </w:rPr>
        <w:t>the conditions that must be met in order for holders of subscription receipts to receive for no additional consideration common stock, preferred stock, debt securities, warrants or units, the number of shares of common stock, preferred stock, warrants or units or the amount of debt securities or any combination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-176530</wp:posOffset>
            </wp:positionV>
            <wp:extent cx="5143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effect of any merger, consolidation, sale or other disposition of our business on the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terms of any rights to redeem or call the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any provisions for changes to or adjustments in the number of securities issuable upon conversion of the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dates on which the right to convert the subscription receipts will commence and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manner in which the subscription receipt agreement, if any, and subscription receipts may be modified;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terms of the securities issuable upon conversion of the subscription receipts;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any other specific terms, preferences, rights or limitations of or restrictions on the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54610</wp:posOffset>
            </wp:positionV>
            <wp:extent cx="719137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may issue units comprising two or more securities described in this prospectus in any combination. For example, we might issue units consisting of a combination of common stock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42"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2"/>
          <w:szCs w:val="12"/>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prospectus supplement relating to any particular issuance of units will describe the terms of those units, including, to the extent applicable, the following:</w:t>
      </w:r>
    </w:p>
    <w:p>
      <w:pPr>
        <w:spacing w:after="0" w:line="165" w:lineRule="exact"/>
        <w:rPr>
          <w:sz w:val="20"/>
          <w:szCs w:val="20"/>
          <w:color w:val="auto"/>
        </w:rPr>
      </w:pPr>
    </w:p>
    <w:p>
      <w:pPr>
        <w:ind w:left="140" w:hanging="139"/>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the securities comprising the units, including whether and under what circumstances those securities may be held or transferred separately;</w:t>
      </w:r>
    </w:p>
    <w:p>
      <w:pPr>
        <w:spacing w:after="0" w:line="164" w:lineRule="exact"/>
        <w:rPr>
          <w:rFonts w:ascii="Times New Roman" w:cs="Times New Roman" w:eastAsia="Times New Roman" w:hAnsi="Times New Roman"/>
          <w:sz w:val="14"/>
          <w:szCs w:val="14"/>
          <w:color w:val="auto"/>
        </w:rPr>
      </w:pPr>
    </w:p>
    <w:p>
      <w:pPr>
        <w:ind w:left="140" w:hanging="139"/>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 for the issuance, payment, settlement, transfer or exchange of the units or of the securities comprising the units; and</w:t>
      </w:r>
    </w:p>
    <w:p>
      <w:pPr>
        <w:spacing w:after="0" w:line="164" w:lineRule="exact"/>
        <w:rPr>
          <w:rFonts w:ascii="Times New Roman" w:cs="Times New Roman" w:eastAsia="Times New Roman" w:hAnsi="Times New Roman"/>
          <w:sz w:val="14"/>
          <w:szCs w:val="14"/>
          <w:color w:val="auto"/>
        </w:rPr>
      </w:pPr>
    </w:p>
    <w:p>
      <w:pPr>
        <w:ind w:left="140" w:hanging="139"/>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units will be issued in fully registered or global form.</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6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certain legal matters in connection with the offering and the validity of the securities offered by this prospectus, and any supplement thereto, will be passed upon by Cozen O’Connor LLP.</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6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The audited consolidated financial statements of the Company and its subsidiaries, as of and for the years ended December 31, 2025, and 2024, incorporated by reference into this prospectus have been so incorporated by reference in reliance upon the report of Tanner LLP, independent registered public accountants, upon the authority of said firm as experts in accounting and auditing.</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48260</wp:posOffset>
            </wp:positionV>
            <wp:extent cx="719137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448"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DOCUMENTS BY REFERENCE</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the information we file with it, which means that we can disclose important information to you by referring you to those documents. The information incorporated by reference is considered to be part of this prospectus. 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We incorporate by reference in this prospectus the following information (other than, in each case, documents or information deemed to have been furnished and not filed in accordance with SEC rules):</w:t>
      </w:r>
    </w:p>
    <w:p>
      <w:pPr>
        <w:spacing w:after="0" w:line="148" w:lineRule="exact"/>
        <w:rPr>
          <w:sz w:val="20"/>
          <w:szCs w:val="20"/>
          <w:color w:val="auto"/>
        </w:rPr>
      </w:pPr>
    </w:p>
    <w:p>
      <w:pPr>
        <w:ind w:left="140" w:hanging="139"/>
        <w:spacing w:after="0"/>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83">
        <w:r>
          <w:rPr>
            <w:rFonts w:ascii="Times New Roman" w:cs="Times New Roman" w:eastAsia="Times New Roman" w:hAnsi="Times New Roman"/>
            <w:sz w:val="14"/>
            <w:szCs w:val="14"/>
            <w:u w:val="single" w:color="auto"/>
            <w:color w:val="0000FF"/>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March 31, 2026;</w:t>
      </w:r>
    </w:p>
    <w:p>
      <w:pPr>
        <w:spacing w:after="0" w:line="246" w:lineRule="exact"/>
        <w:rPr>
          <w:rFonts w:ascii="Times New Roman" w:cs="Times New Roman" w:eastAsia="Times New Roman" w:hAnsi="Times New Roman"/>
          <w:sz w:val="14"/>
          <w:szCs w:val="14"/>
          <w:color w:val="auto"/>
        </w:rPr>
      </w:pPr>
    </w:p>
    <w:p>
      <w:pPr>
        <w:ind w:left="140" w:hanging="139"/>
        <w:spacing w:after="0"/>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84">
        <w:r>
          <w:rPr>
            <w:rFonts w:ascii="Times New Roman" w:cs="Times New Roman" w:eastAsia="Times New Roman" w:hAnsi="Times New Roman"/>
            <w:sz w:val="14"/>
            <w:szCs w:val="14"/>
            <w:u w:val="single" w:color="auto"/>
            <w:color w:val="0000FF"/>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quarter ended March 31, 2026, filed with the SEC on May 15, 2026; and</w:t>
      </w:r>
    </w:p>
    <w:p>
      <w:pPr>
        <w:spacing w:after="0" w:line="246" w:lineRule="exact"/>
        <w:rPr>
          <w:rFonts w:ascii="Times New Roman" w:cs="Times New Roman" w:eastAsia="Times New Roman" w:hAnsi="Times New Roman"/>
          <w:sz w:val="14"/>
          <w:szCs w:val="14"/>
          <w:color w:val="auto"/>
        </w:rPr>
      </w:pPr>
    </w:p>
    <w:p>
      <w:pPr>
        <w:ind w:left="140" w:hanging="139"/>
        <w:spacing w:after="0"/>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85">
        <w:r>
          <w:rPr>
            <w:rFonts w:ascii="Times New Roman" w:cs="Times New Roman" w:eastAsia="Times New Roman" w:hAnsi="Times New Roman"/>
            <w:sz w:val="14"/>
            <w:szCs w:val="14"/>
            <w:u w:val="single" w:color="auto"/>
            <w:color w:val="0000EE"/>
          </w:rPr>
          <w:t>January 14, 2026</w:t>
        </w:r>
      </w:hyperlink>
      <w:r>
        <w:rPr>
          <w:rFonts w:ascii="Times New Roman" w:cs="Times New Roman" w:eastAsia="Times New Roman" w:hAnsi="Times New Roman"/>
          <w:sz w:val="14"/>
          <w:szCs w:val="14"/>
          <w:color w:val="auto"/>
        </w:rPr>
        <w:t xml:space="preserve">, </w:t>
      </w:r>
      <w:hyperlink r:id="rId86">
        <w:r>
          <w:rPr>
            <w:rFonts w:ascii="Times New Roman" w:cs="Times New Roman" w:eastAsia="Times New Roman" w:hAnsi="Times New Roman"/>
            <w:sz w:val="14"/>
            <w:szCs w:val="14"/>
            <w:u w:val="single" w:color="auto"/>
            <w:color w:val="0000EE"/>
          </w:rPr>
          <w:t>March 5, 2026</w:t>
        </w:r>
      </w:hyperlink>
      <w:r>
        <w:rPr>
          <w:rFonts w:ascii="Times New Roman" w:cs="Times New Roman" w:eastAsia="Times New Roman" w:hAnsi="Times New Roman"/>
          <w:sz w:val="14"/>
          <w:szCs w:val="14"/>
          <w:color w:val="auto"/>
        </w:rPr>
        <w:t xml:space="preserve">, </w:t>
      </w:r>
      <w:hyperlink r:id="rId87">
        <w:r>
          <w:rPr>
            <w:rFonts w:ascii="Times New Roman" w:cs="Times New Roman" w:eastAsia="Times New Roman" w:hAnsi="Times New Roman"/>
            <w:sz w:val="14"/>
            <w:szCs w:val="14"/>
            <w:u w:val="single" w:color="auto"/>
            <w:color w:val="0000EE"/>
          </w:rPr>
          <w:t>March 13, 2026</w:t>
        </w:r>
      </w:hyperlink>
      <w:r>
        <w:rPr>
          <w:rFonts w:ascii="Times New Roman" w:cs="Times New Roman" w:eastAsia="Times New Roman" w:hAnsi="Times New Roman"/>
          <w:sz w:val="14"/>
          <w:szCs w:val="14"/>
          <w:color w:val="auto"/>
        </w:rPr>
        <w:t xml:space="preserve">, </w:t>
      </w:r>
      <w:hyperlink r:id="rId88">
        <w:r>
          <w:rPr>
            <w:rFonts w:ascii="Times New Roman" w:cs="Times New Roman" w:eastAsia="Times New Roman" w:hAnsi="Times New Roman"/>
            <w:sz w:val="14"/>
            <w:szCs w:val="14"/>
            <w:u w:val="single" w:color="auto"/>
            <w:color w:val="0000EE"/>
          </w:rPr>
          <w:t>March 17, 2026</w:t>
        </w:r>
      </w:hyperlink>
      <w:r>
        <w:rPr>
          <w:rFonts w:ascii="Times New Roman" w:cs="Times New Roman" w:eastAsia="Times New Roman" w:hAnsi="Times New Roman"/>
          <w:sz w:val="14"/>
          <w:szCs w:val="14"/>
          <w:color w:val="auto"/>
        </w:rPr>
        <w:t xml:space="preserve">, </w:t>
      </w:r>
      <w:hyperlink r:id="rId89">
        <w:r>
          <w:rPr>
            <w:rFonts w:ascii="Times New Roman" w:cs="Times New Roman" w:eastAsia="Times New Roman" w:hAnsi="Times New Roman"/>
            <w:sz w:val="14"/>
            <w:szCs w:val="14"/>
            <w:u w:val="single" w:color="auto"/>
            <w:color w:val="0000EE"/>
          </w:rPr>
          <w:t>April 3, 2026</w:t>
        </w:r>
      </w:hyperlink>
      <w:r>
        <w:rPr>
          <w:rFonts w:ascii="Times New Roman" w:cs="Times New Roman" w:eastAsia="Times New Roman" w:hAnsi="Times New Roman"/>
          <w:sz w:val="14"/>
          <w:szCs w:val="14"/>
          <w:color w:val="auto"/>
        </w:rPr>
        <w:t xml:space="preserve">, </w:t>
      </w:r>
      <w:hyperlink r:id="rId90">
        <w:r>
          <w:rPr>
            <w:rFonts w:ascii="Times New Roman" w:cs="Times New Roman" w:eastAsia="Times New Roman" w:hAnsi="Times New Roman"/>
            <w:sz w:val="14"/>
            <w:szCs w:val="14"/>
            <w:u w:val="single" w:color="auto"/>
            <w:color w:val="0000EE"/>
          </w:rPr>
          <w:t>April 13, 2026</w:t>
        </w:r>
      </w:hyperlink>
      <w:r>
        <w:rPr>
          <w:rFonts w:ascii="Times New Roman" w:cs="Times New Roman" w:eastAsia="Times New Roman" w:hAnsi="Times New Roman"/>
          <w:sz w:val="14"/>
          <w:szCs w:val="14"/>
          <w:color w:val="auto"/>
        </w:rPr>
        <w:t xml:space="preserve">, and </w:t>
      </w:r>
      <w:hyperlink r:id="rId91">
        <w:r>
          <w:rPr>
            <w:rFonts w:ascii="Times New Roman" w:cs="Times New Roman" w:eastAsia="Times New Roman" w:hAnsi="Times New Roman"/>
            <w:sz w:val="14"/>
            <w:szCs w:val="14"/>
            <w:u w:val="single" w:color="auto"/>
            <w:color w:val="0000EE"/>
          </w:rPr>
          <w:t>April 23, 2026</w:t>
        </w:r>
      </w:hyperlink>
      <w:r>
        <w:rPr>
          <w:rFonts w:ascii="Times New Roman" w:cs="Times New Roman" w:eastAsia="Times New Roman" w:hAnsi="Times New Roman"/>
          <w:sz w:val="14"/>
          <w:szCs w:val="14"/>
          <w:color w:val="auto"/>
        </w:rPr>
        <w:t>; and</w:t>
      </w:r>
    </w:p>
    <w:p>
      <w:pPr>
        <w:spacing w:after="0" w:line="235" w:lineRule="exact"/>
        <w:rPr>
          <w:rFonts w:ascii="Times New Roman" w:cs="Times New Roman" w:eastAsia="Times New Roman" w:hAnsi="Times New Roman"/>
          <w:sz w:val="14"/>
          <w:szCs w:val="14"/>
          <w:color w:val="auto"/>
        </w:rPr>
      </w:pPr>
    </w:p>
    <w:p>
      <w:pPr>
        <w:ind w:left="140" w:hanging="139"/>
        <w:spacing w:after="0"/>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w:t>
      </w:r>
      <w:hyperlink r:id="rId92">
        <w:r>
          <w:rPr>
            <w:rFonts w:ascii="Times New Roman" w:cs="Times New Roman" w:eastAsia="Times New Roman" w:hAnsi="Times New Roman"/>
            <w:sz w:val="14"/>
            <w:szCs w:val="14"/>
            <w:u w:val="single" w:color="auto"/>
            <w:color w:val="0000FF"/>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on August 10, 2007, including any amendments or reports filed for the purpose of updating such description.</w:t>
      </w:r>
    </w:p>
    <w:p>
      <w:pPr>
        <w:spacing w:after="0" w:line="175" w:lineRule="exact"/>
        <w:rPr>
          <w:rFonts w:ascii="Times New Roman" w:cs="Times New Roman" w:eastAsia="Times New Roman" w:hAnsi="Times New Roman"/>
          <w:sz w:val="14"/>
          <w:szCs w:val="14"/>
          <w:color w:val="auto"/>
        </w:rPr>
      </w:pPr>
    </w:p>
    <w:p>
      <w:pPr>
        <w:jc w:val="both"/>
        <w:spacing w:after="0" w:line="299" w:lineRule="auto"/>
        <w:rPr>
          <w:sz w:val="20"/>
          <w:szCs w:val="20"/>
          <w:color w:val="auto"/>
        </w:rPr>
      </w:pPr>
      <w:r>
        <w:rPr>
          <w:rFonts w:ascii="Times New Roman" w:cs="Times New Roman" w:eastAsia="Times New Roman" w:hAnsi="Times New Roman"/>
          <w:sz w:val="12"/>
          <w:szCs w:val="12"/>
          <w:color w:val="auto"/>
        </w:rPr>
        <w:t>We also incorporate by reference each of the documents that we file with the SEC under Sections 13(a), 13(c), 14 or 15(d) of the Securities Exchange Act of 1934, as amended, or the Exchange Act, (i) after the date of this prospectus and prior to effectiveness of the registration statement on Form S-3 of which this prospectus forms a part and (ii) on or after the date of this prospectus and prior to the termination of the offerings under this prospectus and any prospectus supplement. These documents include periodic reports, such as Annual Reports on Form 10-K, Quarterly Reports on Form 10-Q and Current Reports on Form 8-K, as well as proxy statements. We will not, however, incorporate by reference in this prospectus any documents or portions thereof that are not deemed “filed” with the SEC, including any information furnished pursuant to Item 2.02 or Item 7.01 of our Current Reports on Form 8-K after the date of this prospectus unless, and except to the extent, specified in such Current Reports.</w:t>
      </w:r>
    </w:p>
    <w:p>
      <w:pPr>
        <w:spacing w:after="0" w:line="117" w:lineRule="exact"/>
        <w:rPr>
          <w:rFonts w:ascii="Times New Roman" w:cs="Times New Roman" w:eastAsia="Times New Roman" w:hAnsi="Times New Roman"/>
          <w:sz w:val="14"/>
          <w:szCs w:val="14"/>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You may obtain copies of any of the documents incorporated by reference in this prospectus from the SEC through the SEC’s website at www.sec.gov. You also may request a copy of any document incorporated by reference in this prospectus (including exhibits to those documents specifically incorporated by reference in this prospectus), at no cost, by writing or telephoning us at:</w:t>
      </w:r>
    </w:p>
    <w:p>
      <w:pPr>
        <w:spacing w:after="0" w:line="20" w:lineRule="exact"/>
        <w:rPr>
          <w:rFonts w:ascii="Times New Roman" w:cs="Times New Roman" w:eastAsia="Times New Roman" w:hAnsi="Times New Roman"/>
          <w:sz w:val="14"/>
          <w:szCs w:val="14"/>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ClearOne, Inc.</w:t>
      </w:r>
    </w:p>
    <w:p>
      <w:pPr>
        <w:spacing w:after="0" w:line="18" w:lineRule="exact"/>
        <w:rPr>
          <w:rFonts w:ascii="Times New Roman" w:cs="Times New Roman" w:eastAsia="Times New Roman" w:hAnsi="Times New Roman"/>
          <w:sz w:val="14"/>
          <w:szCs w:val="14"/>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7533 S Center View Ct. # 5311</w:t>
      </w:r>
    </w:p>
    <w:p>
      <w:pPr>
        <w:spacing w:after="0" w:line="2" w:lineRule="exact"/>
        <w:rPr>
          <w:rFonts w:ascii="Times New Roman" w:cs="Times New Roman" w:eastAsia="Times New Roman" w:hAnsi="Times New Roman"/>
          <w:sz w:val="14"/>
          <w:szCs w:val="14"/>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West Jordan, Utah 84084</w:t>
      </w:r>
    </w:p>
    <w:p>
      <w:pPr>
        <w:spacing w:after="0" w:line="2" w:lineRule="exact"/>
        <w:rPr>
          <w:rFonts w:ascii="Times New Roman" w:cs="Times New Roman" w:eastAsia="Times New Roman" w:hAnsi="Times New Roman"/>
          <w:sz w:val="14"/>
          <w:szCs w:val="14"/>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+1 (801) 975-7200</w:t>
      </w:r>
    </w:p>
    <w:p>
      <w:pPr>
        <w:spacing w:after="0" w:line="173"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-11430</wp:posOffset>
            </wp:positionH>
            <wp:positionV relativeFrom="paragraph">
              <wp:posOffset>54610</wp:posOffset>
            </wp:positionV>
            <wp:extent cx="719137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448" w:right="319" w:bottom="1440" w:gutter="0" w:footer="0" w:header="0"/>
        </w:sectPr>
      </w:pPr>
    </w:p>
    <w:bookmarkStart w:id="15" w:name="page16"/>
    <w:bookmarkEnd w:id="15"/>
    <w:p>
      <w:pPr>
        <w:jc w:val="center"/>
        <w:ind w:left="7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8"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4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2"/>
          <w:szCs w:val="12"/>
          <w:b w:val="1"/>
          <w:bCs w:val="1"/>
          <w:color w:val="auto"/>
        </w:rPr>
        <w:t>Other Expenses of Issuance and Distribution.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costs and expenses payable by ClearOne, Inc. in connection with the sale of the securities being registered hereby.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440" w:type="dxa"/>
            <w:vAlign w:val="bottom"/>
          </w:tcPr>
          <w:p>
            <w:pPr>
              <w:spacing w:after="0"/>
              <w:rPr>
                <w:sz w:val="12"/>
                <w:szCs w:val="12"/>
                <w:color w:val="auto"/>
              </w:rPr>
            </w:pP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w w:val="92"/>
              </w:rPr>
              <w:t>Amount to be Paid</w:t>
            </w:r>
          </w:p>
        </w:tc>
      </w:tr>
      <w:tr>
        <w:trPr>
          <w:trHeight w:val="238"/>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Securities and Exchange Commission registration fee</w:t>
            </w:r>
          </w:p>
        </w:tc>
        <w:tc>
          <w:tcPr>
            <w:tcW w:w="12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​$ 6,905</w:t>
            </w:r>
          </w:p>
        </w:tc>
      </w:tr>
      <w:tr>
        <w:trPr>
          <w:trHeight w:val="204"/>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Printing and engraving expenses</w:t>
            </w:r>
          </w:p>
        </w:tc>
        <w:tc>
          <w:tcPr>
            <w:tcW w:w="5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204"/>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5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204"/>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5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204"/>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Transfer agent and registrar fees</w:t>
            </w:r>
          </w:p>
        </w:tc>
        <w:tc>
          <w:tcPr>
            <w:tcW w:w="5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204"/>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Trust fees and expenses</w:t>
            </w:r>
          </w:p>
        </w:tc>
        <w:tc>
          <w:tcPr>
            <w:tcW w:w="5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204"/>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 expenses</w:t>
            </w:r>
          </w:p>
        </w:tc>
        <w:tc>
          <w:tcPr>
            <w:tcW w:w="5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204"/>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5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-787400</wp:posOffset>
            </wp:positionV>
            <wp:extent cx="7165975" cy="1295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65975" cy="12954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-528955</wp:posOffset>
            </wp:positionV>
            <wp:extent cx="7165975" cy="1295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65975" cy="12954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-270510</wp:posOffset>
            </wp:positionV>
            <wp:extent cx="7165975" cy="1295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65975" cy="12954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-1045845</wp:posOffset>
            </wp:positionV>
            <wp:extent cx="7165975" cy="1295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65975" cy="1295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74" w:lineRule="exact"/>
        <w:rPr>
          <w:sz w:val="20"/>
          <w:szCs w:val="20"/>
          <w:color w:val="auto"/>
        </w:rPr>
      </w:pPr>
    </w:p>
    <w:p>
      <w:pPr>
        <w:sectPr>
          <w:pgSz w:w="11900" w:h="16838" w:orient="portrait"/>
          <w:cols w:equalWidth="0" w:num="2">
            <w:col w:w="10520" w:space="720"/>
            <w:col w:w="40"/>
          </w:cols>
          <w:pgMar w:left="300" w:top="367" w:right="319" w:bottom="1440" w:gutter="0" w:footer="0" w:header="0"/>
        </w:sectPr>
      </w:pPr>
    </w:p>
    <w:p>
      <w:pPr>
        <w:ind w:left="80" w:hanging="70"/>
        <w:spacing w:after="0" w:line="263" w:lineRule="auto"/>
        <w:rPr>
          <w:sz w:val="20"/>
          <w:szCs w:val="20"/>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 The applicable prospectus supplement will set forth the estimated amount of expenses of any offering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-221615</wp:posOffset>
            </wp:positionV>
            <wp:extent cx="716597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2"/>
          <w:szCs w:val="12"/>
          <w:b w:val="1"/>
          <w:bCs w:val="1"/>
          <w:color w:val="auto"/>
        </w:rPr>
        <w:t>Indemnification of Directors and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Nevada Revised Statutes provide that:</w:t>
      </w:r>
    </w:p>
    <w:p>
      <w:pPr>
        <w:spacing w:after="0" w:line="134" w:lineRule="exact"/>
        <w:rPr>
          <w:sz w:val="20"/>
          <w:szCs w:val="20"/>
          <w:color w:val="auto"/>
        </w:rPr>
      </w:pPr>
    </w:p>
    <w:p>
      <w:pPr>
        <w:jc w:val="both"/>
        <w:ind w:left="900"/>
        <w:spacing w:after="0" w:line="262" w:lineRule="auto"/>
        <w:rPr>
          <w:sz w:val="20"/>
          <w:szCs w:val="20"/>
          <w:color w:val="auto"/>
        </w:rPr>
      </w:pPr>
      <w:r>
        <w:rPr>
          <w:rFonts w:ascii="Times New Roman" w:cs="Times New Roman" w:eastAsia="Times New Roman" w:hAnsi="Times New Roman"/>
          <w:sz w:val="14"/>
          <w:szCs w:val="14"/>
          <w:color w:val="auto"/>
        </w:rPr>
        <w:t>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or her in connection with the action, suit or proceeding if he or she acted in good faith and in a manner which he or she reasonably believed to be in or not opposed to the best interests of the corporation, and, with respect to any criminal action or proceeding, had no reasonable cause to believe his or her conduct was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-635000</wp:posOffset>
            </wp:positionV>
            <wp:extent cx="51435"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54610</wp:posOffset>
            </wp:positionV>
            <wp:extent cx="719137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367" w:right="319" w:bottom="1440" w:gutter="0" w:footer="0" w:header="0"/>
          <w:type w:val="continuous"/>
        </w:sectPr>
      </w:pPr>
    </w:p>
    <w:bookmarkStart w:id="16" w:name="page17"/>
    <w:bookmarkEnd w:id="16"/>
    <w:p>
      <w:pPr>
        <w:jc w:val="both"/>
        <w:ind w:left="900"/>
        <w:spacing w:after="0" w:line="260" w:lineRule="auto"/>
        <w:rPr>
          <w:sz w:val="20"/>
          <w:szCs w:val="20"/>
          <w:color w:val="auto"/>
        </w:rPr>
      </w:pPr>
      <w:r>
        <w:rPr>
          <w:rFonts w:ascii="Times New Roman" w:cs="Times New Roman" w:eastAsia="Times New Roman" w:hAnsi="Times New Roman"/>
          <w:sz w:val="14"/>
          <w:szCs w:val="14"/>
          <w:color w:val="auto"/>
        </w:rPr>
        <w:t>a corporation may indemnify any person who was or is a party or is threatened to be made a party to any threatened, pending or completed action or suit by or in the right of the corporation to procure a judgment in its favor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or her in connection with the defense or settlement of the action or suit if he or she acted in good faith and in a manner which he or she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-850900</wp:posOffset>
            </wp:positionV>
            <wp:extent cx="51435"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40" w:lineRule="exact"/>
        <w:rPr>
          <w:sz w:val="20"/>
          <w:szCs w:val="20"/>
          <w:color w:val="auto"/>
        </w:rPr>
      </w:pPr>
    </w:p>
    <w:p>
      <w:pPr>
        <w:jc w:val="both"/>
        <w:ind w:left="900"/>
        <w:spacing w:after="0" w:line="365" w:lineRule="auto"/>
        <w:rPr>
          <w:sz w:val="20"/>
          <w:szCs w:val="20"/>
          <w:color w:val="auto"/>
        </w:rPr>
      </w:pPr>
      <w:r>
        <w:rPr>
          <w:rFonts w:ascii="Times New Roman" w:cs="Times New Roman" w:eastAsia="Times New Roman" w:hAnsi="Times New Roman"/>
          <w:sz w:val="12"/>
          <w:szCs w:val="12"/>
          <w:color w:val="auto"/>
        </w:rPr>
        <w:t>to the extent that a director, officer, employee or agent of a corporation has been successful on the merits or otherwise in defense of any action, suit or proceeding, or in defense of any claim, issue or matter therein, the corporation must indemnify him or her against expenses, including attorneys' fees, actually and reasonably incurred by him or her in connection with the defense.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-231775</wp:posOffset>
            </wp:positionV>
            <wp:extent cx="51435"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2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Nevada Revised Statutes provide that we may make any discretionary indemnification only as authorized in the specific case upon a determination that indemnification of the director, officer, employee or agent is proper in the circumstances. The determination must be made:</w:t>
      </w:r>
    </w:p>
    <w:p>
      <w:pPr>
        <w:spacing w:after="0" w:line="1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by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by our board of directors by majority vote of a quorum consisting of directors who were not parties to the action, suit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if a majority vote of a quorum consisting of directors who were not parties to the action, suit or proceeding so orders, by independent legal counsel in a written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-67310</wp:posOffset>
            </wp:positionV>
            <wp:extent cx="51435"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63" w:lineRule="exact"/>
        <w:rPr>
          <w:sz w:val="20"/>
          <w:szCs w:val="20"/>
          <w:color w:val="auto"/>
        </w:rPr>
      </w:pPr>
    </w:p>
    <w:p>
      <w:pPr>
        <w:ind w:left="900" w:right="1600"/>
        <w:spacing w:after="0" w:line="369" w:lineRule="auto"/>
        <w:rPr>
          <w:sz w:val="20"/>
          <w:szCs w:val="20"/>
          <w:color w:val="auto"/>
        </w:rPr>
      </w:pPr>
      <w:r>
        <w:rPr>
          <w:rFonts w:ascii="Times New Roman" w:cs="Times New Roman" w:eastAsia="Times New Roman" w:hAnsi="Times New Roman"/>
          <w:sz w:val="14"/>
          <w:szCs w:val="14"/>
          <w:color w:val="auto"/>
        </w:rPr>
        <w:t>if a quorum consisting of directors who were not parties to the action, suit or proceeding cannot be obtained, by independent legal counsel in a written opinion; or by court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-279400</wp:posOffset>
            </wp:positionV>
            <wp:extent cx="51435"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-130810</wp:posOffset>
            </wp:positionV>
            <wp:extent cx="51435"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Our bylaws provide for the mandatory indemnification of our directors and officers to the fullest extent legally permissible under the Nevada Revised Statutes from time to time against all expenses, liability and loss (including attorneys' fees, judgments, fines and amounts paid or to be paid in settlement) reasonably incurred or suffered by such person in connection with he or she having been or being a party to, threatening to be made a party to, or involved in any action, suit or proceeding, whether civil, criminal, administrative or investigative, by reason of the fact that he or she is or was a director or an officer of the company. Advance payment of expenses by the company to such director or officer, as these expenses are incurred in defending a civil or criminal action, suit or proceeding, are subject to an undertaking by or on behalf of the director or officer to repay the amount of such payment if it is ultimately determined by a court of competent jurisdiction that he or she is not entitled to be indemnified by our company. The right of indemnification under our bylaws is not exclusive of any other right to indemnification a director or an officer may have.</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bylaws allow us to purchase and maintain insurance on behalf of any person who is or was a director or officer of our company against any liability asserted against such person and incurred in any such capacity or arising out of such status, whether or not we would have the power to indemnify such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directors and officers liability insurance under which our directors or officers are insured against liability which they may incur in their capacities as such.</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54610</wp:posOffset>
            </wp:positionV>
            <wp:extent cx="719137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432" w:right="319" w:bottom="1440" w:gutter="0" w:footer="0" w:header="0"/>
        </w:sectPr>
      </w:pPr>
    </w:p>
    <w:bookmarkStart w:id="17" w:name="page18"/>
    <w:bookmarkEnd w:id="17"/>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2"/>
          <w:szCs w:val="12"/>
          <w:b w:val="1"/>
          <w:bCs w:val="1"/>
          <w:color w:val="auto"/>
        </w:rPr>
        <w:t>Exhibits.</w:t>
      </w:r>
    </w:p>
    <w:p>
      <w:pPr>
        <w:spacing w:after="0" w:line="165"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65975" cy="1162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165975" cy="116205"/>
                    </a:xfrm>
                    <a:prstGeom prst="rect">
                      <a:avLst/>
                    </a:prstGeom>
                    <a:noFill/>
                  </pic:spPr>
                </pic:pic>
              </a:graphicData>
            </a:graphic>
          </wp:anchor>
        </w:drawing>
      </w:r>
    </w:p>
    <w:p>
      <w:pPr>
        <w:spacing w:after="0" w:line="2" w:lineRule="exact"/>
        <w:rPr>
          <w:sz w:val="20"/>
          <w:szCs w:val="20"/>
          <w:color w:val="auto"/>
        </w:rPr>
      </w:pPr>
    </w:p>
    <w:p>
      <w:pPr>
        <w:ind w:left="1220" w:hanging="1219"/>
        <w:spacing w:after="0"/>
        <w:tabs>
          <w:tab w:leader="none" w:pos="122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Underwriting Agreement</w:t>
      </w:r>
    </w:p>
    <w:p>
      <w:pPr>
        <w:spacing w:after="0" w:line="1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2"/>
          <w:szCs w:val="12"/>
          <w:color w:val="auto"/>
        </w:rPr>
        <w:t>Form of Underwriting Agreement</w:t>
      </w:r>
    </w:p>
    <w:p>
      <w:pPr>
        <w:spacing w:after="0" w:line="2" w:lineRule="exact"/>
        <w:rPr>
          <w:sz w:val="20"/>
          <w:szCs w:val="20"/>
          <w:color w:val="auto"/>
        </w:rPr>
      </w:pPr>
    </w:p>
    <w:p>
      <w:pPr>
        <w:ind w:left="1220" w:hanging="1219"/>
        <w:spacing w:after="0"/>
        <w:tabs>
          <w:tab w:leader="none" w:pos="122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Instruments Defining the Rights of Security Holders, Including Indentures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7165975" cy="1035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165975" cy="1035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4"/>
        </w:trPr>
        <w:tc>
          <w:tcPr>
            <w:tcW w:w="74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9"/>
              </w:rPr>
              <w:t>4.1*</w:t>
            </w:r>
          </w:p>
        </w:tc>
        <w:tc>
          <w:tcPr>
            <w:tcW w:w="105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Certificate of Designation for Preferred Stock</w:t>
            </w:r>
          </w:p>
        </w:tc>
      </w:tr>
      <w:tr>
        <w:trPr>
          <w:trHeight w:val="163"/>
        </w:trPr>
        <w:tc>
          <w:tcPr>
            <w:tcW w:w="74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9"/>
              </w:rPr>
              <w:t>4.2*</w:t>
            </w:r>
          </w:p>
        </w:tc>
        <w:tc>
          <w:tcPr>
            <w:tcW w:w="10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Form of Indenture</w:t>
            </w:r>
          </w:p>
        </w:tc>
      </w:tr>
      <w:tr>
        <w:trPr>
          <w:trHeight w:val="163"/>
        </w:trPr>
        <w:tc>
          <w:tcPr>
            <w:tcW w:w="74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9"/>
              </w:rPr>
              <w:t>4.3*</w:t>
            </w:r>
          </w:p>
        </w:tc>
        <w:tc>
          <w:tcPr>
            <w:tcW w:w="105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Form of Warrant Agreement</w:t>
            </w:r>
          </w:p>
        </w:tc>
      </w:tr>
      <w:tr>
        <w:trPr>
          <w:trHeight w:val="163"/>
        </w:trPr>
        <w:tc>
          <w:tcPr>
            <w:tcW w:w="74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9"/>
              </w:rPr>
              <w:t>4.4*</w:t>
            </w:r>
          </w:p>
        </w:tc>
        <w:tc>
          <w:tcPr>
            <w:tcW w:w="10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Form of Warrant Certificate</w:t>
            </w:r>
          </w:p>
        </w:tc>
      </w:tr>
      <w:tr>
        <w:trPr>
          <w:trHeight w:val="163"/>
        </w:trPr>
        <w:tc>
          <w:tcPr>
            <w:tcW w:w="74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9"/>
              </w:rPr>
              <w:t>4.5*</w:t>
            </w:r>
          </w:p>
        </w:tc>
        <w:tc>
          <w:tcPr>
            <w:tcW w:w="105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Form of Rights Agreement</w:t>
            </w:r>
          </w:p>
        </w:tc>
      </w:tr>
      <w:tr>
        <w:trPr>
          <w:trHeight w:val="163"/>
        </w:trPr>
        <w:tc>
          <w:tcPr>
            <w:tcW w:w="74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9"/>
              </w:rPr>
              <w:t>4.6*</w:t>
            </w:r>
          </w:p>
        </w:tc>
        <w:tc>
          <w:tcPr>
            <w:tcW w:w="10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Form of Unit Agreement</w:t>
            </w:r>
          </w:p>
        </w:tc>
      </w:tr>
      <w:tr>
        <w:trPr>
          <w:trHeight w:val="163"/>
        </w:trPr>
        <w:tc>
          <w:tcPr>
            <w:tcW w:w="74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9"/>
              </w:rPr>
              <w:t>4.7*</w:t>
            </w:r>
          </w:p>
        </w:tc>
        <w:tc>
          <w:tcPr>
            <w:tcW w:w="105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Form of Subscription Receipt Agreement</w:t>
            </w:r>
          </w:p>
        </w:tc>
      </w:tr>
      <w:tr>
        <w:trPr>
          <w:trHeight w:val="163"/>
        </w:trPr>
        <w:tc>
          <w:tcPr>
            <w:tcW w:w="74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9"/>
              </w:rPr>
              <w:t>4.8*</w:t>
            </w:r>
          </w:p>
        </w:tc>
        <w:tc>
          <w:tcPr>
            <w:tcW w:w="10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Form of Subscription Receipt Certificate</w:t>
            </w:r>
          </w:p>
        </w:tc>
      </w:tr>
    </w:tbl>
    <w:p>
      <w:pPr>
        <w:ind w:left="1220" w:hanging="1219"/>
        <w:spacing w:after="0"/>
        <w:tabs>
          <w:tab w:leader="none" w:pos="122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Opinion regarding Legality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7165975" cy="1035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165975" cy="103505"/>
                    </a:xfrm>
                    <a:prstGeom prst="rect">
                      <a:avLst/>
                    </a:prstGeom>
                    <a:noFill/>
                  </pic:spPr>
                </pic:pic>
              </a:graphicData>
            </a:graphic>
          </wp:anchor>
        </w:drawing>
      </w:r>
    </w:p>
    <w:p>
      <w:pPr>
        <w:spacing w:after="0" w:line="128" w:lineRule="exact"/>
        <w:rPr>
          <w:sz w:val="20"/>
          <w:szCs w:val="20"/>
          <w:color w:val="auto"/>
        </w:rPr>
      </w:pPr>
    </w:p>
    <w:p>
      <w:pPr>
        <w:ind w:left="1220" w:hanging="1219"/>
        <w:spacing w:after="0"/>
        <w:tabs>
          <w:tab w:leader="none" w:pos="122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Consents of Experts and Counsel</w:t>
      </w:r>
    </w:p>
    <w:tbl>
      <w:tblPr>
        <w:tblLayout w:type="fixed"/>
        <w:tblInd w:w="0" w:type="dxa"/>
        <w:tblCellMar>
          <w:top w:w="0" w:type="dxa"/>
          <w:left w:w="0" w:type="dxa"/>
          <w:bottom w:w="0" w:type="dxa"/>
          <w:right w:w="0" w:type="dxa"/>
        </w:tblCellMar>
      </w:tblPr>
      <w:tr>
        <w:trPr>
          <w:trHeight w:val="161"/>
        </w:trPr>
        <w:tc>
          <w:tcPr>
            <w:tcW w:w="1220" w:type="dxa"/>
            <w:vAlign w:val="bottom"/>
            <w:tcBorders>
              <w:bottom w:val="single" w:sz="8" w:color="CCEEFF"/>
            </w:tcBorders>
            <w:shd w:val="clear" w:color="auto" w:fill="CCEEFF"/>
          </w:tcPr>
          <w:p>
            <w:pPr>
              <w:jc w:val="right"/>
              <w:ind w:right="912"/>
              <w:spacing w:after="0" w:line="151" w:lineRule="exact"/>
              <w:rPr>
                <w:sz w:val="20"/>
                <w:szCs w:val="20"/>
                <w:color w:val="auto"/>
              </w:rPr>
            </w:pPr>
            <w:r>
              <w:rPr>
                <w:rFonts w:ascii="Times New Roman" w:cs="Times New Roman" w:eastAsia="Times New Roman" w:hAnsi="Times New Roman"/>
                <w:sz w:val="14"/>
                <w:szCs w:val="14"/>
                <w:color w:val="auto"/>
                <w:w w:val="89"/>
              </w:rPr>
              <w:t>23.1</w:t>
            </w:r>
          </w:p>
        </w:tc>
        <w:tc>
          <w:tcPr>
            <w:tcW w:w="1280" w:type="dxa"/>
            <w:vAlign w:val="bottom"/>
            <w:tcBorders>
              <w:bottom w:val="single" w:sz="8" w:color="0000EE"/>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EE"/>
                <w:w w:val="94"/>
              </w:rPr>
              <w:t>Consent of Tanner LLP</w:t>
            </w:r>
          </w:p>
        </w:tc>
        <w:tc>
          <w:tcPr>
            <w:tcW w:w="8780" w:type="dxa"/>
            <w:vAlign w:val="bottom"/>
            <w:tcBorders>
              <w:bottom w:val="single" w:sz="8" w:color="CCEEFF"/>
            </w:tcBorders>
            <w:gridSpan w:val="2"/>
            <w:shd w:val="clear" w:color="auto" w:fill="CCEEFF"/>
          </w:tcPr>
          <w:p>
            <w:pPr>
              <w:spacing w:after="0"/>
              <w:rPr>
                <w:sz w:val="14"/>
                <w:szCs w:val="14"/>
                <w:color w:val="auto"/>
              </w:rPr>
            </w:pPr>
          </w:p>
        </w:tc>
      </w:tr>
      <w:tr>
        <w:trPr>
          <w:trHeight w:val="132"/>
        </w:trPr>
        <w:tc>
          <w:tcPr>
            <w:tcW w:w="1220" w:type="dxa"/>
            <w:vAlign w:val="bottom"/>
          </w:tcPr>
          <w:p>
            <w:pPr>
              <w:jc w:val="right"/>
              <w:ind w:right="912"/>
              <w:spacing w:after="0" w:line="133" w:lineRule="exact"/>
              <w:rPr>
                <w:sz w:val="20"/>
                <w:szCs w:val="20"/>
                <w:color w:val="auto"/>
              </w:rPr>
            </w:pPr>
            <w:r>
              <w:rPr>
                <w:rFonts w:ascii="Times New Roman" w:cs="Times New Roman" w:eastAsia="Times New Roman" w:hAnsi="Times New Roman"/>
                <w:sz w:val="14"/>
                <w:szCs w:val="14"/>
                <w:color w:val="auto"/>
                <w:w w:val="89"/>
              </w:rPr>
              <w:t>23.2</w:t>
            </w:r>
          </w:p>
        </w:tc>
        <w:tc>
          <w:tcPr>
            <w:tcW w:w="10060" w:type="dxa"/>
            <w:vAlign w:val="bottom"/>
            <w:gridSpan w:val="3"/>
          </w:tcPr>
          <w:p>
            <w:pPr>
              <w:spacing w:after="0" w:line="133" w:lineRule="exact"/>
              <w:rPr>
                <w:sz w:val="20"/>
                <w:szCs w:val="20"/>
                <w:color w:val="auto"/>
              </w:rPr>
            </w:pPr>
            <w:r>
              <w:rPr>
                <w:rFonts w:ascii="Times New Roman" w:cs="Times New Roman" w:eastAsia="Times New Roman" w:hAnsi="Times New Roman"/>
                <w:sz w:val="14"/>
                <w:szCs w:val="14"/>
                <w:color w:val="0000EE"/>
              </w:rPr>
              <w:t>Consent of Cozen O’Connor LLP (included in Exhibit 5.1)</w:t>
            </w:r>
          </w:p>
        </w:tc>
      </w:tr>
      <w:tr>
        <w:trPr>
          <w:trHeight w:val="20"/>
        </w:trPr>
        <w:tc>
          <w:tcPr>
            <w:tcW w:w="12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bl>
    <w:p>
      <w:pPr>
        <w:spacing w:after="0" w:line="4" w:lineRule="exact"/>
        <w:rPr>
          <w:sz w:val="20"/>
          <w:szCs w:val="20"/>
          <w:color w:val="auto"/>
        </w:rPr>
      </w:pPr>
    </w:p>
    <w:p>
      <w:pPr>
        <w:ind w:left="1220" w:hanging="1219"/>
        <w:spacing w:after="0"/>
        <w:tabs>
          <w:tab w:leader="none" w:pos="122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-90805</wp:posOffset>
            </wp:positionV>
            <wp:extent cx="7165975" cy="1035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165975" cy="103505"/>
                    </a:xfrm>
                    <a:prstGeom prst="rect">
                      <a:avLst/>
                    </a:prstGeom>
                    <a:noFill/>
                  </pic:spPr>
                </pic:pic>
              </a:graphicData>
            </a:graphic>
          </wp:anchor>
        </w:drawing>
      </w:r>
    </w:p>
    <w:p>
      <w:pPr>
        <w:spacing w:after="0"/>
        <w:tabs>
          <w:tab w:leader="none" w:pos="1200" w:val="left"/>
        </w:tabs>
        <w:rPr>
          <w:sz w:val="20"/>
          <w:szCs w:val="20"/>
          <w:color w:val="auto"/>
        </w:rPr>
      </w:pPr>
      <w:r>
        <w:rPr>
          <w:rFonts w:ascii="Times New Roman" w:cs="Times New Roman" w:eastAsia="Times New Roman" w:hAnsi="Times New Roman"/>
          <w:sz w:val="14"/>
          <w:szCs w:val="14"/>
          <w:color w:val="auto"/>
        </w:rPr>
        <w:t>24.1</w:t>
      </w:r>
      <w:r>
        <w:rPr>
          <w:sz w:val="20"/>
          <w:szCs w:val="20"/>
          <w:color w:val="auto"/>
        </w:rPr>
        <w:tab/>
      </w:r>
      <w:r>
        <w:rPr>
          <w:rFonts w:ascii="Times New Roman" w:cs="Times New Roman" w:eastAsia="Times New Roman" w:hAnsi="Times New Roman"/>
          <w:sz w:val="12"/>
          <w:szCs w:val="12"/>
          <w:u w:val="single" w:color="auto"/>
          <w:color w:val="0000EE"/>
        </w:rPr>
        <w:t>Power of Attorney (included on signature page)</w:t>
      </w:r>
    </w:p>
    <w:p>
      <w:pPr>
        <w:spacing w:after="0" w:line="2" w:lineRule="exact"/>
        <w:rPr>
          <w:sz w:val="20"/>
          <w:szCs w:val="20"/>
          <w:color w:val="auto"/>
        </w:rPr>
      </w:pPr>
    </w:p>
    <w:p>
      <w:pPr>
        <w:ind w:left="1220" w:hanging="1219"/>
        <w:spacing w:after="0"/>
        <w:tabs>
          <w:tab w:leader="none" w:pos="122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7165975" cy="1035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165975" cy="103505"/>
                    </a:xfrm>
                    <a:prstGeom prst="rect">
                      <a:avLst/>
                    </a:prstGeom>
                    <a:noFill/>
                  </pic:spPr>
                </pic:pic>
              </a:graphicData>
            </a:graphic>
          </wp:anchor>
        </w:drawing>
      </w:r>
    </w:p>
    <w:p>
      <w:pPr>
        <w:ind w:left="1220" w:hanging="1219"/>
        <w:spacing w:after="0"/>
        <w:tabs>
          <w:tab w:leader="none" w:pos="1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183" w:lineRule="exact"/>
        <w:rPr>
          <w:sz w:val="20"/>
          <w:szCs w:val="20"/>
          <w:color w:val="auto"/>
        </w:rPr>
      </w:pPr>
    </w:p>
    <w:p>
      <w:pPr>
        <w:ind w:left="5540" w:right="2800" w:hanging="5539"/>
        <w:spacing w:after="0" w:line="536" w:lineRule="auto"/>
        <w:tabs>
          <w:tab w:leader="none" w:pos="91"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to be filed by an amendment to the registration statement or as an exhibit to a report filed on Form 8-K and incorporated by reference herein.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-79375</wp:posOffset>
            </wp:positionV>
            <wp:extent cx="719137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18" w:name="page19"/>
    <w:bookmarkEnd w:id="18"/>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2"/>
          <w:szCs w:val="12"/>
          <w:b w:val="1"/>
          <w:bCs w:val="1"/>
          <w:color w:val="auto"/>
        </w:rPr>
        <w:t>Undertakings.</w:t>
      </w:r>
    </w:p>
    <w:p>
      <w:pPr>
        <w:spacing w:after="0" w:line="16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(a)</w:t>
        <w:tab/>
        <w:t>The undersigned registrant hereby undertakes:</w:t>
      </w:r>
    </w:p>
    <w:p>
      <w:pPr>
        <w:spacing w:after="0" w:line="144" w:lineRule="exact"/>
        <w:rPr>
          <w:sz w:val="20"/>
          <w:szCs w:val="20"/>
          <w:color w:val="auto"/>
        </w:rPr>
      </w:pPr>
    </w:p>
    <w:p>
      <w:pPr>
        <w:ind w:left="300" w:hanging="299"/>
        <w:spacing w:after="0"/>
        <w:tabs>
          <w:tab w:leader="none" w:pos="3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95" w:lineRule="exact"/>
        <w:rPr>
          <w:rFonts w:ascii="Times New Roman" w:cs="Times New Roman" w:eastAsia="Times New Roman" w:hAnsi="Times New Roman"/>
          <w:sz w:val="14"/>
          <w:szCs w:val="14"/>
          <w:color w:val="auto"/>
        </w:rPr>
      </w:pPr>
    </w:p>
    <w:p>
      <w:pPr>
        <w:ind w:left="600" w:hanging="365"/>
        <w:spacing w:after="0"/>
        <w:tabs>
          <w:tab w:leader="none" w:pos="60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42" w:lineRule="exact"/>
        <w:rPr>
          <w:rFonts w:ascii="Times New Roman" w:cs="Times New Roman" w:eastAsia="Times New Roman" w:hAnsi="Times New Roman"/>
          <w:sz w:val="14"/>
          <w:szCs w:val="14"/>
          <w:color w:val="auto"/>
        </w:rPr>
      </w:pPr>
    </w:p>
    <w:p>
      <w:pPr>
        <w:ind w:left="600" w:right="160" w:hanging="365"/>
        <w:spacing w:after="0" w:line="247" w:lineRule="auto"/>
        <w:tabs>
          <w:tab w:leader="none" w:pos="60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6" w:lineRule="exact"/>
        <w:rPr>
          <w:rFonts w:ascii="Times New Roman" w:cs="Times New Roman" w:eastAsia="Times New Roman" w:hAnsi="Times New Roman"/>
          <w:sz w:val="14"/>
          <w:szCs w:val="14"/>
          <w:color w:val="auto"/>
        </w:rPr>
      </w:pPr>
    </w:p>
    <w:p>
      <w:pPr>
        <w:ind w:left="600" w:right="380" w:hanging="365"/>
        <w:spacing w:after="0" w:line="263" w:lineRule="auto"/>
        <w:tabs>
          <w:tab w:leader="none" w:pos="60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Paragraphs (a)(1)(i), (a)(1)(ii) and (a)(1)(iii) of this section do not apply if the registration statement is on Form S-3 and the information required to be included in a post-effective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42" w:lineRule="exact"/>
        <w:rPr>
          <w:sz w:val="20"/>
          <w:szCs w:val="20"/>
          <w:color w:val="auto"/>
        </w:rPr>
      </w:pPr>
    </w:p>
    <w:p>
      <w:pPr>
        <w:ind w:firstLine="1"/>
        <w:spacing w:after="0" w:line="263" w:lineRule="auto"/>
        <w:tabs>
          <w:tab w:leader="none" w:pos="339"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35" w:lineRule="exact"/>
        <w:rPr>
          <w:rFonts w:ascii="Times New Roman" w:cs="Times New Roman" w:eastAsia="Times New Roman" w:hAnsi="Times New Roman"/>
          <w:sz w:val="14"/>
          <w:szCs w:val="14"/>
          <w:color w:val="auto"/>
        </w:rPr>
      </w:pPr>
    </w:p>
    <w:p>
      <w:pPr>
        <w:ind w:left="300" w:hanging="299"/>
        <w:spacing w:after="0"/>
        <w:tabs>
          <w:tab w:leader="none" w:pos="3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64" w:lineRule="exact"/>
        <w:rPr>
          <w:rFonts w:ascii="Times New Roman" w:cs="Times New Roman" w:eastAsia="Times New Roman" w:hAnsi="Times New Roman"/>
          <w:sz w:val="14"/>
          <w:szCs w:val="14"/>
          <w:color w:val="auto"/>
        </w:rPr>
      </w:pPr>
    </w:p>
    <w:p>
      <w:pPr>
        <w:ind w:left="300" w:hanging="299"/>
        <w:spacing w:after="0"/>
        <w:tabs>
          <w:tab w:leader="none" w:pos="3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164" w:lineRule="exact"/>
        <w:rPr>
          <w:rFonts w:ascii="Times New Roman" w:cs="Times New Roman" w:eastAsia="Times New Roman" w:hAnsi="Times New Roman"/>
          <w:sz w:val="14"/>
          <w:szCs w:val="14"/>
          <w:color w:val="auto"/>
        </w:rPr>
      </w:pPr>
    </w:p>
    <w:p>
      <w:pPr>
        <w:ind w:left="480" w:firstLine="10"/>
        <w:spacing w:after="0" w:line="263" w:lineRule="auto"/>
        <w:tabs>
          <w:tab w:leader="none" w:pos="708"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5" w:lineRule="exact"/>
        <w:rPr>
          <w:rFonts w:ascii="Times New Roman" w:cs="Times New Roman" w:eastAsia="Times New Roman" w:hAnsi="Times New Roman"/>
          <w:sz w:val="14"/>
          <w:szCs w:val="14"/>
          <w:color w:val="auto"/>
        </w:rPr>
      </w:pPr>
    </w:p>
    <w:p>
      <w:pPr>
        <w:ind w:left="700" w:hanging="210"/>
        <w:spacing w:after="0"/>
        <w:tabs>
          <w:tab w:leader="none" w:pos="700"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prospectus required to be filed pursuant to Rule 424(b)(2), (b)(5), or (b)(7) as part of a registration statement in reliance on Rule 430B relating to an offering made pursuant to Rule 415(a)</w:t>
      </w:r>
    </w:p>
    <w:p>
      <w:pPr>
        <w:spacing w:after="0" w:line="36" w:lineRule="exact"/>
        <w:rPr>
          <w:rFonts w:ascii="Times New Roman" w:cs="Times New Roman" w:eastAsia="Times New Roman" w:hAnsi="Times New Roman"/>
          <w:sz w:val="12"/>
          <w:szCs w:val="12"/>
          <w:color w:val="auto"/>
        </w:rPr>
      </w:pPr>
    </w:p>
    <w:p>
      <w:pPr>
        <w:jc w:val="both"/>
        <w:ind w:left="480"/>
        <w:spacing w:after="0" w:line="24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48260</wp:posOffset>
            </wp:positionV>
            <wp:extent cx="719137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438" w:right="319" w:bottom="1440" w:gutter="0" w:footer="0" w:header="0"/>
        </w:sectPr>
      </w:pPr>
    </w:p>
    <w:bookmarkStart w:id="19" w:name="page20"/>
    <w:bookmarkEnd w:id="19"/>
    <w:p>
      <w:pPr>
        <w:jc w:val="both"/>
        <w:ind w:firstLine="1"/>
        <w:spacing w:after="0" w:line="315" w:lineRule="auto"/>
        <w:tabs>
          <w:tab w:leader="none" w:pos="30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8" w:lineRule="exact"/>
        <w:rPr>
          <w:rFonts w:ascii="Times New Roman" w:cs="Times New Roman" w:eastAsia="Times New Roman" w:hAnsi="Times New Roman"/>
          <w:sz w:val="12"/>
          <w:szCs w:val="12"/>
          <w:color w:val="auto"/>
        </w:rPr>
      </w:pPr>
    </w:p>
    <w:p>
      <w:pPr>
        <w:ind w:left="600" w:hanging="375"/>
        <w:spacing w:after="0"/>
        <w:tabs>
          <w:tab w:leader="none" w:pos="60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42" w:lineRule="exact"/>
        <w:rPr>
          <w:rFonts w:ascii="Times New Roman" w:cs="Times New Roman" w:eastAsia="Times New Roman" w:hAnsi="Times New Roman"/>
          <w:sz w:val="14"/>
          <w:szCs w:val="14"/>
          <w:color w:val="auto"/>
        </w:rPr>
      </w:pPr>
    </w:p>
    <w:p>
      <w:pPr>
        <w:ind w:left="600" w:hanging="375"/>
        <w:spacing w:after="0"/>
        <w:tabs>
          <w:tab w:leader="none" w:pos="60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42" w:lineRule="exact"/>
        <w:rPr>
          <w:rFonts w:ascii="Times New Roman" w:cs="Times New Roman" w:eastAsia="Times New Roman" w:hAnsi="Times New Roman"/>
          <w:sz w:val="14"/>
          <w:szCs w:val="14"/>
          <w:color w:val="auto"/>
        </w:rPr>
      </w:pPr>
    </w:p>
    <w:p>
      <w:pPr>
        <w:ind w:left="600" w:right="720" w:hanging="375"/>
        <w:spacing w:after="0" w:line="263" w:lineRule="auto"/>
        <w:tabs>
          <w:tab w:leader="none" w:pos="60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3" w:lineRule="exact"/>
        <w:rPr>
          <w:rFonts w:ascii="Times New Roman" w:cs="Times New Roman" w:eastAsia="Times New Roman" w:hAnsi="Times New Roman"/>
          <w:sz w:val="14"/>
          <w:szCs w:val="14"/>
          <w:color w:val="auto"/>
        </w:rPr>
      </w:pPr>
    </w:p>
    <w:p>
      <w:pPr>
        <w:ind w:left="600" w:hanging="375"/>
        <w:spacing w:after="0"/>
        <w:tabs>
          <w:tab w:leader="none" w:pos="60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95" w:lineRule="exact"/>
        <w:rPr>
          <w:rFonts w:ascii="Times New Roman" w:cs="Times New Roman" w:eastAsia="Times New Roman" w:hAnsi="Times New Roman"/>
          <w:sz w:val="14"/>
          <w:szCs w:val="14"/>
          <w:color w:val="auto"/>
        </w:rPr>
      </w:pPr>
    </w:p>
    <w:p>
      <w:pPr>
        <w:jc w:val="both"/>
        <w:ind w:left="480" w:firstLine="10"/>
        <w:spacing w:after="0" w:line="249" w:lineRule="auto"/>
        <w:tabs>
          <w:tab w:leader="none" w:pos="680" w:val="left"/>
        </w:tabs>
        <w:numPr>
          <w:ilvl w:val="2"/>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5" w:lineRule="exact"/>
        <w:rPr>
          <w:rFonts w:ascii="Times New Roman" w:cs="Times New Roman" w:eastAsia="Times New Roman" w:hAnsi="Times New Roman"/>
          <w:sz w:val="14"/>
          <w:szCs w:val="14"/>
          <w:color w:val="auto"/>
        </w:rPr>
      </w:pPr>
    </w:p>
    <w:p>
      <w:pPr>
        <w:jc w:val="both"/>
        <w:ind w:left="480" w:firstLine="10"/>
        <w:spacing w:after="0" w:line="246" w:lineRule="auto"/>
        <w:tabs>
          <w:tab w:leader="none" w:pos="684" w:val="left"/>
        </w:tabs>
        <w:numPr>
          <w:ilvl w:val="2"/>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4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The registrant hereby undertakes to file an application for the purpose of determining the eligibility of the trustee to act under subsection (a) of section 310 of the Trust Indenture Act (</w:t>
      </w:r>
      <w:r>
        <w:rPr>
          <w:rFonts w:ascii="Times New Roman" w:cs="Times New Roman" w:eastAsia="Times New Roman" w:hAnsi="Times New Roman"/>
          <w:sz w:val="14"/>
          <w:szCs w:val="14"/>
          <w:b w:val="1"/>
          <w:bCs w:val="1"/>
          <w:color w:val="auto"/>
        </w:rPr>
        <w:t>"Act"</w:t>
      </w:r>
      <w:r>
        <w:rPr>
          <w:rFonts w:ascii="Times New Roman" w:cs="Times New Roman" w:eastAsia="Times New Roman" w:hAnsi="Times New Roman"/>
          <w:sz w:val="14"/>
          <w:szCs w:val="14"/>
          <w:color w:val="auto"/>
        </w:rPr>
        <w:t>) in accordance with the rules and regulations prescribed by the Securities and Exchange Commission under section 305(b)(2) of that Act.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48260</wp:posOffset>
            </wp:positionV>
            <wp:extent cx="719137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18" w:lineRule="exact"/>
        <w:rPr>
          <w:sz w:val="20"/>
          <w:szCs w:val="20"/>
          <w:color w:val="auto"/>
        </w:rPr>
      </w:pPr>
    </w:p>
    <w:p>
      <w:pPr>
        <w:jc w:val="both"/>
        <w:ind w:firstLine="271"/>
        <w:spacing w:after="0" w:line="26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West Jordan, State of Utah, on June 24, 2026.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CLEARONE, INC.</w:t>
            </w:r>
          </w:p>
        </w:tc>
        <w:tc>
          <w:tcPr>
            <w:tcW w:w="8600" w:type="dxa"/>
            <w:vAlign w:val="bottom"/>
          </w:tcPr>
          <w:p>
            <w:pPr>
              <w:spacing w:after="0"/>
              <w:rPr>
                <w:sz w:val="15"/>
                <w:szCs w:val="15"/>
                <w:color w:val="auto"/>
              </w:rPr>
            </w:pPr>
          </w:p>
        </w:tc>
      </w:tr>
      <w:tr>
        <w:trPr>
          <w:trHeight w:val="327"/>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Derek L. Graham</w:t>
            </w:r>
          </w:p>
        </w:tc>
      </w:tr>
      <w:tr>
        <w:trPr>
          <w:trHeight w:val="150"/>
        </w:trPr>
        <w:tc>
          <w:tcPr>
            <w:tcW w:w="2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Name:</w:t>
            </w:r>
          </w:p>
        </w:tc>
        <w:tc>
          <w:tcPr>
            <w:tcW w:w="860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Derek L. Graham</w:t>
            </w:r>
          </w:p>
        </w:tc>
      </w:tr>
      <w:tr>
        <w:trPr>
          <w:trHeight w:val="175"/>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860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18" w:lineRule="exact"/>
        <w:rPr>
          <w:sz w:val="20"/>
          <w:szCs w:val="20"/>
          <w:color w:val="auto"/>
        </w:rPr>
      </w:pPr>
    </w:p>
    <w:p>
      <w:pPr>
        <w:jc w:val="both"/>
        <w:ind w:firstLine="271"/>
        <w:spacing w:after="0" w:line="246" w:lineRule="auto"/>
        <w:rPr>
          <w:sz w:val="20"/>
          <w:szCs w:val="20"/>
          <w:color w:val="auto"/>
        </w:rPr>
      </w:pPr>
      <w:r>
        <w:rPr>
          <w:rFonts w:ascii="Times New Roman" w:cs="Times New Roman" w:eastAsia="Times New Roman" w:hAnsi="Times New Roman"/>
          <w:sz w:val="14"/>
          <w:szCs w:val="14"/>
          <w:color w:val="auto"/>
        </w:rPr>
        <w:t>Each of the undersigned directors and officers of ClearOne, Inc. hereby constitutes and appoints each of Derek L. Graham as his or her true and lawful attorneys-in-fact and agents, with full powers of substitution and resubstitution, for him or her and in his or her name, place and stead, in any and all capacities, to sign the Registration Statement filed herewith and any and all amendments to this Registration Statement (including post-effective amendments and any related registration statements thereto filed pursuant to Rule 462 and otherwise), and cause the same to be filed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the undersigned might or could do in person, hereby ratifying and confirming all that said attorneys-in-fact and agents, or any of them, or his or their substitutes, may lawfully do or cause to be done by virtue hereof.</w:t>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120" w:type="dxa"/>
            <w:vAlign w:val="bottom"/>
          </w:tcPr>
          <w:p>
            <w:pPr>
              <w:spacing w:after="0"/>
              <w:rPr>
                <w:sz w:val="14"/>
                <w:szCs w:val="14"/>
                <w:color w:val="auto"/>
              </w:rPr>
            </w:pP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26"/>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w w:val="96"/>
              </w:rPr>
              <w:t>/s/ Derek L. Graham</w:t>
            </w:r>
          </w:p>
        </w:tc>
        <w:tc>
          <w:tcPr>
            <w:tcW w:w="120" w:type="dxa"/>
            <w:vAlign w:val="bottom"/>
          </w:tcPr>
          <w:p>
            <w:pPr>
              <w:spacing w:after="0"/>
              <w:rPr>
                <w:sz w:val="24"/>
                <w:szCs w:val="24"/>
                <w:color w:val="auto"/>
              </w:rPr>
            </w:pPr>
          </w:p>
        </w:tc>
        <w:tc>
          <w:tcPr>
            <w:tcW w:w="4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Chief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June 24, 2026</w:t>
            </w:r>
          </w:p>
        </w:tc>
      </w:tr>
      <w:tr>
        <w:trPr>
          <w:trHeight w:val="175"/>
        </w:trPr>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Derek L. Graham</w:t>
            </w:r>
          </w:p>
        </w:tc>
        <w:tc>
          <w:tcPr>
            <w:tcW w:w="120" w:type="dxa"/>
            <w:vAlign w:val="bottom"/>
          </w:tcPr>
          <w:p>
            <w:pPr>
              <w:spacing w:after="0"/>
              <w:rPr>
                <w:sz w:val="15"/>
                <w:szCs w:val="15"/>
                <w:color w:val="auto"/>
              </w:rPr>
            </w:pPr>
          </w:p>
        </w:tc>
        <w:tc>
          <w:tcPr>
            <w:tcW w:w="4640" w:type="dxa"/>
            <w:vAlign w:val="bottom"/>
            <w:gridSpan w:val="2"/>
          </w:tcPr>
          <w:p>
            <w:pPr>
              <w:jc w:val="center"/>
              <w:ind w:right="100"/>
              <w:spacing w:after="0" w:line="154" w:lineRule="exact"/>
              <w:rPr>
                <w:sz w:val="20"/>
                <w:szCs w:val="20"/>
                <w:color w:val="auto"/>
              </w:rPr>
            </w:pPr>
            <w:r>
              <w:rPr>
                <w:rFonts w:ascii="Times New Roman" w:cs="Times New Roman" w:eastAsia="Times New Roman" w:hAnsi="Times New Roman"/>
                <w:sz w:val="14"/>
                <w:szCs w:val="14"/>
                <w:color w:val="auto"/>
                <w:w w:val="96"/>
              </w:rPr>
              <w:t>(Principal Executive Officer)</w:t>
            </w:r>
          </w:p>
        </w:tc>
        <w:tc>
          <w:tcPr>
            <w:tcW w:w="2240" w:type="dxa"/>
            <w:vAlign w:val="bottom"/>
          </w:tcPr>
          <w:p>
            <w:pPr>
              <w:spacing w:after="0"/>
              <w:rPr>
                <w:sz w:val="15"/>
                <w:szCs w:val="15"/>
                <w:color w:val="auto"/>
              </w:rPr>
            </w:pPr>
          </w:p>
        </w:tc>
      </w:tr>
      <w:tr>
        <w:trPr>
          <w:trHeight w:val="31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w w:val="95"/>
              </w:rPr>
              <w:t>/s/ Simon Brewer</w:t>
            </w:r>
          </w:p>
        </w:tc>
        <w:tc>
          <w:tcPr>
            <w:tcW w:w="120" w:type="dxa"/>
            <w:vAlign w:val="bottom"/>
          </w:tcPr>
          <w:p>
            <w:pPr>
              <w:spacing w:after="0"/>
              <w:rPr>
                <w:sz w:val="24"/>
                <w:szCs w:val="24"/>
                <w:color w:val="auto"/>
              </w:rPr>
            </w:pPr>
          </w:p>
        </w:tc>
        <w:tc>
          <w:tcPr>
            <w:tcW w:w="4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June 24, 2026</w:t>
            </w:r>
          </w:p>
        </w:tc>
      </w:tr>
      <w:tr>
        <w:trPr>
          <w:trHeight w:val="175"/>
        </w:trPr>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Simon Brewer</w:t>
            </w:r>
          </w:p>
        </w:tc>
        <w:tc>
          <w:tcPr>
            <w:tcW w:w="120" w:type="dxa"/>
            <w:vAlign w:val="bottom"/>
          </w:tcPr>
          <w:p>
            <w:pPr>
              <w:spacing w:after="0"/>
              <w:rPr>
                <w:sz w:val="15"/>
                <w:szCs w:val="15"/>
                <w:color w:val="auto"/>
              </w:rPr>
            </w:pPr>
          </w:p>
        </w:tc>
        <w:tc>
          <w:tcPr>
            <w:tcW w:w="4640" w:type="dxa"/>
            <w:vAlign w:val="bottom"/>
            <w:gridSpan w:val="2"/>
          </w:tcPr>
          <w:p>
            <w:pPr>
              <w:jc w:val="center"/>
              <w:ind w:right="100"/>
              <w:spacing w:after="0" w:line="154" w:lineRule="exact"/>
              <w:rPr>
                <w:sz w:val="20"/>
                <w:szCs w:val="20"/>
                <w:color w:val="auto"/>
              </w:rPr>
            </w:pPr>
            <w:r>
              <w:rPr>
                <w:rFonts w:ascii="Times New Roman" w:cs="Times New Roman" w:eastAsia="Times New Roman" w:hAnsi="Times New Roman"/>
                <w:sz w:val="14"/>
                <w:szCs w:val="14"/>
                <w:color w:val="auto"/>
                <w:w w:val="96"/>
              </w:rPr>
              <w:t>(Principal Financial Officer)</w:t>
            </w:r>
          </w:p>
        </w:tc>
        <w:tc>
          <w:tcPr>
            <w:tcW w:w="2240" w:type="dxa"/>
            <w:vAlign w:val="bottom"/>
          </w:tcPr>
          <w:p>
            <w:pPr>
              <w:spacing w:after="0"/>
              <w:rPr>
                <w:sz w:val="15"/>
                <w:szCs w:val="15"/>
                <w:color w:val="auto"/>
              </w:rPr>
            </w:pPr>
          </w:p>
        </w:tc>
      </w:tr>
      <w:tr>
        <w:trPr>
          <w:trHeight w:val="31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 xml:space="preserve">/s/ </w:t>
            </w:r>
            <w:r>
              <w:rPr>
                <w:rFonts w:ascii="Times New Roman" w:cs="Times New Roman" w:eastAsia="Times New Roman" w:hAnsi="Times New Roman"/>
                <w:sz w:val="14"/>
                <w:szCs w:val="14"/>
                <w:i w:val="1"/>
                <w:iCs w:val="1"/>
                <w:color w:val="auto"/>
                <w:w w:val="96"/>
              </w:rPr>
              <w:t>Eric L. Robinson</w:t>
            </w:r>
          </w:p>
        </w:tc>
        <w:tc>
          <w:tcPr>
            <w:tcW w:w="120" w:type="dxa"/>
            <w:vAlign w:val="bottom"/>
          </w:tcPr>
          <w:p>
            <w:pPr>
              <w:spacing w:after="0"/>
              <w:rPr>
                <w:sz w:val="24"/>
                <w:szCs w:val="24"/>
                <w:color w:val="auto"/>
              </w:rPr>
            </w:pPr>
          </w:p>
        </w:tc>
        <w:tc>
          <w:tcPr>
            <w:tcW w:w="4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5"/>
              </w:rPr>
              <w:t>Chairman,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June 24, 2026</w:t>
            </w:r>
          </w:p>
        </w:tc>
      </w:tr>
      <w:tr>
        <w:trPr>
          <w:trHeight w:val="175"/>
        </w:trPr>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Eric L. Robinson</w:t>
            </w:r>
          </w:p>
        </w:tc>
        <w:tc>
          <w:tcPr>
            <w:tcW w:w="1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1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w w:val="96"/>
              </w:rPr>
              <w:t>/s/ Lisa B. Higley</w:t>
            </w:r>
          </w:p>
        </w:tc>
        <w:tc>
          <w:tcPr>
            <w:tcW w:w="120" w:type="dxa"/>
            <w:vAlign w:val="bottom"/>
          </w:tcPr>
          <w:p>
            <w:pPr>
              <w:spacing w:after="0"/>
              <w:rPr>
                <w:sz w:val="24"/>
                <w:szCs w:val="24"/>
                <w:color w:val="auto"/>
              </w:rPr>
            </w:pPr>
          </w:p>
        </w:tc>
        <w:tc>
          <w:tcPr>
            <w:tcW w:w="4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June 24, 2026</w:t>
            </w:r>
          </w:p>
        </w:tc>
      </w:tr>
      <w:tr>
        <w:trPr>
          <w:trHeight w:val="175"/>
        </w:trPr>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Lisa B. Higley</w:t>
            </w:r>
          </w:p>
        </w:tc>
        <w:tc>
          <w:tcPr>
            <w:tcW w:w="1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1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w w:val="96"/>
              </w:rPr>
              <w:t>/s/ Bruce Whaley</w:t>
            </w:r>
          </w:p>
        </w:tc>
        <w:tc>
          <w:tcPr>
            <w:tcW w:w="120" w:type="dxa"/>
            <w:vAlign w:val="bottom"/>
          </w:tcPr>
          <w:p>
            <w:pPr>
              <w:spacing w:after="0"/>
              <w:rPr>
                <w:sz w:val="24"/>
                <w:szCs w:val="24"/>
                <w:color w:val="auto"/>
              </w:rPr>
            </w:pPr>
          </w:p>
        </w:tc>
        <w:tc>
          <w:tcPr>
            <w:tcW w:w="4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June 24, 2026</w:t>
            </w:r>
          </w:p>
        </w:tc>
      </w:tr>
      <w:tr>
        <w:trPr>
          <w:trHeight w:val="175"/>
        </w:trPr>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Bruce Whaley</w:t>
            </w:r>
          </w:p>
        </w:tc>
        <w:tc>
          <w:tcPr>
            <w:tcW w:w="1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1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w w:val="97"/>
              </w:rPr>
              <w:t>/s/ Eric Boehnke</w:t>
            </w:r>
          </w:p>
        </w:tc>
        <w:tc>
          <w:tcPr>
            <w:tcW w:w="120" w:type="dxa"/>
            <w:vAlign w:val="bottom"/>
          </w:tcPr>
          <w:p>
            <w:pPr>
              <w:spacing w:after="0"/>
              <w:rPr>
                <w:sz w:val="24"/>
                <w:szCs w:val="24"/>
                <w:color w:val="auto"/>
              </w:rPr>
            </w:pPr>
          </w:p>
        </w:tc>
        <w:tc>
          <w:tcPr>
            <w:tcW w:w="4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June 24, 2026</w:t>
            </w:r>
          </w:p>
        </w:tc>
      </w:tr>
      <w:tr>
        <w:trPr>
          <w:trHeight w:val="175"/>
        </w:trPr>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Eric Boehnke</w:t>
            </w:r>
          </w:p>
        </w:tc>
        <w:tc>
          <w:tcPr>
            <w:tcW w:w="1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1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w w:val="96"/>
              </w:rPr>
              <w:t>/s/ Youngsun “Sunny” Park</w:t>
            </w:r>
          </w:p>
        </w:tc>
        <w:tc>
          <w:tcPr>
            <w:tcW w:w="120" w:type="dxa"/>
            <w:vAlign w:val="bottom"/>
          </w:tcPr>
          <w:p>
            <w:pPr>
              <w:spacing w:after="0"/>
              <w:rPr>
                <w:sz w:val="24"/>
                <w:szCs w:val="24"/>
                <w:color w:val="auto"/>
              </w:rPr>
            </w:pPr>
          </w:p>
        </w:tc>
        <w:tc>
          <w:tcPr>
            <w:tcW w:w="4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June 24, 2026</w:t>
            </w:r>
          </w:p>
        </w:tc>
      </w:tr>
      <w:tr>
        <w:trPr>
          <w:trHeight w:val="175"/>
        </w:trPr>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Youngsun “Sunny” Park</w:t>
            </w:r>
          </w:p>
        </w:tc>
        <w:tc>
          <w:tcPr>
            <w:tcW w:w="1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49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4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II-6</w:t>
            </w:r>
          </w:p>
        </w:tc>
        <w:tc>
          <w:tcPr>
            <w:tcW w:w="2240" w:type="dxa"/>
            <w:vAlign w:val="bottom"/>
          </w:tcPr>
          <w:p>
            <w:pPr>
              <w:spacing w:after="0"/>
              <w:rPr>
                <w:sz w:val="24"/>
                <w:szCs w:val="24"/>
                <w:color w:val="auto"/>
              </w:rPr>
            </w:pPr>
          </w:p>
        </w:tc>
      </w:tr>
      <w:tr>
        <w:trPr>
          <w:trHeight w:val="93"/>
        </w:trPr>
        <w:tc>
          <w:tcPr>
            <w:tcW w:w="4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-24765</wp:posOffset>
            </wp:positionV>
            <wp:extent cx="31750"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530" w:right="319" w:bottom="1440" w:gutter="0" w:footer="0" w:header="0"/>
        </w:sectPr>
      </w:pPr>
    </w:p>
    <w:bookmarkStart w:id="21" w:name="page22"/>
    <w:bookmarkEnd w:id="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218440</wp:posOffset>
            </wp:positionV>
            <wp:extent cx="1764030" cy="3683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176403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24, 2026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ClearOne,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7533 S Center View Ct. #5311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 Jordan, Utah 84084</w:t>
      </w:r>
    </w:p>
    <w:p>
      <w:pPr>
        <w:spacing w:after="0" w:line="12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Re:</w:t>
      </w:r>
      <w:r>
        <w:rPr>
          <w:sz w:val="20"/>
          <w:szCs w:val="20"/>
          <w:color w:val="auto"/>
        </w:rPr>
        <w:tab/>
      </w:r>
      <w:r>
        <w:rPr>
          <w:rFonts w:ascii="Times New Roman" w:cs="Times New Roman" w:eastAsia="Times New Roman" w:hAnsi="Times New Roman"/>
          <w:sz w:val="14"/>
          <w:szCs w:val="14"/>
          <w:b w:val="1"/>
          <w:bCs w:val="1"/>
          <w:color w:val="auto"/>
        </w:rPr>
        <w:t>ClearOne, Inc. - Registration Statement on Form S-3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Sir/Madam:</w:t>
      </w:r>
    </w:p>
    <w:p>
      <w:pPr>
        <w:spacing w:after="0" w:line="1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 xml:space="preserve">This opinion is being furnished to you in connection with a Registration Statement on Form S-3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xml:space="preserve">), including the base prospectus that is part of the Registration Statement (the </w:t>
      </w:r>
      <w:r>
        <w:rPr>
          <w:rFonts w:ascii="Times New Roman" w:cs="Times New Roman" w:eastAsia="Times New Roman" w:hAnsi="Times New Roman"/>
          <w:sz w:val="14"/>
          <w:szCs w:val="14"/>
          <w:b w:val="1"/>
          <w:bCs w:val="1"/>
          <w:color w:val="auto"/>
        </w:rPr>
        <w:t>“Prospectus”</w:t>
      </w:r>
      <w:r>
        <w:rPr>
          <w:rFonts w:ascii="Times New Roman" w:cs="Times New Roman" w:eastAsia="Times New Roman" w:hAnsi="Times New Roman"/>
          <w:sz w:val="14"/>
          <w:szCs w:val="14"/>
          <w:color w:val="auto"/>
        </w:rPr>
        <w:t>), filed by ClearOne, Inc., a Nevada corporation (the</w:t>
      </w:r>
      <w:r>
        <w:rPr>
          <w:rFonts w:ascii="Times New Roman" w:cs="Times New Roman" w:eastAsia="Times New Roman" w:hAnsi="Times New Roman"/>
          <w:sz w:val="14"/>
          <w:szCs w:val="14"/>
          <w:b w:val="1"/>
          <w:bCs w:val="1"/>
          <w:color w:val="auto"/>
        </w:rPr>
        <w:t xml:space="preserve"> “Company”</w:t>
      </w:r>
      <w:r>
        <w:rPr>
          <w:rFonts w:ascii="Times New Roman" w:cs="Times New Roman" w:eastAsia="Times New Roman" w:hAnsi="Times New Roman"/>
          <w:sz w:val="14"/>
          <w:szCs w:val="14"/>
          <w:color w:val="auto"/>
        </w:rPr>
        <w:t>), with the Securities and Exchange Commission (the</w:t>
      </w:r>
      <w:r>
        <w:rPr>
          <w:rFonts w:ascii="Times New Roman" w:cs="Times New Roman" w:eastAsia="Times New Roman" w:hAnsi="Times New Roman"/>
          <w:sz w:val="14"/>
          <w:szCs w:val="14"/>
          <w:b w:val="1"/>
          <w:bCs w:val="1"/>
          <w:color w:val="auto"/>
        </w:rPr>
        <w:t xml:space="preserve"> “Commission”</w:t>
      </w:r>
      <w:r>
        <w:rPr>
          <w:rFonts w:ascii="Times New Roman" w:cs="Times New Roman" w:eastAsia="Times New Roman" w:hAnsi="Times New Roman"/>
          <w:sz w:val="14"/>
          <w:szCs w:val="14"/>
          <w:color w:val="auto"/>
        </w:rPr>
        <w:t>) under the Securities Act of 1933, as amended (the</w:t>
      </w:r>
      <w:r>
        <w:rPr>
          <w:rFonts w:ascii="Times New Roman" w:cs="Times New Roman" w:eastAsia="Times New Roman" w:hAnsi="Times New Roman"/>
          <w:sz w:val="14"/>
          <w:szCs w:val="14"/>
          <w:b w:val="1"/>
          <w:bCs w:val="1"/>
          <w:color w:val="auto"/>
        </w:rPr>
        <w:t xml:space="preserve"> “Securities Act”</w:t>
      </w:r>
      <w:r>
        <w:rPr>
          <w:rFonts w:ascii="Times New Roman" w:cs="Times New Roman" w:eastAsia="Times New Roman" w:hAnsi="Times New Roman"/>
          <w:sz w:val="14"/>
          <w:szCs w:val="14"/>
          <w:color w:val="auto"/>
        </w:rPr>
        <w:t>). The Prospectus provides that it will be supplemented in the future by one or more supplements to such Prospectus (each a</w:t>
      </w:r>
      <w:r>
        <w:rPr>
          <w:rFonts w:ascii="Times New Roman" w:cs="Times New Roman" w:eastAsia="Times New Roman" w:hAnsi="Times New Roman"/>
          <w:sz w:val="14"/>
          <w:szCs w:val="14"/>
          <w:b w:val="1"/>
          <w:bCs w:val="1"/>
          <w:color w:val="auto"/>
        </w:rPr>
        <w:t xml:space="preserve"> “Prospectus Supplement”</w:t>
      </w:r>
      <w:r>
        <w:rPr>
          <w:rFonts w:ascii="Times New Roman" w:cs="Times New Roman" w:eastAsia="Times New Roman" w:hAnsi="Times New Roman"/>
          <w:sz w:val="14"/>
          <w:szCs w:val="14"/>
          <w:color w:val="auto"/>
        </w:rPr>
        <w:t>). The Prospectus, as supplemented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 various Prospectus Supplements, will provide for the issuance and sale by the Company from time to time of (i) shares of common stock of the Company with a par value of $0.001 per share (the </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(ii) shares of preferred stock of the Company with a par value of $0.001 per share (the</w:t>
      </w:r>
      <w:r>
        <w:rPr>
          <w:rFonts w:ascii="Times New Roman" w:cs="Times New Roman" w:eastAsia="Times New Roman" w:hAnsi="Times New Roman"/>
          <w:sz w:val="14"/>
          <w:szCs w:val="14"/>
          <w:b w:val="1"/>
          <w:bCs w:val="1"/>
          <w:color w:val="auto"/>
        </w:rPr>
        <w:t xml:space="preserve"> “Preferred Stock”</w:t>
      </w:r>
      <w:r>
        <w:rPr>
          <w:rFonts w:ascii="Times New Roman" w:cs="Times New Roman" w:eastAsia="Times New Roman" w:hAnsi="Times New Roman"/>
          <w:sz w:val="14"/>
          <w:szCs w:val="14"/>
          <w:color w:val="auto"/>
        </w:rPr>
        <w:t>); (iii) any debt securities (the</w:t>
      </w:r>
      <w:r>
        <w:rPr>
          <w:rFonts w:ascii="Times New Roman" w:cs="Times New Roman" w:eastAsia="Times New Roman" w:hAnsi="Times New Roman"/>
          <w:sz w:val="14"/>
          <w:szCs w:val="14"/>
          <w:b w:val="1"/>
          <w:bCs w:val="1"/>
          <w:color w:val="auto"/>
        </w:rPr>
        <w:t xml:space="preserve"> “Debt Securities”</w:t>
      </w:r>
      <w:r>
        <w:rPr>
          <w:rFonts w:ascii="Times New Roman" w:cs="Times New Roman" w:eastAsia="Times New Roman" w:hAnsi="Times New Roman"/>
          <w:sz w:val="14"/>
          <w:szCs w:val="14"/>
          <w:color w:val="auto"/>
        </w:rPr>
        <w:t>) of the Company offered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sale under the Registration Statement; (iv) any warrants (the </w:t>
      </w: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4"/>
          <w:szCs w:val="14"/>
          <w:color w:val="auto"/>
        </w:rPr>
        <w:t>) of the Company offered for sale under the Registration Statement; (v) any rights of the Company (the “</w:t>
      </w:r>
      <w:r>
        <w:rPr>
          <w:rFonts w:ascii="Times New Roman" w:cs="Times New Roman" w:eastAsia="Times New Roman" w:hAnsi="Times New Roman"/>
          <w:sz w:val="14"/>
          <w:szCs w:val="14"/>
          <w:b w:val="1"/>
          <w:bCs w:val="1"/>
          <w:color w:val="auto"/>
        </w:rPr>
        <w:t>Rights</w:t>
      </w:r>
      <w:r>
        <w:rPr>
          <w:rFonts w:ascii="Times New Roman" w:cs="Times New Roman" w:eastAsia="Times New Roman" w:hAnsi="Times New Roman"/>
          <w:sz w:val="14"/>
          <w:szCs w:val="14"/>
          <w:color w:val="auto"/>
        </w:rPr>
        <w:t>”) offered for sale under the Registration Statement issued pursuant to one or more rights agreements (each, a “</w:t>
      </w:r>
      <w:r>
        <w:rPr>
          <w:rFonts w:ascii="Times New Roman" w:cs="Times New Roman" w:eastAsia="Times New Roman" w:hAnsi="Times New Roman"/>
          <w:sz w:val="14"/>
          <w:szCs w:val="14"/>
          <w:b w:val="1"/>
          <w:bCs w:val="1"/>
          <w:color w:val="auto"/>
        </w:rPr>
        <w:t>Rights Agreement</w:t>
      </w:r>
      <w:r>
        <w:rPr>
          <w:rFonts w:ascii="Times New Roman" w:cs="Times New Roman" w:eastAsia="Times New Roman" w:hAnsi="Times New Roman"/>
          <w:sz w:val="14"/>
          <w:szCs w:val="14"/>
          <w:color w:val="auto"/>
        </w:rPr>
        <w:t xml:space="preserve">”) between the Company and a rights agent named therein; (vi) subscription receipts (the </w:t>
      </w:r>
      <w:r>
        <w:rPr>
          <w:rFonts w:ascii="Times New Roman" w:cs="Times New Roman" w:eastAsia="Times New Roman" w:hAnsi="Times New Roman"/>
          <w:sz w:val="14"/>
          <w:szCs w:val="14"/>
          <w:b w:val="1"/>
          <w:bCs w:val="1"/>
          <w:color w:val="auto"/>
        </w:rPr>
        <w:t>“Subscription Receipts”</w:t>
      </w:r>
      <w:r>
        <w:rPr>
          <w:rFonts w:ascii="Times New Roman" w:cs="Times New Roman" w:eastAsia="Times New Roman" w:hAnsi="Times New Roman"/>
          <w:sz w:val="14"/>
          <w:szCs w:val="14"/>
          <w:color w:val="auto"/>
        </w:rPr>
        <w:t xml:space="preserve">) of the Company offered for sale under the Registration Statement and (vii) units (the </w:t>
      </w:r>
      <w:r>
        <w:rPr>
          <w:rFonts w:ascii="Times New Roman" w:cs="Times New Roman" w:eastAsia="Times New Roman" w:hAnsi="Times New Roman"/>
          <w:sz w:val="14"/>
          <w:szCs w:val="14"/>
          <w:b w:val="1"/>
          <w:bCs w:val="1"/>
          <w:color w:val="auto"/>
        </w:rPr>
        <w:t>“Units”</w:t>
      </w:r>
      <w:r>
        <w:rPr>
          <w:rFonts w:ascii="Times New Roman" w:cs="Times New Roman" w:eastAsia="Times New Roman" w:hAnsi="Times New Roman"/>
          <w:sz w:val="14"/>
          <w:szCs w:val="14"/>
          <w:color w:val="auto"/>
        </w:rPr>
        <w:t>) of the Company offered for sale under the Registration Statement issued pursuant to one or more unit agreements (each, a “</w:t>
      </w:r>
      <w:r>
        <w:rPr>
          <w:rFonts w:ascii="Times New Roman" w:cs="Times New Roman" w:eastAsia="Times New Roman" w:hAnsi="Times New Roman"/>
          <w:sz w:val="14"/>
          <w:szCs w:val="14"/>
          <w:b w:val="1"/>
          <w:bCs w:val="1"/>
          <w:color w:val="auto"/>
        </w:rPr>
        <w:t>Unit Agreement</w:t>
      </w:r>
      <w:r>
        <w:rPr>
          <w:rFonts w:ascii="Times New Roman" w:cs="Times New Roman" w:eastAsia="Times New Roman" w:hAnsi="Times New Roman"/>
          <w:sz w:val="14"/>
          <w:szCs w:val="14"/>
          <w:color w:val="auto"/>
        </w:rPr>
        <w:t xml:space="preserve">”). The Common Stock, the Preferred Stock, the Debt Securities, the Warrants, the Rights, the Subscription Receipts and the Units are collectively referred to herein as the </w:t>
      </w: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4"/>
          <w:szCs w:val="14"/>
          <w:color w:val="auto"/>
        </w:rPr>
        <w:t xml:space="preserve">. The Debt Securities will be issued pursuant to one or more indentures in the form to be filed with the Commission, as amended or supplemented from time to time (each, an </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xml:space="preserve">), between the Company, as obligor, and a trustee chosen by the Company (each, a </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 xml:space="preserve">In connection with this opinion, we have examined the Registration Statement including the Prospectus, originals, or copies certified or otherwise identified to our satisfaction, of the Company’s Articles of Incorporation and Bylaws, each as amended to date (the </w:t>
      </w:r>
      <w:r>
        <w:rPr>
          <w:rFonts w:ascii="Times New Roman" w:cs="Times New Roman" w:eastAsia="Times New Roman" w:hAnsi="Times New Roman"/>
          <w:sz w:val="14"/>
          <w:szCs w:val="14"/>
          <w:b w:val="1"/>
          <w:bCs w:val="1"/>
          <w:color w:val="auto"/>
        </w:rPr>
        <w:t>“Charter Documents”</w:t>
      </w:r>
      <w:r>
        <w:rPr>
          <w:rFonts w:ascii="Times New Roman" w:cs="Times New Roman" w:eastAsia="Times New Roman" w:hAnsi="Times New Roman"/>
          <w:sz w:val="14"/>
          <w:szCs w:val="14"/>
          <w:color w:val="auto"/>
        </w:rPr>
        <w:t>). In addition, we have examined such other documents as we have deemed necessary or appropriate as a basis for the opinions hereinafter expressed.</w:t>
      </w:r>
    </w:p>
    <w:p>
      <w:pPr>
        <w:spacing w:after="0" w:line="1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have assumed that the signatures on all documents examined by us are genuine, that all documents submitted to us as originals are authentic and that all documents submitted to us as copies or as facsimiles of copies or originals, conform with the originals, which assumptions we have not independently verified.</w:t>
      </w:r>
    </w:p>
    <w:p>
      <w:pPr>
        <w:spacing w:after="0" w:line="1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have also assumed for purposes of our opinion that the Indenture will be duly authorized, executed and delivered by the Trustee, that the Indenture will constitute a legal, valid and binding obligation of the Trustee, and that the Trustee has the requisite organizational and legal power and authority to enter into and perform its obligations under the Indenture. We have also assumed for purposes of our opinion that, (i) if any Debt Securities are issued, such Debt Securities will only be issued pursuant to the Indenture in the form that will be filed with the Commission and that there will not have occurred any change in law affecting the validity or enforceability of the Debt Securities, (ii) at or prior to the time of the delivery of any Securities in connection with the Registration Statement, the Prospectus and the applicable Prospectus Supplement, the Registration Statement will have been declared effective under the Securities Act and no stop order suspending the Registration Statement’s effectiveness will have been issued and remain in effect and (iii) the registration will apply to such Securities and will not have been modified or rescinded and that there will not have occurred any change in law affecting the validity of the issuance of such Securities at the time of the offer, issuance and sale of any Securities. We have also assumed that the terms of any Debt Securities to be established subsequent to the date hereof, the issuance and delivery of Securities subsequent to the date hereof and the compliance by the Company with the terms of such Securities will not violate any applicable law (including, without limitation, any law relating to usury) or result in a violation of any provision of any instrument or agreement then binding upon the Company or any restriction imposed by any court or governmental body having jurisdiction over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opinion is qualified by, and is subject to:</w:t>
      </w:r>
    </w:p>
    <w:p>
      <w:pPr>
        <w:spacing w:after="0" w:line="195" w:lineRule="exact"/>
        <w:rPr>
          <w:sz w:val="20"/>
          <w:szCs w:val="20"/>
          <w:color w:val="auto"/>
        </w:rPr>
      </w:pPr>
    </w:p>
    <w:p>
      <w:pPr>
        <w:ind w:left="820" w:right="100" w:hanging="472"/>
        <w:spacing w:after="0" w:line="263" w:lineRule="auto"/>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the laws of bankruptcy, insolvency, reorganization, arrangement, moratorium, fraudulent conveyance and other similar laws now or hereinafter in effect relating to or affecting the rights and remedies of creditors, including the effect of statutory or other laws regarding fraudulent transfers or preferential transfers;</w:t>
      </w:r>
    </w:p>
    <w:p>
      <w:pPr>
        <w:spacing w:after="0" w:line="217" w:lineRule="exact"/>
        <w:rPr>
          <w:rFonts w:ascii="Times New Roman" w:cs="Times New Roman" w:eastAsia="Times New Roman" w:hAnsi="Times New Roman"/>
          <w:sz w:val="14"/>
          <w:szCs w:val="14"/>
          <w:color w:val="auto"/>
        </w:rPr>
      </w:pPr>
    </w:p>
    <w:p>
      <w:pPr>
        <w:ind w:left="820" w:right="760" w:hanging="472"/>
        <w:spacing w:after="0" w:line="263" w:lineRule="auto"/>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general principles of equity and similar principles, including, without limitation, concepts of materiality, reasonableness, good faith and fair dealing, public policy and unconscionability, the possible unavailability of specific performance and the discretion of the court before which a proceeding is brought;</w:t>
      </w:r>
    </w:p>
    <w:p>
      <w:pPr>
        <w:spacing w:after="0" w:line="217" w:lineRule="exact"/>
        <w:rPr>
          <w:rFonts w:ascii="Times New Roman" w:cs="Times New Roman" w:eastAsia="Times New Roman" w:hAnsi="Times New Roman"/>
          <w:sz w:val="14"/>
          <w:szCs w:val="14"/>
          <w:color w:val="auto"/>
        </w:rPr>
      </w:pPr>
    </w:p>
    <w:p>
      <w:pPr>
        <w:ind w:left="820" w:hanging="472"/>
        <w:spacing w:after="0"/>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injunctive relief, or other equitable remedies, regardless of whether considered in a proceeding in equity or at law;</w:t>
      </w:r>
    </w:p>
    <w:p>
      <w:pPr>
        <w:spacing w:after="0" w:line="246" w:lineRule="exact"/>
        <w:rPr>
          <w:rFonts w:ascii="Times New Roman" w:cs="Times New Roman" w:eastAsia="Times New Roman" w:hAnsi="Times New Roman"/>
          <w:sz w:val="14"/>
          <w:szCs w:val="14"/>
          <w:color w:val="auto"/>
        </w:rPr>
      </w:pPr>
    </w:p>
    <w:p>
      <w:pPr>
        <w:ind w:left="820" w:hanging="472"/>
        <w:spacing w:after="0"/>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laws relating to usury or permissible rates of interest for loans, forebearances or the use of money; 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48260</wp:posOffset>
            </wp:positionV>
            <wp:extent cx="719137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ind w:left="820" w:right="460" w:hanging="472"/>
        <w:spacing w:after="0" w:line="263" w:lineRule="auto"/>
        <w:tabs>
          <w:tab w:leader="none" w:pos="8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invalidity under certain circumstances under law or court decisions of provisions providing for the indemnification of or contribution to a party with respect to a liability where such indemnification or contribution is contrary to public policy.</w:t>
      </w:r>
    </w:p>
    <w:p>
      <w:pPr>
        <w:spacing w:after="0" w:line="16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2"/>
          <w:szCs w:val="12"/>
          <w:color w:val="auto"/>
        </w:rPr>
        <w:t>We express no opinion as to (i) any provision for liquidated damages, default interest, late charges, monetary penalties, make-whole premiums or other economic remedies to the extent such provisions are deemed to constitute a penalty, (ii) consents to, or restrictions upon, governing law, jurisdiction, venue, arbitration, remedies or judicial relief, (iii) waivers of rights or defenses, (iv) any provision requiring the payment of attorneys’ fees, where such payment is contrary to law or public policy, (v) any provision permitting, upon acceleration of any Debt Security, collection of that portion of the stated principal amount thereof which might be determined to constitute unearned interest thereon, (vi) the creation, validity, attachment, perfection, or priority of any lien or security interest, (vii) advance waivers of claims, defenses, rights granted by law, or notice, opportunity for hearing, evidentiary requirements, statutes of limitation, trial by jury or at law, or other procedural rights, (viii) waivers of broadly or vaguely stated rights, (ix) provisions for exclusivity, election or cumulation of rights or remedies, (x) provisions authorizing or validating conclusive or discretionary determinations, (xi) grants of setoff rights, (xii) proxies, powers and trusts, (xiii) provisions prohibiting, restricting, or requiring consent to assignment or transfer of any right or property, (xiv) provisions purporting to make a guarantor primarily liable rather than as a surety, (xv) provisions purporting to waive modifications of any guaranteed obligation to the extent such modification constitutes a novation, (xvi) any provision to the extent it requires that a claim with respect to a security denominated in other than U.S. dollars (or a judgment in respect of such a claim) be converted into U.S. dollars at a rate of exchange at a particular date, to the extent applicable law otherwise provides, (xvii) any provision to the extent it requires that a claim with respect to the Debt Securities (or a judgment in respect of such a claim) be converted into U.S. dollars at a rate of exchange at a particular date, to the extent applicable law otherwise provides, and (xviii) the severability, if invalid, of provisions to the foregoing effect.</w:t>
      </w:r>
    </w:p>
    <w:p>
      <w:pPr>
        <w:spacing w:after="0" w:line="28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The Company has informed us that the Company intends to issue the Securities from time to time on a delayed or continuous basis. This opinion is limited to the laws, including the rules and regulations, as in effect on the date hereof. We are basing this opinion on our understanding that, prior to issuing any Securities, the Company will: (i) advise us in writing of the terms thereof and other information material thereto; (ii) afford us an opportunity to review the operative documents pursuant to which such Securities are to be issued (including the Registration Statement, the Prospectus and the applicable Prospectus Supplement and, in the case of Debt Securities, the Indenture, as then in effect); and (iii) file such supplement or amendment to this opinion (if any) as we may reasonably consider necessary or appropriate with respect to such Securities. We also assume the Company will (a) timely file all supplements to the Registration Statement and Prospectus as are necessary to comply with applicable laws in effect from time to time and (b) amend its Charter Documents to increase the authorized number of shares of its capital stock if the number of such shares to be sold pursuant to the Registration Statement would cause the Company to issue more shares than it has authorized. However, we undertake no responsibility to monitor the Company’s future compliance with applicable laws, rules or regulations of the Commission or other governmental body.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upon the foregoing and the examination of such legal authorities as we have deemed relevant, and subject to the qualifications and further assumptions set forth below, we are of the opinion that:</w:t>
      </w:r>
    </w:p>
    <w:p>
      <w:pPr>
        <w:spacing w:after="0" w:line="191" w:lineRule="exact"/>
        <w:rPr>
          <w:sz w:val="20"/>
          <w:szCs w:val="20"/>
          <w:color w:val="auto"/>
        </w:rPr>
      </w:pPr>
    </w:p>
    <w:p>
      <w:pPr>
        <w:ind w:left="420" w:right="80" w:hanging="387"/>
        <w:spacing w:after="0" w:line="293" w:lineRule="auto"/>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shares of Common Stock registered pursuant to the Registration Statement, when (i) the board of directors of the Company (the “</w:t>
      </w:r>
      <w:r>
        <w:rPr>
          <w:rFonts w:ascii="Times New Roman" w:cs="Times New Roman" w:eastAsia="Times New Roman" w:hAnsi="Times New Roman"/>
          <w:sz w:val="12"/>
          <w:szCs w:val="12"/>
          <w:b w:val="1"/>
          <w:bCs w:val="1"/>
          <w:color w:val="auto"/>
        </w:rPr>
        <w:t>Board</w:t>
      </w:r>
      <w:r>
        <w:rPr>
          <w:rFonts w:ascii="Times New Roman" w:cs="Times New Roman" w:eastAsia="Times New Roman" w:hAnsi="Times New Roman"/>
          <w:sz w:val="12"/>
          <w:szCs w:val="12"/>
          <w:color w:val="auto"/>
        </w:rPr>
        <w:t>”) and, if required, the stockholders of the Company (the “</w:t>
      </w:r>
      <w:r>
        <w:rPr>
          <w:rFonts w:ascii="Times New Roman" w:cs="Times New Roman" w:eastAsia="Times New Roman" w:hAnsi="Times New Roman"/>
          <w:sz w:val="12"/>
          <w:szCs w:val="12"/>
          <w:b w:val="1"/>
          <w:bCs w:val="1"/>
          <w:color w:val="auto"/>
        </w:rPr>
        <w:t>Stockholders</w:t>
      </w:r>
      <w:r>
        <w:rPr>
          <w:rFonts w:ascii="Times New Roman" w:cs="Times New Roman" w:eastAsia="Times New Roman" w:hAnsi="Times New Roman"/>
          <w:sz w:val="12"/>
          <w:szCs w:val="12"/>
          <w:color w:val="auto"/>
        </w:rPr>
        <w:t>”), have taken all necessary corporate action to approve the issuance of and the terms of the offering of the shares of Common Stock and related matters and (ii) certificates representing the shares of Common Stock have been duly executed, countersigned, registered and delivered (or book entry statements representing the shares of Common Stock have been duly issued by the transfer agent of the Company) either (a) in accordance with the applicable definitive purchase, underwriting or similar agreement approved by the Board, or upon the exercise of Warrants to purchase Common Stock, upon payment of the consideration therefor (which shall be no less than the par value of the Common Stock) provided for therein or (b) upon conversion or exercise of any other Security, in accordance with the terms of such Security or the instrument governing such Security providing for such conversion or exercise as approved by the Board, for the consideration approved by the Board (which shall be no less than the par value of the Common Stock), as stated in the Registration Statement, the Prospectus and the applicable Prospectus Supplement relating thereto (as amended as of the date of the offer for such issuance, sale and delivery), then such shares of Common Stock will be validly issued, fully paid and nonassessable;</w:t>
      </w:r>
    </w:p>
    <w:p>
      <w:pPr>
        <w:spacing w:after="0" w:line="203" w:lineRule="exact"/>
        <w:rPr>
          <w:rFonts w:ascii="Times New Roman" w:cs="Times New Roman" w:eastAsia="Times New Roman" w:hAnsi="Times New Roman"/>
          <w:sz w:val="12"/>
          <w:szCs w:val="12"/>
          <w:color w:val="auto"/>
        </w:rPr>
      </w:pPr>
    </w:p>
    <w:p>
      <w:pPr>
        <w:ind w:left="420" w:right="140" w:hanging="387"/>
        <w:spacing w:after="0" w:line="245" w:lineRule="auto"/>
        <w:tabs>
          <w:tab w:leader="none" w:pos="4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particular series of shares of Preferred Stock registered pursuant to the Registration Statement, when (i) the Board and, if required, the Stockholders, have taken all necessary corporate action to approve the issuance and terms of the shares of Preferred Stock, the terms of the offering thereof and related matters, including the adoption of a certificate of designation relating to such Preferred Stock conforming to the Charter Documents and the Nevada Revised Statutes (a “</w:t>
      </w:r>
      <w:r>
        <w:rPr>
          <w:rFonts w:ascii="Times New Roman" w:cs="Times New Roman" w:eastAsia="Times New Roman" w:hAnsi="Times New Roman"/>
          <w:sz w:val="14"/>
          <w:szCs w:val="14"/>
          <w:b w:val="1"/>
          <w:bCs w:val="1"/>
          <w:color w:val="auto"/>
        </w:rPr>
        <w:t>Certificate of Designation</w:t>
      </w:r>
      <w:r>
        <w:rPr>
          <w:rFonts w:ascii="Times New Roman" w:cs="Times New Roman" w:eastAsia="Times New Roman" w:hAnsi="Times New Roman"/>
          <w:sz w:val="14"/>
          <w:szCs w:val="14"/>
          <w:color w:val="auto"/>
        </w:rPr>
        <w:t>”) and the reservation for future issuance of a sufficient number of authorized shares of Preferred Stock, and the filing of the Certificate of Designation with the Secretary of State of the State of Nevada, and (ii) certificates representing the shares of Preferred Stock have been duly executed, countersigned, registered and delivered either (a) in accordance with the applicable definitive purchase, underwriting or similar agreement approved by the Board, or upon the exercise of Warrants to purchase Preferred Stock, upon payment of the consideration therefor (which shall be no less than the par value of the Preferred Stock) provided for therein or (b) upon conversion or exercise of any other Security, in accordance with the terms of such Security or the instrument governing such Security providing for such conversion or exercise as approved by the Board, for the consideration approved by the Board (which shall be no less than the par value of the Preferred Stock), as stated in the Registration Statement, the Prospectus and the applicable Prospectus Supplement relating thereto (as amended as of the date of the offer for such issuance, sale and delivery), then such shares of Preferred Stock will be validly issued, fully paid and nonassessable;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48260</wp:posOffset>
            </wp:positionV>
            <wp:extent cx="719137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57" w:right="319" w:bottom="1440" w:gutter="0" w:footer="0" w:header="0"/>
        </w:sectPr>
      </w:pPr>
    </w:p>
    <w:bookmarkStart w:id="24" w:name="page25"/>
    <w:bookmarkEnd w:id="24"/>
    <w:p>
      <w:pPr>
        <w:jc w:val="both"/>
        <w:ind w:left="368" w:hanging="368"/>
        <w:spacing w:after="0" w:line="245" w:lineRule="auto"/>
        <w:tabs>
          <w:tab w:leader="none" w:pos="368"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Debt Securities registered pursuant to the Registration Statement, when (i) the Board and, if required, the Stockholders, have taken all necessary corporate action to approve the issuance and terms of the Debt Securities, the terms of the offering thereof and related matters, (ii) an Indenture relating to such Debt Securities in the form that will be filed with the Commission has been duly authorized and validly executed and delivered by each of the Company and the Trustee, (iii) the form and terms of the Debt Securities have been duly established in accordance with the Indenture pursuant to resolutions duly adopted by the Board and as set forth in an officer’s certificate or supplemental indenture duly authorized by the Board and duly executed by an authorized officer of the Company and (iv) instruments representing such Debt Securities have been duly executed and authenticated in accordance with the terms of the Indenture and any supplement thereto, and issued, sold and delivered in the manner and for the consideration approved by the Board and stated in the Registration Statement, the Prospectus and the applicable Prospectus Supplement relating thereto (as amended as of the date of the offer for such issuance, sale and delivery) and any applicable definitive purchase, underwriting or similar agreement, then the Debt Securities will be validly issued and will constitute valid and binding obligations of the Company;</w:t>
      </w:r>
    </w:p>
    <w:p>
      <w:pPr>
        <w:spacing w:after="0" w:line="221" w:lineRule="exact"/>
        <w:rPr>
          <w:rFonts w:ascii="Times New Roman" w:cs="Times New Roman" w:eastAsia="Times New Roman" w:hAnsi="Times New Roman"/>
          <w:sz w:val="14"/>
          <w:szCs w:val="14"/>
          <w:color w:val="auto"/>
        </w:rPr>
      </w:pPr>
    </w:p>
    <w:p>
      <w:pPr>
        <w:jc w:val="both"/>
        <w:ind w:left="388" w:hanging="388"/>
        <w:spacing w:after="0" w:line="246" w:lineRule="auto"/>
        <w:tabs>
          <w:tab w:leader="none" w:pos="388"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Warrants registered pursuant to the Registration Statement, when (i) the Board and, if required, the Stockholders, have taken all necessary corporate action to approve the issuance and terms of such Warrants, the terms, execution and delivery of the warrant agreement relating to the Warrants (the “</w:t>
      </w:r>
      <w:r>
        <w:rPr>
          <w:rFonts w:ascii="Times New Roman" w:cs="Times New Roman" w:eastAsia="Times New Roman" w:hAnsi="Times New Roman"/>
          <w:sz w:val="14"/>
          <w:szCs w:val="14"/>
          <w:b w:val="1"/>
          <w:bCs w:val="1"/>
          <w:color w:val="auto"/>
        </w:rPr>
        <w:t>Warrant Agreement</w:t>
      </w:r>
      <w:r>
        <w:rPr>
          <w:rFonts w:ascii="Times New Roman" w:cs="Times New Roman" w:eastAsia="Times New Roman" w:hAnsi="Times New Roman"/>
          <w:sz w:val="14"/>
          <w:szCs w:val="14"/>
          <w:color w:val="auto"/>
        </w:rPr>
        <w:t>”), if any, the terms of the offering thereof and related matters, including reservation for future issuance of a sufficient number of authorized shares of Preferred Stock or Common Stock, as applicable, (ii) the Warrant Agreement, if any, has been duly authorized and validly executed and delivered and (iii) certificates representing such Warrants have been duly executed, issued and delivered in accordance with the provisions of the applicable Warrant Agreement, if any, and the applicable definitive purchase, underwriting or similar agreement approved by the Board, upon payment of the consideration therefor provided for therein, as approved by the Board and stated in the Registration Statement, the Prospectus and the applicable Prospectus Supplement relating thereto (as amended as of the date of the offer for such issuance, sale and delivery), such Warrants will be validly issued and will constitute valid and binding obligations of the Company;</w:t>
      </w:r>
    </w:p>
    <w:p>
      <w:pPr>
        <w:spacing w:after="0" w:line="228" w:lineRule="exact"/>
        <w:rPr>
          <w:rFonts w:ascii="Times New Roman" w:cs="Times New Roman" w:eastAsia="Times New Roman" w:hAnsi="Times New Roman"/>
          <w:sz w:val="14"/>
          <w:szCs w:val="14"/>
          <w:color w:val="auto"/>
        </w:rPr>
      </w:pPr>
    </w:p>
    <w:p>
      <w:pPr>
        <w:jc w:val="both"/>
        <w:ind w:left="388" w:hanging="388"/>
        <w:spacing w:after="0" w:line="246" w:lineRule="auto"/>
        <w:tabs>
          <w:tab w:leader="none" w:pos="388"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Rights registered pursuant to the Registration Statement, when (i) the Board and, if required, the Stockholders, have taken all necessary corporate action to approve the issuance and terms of such Rights, the terms, execution and delivery of the Rights Agreement relating to the Rights, the terms of the offering thereof and related matters, including reservation for future issuance of a sufficient number of authorized shares of Preferred Stock or Common Stock, as applicable, (ii) the Rights Agreement has been duly authorized and validly executed and delivered by the Company and a bank or trust company, as rights agent, and (iii) certificates representing such Rights have been duly executed, issued and delivered in accordance with the provisions of the applicable Rights Agreement and the applicable definitive purchase, underwriting or similar agreement approved by the Board, upon payment of the consideration therefor provided for therein, as approved by the Board and stated in the Registration Statement, the Prospectus and the applicable Prospectus Supplement relating thereto (as amended as of the date of the offer for such issuance, sale and delivery), such Rights will be validly issued and will constitute valid and binding obligations of the Company;</w:t>
      </w:r>
    </w:p>
    <w:p>
      <w:pPr>
        <w:spacing w:after="0" w:line="228" w:lineRule="exact"/>
        <w:rPr>
          <w:rFonts w:ascii="Times New Roman" w:cs="Times New Roman" w:eastAsia="Times New Roman" w:hAnsi="Times New Roman"/>
          <w:sz w:val="14"/>
          <w:szCs w:val="14"/>
          <w:color w:val="auto"/>
        </w:rPr>
      </w:pPr>
    </w:p>
    <w:p>
      <w:pPr>
        <w:jc w:val="both"/>
        <w:ind w:left="388" w:hanging="388"/>
        <w:spacing w:after="0" w:line="245" w:lineRule="auto"/>
        <w:tabs>
          <w:tab w:leader="none" w:pos="388"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Subscription Receipts registered pursuant to the Registration Statement, when (i) the Board and, if required, the Stockholders, have taken all necessary corporate action to approve the issuance and terms of such Subscription Receipts, the terms, execution and delivery of the subscription receipt agreement relating to the Subscription Receipts (the “</w:t>
      </w:r>
      <w:r>
        <w:rPr>
          <w:rFonts w:ascii="Times New Roman" w:cs="Times New Roman" w:eastAsia="Times New Roman" w:hAnsi="Times New Roman"/>
          <w:sz w:val="14"/>
          <w:szCs w:val="14"/>
          <w:b w:val="1"/>
          <w:bCs w:val="1"/>
          <w:color w:val="auto"/>
        </w:rPr>
        <w:t>Subscription Receipt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if any, the terms of the offering thereof and related matters, including reservation for future issuance of a sufficient number of authorized shares of Preferred Stock or Common Stock,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applicable, (ii) the Subscription Receipt Agreement, if any, has been duly authorized and validly executed and delivered and (iii) certificates representing such Subscription Receipts have been duly executed, issued and delivered in accordance with the provisions of the applicable Subscription Receipt Agreement, if any, and the applicable definitive purchase, underwriting or similar agreement approved by the Board, upon payment of the consideration therefor provided for therein, as approved by the Board and stated in the Registration Statement, the Prospectus and the applicable Prospectus Supplement relating thereto (as amended as of the date of the offer for such issuance, sale and delivery), such Subscription Receipts will be validly issued and will constitute valid and binding obligations of the Company; and</w:t>
      </w:r>
    </w:p>
    <w:p>
      <w:pPr>
        <w:spacing w:after="0" w:line="232" w:lineRule="exact"/>
        <w:rPr>
          <w:rFonts w:ascii="Times New Roman" w:cs="Times New Roman" w:eastAsia="Times New Roman" w:hAnsi="Times New Roman"/>
          <w:sz w:val="14"/>
          <w:szCs w:val="14"/>
          <w:color w:val="auto"/>
        </w:rPr>
      </w:pPr>
    </w:p>
    <w:p>
      <w:pPr>
        <w:jc w:val="both"/>
        <w:ind w:left="388" w:hanging="388"/>
        <w:spacing w:after="0" w:line="246" w:lineRule="auto"/>
        <w:tabs>
          <w:tab w:leader="none" w:pos="388"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Units registered pursuant to the Registration Statement, when (i) the Board and, if required, the Stockholders, have taken all necessary corporate action to approve the issuance and terms of such Units, the terms, execution and delivery of the Units Agreement relating to the Units, the terms of the offering thereof and related matters, including reservation for future issuance of a sufficient number of authorized shares of Preferred Stock or Common Stock, as applicable, (ii) the Unit Agreement has been duly authorized and validly executed and delivered and (iii) such Units have been duly executed, issued and delivered in accordance with the provisions of the applicable Unit Agreement and the applicable definitive purchase, underwriting or similar agreement approved by the Board, upon payment of the consideration therefor provided for therein, as approved by the Board and stated in the Registration Statement, the Prospectus and the applicable Prospectus Supplement relating thereto (as amended as of the date of the offer for such issuance, sale and delivery), such Units will be validly issued and will constitute valid and binding obligations of the Company.</w:t>
      </w:r>
    </w:p>
    <w:p>
      <w:pPr>
        <w:spacing w:after="0" w:line="200" w:lineRule="exact"/>
        <w:rPr>
          <w:sz w:val="20"/>
          <w:szCs w:val="20"/>
          <w:color w:val="auto"/>
        </w:rPr>
      </w:pPr>
    </w:p>
    <w:p>
      <w:pPr>
        <w:spacing w:after="0" w:line="27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48260</wp:posOffset>
            </wp:positionV>
            <wp:extent cx="719137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28"/>
          </w:cols>
          <w:pgMar w:left="332" w:top="147" w:right="339" w:bottom="1440" w:gutter="0" w:footer="0" w:header="0"/>
        </w:sectPr>
      </w:pPr>
    </w:p>
    <w:bookmarkStart w:id="25" w:name="page26"/>
    <w:bookmarkEnd w:id="25"/>
    <w:p>
      <w:pPr>
        <w:jc w:val="both"/>
        <w:spacing w:after="0" w:line="249" w:lineRule="auto"/>
        <w:rPr>
          <w:sz w:val="20"/>
          <w:szCs w:val="20"/>
          <w:color w:val="auto"/>
        </w:rPr>
      </w:pPr>
      <w:r>
        <w:rPr>
          <w:rFonts w:ascii="Times New Roman" w:cs="Times New Roman" w:eastAsia="Times New Roman" w:hAnsi="Times New Roman"/>
          <w:sz w:val="14"/>
          <w:szCs w:val="14"/>
          <w:color w:val="auto"/>
        </w:rPr>
        <w:t>This opinion letter is opining upon and is limited to the current federal laws of the United States and the current laws of the State of Nevada including the statutory provisions, all applicable provisions of the Nevada constitution and reported judicial decisions interpreting those laws, as such laws presently exist and to the facts as they presently exist. We express no opinion with respect to the effect or applicability of the laws of any other jurisdiction. We assume no obligation to revise or supplement this opinion letter should the laws of such jurisdiction be changed after the date hereof by legislative action, judicial decision or otherwise.</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In giving this consent, we do not admit that we are within the category of persons whose consent is required under Section 7 of the Securities Act or the General Rules and Regulations of the Commission. In rendering the opinions set forth above, we are opining only as to the specific legal issues expressly set forth therein, and no opinion shell be inferred as to any other matter or matters.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Yours truly,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Cozen O'Connor LLP</w:t>
      </w:r>
    </w:p>
    <w:p>
      <w:pPr>
        <w:sectPr>
          <w:pgSz w:w="11900" w:h="16838" w:orient="portrait"/>
          <w:cols w:equalWidth="0" w:num="1">
            <w:col w:w="11280"/>
          </w:cols>
          <w:pgMar w:left="300" w:top="127" w:right="31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ClearOne, Inc.</w:t>
      </w:r>
    </w:p>
    <w:p>
      <w:pPr>
        <w:spacing w:after="0" w:line="165" w:lineRule="exact"/>
        <w:rPr>
          <w:sz w:val="20"/>
          <w:szCs w:val="20"/>
          <w:color w:val="auto"/>
        </w:rPr>
      </w:pPr>
    </w:p>
    <w:p>
      <w:pPr>
        <w:spacing w:after="0" w:line="347" w:lineRule="auto"/>
        <w:rPr>
          <w:sz w:val="20"/>
          <w:szCs w:val="20"/>
          <w:color w:val="auto"/>
        </w:rPr>
      </w:pPr>
      <w:r>
        <w:rPr>
          <w:rFonts w:ascii="Times New Roman" w:cs="Times New Roman" w:eastAsia="Times New Roman" w:hAnsi="Times New Roman"/>
          <w:sz w:val="12"/>
          <w:szCs w:val="12"/>
          <w:color w:val="auto"/>
        </w:rPr>
        <w:t>We hereby consent to the incorporation by reference in the Prospectus constituting part of this Registration Statement of our report dated March 31, 2026, relating to the consolidated financial statements of ClearOne, Inc., and subsidiaries (collectively, the Company), as of December 31, 2025 and 2024 and for each of the years then ended, incorporated by reference in this Registration Statement.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consent to the reference to us under the caption “Experts” in the Prospectus.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Tanner LLP</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Lehi, Utah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24, 2026</w:t>
      </w:r>
    </w:p>
    <w:p>
      <w:pPr>
        <w:sectPr>
          <w:pgSz w:w="11900" w:h="16838" w:orient="portrait"/>
          <w:cols w:equalWidth="0" w:num="1">
            <w:col w:w="11280"/>
          </w:cols>
          <w:pgMar w:left="300" w:top="286" w:right="319" w:bottom="1440" w:gutter="0" w:footer="0" w:header="0"/>
        </w:sectPr>
      </w:pPr>
    </w:p>
    <w:bookmarkStart w:id="27" w:name="page28"/>
    <w:bookmarkEnd w:id="27"/>
    <w:p>
      <w:pPr>
        <w:ind w:left="3560"/>
        <w:spacing w:after="0"/>
        <w:rPr>
          <w:sz w:val="20"/>
          <w:szCs w:val="20"/>
          <w:color w:val="auto"/>
        </w:rPr>
      </w:pPr>
      <w:r>
        <w:rPr>
          <w:rFonts w:ascii="Arial" w:cs="Arial" w:eastAsia="Arial" w:hAnsi="Arial"/>
          <w:sz w:val="27"/>
          <w:szCs w:val="27"/>
          <w:b w:val="1"/>
          <w:bCs w:val="1"/>
          <w:color w:val="auto"/>
        </w:rPr>
        <w:t>Calculation of Filing Fee Tables</w:t>
      </w:r>
    </w:p>
    <w:p>
      <w:pPr>
        <w:spacing w:after="0" w:line="168"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7"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CLEARONE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40" w:type="dxa"/>
            <w:vAlign w:val="bottom"/>
            <w:tcBorders>
              <w:bottom w:val="single" w:sz="8" w:color="auto"/>
            </w:tcBorders>
          </w:tcPr>
          <w:p>
            <w:pPr>
              <w:spacing w:after="0"/>
              <w:rPr>
                <w:sz w:val="23"/>
                <w:szCs w:val="23"/>
                <w:color w:val="auto"/>
              </w:rPr>
            </w:pPr>
          </w:p>
        </w:tc>
        <w:tc>
          <w:tcPr>
            <w:tcW w:w="4560" w:type="dxa"/>
            <w:vAlign w:val="bottom"/>
            <w:tcBorders>
              <w:bottom w:val="single" w:sz="8" w:color="auto"/>
            </w:tcBorders>
            <w:gridSpan w:val="12"/>
          </w:tcPr>
          <w:p>
            <w:pPr>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ind w:left="2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9ADAF6"/>
          </w:tcPr>
          <w:p>
            <w:pPr>
              <w:jc w:val="center"/>
              <w:ind w:left="39"/>
              <w:spacing w:after="0"/>
              <w:rPr>
                <w:sz w:val="20"/>
                <w:szCs w:val="20"/>
                <w:color w:val="auto"/>
              </w:rPr>
            </w:pPr>
            <w:r>
              <w:rPr>
                <w:rFonts w:ascii="Arial" w:cs="Arial" w:eastAsia="Arial" w:hAnsi="Arial"/>
                <w:sz w:val="16"/>
                <w:szCs w:val="16"/>
                <w:b w:val="1"/>
                <w:bCs w:val="1"/>
                <w:color w:val="auto"/>
              </w:rPr>
              <w:t>Fee</w:t>
            </w: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5"/>
                <w:szCs w:val="15"/>
                <w:color w:val="auto"/>
              </w:rPr>
            </w:pPr>
          </w:p>
        </w:tc>
        <w:tc>
          <w:tcPr>
            <w:tcW w:w="10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7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Connection</w:t>
            </w: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14"/>
                <w:szCs w:val="14"/>
                <w:color w:val="auto"/>
              </w:rPr>
            </w:pPr>
          </w:p>
        </w:tc>
        <w:tc>
          <w:tcPr>
            <w:tcW w:w="8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4"/>
                <w:szCs w:val="14"/>
                <w:color w:val="auto"/>
              </w:rPr>
            </w:pPr>
          </w:p>
        </w:tc>
        <w:tc>
          <w:tcPr>
            <w:tcW w:w="10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94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ind w:left="12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20" w:type="dxa"/>
            <w:vAlign w:val="bottom"/>
            <w:shd w:val="clear" w:color="auto" w:fill="9ADAF6"/>
          </w:tcPr>
          <w:p>
            <w:pPr>
              <w:ind w:left="14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800" w:type="dxa"/>
            <w:vAlign w:val="bottom"/>
            <w:shd w:val="clear" w:color="auto" w:fill="9ADAF6"/>
          </w:tcPr>
          <w:p>
            <w:pPr>
              <w:jc w:val="center"/>
              <w:ind w:left="39"/>
              <w:spacing w:after="0"/>
              <w:rPr>
                <w:sz w:val="20"/>
                <w:szCs w:val="20"/>
                <w:color w:val="auto"/>
              </w:rPr>
            </w:pPr>
            <w:r>
              <w:rPr>
                <w:rFonts w:ascii="Arial" w:cs="Arial" w:eastAsia="Arial" w:hAnsi="Arial"/>
                <w:sz w:val="16"/>
                <w:szCs w:val="16"/>
                <w:b w:val="1"/>
                <w:bCs w:val="1"/>
                <w:color w:val="auto"/>
              </w:rPr>
              <w:t>or Carry</w:t>
            </w: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jc w:val="right"/>
              <w:ind w:right="49"/>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10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9ADAF6"/>
          </w:tcPr>
          <w:p>
            <w:pPr>
              <w:jc w:val="right"/>
              <w:ind w:right="180"/>
              <w:spacing w:after="0" w:line="111"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920" w:type="dxa"/>
            <w:vAlign w:val="bottom"/>
            <w:shd w:val="clear" w:color="auto" w:fill="9ADAF6"/>
          </w:tcPr>
          <w:p>
            <w:pPr>
              <w:ind w:left="60"/>
              <w:spacing w:after="0" w:line="111" w:lineRule="exact"/>
              <w:rPr>
                <w:sz w:val="20"/>
                <w:szCs w:val="20"/>
                <w:color w:val="auto"/>
              </w:rPr>
            </w:pPr>
            <w:r>
              <w:rPr>
                <w:rFonts w:ascii="Arial" w:cs="Arial" w:eastAsia="Arial" w:hAnsi="Arial"/>
                <w:sz w:val="12"/>
                <w:szCs w:val="12"/>
                <w:b w:val="1"/>
                <w:bCs w:val="1"/>
                <w:color w:val="auto"/>
              </w:rPr>
              <w:t>Class Title</w:t>
            </w:r>
          </w:p>
        </w:tc>
        <w:tc>
          <w:tcPr>
            <w:tcW w:w="20" w:type="dxa"/>
            <w:vAlign w:val="bottom"/>
          </w:tcPr>
          <w:p>
            <w:pPr>
              <w:spacing w:after="0"/>
              <w:rPr>
                <w:sz w:val="9"/>
                <w:szCs w:val="9"/>
                <w:color w:val="auto"/>
              </w:rPr>
            </w:pPr>
          </w:p>
        </w:tc>
        <w:tc>
          <w:tcPr>
            <w:tcW w:w="800" w:type="dxa"/>
            <w:vAlign w:val="bottom"/>
            <w:vMerge w:val="restart"/>
            <w:shd w:val="clear" w:color="auto" w:fill="9ADAF6"/>
          </w:tcPr>
          <w:p>
            <w:pPr>
              <w:jc w:val="center"/>
              <w:ind w:left="39"/>
              <w:spacing w:after="0"/>
              <w:rPr>
                <w:sz w:val="20"/>
                <w:szCs w:val="20"/>
                <w:color w:val="auto"/>
              </w:rPr>
            </w:pPr>
            <w:r>
              <w:rPr>
                <w:rFonts w:ascii="Arial" w:cs="Arial" w:eastAsia="Arial" w:hAnsi="Arial"/>
                <w:sz w:val="16"/>
                <w:szCs w:val="16"/>
                <w:b w:val="1"/>
                <w:bCs w:val="1"/>
                <w:color w:val="auto"/>
              </w:rPr>
              <w:t>Forward</w:t>
            </w: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9ADAF6"/>
          </w:tcPr>
          <w:p>
            <w:pPr>
              <w:jc w:val="right"/>
              <w:spacing w:after="0" w:line="111" w:lineRule="exact"/>
              <w:rPr>
                <w:sz w:val="20"/>
                <w:szCs w:val="20"/>
                <w:color w:val="auto"/>
              </w:rPr>
            </w:pPr>
            <w:r>
              <w:rPr>
                <w:rFonts w:ascii="Arial" w:cs="Arial" w:eastAsia="Arial" w:hAnsi="Arial"/>
                <w:sz w:val="12"/>
                <w:szCs w:val="12"/>
                <w:b w:val="1"/>
                <w:bCs w:val="1"/>
                <w:color w:val="auto"/>
              </w:rPr>
              <w:t>Registered</w:t>
            </w:r>
          </w:p>
        </w:tc>
        <w:tc>
          <w:tcPr>
            <w:tcW w:w="20" w:type="dxa"/>
            <w:vAlign w:val="bottom"/>
          </w:tcPr>
          <w:p>
            <w:pPr>
              <w:spacing w:after="0"/>
              <w:rPr>
                <w:sz w:val="9"/>
                <w:szCs w:val="9"/>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9"/>
                <w:szCs w:val="9"/>
                <w:color w:val="auto"/>
              </w:rPr>
            </w:pPr>
          </w:p>
        </w:tc>
        <w:tc>
          <w:tcPr>
            <w:tcW w:w="106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Offering</w:t>
            </w:r>
          </w:p>
        </w:tc>
        <w:tc>
          <w:tcPr>
            <w:tcW w:w="2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File</w:t>
            </w:r>
          </w:p>
        </w:tc>
        <w:tc>
          <w:tcPr>
            <w:tcW w:w="20" w:type="dxa"/>
            <w:vAlign w:val="bottom"/>
          </w:tcPr>
          <w:p>
            <w:pPr>
              <w:spacing w:after="0"/>
              <w:rPr>
                <w:sz w:val="9"/>
                <w:szCs w:val="9"/>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Effective</w:t>
            </w: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Unsold</w:t>
            </w: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6"/>
              </w:rPr>
              <w:t>Price</w:t>
            </w: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9"/>
              </w:rPr>
              <w:t>Securities</w:t>
            </w: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jc w:val="center"/>
              <w:ind w:left="39"/>
              <w:spacing w:after="0"/>
              <w:rPr>
                <w:sz w:val="20"/>
                <w:szCs w:val="20"/>
                <w:color w:val="auto"/>
              </w:rPr>
            </w:pPr>
            <w:r>
              <w:rPr>
                <w:rFonts w:ascii="Arial" w:cs="Arial" w:eastAsia="Arial" w:hAnsi="Arial"/>
                <w:sz w:val="16"/>
                <w:szCs w:val="16"/>
                <w:b w:val="1"/>
                <w:bCs w:val="1"/>
                <w:color w:val="auto"/>
              </w:rPr>
              <w:t>Rule</w:t>
            </w: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17"/>
                <w:szCs w:val="17"/>
                <w:color w:val="auto"/>
              </w:rPr>
            </w:pPr>
          </w:p>
        </w:tc>
        <w:tc>
          <w:tcPr>
            <w:tcW w:w="10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Carried</w:t>
            </w: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700" w:type="dxa"/>
            <w:vAlign w:val="bottom"/>
            <w:gridSpan w:val="6"/>
          </w:tcPr>
          <w:p>
            <w:pPr>
              <w:jc w:val="center"/>
              <w:ind w:right="439"/>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8"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5"/>
                <w:szCs w:val="15"/>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78"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ind w:left="39"/>
              <w:spacing w:after="0"/>
              <w:rPr>
                <w:sz w:val="20"/>
                <w:szCs w:val="20"/>
                <w:color w:val="auto"/>
              </w:rPr>
            </w:pPr>
            <w:r>
              <w:rPr>
                <w:rFonts w:ascii="Arial" w:cs="Arial" w:eastAsia="Arial" w:hAnsi="Arial"/>
                <w:sz w:val="16"/>
                <w:szCs w:val="16"/>
                <w:color w:val="auto"/>
              </w:rPr>
              <w:t>457(o)</w:t>
            </w: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14"/>
                <w:szCs w:val="14"/>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4"/>
                <w:szCs w:val="14"/>
                <w:color w:val="auto"/>
              </w:rPr>
            </w:pPr>
          </w:p>
        </w:tc>
        <w:tc>
          <w:tcPr>
            <w:tcW w:w="920" w:type="dxa"/>
            <w:vAlign w:val="bottom"/>
            <w:shd w:val="clear" w:color="auto" w:fill="E7E7E2"/>
          </w:tcPr>
          <w:p>
            <w:pPr>
              <w:ind w:left="20"/>
              <w:spacing w:after="0" w:line="172"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4"/>
                <w:szCs w:val="14"/>
                <w:color w:val="auto"/>
              </w:rPr>
            </w:pPr>
          </w:p>
        </w:tc>
        <w:tc>
          <w:tcPr>
            <w:tcW w:w="800" w:type="dxa"/>
            <w:vAlign w:val="bottom"/>
            <w:vMerge w:val="restart"/>
            <w:shd w:val="clear" w:color="auto" w:fill="E7E7E2"/>
          </w:tcPr>
          <w:p>
            <w:pPr>
              <w:jc w:val="center"/>
              <w:ind w:left="39"/>
              <w:spacing w:after="0"/>
              <w:rPr>
                <w:sz w:val="20"/>
                <w:szCs w:val="20"/>
                <w:color w:val="auto"/>
              </w:rPr>
            </w:pPr>
            <w:r>
              <w:rPr>
                <w:rFonts w:ascii="Arial" w:cs="Arial" w:eastAsia="Arial" w:hAnsi="Arial"/>
                <w:sz w:val="16"/>
                <w:szCs w:val="16"/>
                <w:color w:val="auto"/>
              </w:rPr>
              <w:t>457(o)</w:t>
            </w: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4"/>
                <w:szCs w:val="14"/>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4"/>
                <w:szCs w:val="14"/>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3</w:t>
            </w:r>
          </w:p>
        </w:tc>
        <w:tc>
          <w:tcPr>
            <w:tcW w:w="20" w:type="dxa"/>
            <w:vAlign w:val="bottom"/>
          </w:tcPr>
          <w:p>
            <w:pPr>
              <w:spacing w:after="0"/>
              <w:rPr>
                <w:sz w:val="14"/>
                <w:szCs w:val="14"/>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4"/>
                <w:szCs w:val="14"/>
                <w:color w:val="auto"/>
              </w:rPr>
            </w:pPr>
          </w:p>
        </w:tc>
        <w:tc>
          <w:tcPr>
            <w:tcW w:w="920" w:type="dxa"/>
            <w:vAlign w:val="bottom"/>
            <w:shd w:val="clear" w:color="auto" w:fill="E7E7E2"/>
          </w:tcPr>
          <w:p>
            <w:pPr>
              <w:ind w:left="20"/>
              <w:spacing w:after="0" w:line="172" w:lineRule="exact"/>
              <w:rPr>
                <w:sz w:val="20"/>
                <w:szCs w:val="20"/>
                <w:color w:val="auto"/>
              </w:rPr>
            </w:pPr>
            <w:r>
              <w:rPr>
                <w:rFonts w:ascii="Arial" w:cs="Arial" w:eastAsia="Arial" w:hAnsi="Arial"/>
                <w:sz w:val="16"/>
                <w:szCs w:val="16"/>
                <w:color w:val="auto"/>
              </w:rPr>
              <w:t>Debt</w:t>
            </w:r>
          </w:p>
        </w:tc>
        <w:tc>
          <w:tcPr>
            <w:tcW w:w="20" w:type="dxa"/>
            <w:vAlign w:val="bottom"/>
          </w:tcPr>
          <w:p>
            <w:pPr>
              <w:spacing w:after="0"/>
              <w:rPr>
                <w:sz w:val="14"/>
                <w:szCs w:val="14"/>
                <w:color w:val="auto"/>
              </w:rPr>
            </w:pPr>
          </w:p>
        </w:tc>
        <w:tc>
          <w:tcPr>
            <w:tcW w:w="800" w:type="dxa"/>
            <w:vAlign w:val="bottom"/>
            <w:vMerge w:val="restart"/>
            <w:shd w:val="clear" w:color="auto" w:fill="E7E7E2"/>
          </w:tcPr>
          <w:p>
            <w:pPr>
              <w:jc w:val="center"/>
              <w:ind w:left="39"/>
              <w:spacing w:after="0"/>
              <w:rPr>
                <w:sz w:val="20"/>
                <w:szCs w:val="20"/>
                <w:color w:val="auto"/>
              </w:rPr>
            </w:pPr>
            <w:r>
              <w:rPr>
                <w:rFonts w:ascii="Arial" w:cs="Arial" w:eastAsia="Arial" w:hAnsi="Arial"/>
                <w:sz w:val="16"/>
                <w:szCs w:val="16"/>
                <w:color w:val="auto"/>
              </w:rPr>
              <w:t>457(o)</w:t>
            </w: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4"/>
                <w:szCs w:val="14"/>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4"/>
                <w:szCs w:val="14"/>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4</w:t>
            </w:r>
          </w:p>
        </w:tc>
        <w:tc>
          <w:tcPr>
            <w:tcW w:w="20" w:type="dxa"/>
            <w:vAlign w:val="bottom"/>
          </w:tcPr>
          <w:p>
            <w:pPr>
              <w:spacing w:after="0"/>
              <w:rPr>
                <w:sz w:val="14"/>
                <w:szCs w:val="14"/>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4"/>
                <w:szCs w:val="14"/>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4"/>
                <w:szCs w:val="14"/>
                <w:color w:val="auto"/>
              </w:rPr>
            </w:pPr>
          </w:p>
        </w:tc>
        <w:tc>
          <w:tcPr>
            <w:tcW w:w="800" w:type="dxa"/>
            <w:vAlign w:val="bottom"/>
            <w:vMerge w:val="restart"/>
            <w:shd w:val="clear" w:color="auto" w:fill="E7E7E2"/>
          </w:tcPr>
          <w:p>
            <w:pPr>
              <w:jc w:val="center"/>
              <w:ind w:left="39"/>
              <w:spacing w:after="0"/>
              <w:rPr>
                <w:sz w:val="20"/>
                <w:szCs w:val="20"/>
                <w:color w:val="auto"/>
              </w:rPr>
            </w:pPr>
            <w:r>
              <w:rPr>
                <w:rFonts w:ascii="Arial" w:cs="Arial" w:eastAsia="Arial" w:hAnsi="Arial"/>
                <w:sz w:val="16"/>
                <w:szCs w:val="16"/>
                <w:color w:val="auto"/>
              </w:rPr>
              <w:t>457(o)</w:t>
            </w: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4"/>
                <w:szCs w:val="14"/>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4"/>
                <w:szCs w:val="14"/>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14"/>
                <w:szCs w:val="14"/>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4"/>
                <w:szCs w:val="14"/>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Rights</w:t>
            </w:r>
          </w:p>
        </w:tc>
        <w:tc>
          <w:tcPr>
            <w:tcW w:w="20" w:type="dxa"/>
            <w:vAlign w:val="bottom"/>
          </w:tcPr>
          <w:p>
            <w:pPr>
              <w:spacing w:after="0"/>
              <w:rPr>
                <w:sz w:val="14"/>
                <w:szCs w:val="14"/>
                <w:color w:val="auto"/>
              </w:rPr>
            </w:pPr>
          </w:p>
        </w:tc>
        <w:tc>
          <w:tcPr>
            <w:tcW w:w="800" w:type="dxa"/>
            <w:vAlign w:val="bottom"/>
            <w:vMerge w:val="restart"/>
            <w:shd w:val="clear" w:color="auto" w:fill="E7E7E2"/>
          </w:tcPr>
          <w:p>
            <w:pPr>
              <w:jc w:val="center"/>
              <w:ind w:left="39"/>
              <w:spacing w:after="0"/>
              <w:rPr>
                <w:sz w:val="20"/>
                <w:szCs w:val="20"/>
                <w:color w:val="auto"/>
              </w:rPr>
            </w:pPr>
            <w:r>
              <w:rPr>
                <w:rFonts w:ascii="Arial" w:cs="Arial" w:eastAsia="Arial" w:hAnsi="Arial"/>
                <w:sz w:val="16"/>
                <w:szCs w:val="16"/>
                <w:color w:val="auto"/>
              </w:rPr>
              <w:t>457(o)</w:t>
            </w: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4"/>
                <w:szCs w:val="14"/>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4"/>
                <w:szCs w:val="14"/>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6</w:t>
            </w:r>
          </w:p>
        </w:tc>
        <w:tc>
          <w:tcPr>
            <w:tcW w:w="20" w:type="dxa"/>
            <w:vAlign w:val="bottom"/>
          </w:tcPr>
          <w:p>
            <w:pPr>
              <w:spacing w:after="0"/>
              <w:rPr>
                <w:sz w:val="14"/>
                <w:szCs w:val="14"/>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4"/>
                <w:szCs w:val="14"/>
                <w:color w:val="auto"/>
              </w:rPr>
            </w:pPr>
          </w:p>
        </w:tc>
        <w:tc>
          <w:tcPr>
            <w:tcW w:w="920" w:type="dxa"/>
            <w:vAlign w:val="bottom"/>
            <w:shd w:val="clear" w:color="auto" w:fill="E7E7E2"/>
          </w:tcPr>
          <w:p>
            <w:pPr>
              <w:ind w:left="20"/>
              <w:spacing w:after="0" w:line="172" w:lineRule="exact"/>
              <w:rPr>
                <w:sz w:val="20"/>
                <w:szCs w:val="20"/>
                <w:color w:val="auto"/>
              </w:rPr>
            </w:pPr>
            <w:r>
              <w:rPr>
                <w:rFonts w:ascii="Arial" w:cs="Arial" w:eastAsia="Arial" w:hAnsi="Arial"/>
                <w:sz w:val="16"/>
                <w:szCs w:val="16"/>
                <w:color w:val="auto"/>
                <w:w w:val="99"/>
              </w:rPr>
              <w:t>Subscription</w:t>
            </w:r>
          </w:p>
        </w:tc>
        <w:tc>
          <w:tcPr>
            <w:tcW w:w="20" w:type="dxa"/>
            <w:vAlign w:val="bottom"/>
          </w:tcPr>
          <w:p>
            <w:pPr>
              <w:spacing w:after="0"/>
              <w:rPr>
                <w:sz w:val="14"/>
                <w:szCs w:val="14"/>
                <w:color w:val="auto"/>
              </w:rPr>
            </w:pPr>
          </w:p>
        </w:tc>
        <w:tc>
          <w:tcPr>
            <w:tcW w:w="800" w:type="dxa"/>
            <w:vAlign w:val="bottom"/>
            <w:vMerge w:val="restart"/>
            <w:shd w:val="clear" w:color="auto" w:fill="E7E7E2"/>
          </w:tcPr>
          <w:p>
            <w:pPr>
              <w:jc w:val="center"/>
              <w:ind w:left="39"/>
              <w:spacing w:after="0"/>
              <w:rPr>
                <w:sz w:val="20"/>
                <w:szCs w:val="20"/>
                <w:color w:val="auto"/>
              </w:rPr>
            </w:pPr>
            <w:r>
              <w:rPr>
                <w:rFonts w:ascii="Arial" w:cs="Arial" w:eastAsia="Arial" w:hAnsi="Arial"/>
                <w:sz w:val="16"/>
                <w:szCs w:val="16"/>
                <w:color w:val="auto"/>
              </w:rPr>
              <w:t>457(o)</w:t>
            </w: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4"/>
                <w:szCs w:val="14"/>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4"/>
                <w:szCs w:val="14"/>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Receipts</w:t>
            </w: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7</w:t>
            </w:r>
          </w:p>
        </w:tc>
        <w:tc>
          <w:tcPr>
            <w:tcW w:w="20" w:type="dxa"/>
            <w:vAlign w:val="bottom"/>
          </w:tcPr>
          <w:p>
            <w:pPr>
              <w:spacing w:after="0"/>
              <w:rPr>
                <w:sz w:val="14"/>
                <w:szCs w:val="14"/>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4"/>
                <w:szCs w:val="14"/>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4"/>
                <w:szCs w:val="14"/>
                <w:color w:val="auto"/>
              </w:rPr>
            </w:pPr>
          </w:p>
        </w:tc>
        <w:tc>
          <w:tcPr>
            <w:tcW w:w="800" w:type="dxa"/>
            <w:vAlign w:val="bottom"/>
            <w:vMerge w:val="restart"/>
            <w:shd w:val="clear" w:color="auto" w:fill="E7E7E2"/>
          </w:tcPr>
          <w:p>
            <w:pPr>
              <w:jc w:val="center"/>
              <w:ind w:left="39"/>
              <w:spacing w:after="0"/>
              <w:rPr>
                <w:sz w:val="20"/>
                <w:szCs w:val="20"/>
                <w:color w:val="auto"/>
              </w:rPr>
            </w:pPr>
            <w:r>
              <w:rPr>
                <w:rFonts w:ascii="Arial" w:cs="Arial" w:eastAsia="Arial" w:hAnsi="Arial"/>
                <w:sz w:val="16"/>
                <w:szCs w:val="16"/>
                <w:color w:val="auto"/>
              </w:rPr>
              <w:t>457(o)</w:t>
            </w: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4"/>
                <w:szCs w:val="14"/>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4"/>
                <w:szCs w:val="14"/>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jc w:val="right"/>
              <w:ind w:right="18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800" w:type="dxa"/>
            <w:vAlign w:val="bottom"/>
            <w:shd w:val="clear" w:color="auto" w:fill="E7E7E2"/>
          </w:tcPr>
          <w:p>
            <w:pPr>
              <w:jc w:val="center"/>
              <w:ind w:left="39"/>
              <w:spacing w:after="0"/>
              <w:rPr>
                <w:sz w:val="20"/>
                <w:szCs w:val="20"/>
                <w:color w:val="auto"/>
              </w:rPr>
            </w:pPr>
            <w:r>
              <w:rPr>
                <w:rFonts w:ascii="Arial" w:cs="Arial" w:eastAsia="Arial" w:hAnsi="Arial"/>
                <w:sz w:val="16"/>
                <w:szCs w:val="16"/>
                <w:color w:val="auto"/>
              </w:rPr>
              <w:t>457(o)</w:t>
            </w: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8</w:t>
            </w:r>
          </w:p>
        </w:tc>
        <w:tc>
          <w:tcPr>
            <w:tcW w:w="20" w:type="dxa"/>
            <w:vAlign w:val="bottom"/>
          </w:tcPr>
          <w:p>
            <w:pPr>
              <w:spacing w:after="0"/>
              <w:rPr>
                <w:sz w:val="7"/>
                <w:szCs w:val="7"/>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ind w:left="39"/>
              <w:spacing w:after="0"/>
              <w:rPr>
                <w:sz w:val="20"/>
                <w:szCs w:val="20"/>
                <w:color w:val="auto"/>
              </w:rPr>
            </w:pPr>
            <w:r>
              <w:rPr>
                <w:rFonts w:ascii="Arial" w:cs="Arial" w:eastAsia="Arial" w:hAnsi="Arial"/>
                <w:sz w:val="16"/>
                <w:szCs w:val="16"/>
                <w:color w:val="auto"/>
              </w:rPr>
              <w:t>457(o)</w:t>
            </w: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$ 6,905.00</w:t>
            </w: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64"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shd w:val="clear" w:color="auto" w:fill="E7E7E2"/>
          </w:tcPr>
          <w:p>
            <w:pPr>
              <w:jc w:val="right"/>
              <w:spacing w:after="0" w:line="164" w:lineRule="exact"/>
              <w:rPr>
                <w:sz w:val="20"/>
                <w:szCs w:val="20"/>
                <w:color w:val="auto"/>
              </w:rPr>
            </w:pPr>
            <w:r>
              <w:rPr>
                <w:rFonts w:ascii="Arial" w:cs="Arial" w:eastAsia="Arial" w:hAnsi="Arial"/>
                <w:sz w:val="16"/>
                <w:szCs w:val="16"/>
                <w:color w:val="auto"/>
              </w:rPr>
              <w:t>50,000,000.00</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right w:val="single" w:sz="8" w:color="auto"/>
            </w:tcBorders>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gridSpan w:val="5"/>
          </w:tcPr>
          <w:p>
            <w:pPr>
              <w:jc w:val="center"/>
              <w:ind w:right="459"/>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8"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gridSpan w:val="4"/>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$ 6,905.00</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50,000,000.00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40" w:type="dxa"/>
            <w:vAlign w:val="bottom"/>
            <w:gridSpan w:val="6"/>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gridSpan w:val="4"/>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$ 6,905.00</w:t>
            </w: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58" w:lineRule="exact"/>
        <w:rPr>
          <w:sz w:val="20"/>
          <w:szCs w:val="20"/>
          <w:color w:val="auto"/>
        </w:rPr>
      </w:pPr>
    </w:p>
    <w:p>
      <w:pPr>
        <w:ind w:left="200" w:right="180" w:firstLine="5"/>
        <w:spacing w:after="0" w:line="243" w:lineRule="auto"/>
        <w:tabs>
          <w:tab w:leader="none" w:pos="444"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ind w:left="200" w:right="160" w:firstLine="5"/>
        <w:spacing w:after="0" w:line="248" w:lineRule="auto"/>
        <w:tabs>
          <w:tab w:leader="none" w:pos="444"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proposed maximum offering price per security and proposed maximum aggregate offering price per class of security will be determined from time to time by the registrant in connection with the issuance by the registrant of the securities registered hereunder and is not specified as to each class of security pursuant to the Instructions to the Calculation of Filing Fee Tables and Related Disclosure of Form S-3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7152640"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152640" cy="3810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0"/>
          <w:szCs w:val="10"/>
          <w:color w:val="auto"/>
        </w:rPr>
        <w:t>2</w:t>
      </w:r>
    </w:p>
    <w:p>
      <w:pPr>
        <w:spacing w:after="0" w:line="58" w:lineRule="exact"/>
        <w:rPr>
          <w:sz w:val="20"/>
          <w:szCs w:val="20"/>
          <w:color w:val="auto"/>
        </w:rPr>
      </w:pPr>
    </w:p>
    <w:p>
      <w:pPr>
        <w:ind w:left="200" w:right="180" w:firstLine="5"/>
        <w:spacing w:after="0" w:line="243" w:lineRule="auto"/>
        <w:tabs>
          <w:tab w:leader="none" w:pos="444"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ind w:left="200" w:right="160" w:firstLine="5"/>
        <w:spacing w:after="0" w:line="248" w:lineRule="auto"/>
        <w:tabs>
          <w:tab w:leader="none" w:pos="444"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proposed maximum offering price per security and proposed maximum aggregate offering price per class of security will be determined from time to time by the registrant in connection with the issuance by the registrant of the securities registered hereunder and is not specified as to each class of security pursuant to the Instructions to the Calculation of Filing Fee Tables and Related Disclosure of Form S-3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7152640"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7152640" cy="3810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0"/>
          <w:szCs w:val="10"/>
          <w:color w:val="auto"/>
        </w:rPr>
        <w:t>3</w:t>
      </w:r>
    </w:p>
    <w:p>
      <w:pPr>
        <w:spacing w:after="0" w:line="58" w:lineRule="exact"/>
        <w:rPr>
          <w:sz w:val="20"/>
          <w:szCs w:val="20"/>
          <w:color w:val="auto"/>
        </w:rPr>
      </w:pPr>
    </w:p>
    <w:p>
      <w:pPr>
        <w:ind w:left="200" w:right="180" w:firstLine="5"/>
        <w:spacing w:after="0" w:line="243" w:lineRule="auto"/>
        <w:tabs>
          <w:tab w:leader="none" w:pos="444"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ind w:left="200" w:right="160" w:firstLine="5"/>
        <w:spacing w:after="0" w:line="248" w:lineRule="auto"/>
        <w:tabs>
          <w:tab w:leader="none" w:pos="444"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proposed maximum offering price per security and proposed maximum aggregate offering price per class of security will be determined from time to time by the registrant in connection with the issuance by the registrant of the securities registered hereunder and is not specified as to each class of security pursuant to the Instructions to the Calculation of Filing Fee Tables and Related Disclosure of Form S-3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7152640"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7152640" cy="3810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0"/>
          <w:szCs w:val="10"/>
          <w:color w:val="auto"/>
        </w:rPr>
        <w:t>4</w:t>
      </w:r>
    </w:p>
    <w:p>
      <w:pPr>
        <w:sectPr>
          <w:pgSz w:w="11900" w:h="16838" w:orient="portrait"/>
          <w:cols w:equalWidth="0" w:num="1">
            <w:col w:w="11360"/>
          </w:cols>
          <w:pgMar w:left="300" w:top="141" w:right="239" w:bottom="0" w:gutter="0" w:footer="0" w:header="0"/>
        </w:sectPr>
      </w:pPr>
    </w:p>
    <w:p>
      <w:pPr>
        <w:spacing w:after="0" w:line="5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 An indeterminate amount of the securities of each identified class is being registered as may from time to time be offered hereunder at indeterminate</w:t>
      </w:r>
    </w:p>
    <w:p>
      <w:pPr>
        <w:sectPr>
          <w:pgSz w:w="11900" w:h="16838" w:orient="portrait"/>
          <w:cols w:equalWidth="0" w:num="1">
            <w:col w:w="11360"/>
          </w:cols>
          <w:pgMar w:left="300" w:top="141" w:right="239" w:bottom="0" w:gutter="0" w:footer="0" w:header="0"/>
          <w:type w:val="continuous"/>
        </w:sectPr>
      </w:pPr>
    </w:p>
    <w:bookmarkStart w:id="28" w:name="page29"/>
    <w:bookmarkEnd w:id="28"/>
    <w:p>
      <w:pPr>
        <w:ind w:left="200" w:right="120"/>
        <w:spacing w:after="0" w:line="243" w:lineRule="auto"/>
        <w:rPr>
          <w:sz w:val="20"/>
          <w:szCs w:val="20"/>
          <w:color w:val="auto"/>
        </w:rPr>
      </w:pPr>
      <w:r>
        <w:rPr>
          <w:rFonts w:ascii="Arial" w:cs="Arial" w:eastAsia="Arial" w:hAnsi="Arial"/>
          <w:sz w:val="16"/>
          <w:szCs w:val="16"/>
          <w:color w:val="auto"/>
        </w:rPr>
        <w:t>prices,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3" w:lineRule="exact"/>
        <w:rPr>
          <w:sz w:val="20"/>
          <w:szCs w:val="20"/>
          <w:color w:val="auto"/>
        </w:rPr>
      </w:pPr>
    </w:p>
    <w:p>
      <w:pPr>
        <w:ind w:left="200" w:right="100" w:firstLine="5"/>
        <w:spacing w:after="0" w:line="248" w:lineRule="auto"/>
        <w:tabs>
          <w:tab w:leader="none" w:pos="44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proposed maximum offering price per security and proposed maximum aggregate offering price per class of security will be determined from time to time by the registrant in connection with the issuance by the registrant of the securities registered hereunder and is not specified as to each class of security pursuant to the Instructions to the Calculation of Filing Fee Tables and Related Disclosure of Form S-3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7152640"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7152640" cy="3810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0"/>
          <w:szCs w:val="10"/>
          <w:color w:val="auto"/>
        </w:rPr>
        <w:t>5</w:t>
      </w:r>
    </w:p>
    <w:p>
      <w:pPr>
        <w:spacing w:after="0" w:line="58" w:lineRule="exact"/>
        <w:rPr>
          <w:sz w:val="20"/>
          <w:szCs w:val="20"/>
          <w:color w:val="auto"/>
        </w:rPr>
      </w:pPr>
    </w:p>
    <w:p>
      <w:pPr>
        <w:ind w:left="200" w:right="120" w:firstLine="5"/>
        <w:spacing w:after="0" w:line="243" w:lineRule="auto"/>
        <w:tabs>
          <w:tab w:leader="none" w:pos="444"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ind w:left="200" w:right="100" w:firstLine="5"/>
        <w:spacing w:after="0" w:line="248" w:lineRule="auto"/>
        <w:tabs>
          <w:tab w:leader="none" w:pos="444"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proposed maximum offering price per security and proposed maximum aggregate offering price per class of security will be determined from time to time by the registrant in connection with the issuance by the registrant of the securities registered hereunder and is not specified as to each class of security pursuant to the Instructions to the Calculation of Filing Fee Tables and Related Disclosure of Form S-3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7152640"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152640" cy="3810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0"/>
          <w:szCs w:val="10"/>
          <w:color w:val="auto"/>
        </w:rPr>
        <w:t>6</w:t>
      </w:r>
    </w:p>
    <w:p>
      <w:pPr>
        <w:spacing w:after="0" w:line="58" w:lineRule="exact"/>
        <w:rPr>
          <w:sz w:val="20"/>
          <w:szCs w:val="20"/>
          <w:color w:val="auto"/>
        </w:rPr>
      </w:pPr>
    </w:p>
    <w:p>
      <w:pPr>
        <w:ind w:left="200" w:right="120" w:firstLine="5"/>
        <w:spacing w:after="0" w:line="243" w:lineRule="auto"/>
        <w:tabs>
          <w:tab w:leader="none" w:pos="444"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ind w:left="200" w:right="100" w:firstLine="5"/>
        <w:spacing w:after="0" w:line="248" w:lineRule="auto"/>
        <w:tabs>
          <w:tab w:leader="none" w:pos="44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proposed maximum offering price per security and proposed maximum aggregate offering price per class of security will be determined from time to time by the registrant in connection with the issuance by the registrant of the securities registered hereunder and is not specified as to each class of security pursuant to the Instructions to the Calculation of Filing Fee Tables and Related Disclosure of Form S-3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7152640"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7152640" cy="3810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0"/>
          <w:szCs w:val="10"/>
          <w:color w:val="auto"/>
        </w:rPr>
        <w:t>7</w:t>
      </w:r>
    </w:p>
    <w:p>
      <w:pPr>
        <w:spacing w:after="0" w:line="58" w:lineRule="exact"/>
        <w:rPr>
          <w:sz w:val="20"/>
          <w:szCs w:val="20"/>
          <w:color w:val="auto"/>
        </w:rPr>
      </w:pPr>
    </w:p>
    <w:p>
      <w:pPr>
        <w:ind w:left="200" w:right="120" w:firstLine="5"/>
        <w:spacing w:after="0" w:line="243" w:lineRule="auto"/>
        <w:tabs>
          <w:tab w:leader="none" w:pos="444"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ind w:left="200" w:right="100" w:firstLine="5"/>
        <w:spacing w:after="0" w:line="248" w:lineRule="auto"/>
        <w:tabs>
          <w:tab w:leader="none" w:pos="444"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proposed maximum offering price per security and proposed maximum aggregate offering price per class of security will be determined from time to time by the registrant in connection with the issuance by the registrant of the securities registered hereunder and is not specified as to each class of security pursuant to the Instructions to the Calculation of Filing Fee Tables and Related Disclosure of Form S-3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7152640"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7152640" cy="3810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0"/>
          <w:szCs w:val="10"/>
          <w:color w:val="auto"/>
        </w:rPr>
        <w:t>8</w:t>
      </w:r>
    </w:p>
    <w:p>
      <w:pPr>
        <w:spacing w:after="0" w:line="58" w:lineRule="exact"/>
        <w:rPr>
          <w:sz w:val="20"/>
          <w:szCs w:val="20"/>
          <w:color w:val="auto"/>
        </w:rPr>
      </w:pPr>
    </w:p>
    <w:p>
      <w:pPr>
        <w:ind w:left="200" w:right="120" w:firstLine="5"/>
        <w:spacing w:after="0" w:line="243" w:lineRule="auto"/>
        <w:tabs>
          <w:tab w:leader="none" w:pos="444"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ind w:left="200" w:right="100" w:firstLine="5"/>
        <w:spacing w:after="0" w:line="238" w:lineRule="auto"/>
        <w:tabs>
          <w:tab w:leader="none" w:pos="444"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proposed maximum offering price per security and proposed maximum aggregate offering price per class of security will be determined from time to time by the registrant in connection with the issuance by the registrant of the securities registered hereunder and is not specified as to each class of security pursuant to the Instructions to the Calculation of Filing Fee Tables and Related Disclosure of Form S-3 under the Securities Act.</w:t>
      </w:r>
    </w:p>
    <w:p>
      <w:pPr>
        <w:spacing w:after="0" w:line="2" w:lineRule="exact"/>
        <w:rPr>
          <w:rFonts w:ascii="Arial" w:cs="Arial" w:eastAsia="Arial" w:hAnsi="Arial"/>
          <w:sz w:val="16"/>
          <w:szCs w:val="16"/>
          <w:color w:val="auto"/>
        </w:rPr>
      </w:pPr>
    </w:p>
    <w:p>
      <w:pPr>
        <w:ind w:left="200" w:right="220" w:firstLine="5"/>
        <w:spacing w:after="0" w:line="248" w:lineRule="auto"/>
        <w:tabs>
          <w:tab w:leader="none" w:pos="444"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proposed maximum aggregate offering price is estimated solely for the purpose of calculating the registration fee pursuant to Rule 457(o) under the Securities Act. Subject to Rule 462(b) under the Securities Act, the aggregate maximum offering price of all securities issued by the registrant pursuant to this registration statement will not exceed $50,000,000.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7152640"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7152640" cy="3810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4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8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8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Title</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Securities</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7"/>
                <w:szCs w:val="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7"/>
                <w:szCs w:val="7"/>
                <w:color w:val="auto"/>
              </w:rPr>
            </w:pPr>
          </w:p>
        </w:tc>
        <w:tc>
          <w:tcPr>
            <w:tcW w:w="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gridSpan w:val="4"/>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42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60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jc w:val="center"/>
              <w:ind w:right="199"/>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5"/>
                <w:szCs w:val="15"/>
                <w:color w:val="auto"/>
              </w:rPr>
            </w:pPr>
          </w:p>
        </w:tc>
        <w:tc>
          <w:tcPr>
            <w:tcW w:w="6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8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4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6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82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8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8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Source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4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6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80" w:type="dxa"/>
            <w:vAlign w:val="bottom"/>
            <w:shd w:val="clear" w:color="auto" w:fill="9ADAF6"/>
          </w:tcPr>
          <w:p>
            <w:pPr>
              <w:spacing w:after="0"/>
              <w:rPr>
                <w:sz w:val="18"/>
                <w:szCs w:val="18"/>
                <w:color w:val="auto"/>
              </w:rPr>
            </w:pPr>
          </w:p>
        </w:tc>
        <w:tc>
          <w:tcPr>
            <w:tcW w:w="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0"/>
          </w:tcPr>
          <w:p>
            <w:pPr>
              <w:ind w:left="52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2"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6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2"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6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3"/>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660" w:type="dxa"/>
            <w:vAlign w:val="bottom"/>
            <w:gridSpan w:val="2"/>
            <w:vMerge w:val="restart"/>
            <w:shd w:val="clear" w:color="auto" w:fill="9ADAF6"/>
          </w:tcPr>
          <w:p>
            <w:pPr>
              <w:jc w:val="center"/>
              <w:ind w:right="121"/>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restart"/>
            <w:shd w:val="clear" w:color="auto" w:fill="9ADAF6"/>
          </w:tcPr>
          <w:p>
            <w:pPr>
              <w:ind w:left="400"/>
              <w:spacing w:after="0"/>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1660" w:type="dxa"/>
            <w:vAlign w:val="bottom"/>
            <w:gridSpan w:val="4"/>
            <w:vMerge w:val="restart"/>
            <w:shd w:val="clear" w:color="auto" w:fill="9ADAF6"/>
          </w:tcPr>
          <w:p>
            <w:pPr>
              <w:jc w:val="center"/>
              <w:ind w:right="262"/>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600" w:type="dxa"/>
            <w:vAlign w:val="bottom"/>
            <w:gridSpan w:val="3"/>
            <w:vMerge w:val="restart"/>
            <w:shd w:val="clear" w:color="auto" w:fill="9ADAF6"/>
          </w:tcPr>
          <w:p>
            <w:pPr>
              <w:ind w:left="60"/>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660" w:type="dxa"/>
            <w:vAlign w:val="bottom"/>
            <w:gridSpan w:val="2"/>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3"/>
            <w:vMerge w:val="restart"/>
            <w:shd w:val="clear" w:color="auto" w:fill="9ADAF6"/>
          </w:tcPr>
          <w:p>
            <w:pPr>
              <w:ind w:left="260"/>
              <w:spacing w:after="0"/>
              <w:rPr>
                <w:sz w:val="20"/>
                <w:szCs w:val="20"/>
                <w:color w:val="auto"/>
              </w:rPr>
            </w:pPr>
            <w:r>
              <w:rPr>
                <w:rFonts w:ascii="Arial" w:cs="Arial" w:eastAsia="Arial" w:hAnsi="Arial"/>
                <w:sz w:val="16"/>
                <w:szCs w:val="16"/>
                <w:b w:val="1"/>
                <w:bCs w:val="1"/>
                <w:color w:val="auto"/>
                <w:w w:val="99"/>
              </w:rPr>
              <w:t>Security Type</w:t>
            </w: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gridSpan w:val="5"/>
            <w:vMerge w:val="restart"/>
            <w:shd w:val="clear" w:color="auto" w:fill="9ADAF6"/>
          </w:tcPr>
          <w:p>
            <w:pPr>
              <w:ind w:left="640"/>
              <w:spacing w:after="0"/>
              <w:rPr>
                <w:sz w:val="20"/>
                <w:szCs w:val="20"/>
                <w:color w:val="auto"/>
              </w:rPr>
            </w:pPr>
            <w:r>
              <w:rPr>
                <w:rFonts w:ascii="Arial" w:cs="Arial" w:eastAsia="Arial" w:hAnsi="Arial"/>
                <w:sz w:val="16"/>
                <w:szCs w:val="16"/>
                <w:b w:val="1"/>
                <w:bCs w:val="1"/>
                <w:color w:val="auto"/>
              </w:rPr>
              <w:t>Security Class Title</w:t>
            </w: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1660" w:type="dxa"/>
            <w:vAlign w:val="bottom"/>
            <w:gridSpan w:val="4"/>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60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gridSpan w:val="5"/>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520" w:type="dxa"/>
            <w:vAlign w:val="bottom"/>
            <w:gridSpan w:val="2"/>
            <w:vMerge w:val="restart"/>
            <w:shd w:val="clear" w:color="auto" w:fill="9ADAF6"/>
          </w:tcPr>
          <w:p>
            <w:pP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3"/>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52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restart"/>
            <w:shd w:val="clear" w:color="auto" w:fill="9ADAF6"/>
          </w:tcPr>
          <w:p>
            <w:pPr>
              <w:jc w:val="center"/>
              <w:ind w:right="161"/>
              <w:spacing w:after="0"/>
              <w:rPr>
                <w:sz w:val="20"/>
                <w:szCs w:val="20"/>
                <w:color w:val="auto"/>
              </w:rPr>
            </w:pPr>
            <w:r>
              <w:rPr>
                <w:rFonts w:ascii="Arial" w:cs="Arial" w:eastAsia="Arial" w:hAnsi="Arial"/>
                <w:sz w:val="16"/>
                <w:szCs w:val="16"/>
                <w:b w:val="1"/>
                <w:bCs w:val="1"/>
                <w:color w:val="auto"/>
              </w:rPr>
              <w:t>Date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40" w:type="dxa"/>
            <w:vAlign w:val="bottom"/>
            <w:gridSpan w:val="3"/>
            <w:vMerge w:val="restart"/>
            <w:shd w:val="clear" w:color="auto" w:fill="9ADAF6"/>
          </w:tcPr>
          <w:p>
            <w:pPr>
              <w:jc w:val="center"/>
              <w:ind w:right="282"/>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0" w:right="299" w:bottom="99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4"/>
    </w:lvl>
  </w:abstractNum>
  <w:abstractNum w:abstractNumId="7">
    <w:nsid w:val="431BD7B7"/>
    <w:multiLevelType w:val="hybridMultilevel"/>
    <w:lvl w:ilvl="0">
      <w:lvlJc w:val="left"/>
      <w:lvlText w:val="(%1)"/>
      <w:numFmt w:val="decimal"/>
      <w:start w:val="5"/>
    </w:lvl>
  </w:abstractNum>
  <w:abstractNum w:abstractNumId="8">
    <w:nsid w:val="3F2DBA31"/>
    <w:multiLevelType w:val="hybridMultilevel"/>
    <w:lvl w:ilvl="0">
      <w:lvlJc w:val="left"/>
      <w:lvlText w:val="(%1)"/>
      <w:numFmt w:val="decimal"/>
      <w:start w:val="23"/>
    </w:lvl>
  </w:abstractNum>
  <w:abstractNum w:abstractNumId="9">
    <w:nsid w:val="7C83E458"/>
    <w:multiLevelType w:val="hybridMultilevel"/>
    <w:lvl w:ilvl="0">
      <w:lvlJc w:val="left"/>
      <w:lvlText w:val="(%1)"/>
      <w:numFmt w:val="decimal"/>
      <w:start w:val="24"/>
    </w:lvl>
  </w:abstractNum>
  <w:abstractNum w:abstractNumId="10">
    <w:nsid w:val="257130A3"/>
    <w:multiLevelType w:val="hybridMultilevel"/>
    <w:lvl w:ilvl="0">
      <w:lvlJc w:val="left"/>
      <w:lvlText w:val="(%1)"/>
      <w:numFmt w:val="decimal"/>
      <w:start w:val="107"/>
    </w:lvl>
  </w:abstractNum>
  <w:abstractNum w:abstractNumId="11">
    <w:nsid w:val="62BBD95A"/>
    <w:multiLevelType w:val="hybridMultilevel"/>
    <w:lvl w:ilvl="0">
      <w:lvlJc w:val="left"/>
      <w:lvlText w:val="%1"/>
      <w:numFmt w:val="decimal"/>
      <w:start w:val="107"/>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lvl w:ilvl="1">
      <w:lvlJc w:val="left"/>
      <w:lvlText w:val="(%2)"/>
      <w:numFmt w:val="lowerRoman"/>
      <w:start w:val="1"/>
    </w:lvl>
  </w:abstractNum>
  <w:abstractNum w:abstractNumId="14">
    <w:nsid w:val="333AB105"/>
    <w:multiLevelType w:val="hybridMultilevel"/>
    <w:lvl w:ilvl="0">
      <w:lvlJc w:val="left"/>
      <w:lvlText w:val="(%1)"/>
      <w:numFmt w:val="decimal"/>
      <w:start w:val="2"/>
    </w:lvl>
    <w:lvl w:ilvl="1">
      <w:lvlJc w:val="left"/>
      <w:lvlText w:val="(%2)"/>
      <w:numFmt w:val="upperLetter"/>
      <w:start w:val="1"/>
    </w:lvl>
  </w:abstractNum>
  <w:abstractNum w:abstractNumId="15">
    <w:nsid w:val="721DA317"/>
    <w:multiLevelType w:val="hybridMultilevel"/>
    <w:lvl w:ilvl="0">
      <w:lvlJc w:val="left"/>
      <w:lvlText w:val="(%1)"/>
      <w:numFmt w:val="decimal"/>
      <w:start w:val="5"/>
    </w:lvl>
    <w:lvl w:ilvl="1">
      <w:lvlJc w:val="left"/>
      <w:lvlText w:val="(%2)"/>
      <w:numFmt w:val="lowerRoman"/>
      <w:start w:val="1"/>
    </w:lvl>
    <w:lvl w:ilvl="2">
      <w:lvlJc w:val="left"/>
      <w:lvlText w:val="(%3)"/>
      <w:numFmt w:val="lowerLetter"/>
      <w:start w:val="2"/>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5"/>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3"/>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2"/>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jpe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83" Type="http://schemas.openxmlformats.org/officeDocument/2006/relationships/hyperlink" Target="https://www.sec.gov/Archives/edgar/data/840715/000175392626000600/clro-20251231.htm" TargetMode="External"/><Relationship Id="rId84" Type="http://schemas.openxmlformats.org/officeDocument/2006/relationships/hyperlink" Target="https://www.sec.gov/Archives/edgar/data/840715/000175392626000897/clro-20260331.htm" TargetMode="External"/><Relationship Id="rId85" Type="http://schemas.openxmlformats.org/officeDocument/2006/relationships/hyperlink" Target="http://www.sec.gov/ix?doc=/Archives/edgar/data/840715/000175392626000244/clro-20260113.htm" TargetMode="External"/><Relationship Id="rId86" Type="http://schemas.openxmlformats.org/officeDocument/2006/relationships/hyperlink" Target="http://www.sec.gov/ix?doc=/Archives/edgar/data/840715/000175392626000443/clro-20260305.htm" TargetMode="External"/><Relationship Id="rId87" Type="http://schemas.openxmlformats.org/officeDocument/2006/relationships/hyperlink" Target="http://www.sec.gov/ix?doc=/Archives/edgar/data/840715/000175392626000473/clro-20260313.htm" TargetMode="External"/><Relationship Id="rId88" Type="http://schemas.openxmlformats.org/officeDocument/2006/relationships/hyperlink" Target="http://www.sec.gov/ix?doc=/Archives/edgar/data/840715/000175392626000497/clro-20260317.htm" TargetMode="External"/><Relationship Id="rId89" Type="http://schemas.openxmlformats.org/officeDocument/2006/relationships/hyperlink" Target="http://www.sec.gov/ix?doc=/Archives/edgar/data/840715/000175392626000620/clro-20260403.htm" TargetMode="External"/><Relationship Id="rId90" Type="http://schemas.openxmlformats.org/officeDocument/2006/relationships/hyperlink" Target="http://www.sec.gov/ix?doc=/Archives/edgar/data/840715/000175392626000649/clro-20260413.htm" TargetMode="External"/><Relationship Id="rId91" Type="http://schemas.openxmlformats.org/officeDocument/2006/relationships/hyperlink" Target="http://www.sec.gov/ix?doc=/Archives/edgar/data/840715/000175392626000720/clro-20260423.htm" TargetMode="External"/><Relationship Id="rId92" Type="http://schemas.openxmlformats.org/officeDocument/2006/relationships/hyperlink" Target="https://www.sec.gov/Archives/edgar/data/840715/000084071507000034/form8-a12bdated081020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2026-06-25T05:19:47Z</dcterms:created>
  <dcterms:modified xsi:type="dcterms:W3CDTF">2026-06-25T05:19:47Z</dcterms:modified>
</cp:coreProperties>
</file>