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29"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FORM 8-K</w:t>
      </w: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 PURSUANT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TO SECTION 13 OR 15(D) OF</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January 29, 2009</w:t>
      </w:r>
    </w:p>
    <w:p>
      <w:pPr>
        <w:spacing w:after="0" w:line="200" w:lineRule="exact"/>
        <w:rPr>
          <w:sz w:val="24"/>
          <w:szCs w:val="24"/>
          <w:color w:val="auto"/>
        </w:rPr>
      </w:pPr>
    </w:p>
    <w:p>
      <w:pPr>
        <w:spacing w:after="0" w:line="282"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u w:val="single" w:color="auto"/>
          <w:color w:val="auto"/>
        </w:rPr>
        <w:t>ClearOne Communications, Inc.</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Utah</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(State or Other Jurisdiction of Incorporation)</w:t>
      </w:r>
    </w:p>
    <w:p>
      <w:pPr>
        <w:spacing w:after="0" w:line="234" w:lineRule="exact"/>
        <w:rPr>
          <w:sz w:val="24"/>
          <w:szCs w:val="24"/>
          <w:color w:val="auto"/>
        </w:rPr>
      </w:pPr>
    </w:p>
    <w:tbl>
      <w:tblPr>
        <w:tblLayout w:type="fixed"/>
        <w:tblInd w:w="2880" w:type="dxa"/>
        <w:tblCellMar>
          <w:top w:w="0" w:type="dxa"/>
          <w:left w:w="0" w:type="dxa"/>
          <w:bottom w:w="0" w:type="dxa"/>
          <w:right w:w="0" w:type="dxa"/>
        </w:tblCellMar>
      </w:tblPr>
      <w:tr>
        <w:trPr>
          <w:trHeight w:val="241"/>
        </w:trPr>
        <w:tc>
          <w:tcPr>
            <w:tcW w:w="284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000-17219</w:t>
            </w:r>
          </w:p>
        </w:tc>
        <w:tc>
          <w:tcPr>
            <w:tcW w:w="2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center"/>
              <w:ind w:right="350"/>
              <w:spacing w:after="0"/>
              <w:rPr>
                <w:sz w:val="20"/>
                <w:szCs w:val="20"/>
                <w:color w:val="auto"/>
              </w:rPr>
            </w:pPr>
            <w:r>
              <w:rPr>
                <w:rFonts w:ascii="Arial" w:cs="Arial" w:eastAsia="Arial" w:hAnsi="Arial"/>
                <w:sz w:val="18"/>
                <w:szCs w:val="18"/>
                <w:b w:val="1"/>
                <w:bCs w:val="1"/>
                <w:color w:val="auto"/>
                <w:w w:val="89"/>
              </w:rPr>
              <w:t>87-0398877</w:t>
            </w:r>
          </w:p>
        </w:tc>
      </w:tr>
      <w:tr>
        <w:trPr>
          <w:trHeight w:val="202"/>
        </w:trPr>
        <w:tc>
          <w:tcPr>
            <w:tcW w:w="2840" w:type="dxa"/>
            <w:vAlign w:val="bottom"/>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180" w:type="dxa"/>
            <w:vAlign w:val="bottom"/>
            <w:gridSpan w:val="3"/>
          </w:tcPr>
          <w:p>
            <w:pPr>
              <w:jc w:val="center"/>
              <w:ind w:right="33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2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80" w:type="dxa"/>
            <w:vAlign w:val="bottom"/>
            <w:gridSpan w:val="3"/>
          </w:tcPr>
          <w:p>
            <w:pPr>
              <w:jc w:val="center"/>
              <w:ind w:right="350"/>
              <w:spacing w:after="0"/>
              <w:rPr>
                <w:sz w:val="20"/>
                <w:szCs w:val="20"/>
                <w:color w:val="auto"/>
              </w:rPr>
            </w:pPr>
            <w:r>
              <w:rPr>
                <w:rFonts w:ascii="Arial" w:cs="Arial" w:eastAsia="Arial" w:hAnsi="Arial"/>
                <w:sz w:val="18"/>
                <w:szCs w:val="18"/>
                <w:color w:val="auto"/>
                <w:w w:val="94"/>
              </w:rPr>
              <w:t>identification number)</w:t>
            </w:r>
          </w:p>
        </w:tc>
      </w:tr>
      <w:tr>
        <w:trPr>
          <w:trHeight w:val="441"/>
        </w:trPr>
        <w:tc>
          <w:tcPr>
            <w:tcW w:w="352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w w:val="89"/>
              </w:rPr>
              <w:t>5225 Wiley Post Way, Suite 500</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68"/>
        </w:trPr>
        <w:tc>
          <w:tcPr>
            <w:tcW w:w="352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w w:val="92"/>
              </w:rPr>
              <w:t>Salt Lake City, Utah</w:t>
            </w:r>
          </w:p>
        </w:tc>
        <w:tc>
          <w:tcPr>
            <w:tcW w:w="218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rPr>
              <w:t>84116</w:t>
            </w:r>
          </w:p>
        </w:tc>
      </w:tr>
      <w:tr>
        <w:trPr>
          <w:trHeight w:val="230"/>
        </w:trPr>
        <w:tc>
          <w:tcPr>
            <w:tcW w:w="3520" w:type="dxa"/>
            <w:vAlign w:val="bottom"/>
            <w:tcBorders>
              <w:top w:val="single" w:sz="8" w:color="auto"/>
            </w:tcBorders>
            <w:gridSpan w:val="3"/>
          </w:tcPr>
          <w:p>
            <w:pPr>
              <w:jc w:val="center"/>
              <w:ind w:left="490"/>
              <w:spacing w:after="0"/>
              <w:rPr>
                <w:sz w:val="20"/>
                <w:szCs w:val="20"/>
                <w:color w:val="auto"/>
              </w:rPr>
            </w:pPr>
            <w:r>
              <w:rPr>
                <w:rFonts w:ascii="Arial" w:cs="Arial" w:eastAsia="Arial" w:hAnsi="Arial"/>
                <w:sz w:val="18"/>
                <w:szCs w:val="18"/>
                <w:color w:val="auto"/>
                <w:w w:val="92"/>
              </w:rPr>
              <w:t>(Address of principal executive offices)</w:t>
            </w:r>
          </w:p>
        </w:tc>
        <w:tc>
          <w:tcPr>
            <w:tcW w:w="6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200" w:lineRule="exact"/>
        <w:rPr>
          <w:sz w:val="24"/>
          <w:szCs w:val="24"/>
          <w:color w:val="auto"/>
        </w:rPr>
      </w:pPr>
    </w:p>
    <w:p>
      <w:pPr>
        <w:spacing w:after="0" w:line="25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(801) 975-7200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8300" w:type="dxa"/>
            <w:vAlign w:val="bottom"/>
            <w:gridSpan w:val="2"/>
          </w:tcPr>
          <w:p>
            <w:pPr>
              <w:ind w:left="60"/>
              <w:spacing w:after="0"/>
              <w:rPr>
                <w:sz w:val="20"/>
                <w:szCs w:val="20"/>
                <w:color w:val="auto"/>
              </w:rPr>
            </w:pPr>
            <w:r>
              <w:rPr>
                <w:rFonts w:ascii="Arial" w:cs="Arial" w:eastAsia="Arial" w:hAnsi="Arial"/>
                <w:sz w:val="18"/>
                <w:szCs w:val="18"/>
                <w:color w:val="auto"/>
              </w:rPr>
              <w:t>] Written communications pursuant to Rule 425 under the Securities Act (17 CFR 230.425)</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8140" w:type="dxa"/>
            <w:vAlign w:val="bottom"/>
          </w:tcPr>
          <w:p>
            <w:pPr>
              <w:ind w:left="6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8140" w:type="dxa"/>
            <w:vAlign w:val="bottom"/>
          </w:tcPr>
          <w:p>
            <w:pPr>
              <w:ind w:left="6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 pursuant to Rule 13e-4(c) under the Exchange Act (17 CFR 240.13e-4(c))</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3" w:lineRule="exact"/>
        <w:rPr>
          <w:rFonts w:ascii="Arial" w:cs="Arial" w:eastAsia="Arial" w:hAnsi="Arial"/>
          <w:sz w:val="18"/>
          <w:szCs w:val="18"/>
          <w:color w:val="auto"/>
        </w:rPr>
      </w:pPr>
    </w:p>
    <w:p>
      <w:pPr>
        <w:ind w:left="5660"/>
        <w:spacing w:after="0"/>
        <w:rPr>
          <w:rFonts w:ascii="Arial" w:cs="Arial" w:eastAsia="Arial" w:hAnsi="Arial"/>
          <w:sz w:val="18"/>
          <w:szCs w:val="18"/>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-475615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040"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January 29, 2009, ClearOne Communications, Inc. (the “Company”) issued a press release announcing its financial results for the quarter ended December 31, 2008. The full text of the Company’s press release is furnished herewith as Exhibit 99.1.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6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8280" w:type="dxa"/>
            <w:vAlign w:val="bottom"/>
          </w:tcPr>
          <w:p>
            <w:pPr>
              <w:ind w:left="160"/>
              <w:spacing w:after="0"/>
              <w:rPr>
                <w:sz w:val="20"/>
                <w:szCs w:val="20"/>
                <w:color w:val="auto"/>
              </w:rPr>
            </w:pPr>
            <w:r>
              <w:rPr>
                <w:rFonts w:ascii="Arial" w:cs="Arial" w:eastAsia="Arial" w:hAnsi="Arial"/>
                <w:sz w:val="18"/>
                <w:szCs w:val="18"/>
                <w:b w:val="1"/>
                <w:bCs w:val="1"/>
                <w:color w:val="auto"/>
              </w:rPr>
              <w:t>Financial Statements and Exhibits.</w:t>
            </w:r>
          </w:p>
        </w:tc>
        <w:tc>
          <w:tcPr>
            <w:tcW w:w="1580" w:type="dxa"/>
            <w:vAlign w:val="bottom"/>
          </w:tcPr>
          <w:p>
            <w:pPr>
              <w:spacing w:after="0"/>
              <w:rPr>
                <w:sz w:val="20"/>
                <w:szCs w:val="20"/>
                <w:color w:val="auto"/>
              </w:rPr>
            </w:pPr>
          </w:p>
        </w:tc>
      </w:tr>
      <w:tr>
        <w:trPr>
          <w:trHeight w:val="459"/>
        </w:trPr>
        <w:tc>
          <w:tcPr>
            <w:tcW w:w="380" w:type="dxa"/>
            <w:vAlign w:val="bottom"/>
          </w:tcPr>
          <w:p>
            <w:pPr>
              <w:spacing w:after="0"/>
              <w:rPr>
                <w:sz w:val="20"/>
                <w:szCs w:val="20"/>
                <w:color w:val="auto"/>
              </w:rPr>
            </w:pPr>
            <w:r>
              <w:rPr>
                <w:rFonts w:ascii="Arial" w:cs="Arial" w:eastAsia="Arial" w:hAnsi="Arial"/>
                <w:sz w:val="18"/>
                <w:szCs w:val="18"/>
                <w:color w:val="auto"/>
              </w:rPr>
              <w:t>(d)</w:t>
            </w:r>
          </w:p>
        </w:tc>
        <w:tc>
          <w:tcPr>
            <w:tcW w:w="1180" w:type="dxa"/>
            <w:vAlign w:val="bottom"/>
          </w:tcPr>
          <w:p>
            <w:pPr>
              <w:ind w:left="340"/>
              <w:spacing w:after="0"/>
              <w:rPr>
                <w:sz w:val="20"/>
                <w:szCs w:val="20"/>
                <w:color w:val="auto"/>
              </w:rPr>
            </w:pPr>
            <w:r>
              <w:rPr>
                <w:rFonts w:ascii="Arial" w:cs="Arial" w:eastAsia="Arial" w:hAnsi="Arial"/>
                <w:sz w:val="18"/>
                <w:szCs w:val="18"/>
                <w:color w:val="auto"/>
              </w:rPr>
              <w:t>Exhibits.</w:t>
            </w:r>
          </w:p>
        </w:tc>
        <w:tc>
          <w:tcPr>
            <w:tcW w:w="82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66"/>
        </w:trPr>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Exhibit No.</w:t>
            </w:r>
          </w:p>
        </w:tc>
        <w:tc>
          <w:tcPr>
            <w:tcW w:w="82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Title of Document</w:t>
            </w:r>
          </w:p>
        </w:tc>
        <w:tc>
          <w:tcPr>
            <w:tcW w:w="15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3"/>
              </w:rPr>
              <w:t>Location</w:t>
            </w:r>
          </w:p>
        </w:tc>
      </w:tr>
      <w:tr>
        <w:trPr>
          <w:trHeight w:val="230"/>
        </w:trPr>
        <w:tc>
          <w:tcPr>
            <w:tcW w:w="380" w:type="dxa"/>
            <w:vAlign w:val="bottom"/>
          </w:tcPr>
          <w:p>
            <w:pPr>
              <w:spacing w:after="0"/>
              <w:rPr>
                <w:sz w:val="20"/>
                <w:szCs w:val="20"/>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99.1</w:t>
            </w:r>
          </w:p>
        </w:tc>
        <w:tc>
          <w:tcPr>
            <w:tcW w:w="8280" w:type="dxa"/>
            <w:vAlign w:val="bottom"/>
          </w:tcPr>
          <w:p>
            <w:pPr>
              <w:ind w:left="400"/>
              <w:spacing w:after="0"/>
              <w:rPr>
                <w:sz w:val="20"/>
                <w:szCs w:val="20"/>
                <w:color w:val="auto"/>
              </w:rPr>
            </w:pPr>
            <w:r>
              <w:rPr>
                <w:rFonts w:ascii="Arial" w:cs="Arial" w:eastAsia="Arial" w:hAnsi="Arial"/>
                <w:sz w:val="18"/>
                <w:szCs w:val="18"/>
                <w:color w:val="auto"/>
                <w:w w:val="91"/>
              </w:rPr>
              <w:t>Press Release dated January 29, 2009 captioned “ClearOne Reports Fiscal 2009 Second Quarter Results.”</w:t>
            </w:r>
          </w:p>
        </w:tc>
        <w:tc>
          <w:tcPr>
            <w:tcW w:w="1580" w:type="dxa"/>
            <w:vAlign w:val="bottom"/>
          </w:tcPr>
          <w:p>
            <w:pPr>
              <w:jc w:val="center"/>
              <w:ind w:right="130"/>
              <w:spacing w:after="0"/>
              <w:rPr>
                <w:sz w:val="20"/>
                <w:szCs w:val="20"/>
                <w:color w:val="auto"/>
              </w:rPr>
            </w:pPr>
            <w:r>
              <w:rPr>
                <w:rFonts w:ascii="Arial" w:cs="Arial" w:eastAsia="Arial" w:hAnsi="Arial"/>
                <w:sz w:val="18"/>
                <w:szCs w:val="18"/>
                <w:color w:val="auto"/>
                <w:w w:val="97"/>
              </w:rPr>
              <w:t>This Filing</w:t>
            </w: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4300" w:val="left"/>
          <w:tab w:leader="none" w:pos="5060" w:val="left"/>
        </w:tabs>
        <w:rPr>
          <w:sz w:val="20"/>
          <w:szCs w:val="20"/>
          <w:color w:val="auto"/>
        </w:rPr>
      </w:pPr>
      <w:r>
        <w:rPr>
          <w:rFonts w:ascii="Arial" w:cs="Arial" w:eastAsia="Arial" w:hAnsi="Arial"/>
          <w:sz w:val="18"/>
          <w:szCs w:val="18"/>
          <w:color w:val="auto"/>
        </w:rPr>
        <w:t>Date: January 29,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Greg A. LeClaire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14605</wp:posOffset>
            </wp:positionV>
            <wp:extent cx="40220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22090" cy="1714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Greg A. LeClaire</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513"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Contact: ClearOne Communications, Inc.</w:t>
      </w:r>
    </w:p>
    <w:p>
      <w:pPr>
        <w:spacing w:after="0" w:line="2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(801) 303-3555</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REPORTS FISCAL 2009 SECOND QUARTER RESULTS</w:t>
      </w:r>
    </w:p>
    <w:p>
      <w:pPr>
        <w:spacing w:after="0" w:line="252"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 xml:space="preserve">Salt Lake City, UT – January 29, 2009 – </w:t>
      </w:r>
      <w:r>
        <w:rPr>
          <w:rFonts w:ascii="Arial" w:cs="Arial" w:eastAsia="Arial" w:hAnsi="Arial"/>
          <w:sz w:val="18"/>
          <w:szCs w:val="18"/>
          <w:color w:val="auto"/>
        </w:rPr>
        <w:t>ClearOne Communications, Inc. (NASDAQ: CLRO) today reported financial results for the second quarter and</w:t>
      </w:r>
      <w:r>
        <w:rPr>
          <w:rFonts w:ascii="Arial" w:cs="Arial" w:eastAsia="Arial" w:hAnsi="Arial"/>
          <w:sz w:val="18"/>
          <w:szCs w:val="18"/>
          <w:b w:val="1"/>
          <w:bCs w:val="1"/>
          <w:color w:val="auto"/>
        </w:rPr>
        <w:t xml:space="preserve"> </w:t>
      </w:r>
      <w:r>
        <w:rPr>
          <w:rFonts w:ascii="Arial" w:cs="Arial" w:eastAsia="Arial" w:hAnsi="Arial"/>
          <w:sz w:val="18"/>
          <w:szCs w:val="18"/>
          <w:color w:val="auto"/>
        </w:rPr>
        <w:t>first six months of fiscal 2009 ended December 31, 2008.</w:t>
      </w:r>
    </w:p>
    <w:p>
      <w:pPr>
        <w:spacing w:after="0" w:line="19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For the fiscal 2009 second quarter, revenue decreased to $10.0 million from $10.8 million in the same quarter of last year. Gross profit was $5.8 million, or 58% of revenue, compared with $6.4 million, or 59% of revenue, for the prior year period. Net income was $604,000, or $0.07 per diluted share, compared with net income of $1.8 million, or $0.16 per diluted share, for the same period last year. During the first fiscal quarter of 2009, ClearOne repurchased 1.3 million shares of its common stock in a tender offer. As a result, shares outstanding used to calculate earnings per share decreased to 9.0 million for the fiscal 2009 second quarter from 10.9 million for the fiscal 2008 second quarter.</w:t>
      </w:r>
    </w:p>
    <w:p>
      <w:pPr>
        <w:spacing w:after="0" w:line="2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financial results for the quarter were impacted by the current economic environment,” said Zee Hakimoglu, president, chief executive officer and chairman of ClearOne. “To better position us for the long term, we have implemented strategic initiatives designed to enhance our sales and marketing efforts and continue to invest in new product development. Also, between November 2008 and January 2009, we strengthened our balance sheet and enhanced liquidity with the sale, at par value, of our entire balance of auction rate securities.”</w:t>
      </w:r>
    </w:p>
    <w:p>
      <w:pPr>
        <w:spacing w:after="0" w:line="214"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For the first six months of fiscal 2009, revenue was $20.2 million, approximately even with the first six months of last year. Gross profit grew to $12.4 million, or 61% of revenue, compared with $11.5 million, or 57% of revenue, for the prior year period. Net income increased to $1.7 million, or $0.18 per diluted share, compared with net income of $858,000, or $0.08 per diluted share, for the same period last year. Diluted weighted average shares outstanding used to calculate earnings per share decreased to 9.6 million for the first six months of fiscal 2009 from 11.0 million for the same period of fiscal 2008.</w:t>
      </w:r>
    </w:p>
    <w:p>
      <w:pPr>
        <w:spacing w:after="0" w:line="1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At December 31, 2008, the company had cash, cash equivalents, and investments of $12.0 million and no long-term debt. In addition, inventory levels of certain key products were higher to buffer against potential disruptions in the supply chain.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ClearOne</w:t>
      </w:r>
    </w:p>
    <w:p>
      <w:pPr>
        <w:spacing w:after="0" w:line="2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ClearOne is a communications solutions company that develops and sells audio conferencing systems and other related products for audio, video, and web conferencing applications. The reliability, flexibility, and performance of ClearOne’s comprehensive solutions create a natural communications environment, which saves organizations time and money by enabling more effective and efficient communication. For more information, visit ClearOne’s website at www.clearone.com.</w:t>
      </w:r>
    </w:p>
    <w:p>
      <w:pPr>
        <w:spacing w:after="0" w:line="2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including statements regarding the company’s ability to successfully commercialize newer products and enter new markets,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http://www.b2i.us/irpass.asp?BzID=509&amp;to=ea&amp;s=0</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TABLES FOLLOW</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814" w:right="259" w:bottom="1440" w:gutter="0" w:footer="0" w:header="0"/>
        </w:sectPr>
      </w:pPr>
    </w:p>
    <w:bookmarkStart w:id="3" w:name="page4"/>
    <w:bookmarkEnd w:id="3"/>
    <w:p>
      <w:pPr>
        <w:jc w:val="center"/>
        <w:ind w:right="80"/>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 thousands of dollars)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b w:val="1"/>
                <w:bCs w:val="1"/>
                <w:color w:val="auto"/>
                <w:w w:val="91"/>
              </w:rPr>
              <w:t>(unaudited)</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(audited)</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December</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270"/>
              <w:spacing w:after="0"/>
              <w:rPr>
                <w:sz w:val="20"/>
                <w:szCs w:val="20"/>
                <w:color w:val="auto"/>
              </w:rPr>
            </w:pPr>
            <w:r>
              <w:rPr>
                <w:rFonts w:ascii="Arial" w:cs="Arial" w:eastAsia="Arial" w:hAnsi="Arial"/>
                <w:sz w:val="18"/>
                <w:szCs w:val="18"/>
                <w:b w:val="1"/>
                <w:bCs w:val="1"/>
                <w:color w:val="auto"/>
              </w:rPr>
              <w:t>31,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June 30,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16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2008</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6940" w:type="dxa"/>
            <w:vAlign w:val="bottom"/>
          </w:tcPr>
          <w:p>
            <w:pPr>
              <w:ind w:left="3120"/>
              <w:spacing w:after="0" w:line="201" w:lineRule="exact"/>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00" w:type="dxa"/>
            <w:vAlign w:val="bottom"/>
            <w:gridSpan w:val="2"/>
          </w:tcPr>
          <w:p>
            <w:pPr>
              <w:ind w:left="1140"/>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3,327</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9,628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5,922</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 of allowance for doubtful accounts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7,532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7,238</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tcPr>
          <w:p>
            <w:pPr>
              <w:ind w:left="380"/>
              <w:spacing w:after="0"/>
              <w:rPr>
                <w:sz w:val="20"/>
                <w:szCs w:val="20"/>
                <w:color w:val="auto"/>
              </w:rPr>
            </w:pPr>
            <w:r>
              <w:rPr>
                <w:rFonts w:ascii="Arial" w:cs="Arial" w:eastAsia="Arial" w:hAnsi="Arial"/>
                <w:sz w:val="18"/>
                <w:szCs w:val="18"/>
                <w:color w:val="auto"/>
              </w:rPr>
              <w:t>of $64 and $87, respectively</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Deposit, bond for preliminary injunction</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Note Receivable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 net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7,799</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Income tax receivable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36,699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28,885</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Long-term marketable securities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11,168</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2,768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2,554</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Long-term deferred tax asset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1,639</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40,254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44,300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tcPr>
          <w:p>
            <w:pPr>
              <w:ind w:left="1520"/>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1,736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2,187</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taxes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3,463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3,600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product revenue</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4,881</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4,547</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10,080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10,406</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Deferred rent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940" w:type="dxa"/>
            <w:vAlign w:val="bottom"/>
          </w:tcPr>
          <w:p>
            <w:pPr>
              <w:ind w:left="32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12,074</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12,160</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940" w:type="dxa"/>
            <w:vAlign w:val="bottom"/>
          </w:tcPr>
          <w:p>
            <w:pPr>
              <w:ind w:left="320"/>
              <w:spacing w:after="0"/>
              <w:rPr>
                <w:sz w:val="20"/>
                <w:szCs w:val="20"/>
                <w:color w:val="auto"/>
              </w:rPr>
            </w:pPr>
            <w:r>
              <w:rPr>
                <w:rFonts w:ascii="Arial" w:cs="Arial" w:eastAsia="Arial" w:hAnsi="Arial"/>
                <w:sz w:val="18"/>
                <w:szCs w:val="18"/>
                <w:color w:val="auto"/>
              </w:rPr>
              <w:t>Total shareholders' equity</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28,180</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32,140</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6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liabilities and shareholders' equity</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40,254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44,300</w:t>
            </w:r>
          </w:p>
        </w:tc>
        <w:tc>
          <w:tcPr>
            <w:tcW w:w="8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44"/>
        </w:trPr>
        <w:tc>
          <w:tcPr>
            <w:tcW w:w="1160" w:type="dxa"/>
            <w:vAlign w:val="bottom"/>
          </w:tcPr>
          <w:p>
            <w:pPr>
              <w:spacing w:after="0"/>
              <w:rPr>
                <w:sz w:val="24"/>
                <w:szCs w:val="24"/>
                <w:color w:val="auto"/>
              </w:rPr>
            </w:pPr>
          </w:p>
        </w:tc>
        <w:tc>
          <w:tcPr>
            <w:tcW w:w="6940" w:type="dxa"/>
            <w:vAlign w:val="bottom"/>
            <w:tcBorders>
              <w:top w:val="single" w:sz="8" w:color="CCEEFF"/>
            </w:tcBorders>
          </w:tcPr>
          <w:p>
            <w:pPr>
              <w:ind w:left="4500"/>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60" w:type="dxa"/>
            <w:vAlign w:val="bottom"/>
            <w:tcBorders>
              <w:bottom w:val="single" w:sz="8" w:color="808080"/>
            </w:tcBorders>
          </w:tcPr>
          <w:p>
            <w:pPr>
              <w:spacing w:after="0"/>
              <w:rPr>
                <w:sz w:val="10"/>
                <w:szCs w:val="10"/>
                <w:color w:val="auto"/>
              </w:rPr>
            </w:pPr>
          </w:p>
        </w:tc>
        <w:tc>
          <w:tcPr>
            <w:tcW w:w="69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4" w:name="page5"/>
    <w:bookmarkEnd w:id="4"/>
    <w:p>
      <w:pPr>
        <w:jc w:val="center"/>
        <w:ind w:right="80"/>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16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gridSpan w:val="5"/>
          </w:tcPr>
          <w:p>
            <w:pPr>
              <w:jc w:val="right"/>
              <w:ind w:right="410"/>
              <w:spacing w:after="0"/>
              <w:rPr>
                <w:sz w:val="20"/>
                <w:szCs w:val="20"/>
                <w:color w:val="auto"/>
              </w:rPr>
            </w:pPr>
            <w:r>
              <w:rPr>
                <w:rFonts w:ascii="Arial" w:cs="Arial" w:eastAsia="Arial" w:hAnsi="Arial"/>
                <w:sz w:val="18"/>
                <w:szCs w:val="18"/>
                <w:b w:val="1"/>
                <w:bCs w:val="1"/>
                <w:color w:val="auto"/>
              </w:rPr>
              <w:t>Three Months</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gridSpan w:val="5"/>
          </w:tcPr>
          <w:p>
            <w:pPr>
              <w:jc w:val="right"/>
              <w:ind w:right="470"/>
              <w:spacing w:after="0"/>
              <w:rPr>
                <w:sz w:val="20"/>
                <w:szCs w:val="20"/>
                <w:color w:val="auto"/>
              </w:rPr>
            </w:pPr>
            <w:r>
              <w:rPr>
                <w:rFonts w:ascii="Arial" w:cs="Arial" w:eastAsia="Arial" w:hAnsi="Arial"/>
                <w:sz w:val="18"/>
                <w:szCs w:val="18"/>
                <w:b w:val="1"/>
                <w:bCs w:val="1"/>
                <w:color w:val="auto"/>
              </w:rPr>
              <w:t>Six Months</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16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w w:val="93"/>
              </w:rPr>
              <w:t>Ended December 31,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6"/>
          </w:tcPr>
          <w:p>
            <w:pPr>
              <w:jc w:val="right"/>
              <w:ind w:right="280"/>
              <w:spacing w:after="0"/>
              <w:rPr>
                <w:sz w:val="20"/>
                <w:szCs w:val="20"/>
                <w:color w:val="auto"/>
              </w:rPr>
            </w:pPr>
            <w:r>
              <w:rPr>
                <w:rFonts w:ascii="Arial" w:cs="Arial" w:eastAsia="Arial" w:hAnsi="Arial"/>
                <w:sz w:val="18"/>
                <w:szCs w:val="18"/>
                <w:b w:val="1"/>
                <w:bCs w:val="1"/>
                <w:color w:val="auto"/>
                <w:w w:val="91"/>
              </w:rPr>
              <w:t>Ended December 31,</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1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1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9,970</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10,787</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20,229</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20,229</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Cost of goods sold</w:t>
            </w: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8,714</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2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Gross profit</w:t>
            </w:r>
          </w:p>
        </w:tc>
        <w:tc>
          <w:tcPr>
            <w:tcW w:w="5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5,802</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6,373</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12,435</w:t>
            </w: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11,515</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Sales &amp; Marketing</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1,934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1,578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3,911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3,180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product development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3,433</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4,093</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2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5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5,035</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4,454</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9,860</w:t>
            </w: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10,706</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vMerge w:val="continue"/>
          </w:tcPr>
          <w:p>
            <w:pPr>
              <w:spacing w:after="0"/>
              <w:rPr>
                <w:sz w:val="19"/>
                <w:szCs w:val="19"/>
                <w:color w:val="auto"/>
              </w:rPr>
            </w:pPr>
          </w:p>
        </w:tc>
        <w:tc>
          <w:tcPr>
            <w:tcW w:w="4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5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2,575</w:t>
            </w: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2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other income, net</w:t>
            </w:r>
          </w:p>
        </w:tc>
        <w:tc>
          <w:tcPr>
            <w:tcW w:w="5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w w:val="95"/>
              </w:rPr>
              <w:t>Income from continuing operations before income taxes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(259)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(449)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(998)</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(620)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from continuing operations</w:t>
            </w:r>
          </w:p>
        </w:tc>
        <w:tc>
          <w:tcPr>
            <w:tcW w:w="5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2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Income from discontinued operations</w:t>
            </w:r>
          </w:p>
        </w:tc>
        <w:tc>
          <w:tcPr>
            <w:tcW w:w="5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42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income</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2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10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10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8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42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0.08</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Basic weighted average shares outstanding</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8,889,974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10,840,193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9,501,381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10,900,725</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 outstanding</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8,989,283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10,941,491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9,600,291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11,012,239</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51"/>
        </w:trPr>
        <w:tc>
          <w:tcPr>
            <w:tcW w:w="11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60" w:type="dxa"/>
            <w:vAlign w:val="bottom"/>
            <w:tcBorders>
              <w:bottom w:val="single" w:sz="8" w:color="808080"/>
            </w:tcBorders>
          </w:tcPr>
          <w:p>
            <w:pPr>
              <w:spacing w:after="0"/>
              <w:rPr>
                <w:sz w:val="10"/>
                <w:szCs w:val="10"/>
                <w:color w:val="auto"/>
              </w:rPr>
            </w:pPr>
          </w:p>
        </w:tc>
        <w:tc>
          <w:tcPr>
            <w:tcW w:w="42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2019-12-10T08:45:50Z</dcterms:created>
  <dcterms:modified xsi:type="dcterms:W3CDTF">2019-12-10T08:45:50Z</dcterms:modified>
</cp:coreProperties>
</file>