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92" w:lineRule="exact"/>
        <w:rPr>
          <w:sz w:val="24"/>
          <w:szCs w:val="24"/>
          <w:color w:val="auto"/>
        </w:rPr>
      </w:pPr>
    </w:p>
    <w:p>
      <w:pPr>
        <w:ind w:left="660" w:right="2780" w:hanging="652"/>
        <w:spacing w:after="0" w:line="259" w:lineRule="auto"/>
        <w:tabs>
          <w:tab w:leader="none" w:pos="36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 xml:space="preserve">For the quarterly period ended </w:t>
      </w:r>
      <w:r>
        <w:rPr>
          <w:rFonts w:ascii="Times New Roman" w:cs="Times New Roman" w:eastAsia="Times New Roman" w:hAnsi="Times New Roman"/>
          <w:sz w:val="16"/>
          <w:szCs w:val="16"/>
          <w:u w:val="single" w:color="auto"/>
          <w:color w:val="auto"/>
        </w:rPr>
        <w:t>June 30, 2015</w:t>
      </w:r>
    </w:p>
    <w:p>
      <w:pPr>
        <w:spacing w:after="0" w:line="1"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TRANSITION REPORT PURSUANT TO SECTION 13 OR 15(d) OF THE SECURITIES EXCHANGE ACT OF 1934</w:t>
      </w:r>
      <w:r>
        <w:rPr>
          <w:rFonts w:ascii="Times New Roman" w:cs="Times New Roman" w:eastAsia="Times New Roman" w:hAnsi="Times New Roman"/>
          <w:sz w:val="16"/>
          <w:szCs w:val="16"/>
          <w:color w:val="auto"/>
        </w:rPr>
        <w:t xml:space="preserve"> For the transition period _______ to _______</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CLEARONE, INC.</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456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Utah</w:t>
            </w:r>
          </w:p>
        </w:tc>
        <w:tc>
          <w:tcPr>
            <w:tcW w:w="5840" w:type="dxa"/>
            <w:vAlign w:val="bottom"/>
            <w:gridSpan w:val="3"/>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rPr>
              <w:t>87-0398877</w:t>
            </w:r>
          </w:p>
        </w:tc>
      </w:tr>
      <w:tr>
        <w:trPr>
          <w:trHeight w:val="47"/>
        </w:trPr>
        <w:tc>
          <w:tcPr>
            <w:tcW w:w="4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257"/>
        </w:trPr>
        <w:tc>
          <w:tcPr>
            <w:tcW w:w="456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5225 Wiley Post Way, Suite 500, Salt Lake City, Utah</w:t>
            </w:r>
          </w:p>
        </w:tc>
        <w:tc>
          <w:tcPr>
            <w:tcW w:w="5840" w:type="dxa"/>
            <w:vAlign w:val="bottom"/>
            <w:gridSpan w:val="3"/>
          </w:tcPr>
          <w:p>
            <w:pPr>
              <w:jc w:val="right"/>
              <w:ind w:right="1759"/>
              <w:spacing w:after="0"/>
              <w:rPr>
                <w:sz w:val="20"/>
                <w:szCs w:val="20"/>
                <w:color w:val="auto"/>
              </w:rPr>
            </w:pPr>
            <w:r>
              <w:rPr>
                <w:rFonts w:ascii="Times New Roman" w:cs="Times New Roman" w:eastAsia="Times New Roman" w:hAnsi="Times New Roman"/>
                <w:sz w:val="16"/>
                <w:szCs w:val="16"/>
                <w:b w:val="1"/>
                <w:bCs w:val="1"/>
                <w:color w:val="auto"/>
              </w:rPr>
              <w:t>84116</w:t>
            </w:r>
          </w:p>
        </w:tc>
      </w:tr>
      <w:tr>
        <w:trPr>
          <w:trHeight w:val="47"/>
        </w:trPr>
        <w:tc>
          <w:tcPr>
            <w:tcW w:w="4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5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(Zip Code)</w:t>
            </w:r>
          </w:p>
        </w:tc>
      </w:tr>
      <w:tr>
        <w:trPr>
          <w:trHeight w:val="257"/>
        </w:trPr>
        <w:tc>
          <w:tcPr>
            <w:tcW w:w="456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 (801)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62" w:lineRule="exact"/>
        <w:rPr>
          <w:sz w:val="24"/>
          <w:szCs w:val="24"/>
          <w:color w:val="auto"/>
        </w:rPr>
      </w:pPr>
    </w:p>
    <w:p>
      <w:pPr>
        <w:jc w:val="both"/>
        <w:ind w:right="40"/>
        <w:spacing w:after="0" w:line="281" w:lineRule="auto"/>
        <w:rPr>
          <w:sz w:val="20"/>
          <w:szCs w:val="20"/>
          <w:color w:val="auto"/>
        </w:rPr>
      </w:pPr>
      <w:r>
        <w:rPr>
          <w:rFonts w:ascii="Times New Roman" w:cs="Times New Roman" w:eastAsia="Times New Roman" w:hAnsi="Times New Roman"/>
          <w:sz w:val="16"/>
          <w:szCs w:val="16"/>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136"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No [x]</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5"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 [ ]</w:t>
      </w:r>
    </w:p>
    <w:p>
      <w:pPr>
        <w:spacing w:after="0" w:line="154" w:lineRule="exact"/>
        <w:rPr>
          <w:sz w:val="24"/>
          <w:szCs w:val="24"/>
          <w:color w:val="auto"/>
        </w:rPr>
      </w:pPr>
    </w:p>
    <w:p>
      <w:pPr>
        <w:sectPr>
          <w:pgSz w:w="11900" w:h="16838" w:orient="portrait"/>
          <w:cols w:equalWidth="0" w:num="2">
            <w:col w:w="6080" w:space="720"/>
            <w:col w:w="4600"/>
          </w:cols>
          <w:pgMar w:left="240" w:top="475"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5"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APPLICABLE ONLY TO CORPORATE ISSUERS:</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ClearOne common stock outstanding as of January 8, 2016 was 9,148,596.</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19"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 to ClearOne, Inc.’s (the “Company’s”) Quarterly Report on Form 10-Q for the quarterly period ended June 30, 2015 (the “Amendment”), as filed with the Securities and Exchange Commission (the “SEC”) on August 12, 2015 (the “Original Filing”), is being filed to amend Part I, Item 1 and Part II, Item 6 of the Original Filing following the re-review of the Company’s unaudited interim financial information for the quarterly period ended June 30, 2015 (the “Re-review”) by its current independent registered public accounting firm, Tanner LLC (“Tanner”). This Amendment is being filed to: (i) update disclosures in Part I, Item 1 with the inclusion of a Report of Independent Registered Public Accounting Firm on this Form 10-Q/A and updates of references to the Form 10-K/A resulting from the review and re-audit by Tanner, respectively; (ii) amend</w:t>
      </w:r>
    </w:p>
    <w:p>
      <w:pPr>
        <w:sectPr>
          <w:pgSz w:w="11900" w:h="16838" w:orient="portrait"/>
          <w:cols w:equalWidth="0" w:num="1">
            <w:col w:w="11400"/>
          </w:cols>
          <w:pgMar w:left="240" w:top="475" w:right="259" w:bottom="1440" w:gutter="0" w:footer="0" w:header="0"/>
          <w:type w:val="continuous"/>
        </w:sectPr>
      </w:pPr>
    </w:p>
    <w:bookmarkStart w:id="1" w:name="page2"/>
    <w:bookmarkEnd w:id="1"/>
    <w:p>
      <w:pPr>
        <w:ind w:right="120"/>
        <w:spacing w:after="0" w:line="256" w:lineRule="auto"/>
        <w:rPr>
          <w:sz w:val="20"/>
          <w:szCs w:val="20"/>
          <w:color w:val="auto"/>
        </w:rPr>
      </w:pPr>
      <w:r>
        <w:rPr>
          <w:rFonts w:ascii="Times New Roman" w:cs="Times New Roman" w:eastAsia="Times New Roman" w:hAnsi="Times New Roman"/>
          <w:sz w:val="18"/>
          <w:szCs w:val="18"/>
          <w:color w:val="auto"/>
        </w:rPr>
        <w:t>Part II, Item 6 of the Original Filing to include new certifications, as reflected in Exhibits 31.1, 31.2, 32.1 and 32.2; (iii) to replace the related XBRL files as Exhibit 101 to this Form 10-Q/A which incorporates XBRL references to subsequent events occurring after the Original 10-Q was filed; and (iv) to provide an acknowledgment from Tanner regarding the unaudited interim financial statements, as reflected in Exhibit 15.1. No other changes have been made to the Original Filing, and, except as set forth in Note 11 to the financial statements within the changes described above, this Amendment does not reflect events or transactions occurring after the date of the Original Filing or modify or update those disclosures that may have been affected by events or transactions occurring subsequent to such filing date.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2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previously disclosed, on October 8, 2015 ClearOne, Inc. (the Company ) received notice from its registered public accounting firm, McGladrey LLP ("McGladrey"), that McGladrey resigned effective October 8, 2015. McGladrey's resignation was not due to any reason related to the Company's financial reporting or accounting operations, policies or practices. In its resignation letter, McGladrey stated it had concluded that its independence had been impaired because an associated entity of McGladrey has provided certain prohibited non-audit services under applicable Securities and Exchange Commission rules and related Public Company Accounting Oversight Board professional practice standards to an international subsidiary of the Company.</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13, 2015, the Company engaged Tanner LLC ( Tanner ) to serve as its new independent registered public accounting firm for (a) the audit for the fiscal year ending December 31, 2015; (b) interim reviews for the periods ending September 30, 2015, March 31, 2016, June 30, 2016 and September 30, 2016; and (c) for the (i) re-audit and report of Independent Registered Public Accounting Firm relating to the Company's consolidated financial statements for the year ended December 31, 2014; and (ii) the re-review of the Company's financial statements for the interim periods ended March 31, 2015 and June 30, 2015. The Company’s unaudited interim financial statements for the quarter ended June 30, 2015 that are presented in this amended quarterly report have been prepared in accordance with U.S. Securities and Exchange Commission (“SEC”) rules.</w:t>
      </w:r>
    </w:p>
    <w:p>
      <w:pPr>
        <w:sectPr>
          <w:pgSz w:w="11900" w:h="16838" w:orient="portrait"/>
          <w:cols w:equalWidth="0" w:num="1">
            <w:col w:w="11420"/>
          </w:cols>
          <w:pgMar w:left="240" w:top="364" w:right="2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10-Q/A FOR THE QUARTER ENDED JUNE 30, 2015</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60" w:type="dxa"/>
            <w:vAlign w:val="bottom"/>
            <w:gridSpan w:val="5"/>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2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10260" w:type="dxa"/>
            <w:vAlign w:val="bottom"/>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June 30, 2015 and December 31, 2014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Income and Comprehensive Income for the three and six months ended June 30, 2015 and</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2014 Unaudited</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June 30, 2015 and 2014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21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60" w:type="dxa"/>
            <w:vAlign w:val="bottom"/>
            <w:gridSpan w:val="5"/>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920" w:type="dxa"/>
            <w:vAlign w:val="bottom"/>
            <w:gridSpan w:val="2"/>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6.</w:t>
              </w:r>
            </w:hyperlink>
          </w:p>
        </w:tc>
        <w:tc>
          <w:tcPr>
            <w:tcW w:w="10260" w:type="dxa"/>
            <w:vAlign w:val="bottom"/>
            <w:gridSpan w:val="8"/>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0" w:right="2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reviewed the consolidated balance sheet of ClearOne, Inc. (the Company) as of June 30, 2015, the related consolidated statements of income and comprehensive income and cash flows for the three and six-month periods ended June 30, 2015 and 2014. These consolidated financial statements are the responsibility of the Company’s management. 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 Based on our review, we are not aware of any material modifications that should be made to the consolidated financial statements referred to above for them to be in conformity with U.S. generally accepted accounting principles. We have audited, in accordance with standards of the Public Company Accounting Oversight Board (United States), the consolidated balance sheet of ClearOne, Inc. as of December 31, 2014, and the related consolidated statements of income and comprehensive income, equity, and cash flows for the year then ended (not presented herein); and in our report dated January 13, 2016 we expressed an unqualified opinion on those consolidated financial statements. In our opinion, the information set forth in the accompanying consolidated balance sheet as of December 31, 2014 and the consolidated statement of equity for the year ended December 31, 2014, is fairly stated, in all material respects, in relation to the consolidated financial statements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Tanner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2016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7180" w:type="dxa"/>
            <w:vAlign w:val="bottom"/>
          </w:tcPr>
          <w:p>
            <w:pPr>
              <w:ind w:left="3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22"/>
                <w:szCs w:val="22"/>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2015</w:t>
            </w:r>
          </w:p>
        </w:tc>
        <w:tc>
          <w:tcPr>
            <w:tcW w:w="240" w:type="dxa"/>
            <w:vAlign w:val="bottom"/>
          </w:tcPr>
          <w:p>
            <w:pPr>
              <w:spacing w:after="0"/>
              <w:rPr>
                <w:sz w:val="22"/>
                <w:szCs w:val="22"/>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0" w:type="dxa"/>
            <w:vAlign w:val="bottom"/>
          </w:tcPr>
          <w:p>
            <w:pPr>
              <w:spacing w:after="0"/>
              <w:rPr>
                <w:sz w:val="1"/>
                <w:szCs w:val="1"/>
                <w:color w:val="auto"/>
              </w:rPr>
            </w:pPr>
          </w:p>
        </w:tc>
      </w:tr>
      <w:tr>
        <w:trPr>
          <w:trHeight w:val="244"/>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$52 and $58, respectively</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channel inventories</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44,781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90,783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product revenue</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3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$0.001, 50,000,000 shares authorized, 9,128,053 and 9,097,827 shares</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w:t>
            </w:r>
          </w:p>
        </w:tc>
        <w:tc>
          <w:tcPr>
            <w:tcW w:w="3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44,939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31,076</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78,665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76,016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90,783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14,111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26,819</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6,047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11,053</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8,064</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15,766</w:t>
            </w:r>
          </w:p>
        </w:tc>
      </w:tr>
      <w:tr>
        <w:trPr>
          <w:trHeight w:val="291"/>
        </w:trPr>
        <w:tc>
          <w:tcPr>
            <w:tcW w:w="5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7"/>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5,713</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4,571</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3,680</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7,018</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13,964</w:t>
            </w:r>
          </w:p>
        </w:tc>
      </w:tr>
      <w:tr>
        <w:trPr>
          <w:trHeight w:val="291"/>
        </w:trPr>
        <w:tc>
          <w:tcPr>
            <w:tcW w:w="5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9,119,907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9,266,071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9,110,062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9,174,816</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9,603,682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9,677,726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9,560,914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9,618,172</w:t>
            </w:r>
          </w:p>
        </w:tc>
      </w:tr>
      <w:tr>
        <w:trPr>
          <w:trHeight w:val="324"/>
        </w:trPr>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5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unrealized gains (losses) on available-for-sale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5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net of tax</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947</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0" w:type="dxa"/>
            <w:vAlign w:val="bottom"/>
          </w:tcPr>
          <w:p>
            <w:pPr>
              <w:spacing w:after="0"/>
              <w:rPr>
                <w:sz w:val="1"/>
                <w:szCs w:val="1"/>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21"/>
                <w:szCs w:val="21"/>
                <w:color w:val="auto"/>
              </w:rPr>
            </w:pPr>
          </w:p>
        </w:tc>
        <w:tc>
          <w:tcPr>
            <w:tcW w:w="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rent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(recoveries of) doubtful accounts, net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Write-down of inventory to net realizable value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benefit from exercise of stock options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towards business acquisitions</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intangibles</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benefits from equity-based compensation programs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registration costs</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stock repurchases</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3,433</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17,192</w:t>
            </w:r>
          </w:p>
        </w:tc>
        <w:tc>
          <w:tcPr>
            <w:tcW w:w="0" w:type="dxa"/>
            <w:vAlign w:val="bottom"/>
          </w:tcPr>
          <w:p>
            <w:pPr>
              <w:spacing w:after="0"/>
              <w:rPr>
                <w:sz w:val="1"/>
                <w:szCs w:val="1"/>
                <w:color w:val="auto"/>
              </w:rPr>
            </w:pPr>
          </w:p>
        </w:tc>
      </w:tr>
      <w:tr>
        <w:trPr>
          <w:trHeight w:val="257"/>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26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10,873</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820"/>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33"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2014</w:t>
            </w:r>
          </w:p>
        </w:tc>
        <w:tc>
          <w:tcPr>
            <w:tcW w:w="6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1380" w:type="dxa"/>
            <w:vAlign w:val="bottom"/>
          </w:tcPr>
          <w:p>
            <w:pPr>
              <w:jc w:val="right"/>
              <w:ind w:right="11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r>
      <w:tr>
        <w:trPr>
          <w:trHeight w:val="27"/>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in connection with acquisition of business</w:t>
            </w:r>
          </w:p>
        </w:tc>
        <w:tc>
          <w:tcPr>
            <w:tcW w:w="1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r>
        <w:trPr>
          <w:trHeight w:val="27"/>
        </w:trPr>
        <w:tc>
          <w:tcPr>
            <w:tcW w:w="7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Business Description: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ClearOne, Inc. and its subsidiaries (collectively, “ClearOne” or the “Company”) are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Basis of Presentation:</w:t>
      </w:r>
    </w:p>
    <w:p>
      <w:pPr>
        <w:spacing w:after="0" w:line="229" w:lineRule="exact"/>
        <w:rPr>
          <w:sz w:val="20"/>
          <w:szCs w:val="20"/>
          <w:color w:val="auto"/>
        </w:rPr>
      </w:pPr>
    </w:p>
    <w:p>
      <w:pPr>
        <w:ind w:right="440"/>
        <w:spacing w:after="0" w:line="218" w:lineRule="auto"/>
        <w:rPr>
          <w:sz w:val="20"/>
          <w:szCs w:val="20"/>
          <w:color w:val="auto"/>
        </w:rPr>
      </w:pPr>
      <w:r>
        <w:rPr>
          <w:rFonts w:ascii="Times New Roman" w:cs="Times New Roman" w:eastAsia="Times New Roman" w:hAnsi="Times New Roman"/>
          <w:sz w:val="18"/>
          <w:szCs w:val="18"/>
          <w:color w:val="auto"/>
        </w:rPr>
        <w:t>The fiscal year for ClearOne is the 12 months ending on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The consolidated financial statements include the accounts of ClearOne and its subsidiaries. All significant inter-company accounts and transactions have been eliminated.</w:t>
      </w:r>
    </w:p>
    <w:p>
      <w:pPr>
        <w:spacing w:after="0" w:line="1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accompanying interim condensed consolidated financial statements for the three and six months ended June 30, 2015 and 2014,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June 30, 2015 and December 31, 2014, the results of operations for the three and six months ended June 30, 2015 and 2014, and the cash flows for the six months ended June 30, 2015 and 2014. The results of operations for the three and six months ended June 30, 2015 and 2014 are not necessarily indicative of the results for a full-year period. These interim condensed consolidated financial statements should be read in conjunction with the financial statements included in our Annual Report on Form 10-K/A for the year ended December 31, 2014 filed with the SEC on January 13,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Significant Accounting Policies: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10-K/A for the year ended December 31, 2014 filed with the SEC on January 13, 2016. There have been no changes to these policies during the six months ended June 30, 2015 that are of significance or potential significance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Recent Accounting Pronouncements: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7" w:right="2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360" w:type="dxa"/>
            <w:vAlign w:val="bottom"/>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9,119,907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9,266,071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9,110,062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9,174,816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483,775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411,655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450,852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443,356</w:t>
            </w:r>
          </w:p>
        </w:tc>
      </w:tr>
      <w:tr>
        <w:trPr>
          <w:trHeight w:val="297"/>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9,603,682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9,677,726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9,560,914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9,618,172</w:t>
            </w:r>
          </w:p>
        </w:tc>
      </w:tr>
      <w:tr>
        <w:trPr>
          <w:trHeight w:val="311"/>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r>
      <w:tr>
        <w:trPr>
          <w:trHeight w:val="32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options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1,037,978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900,512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1,037,560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971,963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Anti-dilutive options not included in the computations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74,209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171,459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130,730</w:t>
            </w:r>
          </w:p>
        </w:tc>
      </w:tr>
    </w:tbl>
    <w:p>
      <w:pPr>
        <w:spacing w:after="0" w:line="22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Acquisition of Sabine</w:t>
      </w:r>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March 7, 2014, the Company completed the acquisition of Sabine, Inc. ("Sabine") through a stock purchase agreement ("SPA"). Through the acquisition, the Company now manufactures, designs and sells professional wireless microphone systems for live and installed audio under the Sacom and ClearOne brand. It also makes an FBX Feedback Exterminator for reliable automatic feedback control. With the addition of Sabine, the Company now has reliable and exclusive access to the supply of wireless microphones that are a critical component of its complete microphone portfolio.</w:t>
      </w:r>
    </w:p>
    <w:p>
      <w:pPr>
        <w:spacing w:after="0" w:line="342"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8,141</w:t>
            </w:r>
          </w:p>
        </w:tc>
      </w:tr>
      <w:tr>
        <w:trPr>
          <w:trHeight w:val="263"/>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r>
        <w:trPr>
          <w:trHeight w:val="21"/>
        </w:trPr>
        <w:tc>
          <w:tcPr>
            <w:tcW w:w="9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r>
      <w:tr>
        <w:trPr>
          <w:trHeight w:val="260"/>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goodwill of $5,510 related to the acquisition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Pro Forma Information:</w:t>
      </w:r>
    </w:p>
    <w:p>
      <w:pPr>
        <w:spacing w:after="0" w:line="227" w:lineRule="exact"/>
        <w:rPr>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net loss from the Sabine business from March 8, 2014 to June 30, 2014 were $84 and $163 respectively.</w:t>
      </w:r>
    </w:p>
    <w:p>
      <w:pPr>
        <w:spacing w:after="0" w:line="27"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earnings of the combined entity as though the business combination occurred as of January 1, 2014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14,111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27,088</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3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0.13</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r>
    </w:tbl>
    <w:p>
      <w:pPr>
        <w:spacing w:after="0" w:line="225" w:lineRule="exact"/>
        <w:rPr>
          <w:sz w:val="20"/>
          <w:szCs w:val="20"/>
          <w:color w:val="auto"/>
        </w:rPr>
      </w:pPr>
    </w:p>
    <w:p>
      <w:pPr>
        <w:ind w:right="460" w:firstLine="656"/>
        <w:spacing w:after="0" w:line="282" w:lineRule="auto"/>
        <w:tabs>
          <w:tab w:leader="none" w:pos="8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material, nonrecurring pro forma adjustments directly attributable to the acquisition included in this Supplemental Pro Forma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Acquisition of Spontania Business of Spain-based Dialcom Networks, S.L.</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aggregate purchase price under the terms of the transaction was approximately €3.66 million in cash (approximately US$5.1 million ),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NOTES TO UNAUDITED CONDENSED CONSOLIDATED FINANCIAL STATEMENTS</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93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891"/>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of identified assets and liabilities acquired from the Spontania acquisition was as follows:</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3,741</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5,052</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Pro Forma Information:</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and earnings of the combined entity as though the business combination occurred as of January 1, 2014 is not available. The Spontania business was part of a business unit of Dialcom Networks, S.L., and thus separate stand-alone financial information for Spontania is not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2015 and the six months ended June 30, 2014, the company incurred $133 and $437 in total acquisition related expenses for the Sabine and Spontania acquisitions, all of which are categorized under general and administrative expenses in the respective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Restatement</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the completion of the valuation process for the acquisition of Sabine we reported intangible amortization to reflect the final adjusted values on Form 10-K, as amended, for the year ended December 31, 2014. For the quarter and six months ended June 30, 2015 we reported amortization based on the final valuation of intangible items. For the comparative quarter and six months ended June 30, 2014 we have restated net income to reflect the inclusion of the revised amortization applicable to those periods. Net income changed from $934 and $1,424 originally reported for the three and six months ended June 30, 2014 to $882 and $1,369. The reported retained earnings balance of $29,247 at June 30, 2014 under the restatement would be $29,158. The restatement resulted in changes in basic and diluted earnings per share for the three months ended June 30, 2014 from $0.10 and $0.10 to $0.10 and $0.09, respectively. The restatement did not result in a reportable change to earnings per share for the six months ended June 30, 2014.</w:t>
      </w:r>
    </w:p>
    <w:p>
      <w:pPr>
        <w:spacing w:after="0" w:line="18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7" w:right="2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security at June 30, 2015 and December 31, 2014 were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18,968</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6,173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25,141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19,838</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6,318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26,096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26,156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marketable securities classified as available-for-sale securities were as follows at June 30,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7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within one year</w:t>
            </w:r>
          </w:p>
        </w:tc>
        <w:tc>
          <w:tcPr>
            <w:tcW w:w="140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6,384</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18,399</w:t>
            </w:r>
          </w:p>
        </w:tc>
      </w:tr>
      <w:tr>
        <w:trPr>
          <w:trHeight w:val="243"/>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358</w:t>
            </w:r>
          </w:p>
        </w:tc>
      </w:tr>
      <w:tr>
        <w:trPr>
          <w:trHeight w:val="27"/>
        </w:trPr>
        <w:tc>
          <w:tcPr>
            <w:tcW w:w="7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25,141</w:t>
            </w:r>
          </w:p>
        </w:tc>
      </w:tr>
      <w:tr>
        <w:trPr>
          <w:trHeight w:val="20"/>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Debt securities in an unrealized loss position as of June 30, 2015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June 30, 2015 are summarized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8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June 30,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8,186</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June 30, 2015 and December 31, 2014 consisted of the following:</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36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2015</w:t>
            </w:r>
          </w:p>
        </w:tc>
        <w:tc>
          <w:tcPr>
            <w:tcW w:w="280" w:type="dxa"/>
            <w:vAlign w:val="bottom"/>
          </w:tcPr>
          <w:p>
            <w:pPr>
              <w:spacing w:after="0"/>
              <w:rPr>
                <w:sz w:val="18"/>
                <w:szCs w:val="18"/>
                <w:color w:val="auto"/>
              </w:rPr>
            </w:pPr>
          </w:p>
        </w:tc>
        <w:tc>
          <w:tcPr>
            <w:tcW w:w="16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Tradename</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5 to 7 years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 years</w:t>
            </w: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5,850</w:t>
            </w:r>
          </w:p>
        </w:tc>
      </w:tr>
      <w:tr>
        <w:trPr>
          <w:trHeight w:val="27"/>
        </w:trPr>
        <w:tc>
          <w:tcPr>
            <w:tcW w:w="5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Proprietary software</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 to 15 years</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4,341</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5 years</w:t>
            </w: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11,070</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7"/>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the three and six months ended June 30, 2015 and June 30, 2014 was as follows:</w:t>
      </w:r>
    </w:p>
    <w:p>
      <w:pPr>
        <w:sectPr>
          <w:pgSz w:w="11900" w:h="16838" w:orient="portrait"/>
          <w:cols w:equalWidth="0" w:num="1">
            <w:col w:w="11420"/>
          </w:cols>
          <w:pgMar w:left="240" w:top="117" w:right="239" w:bottom="1440" w:gutter="0" w:footer="0" w:header="0"/>
        </w:sectPr>
      </w:pPr>
    </w:p>
    <w:p>
      <w:pPr>
        <w:spacing w:after="0" w:line="18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38735</wp:posOffset>
            </wp:positionV>
            <wp:extent cx="1903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0" w:lineRule="exact"/>
        <w:rPr>
          <w:sz w:val="20"/>
          <w:szCs w:val="20"/>
          <w:color w:val="auto"/>
        </w:rPr>
      </w:pPr>
    </w:p>
    <w:p>
      <w:pPr>
        <w:ind w:left="5760"/>
        <w:spacing w:after="0"/>
        <w:tabs>
          <w:tab w:leader="none" w:pos="7300" w:val="left"/>
        </w:tabs>
        <w:rPr>
          <w:sz w:val="20"/>
          <w:szCs w:val="20"/>
          <w:color w:val="auto"/>
        </w:rPr>
      </w:pPr>
      <w:r>
        <w:rPr>
          <w:rFonts w:ascii="Times New Roman" w:cs="Times New Roman" w:eastAsia="Times New Roman" w:hAnsi="Times New Roman"/>
          <w:sz w:val="16"/>
          <w:szCs w:val="16"/>
          <w:b w:val="1"/>
          <w:bCs w:val="1"/>
          <w:color w:val="auto"/>
        </w:rPr>
        <w:t>2015</w:t>
      </w:r>
      <w:r>
        <w:rPr>
          <w:sz w:val="20"/>
          <w:szCs w:val="20"/>
          <w:color w:val="auto"/>
        </w:rPr>
        <w:tab/>
      </w:r>
      <w:r>
        <w:rPr>
          <w:rFonts w:ascii="Times New Roman" w:cs="Times New Roman" w:eastAsia="Times New Roman" w:hAnsi="Times New Roman"/>
          <w:sz w:val="16"/>
          <w:szCs w:val="16"/>
          <w:b w:val="1"/>
          <w:bCs w:val="1"/>
          <w:color w:val="auto"/>
        </w:rPr>
        <w:t>2014</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38735</wp:posOffset>
            </wp:positionV>
            <wp:extent cx="1903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6"/>
          <w:szCs w:val="16"/>
          <w:b w:val="1"/>
          <w:bCs w:val="1"/>
          <w:color w:val="auto"/>
        </w:rPr>
        <w:t>2015</w:t>
      </w:r>
      <w:r>
        <w:rPr>
          <w:sz w:val="20"/>
          <w:szCs w:val="20"/>
          <w:color w:val="auto"/>
        </w:rPr>
        <w:tab/>
      </w:r>
      <w:r>
        <w:rPr>
          <w:rFonts w:ascii="Times New Roman" w:cs="Times New Roman" w:eastAsia="Times New Roman" w:hAnsi="Times New Roman"/>
          <w:sz w:val="16"/>
          <w:szCs w:val="16"/>
          <w:b w:val="1"/>
          <w:bCs w:val="1"/>
          <w:color w:val="auto"/>
        </w:rPr>
        <w:t>2014</w:t>
      </w:r>
    </w:p>
    <w:p>
      <w:pPr>
        <w:spacing w:after="0" w:line="41" w:lineRule="exact"/>
        <w:rPr>
          <w:sz w:val="20"/>
          <w:szCs w:val="20"/>
          <w:color w:val="auto"/>
        </w:rPr>
      </w:pPr>
    </w:p>
    <w:p>
      <w:pPr>
        <w:sectPr>
          <w:pgSz w:w="11900" w:h="16838" w:orient="portrait"/>
          <w:cols w:equalWidth="0" w:num="2">
            <w:col w:w="8260" w:space="720"/>
            <w:col w:w="24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2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8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629</w:t>
            </w:r>
          </w:p>
        </w:tc>
        <w:tc>
          <w:tcPr>
            <w:tcW w:w="58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432"/>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 (remainder)</w:t>
            </w: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Inventories, net of reserves, as of June 30, 2015 and December 31, 2014 consisted of the following:</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w w:val="98"/>
              </w:rPr>
              <w:t>June 30, 2015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21"/>
                <w:szCs w:val="21"/>
                <w:color w:val="auto"/>
              </w:rPr>
            </w:pPr>
          </w:p>
        </w:tc>
        <w:tc>
          <w:tcPr>
            <w:tcW w:w="68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12,732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15,969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14,464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308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68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sell the above inventory, net of reserves, at or above the stated cost and believe that no loss will be incurred on its sale.</w:t>
      </w:r>
    </w:p>
    <w:p>
      <w:pPr>
        <w:spacing w:after="0" w:line="207"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7"/>
          <w:szCs w:val="17"/>
          <w:color w:val="auto"/>
        </w:rPr>
        <w:t>Current finished goods include consigned inventory in the amounts of approximately $1,629 and $1,698 as of June 30, 2015 and December 31, 2014, respectively. Consigned inventory represents inventory at distributors and other customers where revenue recognition criteria have not yet been achieved.</w:t>
      </w:r>
    </w:p>
    <w:p>
      <w:pPr>
        <w:spacing w:after="0" w:line="1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losses incurred on valuation of inventory at lower of cost or market value and write-off of obsolete inventory during the three and six months ended June 30, 2015 and 2014, respectively.</w:t>
      </w:r>
    </w:p>
    <w:p>
      <w:pPr>
        <w:sectPr>
          <w:pgSz w:w="11900" w:h="16838" w:orient="portrait"/>
          <w:cols w:equalWidth="0" w:num="1">
            <w:col w:w="11420"/>
          </w:cols>
          <w:pgMar w:left="240" w:top="117" w:right="239" w:bottom="1440" w:gutter="0" w:footer="0" w:header="0"/>
        </w:sectPr>
      </w:pPr>
    </w:p>
    <w:p>
      <w:pPr>
        <w:spacing w:after="0" w:line="1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38735</wp:posOffset>
            </wp:positionV>
            <wp:extent cx="1844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0" w:lineRule="exact"/>
        <w:rPr>
          <w:sz w:val="20"/>
          <w:szCs w:val="20"/>
          <w:color w:val="auto"/>
        </w:rPr>
      </w:pPr>
    </w:p>
    <w:p>
      <w:pPr>
        <w:ind w:left="5840"/>
        <w:spacing w:after="0"/>
        <w:tabs>
          <w:tab w:leader="none" w:pos="7320" w:val="left"/>
        </w:tabs>
        <w:rPr>
          <w:sz w:val="20"/>
          <w:szCs w:val="20"/>
          <w:color w:val="auto"/>
        </w:rPr>
      </w:pPr>
      <w:r>
        <w:rPr>
          <w:rFonts w:ascii="Times New Roman" w:cs="Times New Roman" w:eastAsia="Times New Roman" w:hAnsi="Times New Roman"/>
          <w:sz w:val="16"/>
          <w:szCs w:val="16"/>
          <w:b w:val="1"/>
          <w:bCs w:val="1"/>
          <w:color w:val="auto"/>
        </w:rPr>
        <w:t>2015</w:t>
      </w:r>
      <w:r>
        <w:rPr>
          <w:sz w:val="20"/>
          <w:szCs w:val="20"/>
          <w:color w:val="auto"/>
        </w:rPr>
        <w:tab/>
      </w:r>
      <w:r>
        <w:rPr>
          <w:rFonts w:ascii="Times New Roman" w:cs="Times New Roman" w:eastAsia="Times New Roman" w:hAnsi="Times New Roman"/>
          <w:sz w:val="16"/>
          <w:szCs w:val="16"/>
          <w:b w:val="1"/>
          <w:bCs w:val="1"/>
          <w:color w:val="auto"/>
        </w:rPr>
        <w:t>2014</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38735</wp:posOffset>
            </wp:positionV>
            <wp:extent cx="1920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6"/>
          <w:szCs w:val="16"/>
          <w:b w:val="1"/>
          <w:bCs w:val="1"/>
          <w:color w:val="auto"/>
        </w:rPr>
        <w:t>2015</w:t>
      </w:r>
      <w:r>
        <w:rPr>
          <w:sz w:val="20"/>
          <w:szCs w:val="20"/>
          <w:color w:val="auto"/>
        </w:rPr>
        <w:tab/>
      </w:r>
      <w:r>
        <w:rPr>
          <w:rFonts w:ascii="Times New Roman" w:cs="Times New Roman" w:eastAsia="Times New Roman" w:hAnsi="Times New Roman"/>
          <w:sz w:val="16"/>
          <w:szCs w:val="16"/>
          <w:b w:val="1"/>
          <w:bCs w:val="1"/>
          <w:color w:val="auto"/>
        </w:rPr>
        <w:t>2014</w:t>
      </w:r>
    </w:p>
    <w:p>
      <w:pPr>
        <w:spacing w:after="0" w:line="41" w:lineRule="exact"/>
        <w:rPr>
          <w:sz w:val="20"/>
          <w:szCs w:val="20"/>
          <w:color w:val="auto"/>
        </w:rPr>
      </w:pPr>
    </w:p>
    <w:p>
      <w:pPr>
        <w:sectPr>
          <w:pgSz w:w="11900" w:h="16838" w:orient="portrait"/>
          <w:cols w:equalWidth="0" w:num="2">
            <w:col w:w="8240" w:space="720"/>
            <w:col w:w="246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on valuation of inventory and write-off of obsolete inventory</w:t>
            </w:r>
          </w:p>
        </w:tc>
        <w:tc>
          <w:tcPr>
            <w:tcW w:w="1120" w:type="dxa"/>
            <w:vAlign w:val="bottom"/>
            <w:tcBorders>
              <w:top w:val="single" w:sz="8" w:color="auto"/>
              <w:bottom w:val="single" w:sz="8" w:color="CCEEFF"/>
            </w:tcBorders>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9</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has been recorded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2"/>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114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2015, the total remaining unrecognized compensation cost related to non-vested stock options, net of forfeitures, was approximately $1,144, which will be recognized over a weighted average period of 2.47 years.</w:t>
      </w:r>
    </w:p>
    <w:p>
      <w:pPr>
        <w:spacing w:after="0" w:line="15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shareholders’ equity during the three and six months ended June 30, 2015 and 2014,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52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73,764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70,335</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during the period</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 stock option exercise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1,265</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for acquisitions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1,679</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or loss on investments,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73,875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73,875</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July 16, 2015, the Company announced a quarterly cash dividend of $0.035 per share to be paid on August 10, 2015 to shareholders of record as of July 27, 2015.</w:t>
      </w:r>
    </w:p>
    <w:p>
      <w:pPr>
        <w:sectPr>
          <w:pgSz w:w="11900" w:h="16838" w:orient="portrait"/>
          <w:cols w:equalWidth="0" w:num="1">
            <w:col w:w="11420"/>
          </w:cols>
          <w:pgMar w:left="240" w:top="117"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32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225" w:lineRule="exact"/>
        <w:rPr>
          <w:sz w:val="20"/>
          <w:szCs w:val="20"/>
          <w:color w:val="auto"/>
        </w:rPr>
      </w:pPr>
    </w:p>
    <w:p>
      <w:pPr>
        <w:jc w:val="both"/>
        <w:ind w:right="300"/>
        <w:spacing w:after="0" w:line="313" w:lineRule="auto"/>
        <w:rPr>
          <w:sz w:val="20"/>
          <w:szCs w:val="20"/>
          <w:color w:val="auto"/>
        </w:rPr>
      </w:pPr>
      <w:r>
        <w:rPr>
          <w:rFonts w:ascii="Times New Roman" w:cs="Times New Roman" w:eastAsia="Times New Roman" w:hAnsi="Times New Roman"/>
          <w:sz w:val="17"/>
          <w:szCs w:val="17"/>
          <w:color w:val="auto"/>
        </w:rPr>
        <w:t>The substantial majority of the Company’s financial instruments are valued using quoted prices in markets that are not active or based on other observable inputs. The following table sets forth the fair value of the financial instruments re-measured by the Company as of June 30, 2015 and December 31, 2014: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18,968</w:t>
            </w:r>
          </w:p>
        </w:tc>
        <w:tc>
          <w:tcPr>
            <w:tcW w:w="10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18,968</w:t>
            </w: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6,173</w:t>
            </w:r>
          </w:p>
        </w:tc>
      </w:tr>
      <w:tr>
        <w:trPr>
          <w:trHeight w:val="257"/>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25,141</w:t>
            </w:r>
          </w:p>
        </w:tc>
      </w:tr>
      <w:tr>
        <w:trPr>
          <w:trHeight w:val="20"/>
        </w:trPr>
        <w:tc>
          <w:tcPr>
            <w:tcW w:w="5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75"/>
        </w:trPr>
        <w:tc>
          <w:tcPr>
            <w:tcW w:w="5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19,838</w:t>
            </w:r>
          </w:p>
        </w:tc>
        <w:tc>
          <w:tcPr>
            <w:tcW w:w="10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19,838</w:t>
            </w: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6,318</w:t>
            </w:r>
          </w:p>
        </w:tc>
      </w:tr>
      <w:tr>
        <w:trPr>
          <w:trHeight w:val="257"/>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26,156</w:t>
            </w:r>
          </w:p>
        </w:tc>
      </w:tr>
      <w:tr>
        <w:trPr>
          <w:trHeight w:val="20"/>
        </w:trPr>
        <w:tc>
          <w:tcPr>
            <w:tcW w:w="5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forecasted effective tax rate at June 30, 2015 is 36.0%, a 4.0% increase from the 32.0% effective tax rate recorded at December 31, 2014. The forecasted effective tax rate of 36.0% excludes jurisdictions for which no benefit from forecasted current year losses is anticipated. Including losses from such jurisdictions results in a forecasted effective tax rate of 36.6%. Our forecasted effective tax rate could fluctuate significantly on a quarterly basis and could change, to the extent that earnings in countries with tax rates that differ from that of the U.S. differ, from amounts anticipated at June 30, 2015.</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After discrete tax benefit of $8, the effective tax rate for the quarter ended June 30, 2015 is 36.4%. The discrete tax benefit is primarily attributable to tax benefits of share-based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July 16, 2015, the company announced a quarterly cash dividend of $0.035 per share to be paid on August 10, 2015 to shareholders of record as of July 27, 2015.</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October 8, 2015, the company received notice from its registered public accounting firm, McGladrey LLP (McGladrey), that McGladrey resigned effective October 8, 2015. A full description the disclosures surrounding the resignation can be found in the related Form 8-K filed on October 14, 2015.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13, 2015, the company engaged Tanner LLC (Tanner) to serve as its new independent registered public accounting firm for (a) the audit for the fiscal year ending December 31, 2015; (b) interim reviews for the periods ending September 30, 2015, March 31, 2016, June 30, 2016 and September 30, 2016; and (c) for the (i) re-audit and report of Independent Registered Public Accounting Firm relating to the Company's consolidated financial statements for the year ended December 31, 2014; and (ii) the re-review of the Company's financial statements for the interim periods ended March 31, 2015 and June 30, 2015. A full description the disclosures surrounding the appointment can be found in the related Form 8-K filed on October 14, 2015.</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November 12, 2015, the company announced a quarterly cash dividend of $0.050 per share to be paid on December 21, 2015 to shareholders of record as of December 4, 2015.</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November 24, 2015, the company”) received a letter from NASDAQ Stock Market stating that the Company no longer complies with NASDAQ Listing Rule 5250(c)(1) as a result of its former auditor McGladrey LLP’s resignation and withdrawal of its audit report on the Company’s financial statements for the year ended December 31, 2014 solely as a result of its determination that it was not independent of the Company for such period and subsequent interim periods and the Company’s delay in filing its Form 10-Q for the period ended September 30, 2015. A full description the disclosures surrounding the receipt of the letter can be found in the related Form 8-K filed on December 1, 2015.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7" w:right="2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2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91"/>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15.1</w:t>
            </w:r>
          </w:p>
        </w:tc>
        <w:tc>
          <w:tcPr>
            <w:tcW w:w="72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Letter from Tanner Regarding Unaudited Interim Financial Information</w:t>
            </w:r>
          </w:p>
        </w:tc>
      </w:tr>
      <w:tr>
        <w:trPr>
          <w:trHeight w:val="378"/>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(filed herewith)</w:t>
            </w:r>
          </w:p>
        </w:tc>
      </w:tr>
      <w:tr>
        <w:trPr>
          <w:trHeight w:val="459"/>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89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0219"/>
          </w:cols>
          <w:pgMar w:left="240" w:top="118" w:right="1440"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32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(Registrant)</w:t>
      </w:r>
    </w:p>
    <w:p>
      <w:pPr>
        <w:spacing w:after="0" w:line="166" w:lineRule="exact"/>
        <w:rPr>
          <w:sz w:val="20"/>
          <w:szCs w:val="20"/>
          <w:color w:val="auto"/>
        </w:rPr>
      </w:pPr>
    </w:p>
    <w:p>
      <w:pPr>
        <w:ind w:left="4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January 13,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66" w:lineRule="exact"/>
        <w:rPr>
          <w:sz w:val="20"/>
          <w:szCs w:val="20"/>
          <w:color w:val="auto"/>
        </w:rPr>
      </w:pPr>
    </w:p>
    <w:p>
      <w:pPr>
        <w:ind w:left="4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January 13,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00"/>
          </w:cols>
          <w:pgMar w:left="240" w:top="118" w:right="10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 84116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Statements (Nos. 333-205356, 333-148789 and 333-137859) on Form S-8 and Registration Statement (No. 333-195591) on Form S-3.</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 respect to the subject registration statements, we acknowledge our awareness of the use therein of our report dated January 13, 2016 related to our reviews of interim financial information. 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Tanner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2016</w:t>
      </w:r>
    </w:p>
    <w:p>
      <w:pPr>
        <w:sectPr>
          <w:pgSz w:w="11900" w:h="16838" w:orient="portrait"/>
          <w:cols w:equalWidth="0" w:num="1">
            <w:col w:w="11420"/>
          </w:cols>
          <w:pgMar w:left="240" w:top="576"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10-Q/A;</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820" w:right="380" w:hanging="488"/>
        <w:spacing w:after="0" w:line="266"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820" w:right="80" w:hanging="488"/>
        <w:spacing w:after="0" w:line="266"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820" w:right="880" w:hanging="488"/>
        <w:spacing w:after="0" w:line="313" w:lineRule="auto"/>
        <w:tabs>
          <w:tab w:leader="none" w:pos="8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820" w:right="100" w:hanging="488"/>
        <w:spacing w:after="0" w:line="266"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300" w:hanging="488"/>
        <w:spacing w:after="0" w:line="282"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right="240" w:hanging="488"/>
        <w:spacing w:after="0" w:line="282"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4400" w:val="left"/>
          <w:tab w:leader="none" w:pos="5060" w:val="left"/>
        </w:tabs>
        <w:rPr>
          <w:sz w:val="20"/>
          <w:szCs w:val="20"/>
          <w:color w:val="auto"/>
        </w:rPr>
      </w:pPr>
      <w:r>
        <w:rPr>
          <w:rFonts w:ascii="Times New Roman" w:cs="Times New Roman" w:eastAsia="Times New Roman" w:hAnsi="Times New Roman"/>
          <w:sz w:val="18"/>
          <w:szCs w:val="18"/>
          <w:color w:val="auto"/>
        </w:rPr>
        <w:t>January 13,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189230</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360"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10-Q/A;</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820" w:right="380" w:hanging="488"/>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820" w:right="80" w:hanging="488"/>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820" w:right="880" w:hanging="488"/>
        <w:spacing w:after="0" w:line="313" w:lineRule="auto"/>
        <w:tabs>
          <w:tab w:leader="none" w:pos="8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820" w:right="100" w:hanging="488"/>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300" w:hanging="488"/>
        <w:spacing w:after="0" w:line="282"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right="240" w:hanging="488"/>
        <w:spacing w:after="0" w:line="282"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4380" w:val="left"/>
          <w:tab w:leader="none" w:pos="5000" w:val="left"/>
        </w:tabs>
        <w:rPr>
          <w:sz w:val="20"/>
          <w:szCs w:val="20"/>
          <w:color w:val="auto"/>
        </w:rPr>
      </w:pPr>
      <w:r>
        <w:rPr>
          <w:rFonts w:ascii="Times New Roman" w:cs="Times New Roman" w:eastAsia="Times New Roman" w:hAnsi="Times New Roman"/>
          <w:sz w:val="18"/>
          <w:szCs w:val="18"/>
          <w:color w:val="auto"/>
        </w:rPr>
        <w:t>January 13,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189230</wp:posOffset>
            </wp:positionV>
            <wp:extent cx="3413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420"/>
          </w:cols>
          <w:pgMar w:left="240" w:top="360"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Zeynep Hakimoglu, certify, to my best knowledge and belief, pursuant to 18 U.S.C. Section 1350, as adopted pursuant to Section 906 of the Sarbanes-Oxley Act of 2002, that the Quarterly Report of ClearOne, Inc. on Form 10-Q/A for the quarter ended June 30, 2015 fully complies with the requirements of Section 13(a) or 15(d) of the Securities Exchange Act of 1934 and that information contained in such Quarterly Report on Form 10-Q/A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4400" w:val="left"/>
          <w:tab w:leader="none" w:pos="5060" w:val="left"/>
        </w:tabs>
        <w:rPr>
          <w:sz w:val="20"/>
          <w:szCs w:val="20"/>
          <w:color w:val="auto"/>
        </w:rPr>
      </w:pPr>
      <w:r>
        <w:rPr>
          <w:rFonts w:ascii="Times New Roman" w:cs="Times New Roman" w:eastAsia="Times New Roman" w:hAnsi="Times New Roman"/>
          <w:sz w:val="18"/>
          <w:szCs w:val="18"/>
          <w:color w:val="auto"/>
        </w:rPr>
        <w:t>January 13,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189230</wp:posOffset>
            </wp:positionV>
            <wp:extent cx="2710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360"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Narsi Narayanan, certify, to my best knowledge and belief, pursuant to 18 U.S.C. Section 1350, as adopted pursuant to Section 906 of the Sarbanes-Oxley Act of 2002, that the Quarterly Report of ClearOne, Inc. on Form 10-Q/A for the quarter ended June 30, 2015, fully complies with the requirements of Section 13(a) or 15(d) of the Securities Exchange Act of 1934 and that information contained in such Quarterly Report on Form 10-Q/A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4420" w:val="left"/>
          <w:tab w:leader="none" w:pos="5020" w:val="left"/>
        </w:tabs>
        <w:rPr>
          <w:sz w:val="20"/>
          <w:szCs w:val="20"/>
          <w:color w:val="auto"/>
        </w:rPr>
      </w:pPr>
      <w:r>
        <w:rPr>
          <w:rFonts w:ascii="Times New Roman" w:cs="Times New Roman" w:eastAsia="Times New Roman" w:hAnsi="Times New Roman"/>
          <w:sz w:val="18"/>
          <w:szCs w:val="18"/>
          <w:color w:val="auto"/>
        </w:rPr>
        <w:t>January 13,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189230</wp:posOffset>
            </wp:positionV>
            <wp:extent cx="3164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0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8"/>
    </w:lvl>
  </w:abstractNum>
  <w:abstractNum w:abstractNumId="10">
    <w:nsid w:val="66EF438D"/>
    <w:multiLevelType w:val="hybridMultilevel"/>
    <w:lvl w:ilvl="0">
      <w:lvlJc w:val="left"/>
      <w:lvlText w:val="%1."/>
      <w:numFmt w:val="decimal"/>
      <w:start w:val="9"/>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2019-12-29T15:26:19Z</dcterms:created>
  <dcterms:modified xsi:type="dcterms:W3CDTF">2019-12-29T15:26:19Z</dcterms:modified>
</cp:coreProperties>
</file>