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March 25, 2022</w:t>
      </w:r>
      <w:r>
        <w:rPr>
          <w:rFonts w:ascii="Arial" w:cs="Arial" w:eastAsia="Arial" w:hAnsi="Arial"/>
          <w:sz w:val="18"/>
          <w:szCs w:val="18"/>
          <w:color w:val="auto"/>
        </w:rPr>
        <w:t xml:space="preserve"> </w:t>
      </w:r>
      <w:r>
        <w:rPr>
          <w:rFonts w:ascii="Arial" w:cs="Arial" w:eastAsia="Arial" w:hAnsi="Arial"/>
          <w:sz w:val="18"/>
          <w:szCs w:val="18"/>
          <w:b w:val="1"/>
          <w:bCs w:val="1"/>
          <w:color w:val="auto"/>
        </w:rPr>
        <w:t>(March 22, 2022)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17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7"/>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2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428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Common Stock, $0.001</w:t>
            </w:r>
          </w:p>
        </w:tc>
        <w:tc>
          <w:tcPr>
            <w:tcW w:w="2800" w:type="dxa"/>
            <w:vAlign w:val="bottom"/>
            <w:gridSpan w:val="2"/>
          </w:tcPr>
          <w:p>
            <w:pPr>
              <w:jc w:val="center"/>
              <w:ind w:right="1440"/>
              <w:spacing w:after="0"/>
              <w:rPr>
                <w:sz w:val="20"/>
                <w:szCs w:val="20"/>
                <w:color w:val="auto"/>
              </w:rPr>
            </w:pPr>
            <w:r>
              <w:rPr>
                <w:rFonts w:ascii="Arial" w:cs="Arial" w:eastAsia="Arial" w:hAnsi="Arial"/>
                <w:sz w:val="18"/>
                <w:szCs w:val="18"/>
                <w:color w:val="auto"/>
                <w:w w:val="95"/>
              </w:rPr>
              <w:t>CLRO</w:t>
            </w: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 w:name="page2"/>
    <w:bookmarkEnd w:id="1"/>
    <w:p>
      <w:pPr>
        <w:spacing w:after="0"/>
        <w:tabs>
          <w:tab w:leader="none" w:pos="13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324"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On March 22, 2022, ClearOne, Inc., a Delaware corporation (the “Company”), received a letter (the “Notice”) from the Listing Qualifications Department (the “Staff”) of the Nasdaq Stock Market (“Nasdaq”) informing the Company that because the closing bid price for the Company’s common stock listed on Nasdaq was below $1.00 for 30 consecutive trading days, the Company is not in compliance with the minimum bid price requirement for continued listing on the Nasdaq Capital Market, as set forth in Nasdaq Marketplace Rule 5550(a)(2) (the “Minimum Bid Price Requirement”).</w:t>
      </w:r>
    </w:p>
    <w:p>
      <w:pPr>
        <w:spacing w:after="0" w:line="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Nasdaq Marketplace Rule 5810(c)(3)(A), the Company has a period of 180 calendar days from March 22, 2022, or until September 19, 2022, to regain compliance with the Minimum Bid Price Requirement. If at any time before September 19, 2022, the closing bid price of the Company’s common stock closes at or above $1.00 per share for a minimum of 10 consecutive trading days (which number days may be extended by Nasdaq), Nasdaq will provide written notification that the Company has achieved compliance with the Minimum Bid Price Requirement, and the matter would be resolved.</w:t>
      </w:r>
    </w:p>
    <w:p>
      <w:pPr>
        <w:spacing w:after="0" w:line="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Notice also disclosed that in the event the Company does not regain compliance with the Rule by September 19, 2022, the Company may be eligible for additional time. To qualify for additional time,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deficiency during the second compliance period, by effecting a reverse stock split, if necessary. If the Company meets these requirements, Nasdaq will inform the Company that it has been granted an additional 180 calendar days. However, if it appears to the Staff that the Company will not be able to cure the deficiency, or if the Company is otherwise not eligible, Nasdaq will provide notice that the Company’s securities will be subject to delisting.</w:t>
      </w:r>
    </w:p>
    <w:p>
      <w:pPr>
        <w:spacing w:after="0" w:line="7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intends to continue actively monitoring the closing bid price for the Company’s common stock between now and September 19, 2022, and will consider available options to resolve the deficiency and regain compliance with the Minimum Bid Price Requirement. If the Company does not regain compliance within the allotted compliance period, including any extensions that may be granted by Nasdaq, Nasdaq will provide notice that the Company’s common stock will be subject to delisting. The Company would then be entitled to appeal that determination to a Nasdaq hearings panel. There can be no assurance that the Company will regain compliance with the Minimum Bid Price Requirement during the 180 day compliance period, secure a second period of 180 calendar days to regain compliance, or maintain compliance with the other Nasdaq listing requirements.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3"/>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tcPr>
          <w:p>
            <w:pPr>
              <w:ind w:left="4080"/>
              <w:spacing w:after="0"/>
              <w:rPr>
                <w:sz w:val="20"/>
                <w:szCs w:val="20"/>
                <w:color w:val="auto"/>
              </w:rPr>
            </w:pPr>
            <w:r>
              <w:rPr>
                <w:rFonts w:ascii="Arial" w:cs="Arial" w:eastAsia="Arial" w:hAnsi="Arial"/>
                <w:sz w:val="18"/>
                <w:szCs w:val="18"/>
                <w:b w:val="1"/>
                <w:bCs w:val="1"/>
                <w:color w:val="auto"/>
              </w:rPr>
              <w:t>Exhibit Title</w:t>
            </w: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104.1</w:t>
            </w:r>
          </w:p>
        </w:tc>
        <w:tc>
          <w:tcPr>
            <w:tcW w:w="720" w:type="dxa"/>
            <w:vAlign w:val="bottom"/>
          </w:tcPr>
          <w:p>
            <w:pPr>
              <w:spacing w:after="0"/>
              <w:rPr>
                <w:sz w:val="24"/>
                <w:szCs w:val="24"/>
                <w:color w:val="auto"/>
              </w:rPr>
            </w:pPr>
          </w:p>
        </w:tc>
        <w:tc>
          <w:tcPr>
            <w:tcW w:w="9220" w:type="dxa"/>
            <w:vAlign w:val="bottom"/>
            <w:gridSpan w:val="2"/>
          </w:tcPr>
          <w:p>
            <w:pPr>
              <w:ind w:left="80"/>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344"/>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7920" w:type="dxa"/>
            <w:vAlign w:val="bottom"/>
            <w:gridSpan w:val="2"/>
          </w:tcPr>
          <w:p>
            <w:pPr>
              <w:ind w:left="1760"/>
              <w:spacing w:after="0"/>
              <w:rPr>
                <w:sz w:val="20"/>
                <w:szCs w:val="20"/>
                <w:color w:val="auto"/>
              </w:rPr>
            </w:pPr>
            <w:r>
              <w:rPr>
                <w:rFonts w:ascii="Arial" w:cs="Arial" w:eastAsia="Arial" w:hAnsi="Arial"/>
                <w:sz w:val="18"/>
                <w:szCs w:val="18"/>
                <w:color w:val="auto"/>
              </w:rPr>
              <w:t>CLEARONE, INC.</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Date: March 25, 2022</w:t>
            </w:r>
          </w:p>
        </w:tc>
        <w:tc>
          <w:tcPr>
            <w:tcW w:w="7920" w:type="dxa"/>
            <w:vAlign w:val="bottom"/>
            <w:gridSpan w:val="2"/>
          </w:tcPr>
          <w:p>
            <w:pPr>
              <w:ind w:left="1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24"/>
        </w:trPr>
        <w:tc>
          <w:tcPr>
            <w:tcW w:w="3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445"/>
        </w:trPr>
        <w:tc>
          <w:tcPr>
            <w:tcW w:w="3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2022-03-25T15:18:11Z</dcterms:created>
  <dcterms:modified xsi:type="dcterms:W3CDTF">2022-03-25T15:18:11Z</dcterms:modified>
</cp:coreProperties>
</file>