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61"/>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61"/>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61"/>
        <w:spacing w:after="0"/>
        <w:rPr>
          <w:sz w:val="20"/>
          <w:szCs w:val="20"/>
          <w:color w:val="auto"/>
        </w:rPr>
      </w:pPr>
      <w:r>
        <w:rPr>
          <w:rFonts w:ascii="Arial" w:cs="Arial" w:eastAsia="Arial" w:hAnsi="Arial"/>
          <w:sz w:val="32"/>
          <w:szCs w:val="32"/>
          <w:b w:val="1"/>
          <w:bCs w:val="1"/>
          <w:color w:val="auto"/>
        </w:rPr>
        <w:t>FORM 12b-25</w:t>
      </w:r>
    </w:p>
    <w:p>
      <w:pPr>
        <w:spacing w:after="0" w:line="236" w:lineRule="exact"/>
        <w:rPr>
          <w:sz w:val="24"/>
          <w:szCs w:val="24"/>
          <w:color w:val="auto"/>
        </w:rPr>
      </w:pPr>
    </w:p>
    <w:tbl>
      <w:tblPr>
        <w:tblLayout w:type="fixed"/>
        <w:tblInd w:w="22"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740" w:type="dxa"/>
            <w:vAlign w:val="bottom"/>
            <w:gridSpan w:val="2"/>
          </w:tcPr>
          <w:p>
            <w:pPr>
              <w:ind w:left="700"/>
              <w:spacing w:after="0"/>
              <w:rPr>
                <w:sz w:val="20"/>
                <w:szCs w:val="20"/>
                <w:color w:val="auto"/>
              </w:rPr>
            </w:pPr>
            <w:r>
              <w:rPr>
                <w:rFonts w:ascii="Arial" w:cs="Arial" w:eastAsia="Arial" w:hAnsi="Arial"/>
                <w:sz w:val="18"/>
                <w:szCs w:val="18"/>
                <w:b w:val="1"/>
                <w:bCs w:val="1"/>
                <w:color w:val="auto"/>
              </w:rPr>
              <w:t>NOTIFICATION OF LATE FILING</w:t>
            </w: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2"/>
        </w:trPr>
        <w:tc>
          <w:tcPr>
            <w:tcW w:w="1460" w:type="dxa"/>
            <w:vAlign w:val="bottom"/>
          </w:tcPr>
          <w:p>
            <w:pPr>
              <w:spacing w:after="0"/>
              <w:rPr>
                <w:sz w:val="20"/>
                <w:szCs w:val="20"/>
                <w:color w:val="auto"/>
              </w:rPr>
            </w:pPr>
            <w:r>
              <w:rPr>
                <w:rFonts w:ascii="Arial" w:cs="Arial" w:eastAsia="Arial" w:hAnsi="Arial"/>
                <w:sz w:val="18"/>
                <w:szCs w:val="18"/>
                <w:color w:val="auto"/>
              </w:rPr>
              <w:t>(CHECK ONE):</w:t>
            </w:r>
          </w:p>
        </w:tc>
        <w:tc>
          <w:tcPr>
            <w:tcW w:w="196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tc>
        <w:tc>
          <w:tcPr>
            <w:tcW w:w="154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tc>
        <w:tc>
          <w:tcPr>
            <w:tcW w:w="220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w:t>
            </w:r>
          </w:p>
        </w:tc>
        <w:tc>
          <w:tcPr>
            <w:tcW w:w="16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c>
          <w:tcPr>
            <w:tcW w:w="17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Form N-SAR</w:t>
            </w:r>
          </w:p>
        </w:tc>
      </w:tr>
      <w:tr>
        <w:trPr>
          <w:trHeight w:val="412"/>
        </w:trPr>
        <w:tc>
          <w:tcPr>
            <w:tcW w:w="1460" w:type="dxa"/>
            <w:vAlign w:val="bottom"/>
          </w:tcPr>
          <w:p>
            <w:pPr>
              <w:spacing w:after="0"/>
              <w:rPr>
                <w:sz w:val="20"/>
                <w:szCs w:val="20"/>
                <w:color w:val="auto"/>
              </w:rPr>
            </w:pPr>
            <w:r>
              <w:rPr>
                <w:rFonts w:ascii="Arial" w:cs="Arial" w:eastAsia="Arial" w:hAnsi="Arial"/>
                <w:sz w:val="18"/>
                <w:szCs w:val="18"/>
                <w:color w:val="auto"/>
                <w:w w:val="98"/>
              </w:rPr>
              <w:t>For Period Ended:</w:t>
            </w:r>
          </w:p>
        </w:tc>
        <w:tc>
          <w:tcPr>
            <w:tcW w:w="220" w:type="dxa"/>
            <w:vAlign w:val="bottom"/>
          </w:tcPr>
          <w:p>
            <w:pPr>
              <w:spacing w:after="0"/>
              <w:rPr>
                <w:sz w:val="24"/>
                <w:szCs w:val="2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December 31, 2018</w:t>
            </w: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2" w:lineRule="exact"/>
        <w:rPr>
          <w:sz w:val="24"/>
          <w:szCs w:val="24"/>
          <w:color w:val="auto"/>
        </w:rPr>
      </w:pPr>
    </w:p>
    <w:p>
      <w:pPr>
        <w:ind w:left="202" w:hanging="202"/>
        <w:spacing w:after="0"/>
        <w:tabs>
          <w:tab w:leader="none" w:pos="2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202" w:hanging="202"/>
        <w:spacing w:after="0"/>
        <w:tabs>
          <w:tab w:leader="none" w:pos="2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02" w:hanging="202"/>
        <w:spacing w:after="0"/>
        <w:tabs>
          <w:tab w:leader="none" w:pos="2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02" w:hanging="202"/>
        <w:spacing w:after="0"/>
        <w:tabs>
          <w:tab w:leader="none" w:pos="2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2" w:right="8160" w:hanging="2"/>
        <w:spacing w:after="0" w:line="321" w:lineRule="auto"/>
        <w:tabs>
          <w:tab w:leader="none" w:pos="20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 For the Transaction Period Ended:</w:t>
      </w:r>
    </w:p>
    <w:p>
      <w:pPr>
        <w:spacing w:after="0" w:line="136" w:lineRule="exact"/>
        <w:rPr>
          <w:sz w:val="24"/>
          <w:szCs w:val="24"/>
          <w:color w:val="auto"/>
        </w:rPr>
      </w:pPr>
    </w:p>
    <w:p>
      <w:pPr>
        <w:jc w:val="center"/>
        <w:ind w:left="640"/>
        <w:spacing w:after="0" w:line="275" w:lineRule="auto"/>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ind w:left="2"/>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ind w:left="2"/>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ind w:left="22"/>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4"/>
          <w:szCs w:val="24"/>
          <w:color w:val="auto"/>
        </w:rPr>
      </w:pPr>
    </w:p>
    <w:p>
      <w:pPr>
        <w:ind w:left="22"/>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-130810</wp:posOffset>
            </wp:positionV>
            <wp:extent cx="71520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27" w:lineRule="exact"/>
        <w:rPr>
          <w:sz w:val="24"/>
          <w:szCs w:val="24"/>
          <w:color w:val="auto"/>
        </w:rPr>
      </w:pPr>
    </w:p>
    <w:p>
      <w:pPr>
        <w:ind w:left="22"/>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ind w:left="22"/>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-130810</wp:posOffset>
            </wp:positionV>
            <wp:extent cx="7152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27" w:lineRule="exact"/>
        <w:rPr>
          <w:sz w:val="24"/>
          <w:szCs w:val="24"/>
          <w:color w:val="auto"/>
        </w:rPr>
      </w:pPr>
    </w:p>
    <w:p>
      <w:pPr>
        <w:ind w:left="22"/>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ind w:left="22"/>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-130810</wp:posOffset>
            </wp:positionV>
            <wp:extent cx="7152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27" w:lineRule="exact"/>
        <w:rPr>
          <w:sz w:val="24"/>
          <w:szCs w:val="24"/>
          <w:color w:val="auto"/>
        </w:rPr>
      </w:pPr>
    </w:p>
    <w:p>
      <w:pPr>
        <w:ind w:left="22"/>
        <w:spacing w:after="0"/>
        <w:rPr>
          <w:sz w:val="20"/>
          <w:szCs w:val="20"/>
          <w:color w:val="auto"/>
        </w:rPr>
      </w:pPr>
      <w:r>
        <w:rPr>
          <w:rFonts w:ascii="Arial" w:cs="Arial" w:eastAsia="Arial" w:hAnsi="Arial"/>
          <w:sz w:val="18"/>
          <w:szCs w:val="18"/>
          <w:b w:val="1"/>
          <w:bCs w:val="1"/>
          <w:color w:val="auto"/>
        </w:rPr>
        <w:t>Salt Lake City, Utah 84116</w:t>
      </w:r>
    </w:p>
    <w:p>
      <w:pPr>
        <w:spacing w:after="0" w:line="27" w:lineRule="exact"/>
        <w:rPr>
          <w:sz w:val="24"/>
          <w:szCs w:val="24"/>
          <w:color w:val="auto"/>
        </w:rPr>
      </w:pPr>
    </w:p>
    <w:p>
      <w:pPr>
        <w:ind w:left="22"/>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-130810</wp:posOffset>
            </wp:positionV>
            <wp:extent cx="7152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511810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82"/>
          </w:cols>
          <w:pgMar w:left="378" w:top="639"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400" w:hanging="38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 The reasons described in reasonable detail in Part III of this form could not be eliminated without unreasonable effort or expense;</w:t>
      </w:r>
    </w:p>
    <w:p>
      <w:pPr>
        <w:spacing w:after="0" w:line="25" w:lineRule="exact"/>
        <w:rPr>
          <w:rFonts w:ascii="MS PGothic" w:cs="MS PGothic" w:eastAsia="MS PGothic" w:hAnsi="MS PGothic"/>
          <w:sz w:val="18"/>
          <w:szCs w:val="18"/>
          <w:color w:val="auto"/>
        </w:rPr>
      </w:pPr>
    </w:p>
    <w:p>
      <w:pPr>
        <w:ind w:left="680" w:hanging="664"/>
        <w:spacing w:after="0" w:line="247" w:lineRule="auto"/>
        <w:tabs>
          <w:tab w:leader="none" w:pos="41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 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3" w:lineRule="exact"/>
        <w:rPr>
          <w:sz w:val="20"/>
          <w:szCs w:val="20"/>
          <w:color w:val="auto"/>
        </w:rPr>
      </w:pPr>
    </w:p>
    <w:p>
      <w:pPr>
        <w:ind w:left="400" w:hanging="384"/>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 The accountant’s statement or other exhibit required by Rule 12b-25(c) has been attached if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70" w:lineRule="exact"/>
        <w:rPr>
          <w:sz w:val="20"/>
          <w:szCs w:val="20"/>
          <w:color w:val="auto"/>
        </w:rPr>
      </w:pPr>
    </w:p>
    <w:p>
      <w:pPr>
        <w:ind w:right="260" w:firstLine="675"/>
        <w:spacing w:after="0" w:line="259" w:lineRule="auto"/>
        <w:rPr>
          <w:sz w:val="20"/>
          <w:szCs w:val="20"/>
          <w:color w:val="auto"/>
        </w:rPr>
      </w:pPr>
      <w:r>
        <w:rPr>
          <w:rFonts w:ascii="Arial" w:cs="Arial" w:eastAsia="Arial" w:hAnsi="Arial"/>
          <w:sz w:val="18"/>
          <w:szCs w:val="18"/>
          <w:color w:val="auto"/>
        </w:rPr>
        <w:t>The Registrant is unable to complete the required compilation, dissemination, and review of all information required for filing its Form 10-K Annual Report for the year ended December 31, 2018 within the prescribed time period without undue hardship and expense. It is anticipated that the Form 10-K Annual Report, along with the audited financial statements, will be filed on or before the 15th calendar day following the prescribed due date of the Registrant’s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0"/>
              </w:rPr>
              <w:t>Narsi Narayanan</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color w:val="auto"/>
              </w:rPr>
              <w:t>801</w:t>
            </w:r>
          </w:p>
        </w:tc>
        <w:tc>
          <w:tcPr>
            <w:tcW w:w="2280" w:type="dxa"/>
            <w:vAlign w:val="bottom"/>
            <w:gridSpan w:val="2"/>
          </w:tcPr>
          <w:p>
            <w:pPr>
              <w:jc w:val="right"/>
              <w:ind w:right="530"/>
              <w:spacing w:after="0"/>
              <w:rPr>
                <w:sz w:val="20"/>
                <w:szCs w:val="20"/>
                <w:color w:val="auto"/>
              </w:rPr>
            </w:pPr>
            <w:r>
              <w:rPr>
                <w:rFonts w:ascii="Arial" w:cs="Arial" w:eastAsia="Arial" w:hAnsi="Arial"/>
                <w:sz w:val="18"/>
                <w:szCs w:val="18"/>
                <w:color w:val="auto"/>
              </w:rPr>
              <w:t>975-7200</w:t>
            </w:r>
          </w:p>
        </w:tc>
      </w:tr>
      <w:tr>
        <w:trPr>
          <w:trHeight w:val="224"/>
        </w:trPr>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34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300" w:hanging="284"/>
        <w:spacing w:after="0" w:line="287"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w:t>
      </w:r>
    </w:p>
    <w:p>
      <w:pPr>
        <w:spacing w:after="0" w:line="1" w:lineRule="exact"/>
        <w:rPr>
          <w:sz w:val="20"/>
          <w:szCs w:val="20"/>
          <w:color w:val="auto"/>
        </w:rPr>
      </w:pPr>
    </w:p>
    <w:p>
      <w:pPr>
        <w:ind w:left="300"/>
        <w:spacing w:after="0" w:line="207" w:lineRule="exact"/>
        <w:tabs>
          <w:tab w:leader="none" w:pos="1820" w:val="left"/>
          <w:tab w:leader="none" w:pos="2520" w:val="left"/>
        </w:tabs>
        <w:rPr>
          <w:sz w:val="20"/>
          <w:szCs w:val="20"/>
          <w:color w:val="auto"/>
        </w:rPr>
      </w:pPr>
      <w:r>
        <w:rPr>
          <w:rFonts w:ascii="Arial" w:cs="Arial" w:eastAsia="Arial" w:hAnsi="Arial"/>
          <w:sz w:val="18"/>
          <w:szCs w:val="18"/>
          <w:color w:val="auto"/>
        </w:rPr>
        <w:t>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16" w:lineRule="exact"/>
        <w:rPr>
          <w:sz w:val="20"/>
          <w:szCs w:val="20"/>
          <w:color w:val="auto"/>
        </w:rPr>
      </w:pPr>
    </w:p>
    <w:p>
      <w:pPr>
        <w:ind w:left="300" w:hanging="283"/>
        <w:spacing w:after="0" w:line="233" w:lineRule="exact"/>
        <w:rPr>
          <w:sz w:val="20"/>
          <w:szCs w:val="20"/>
          <w:color w:val="auto"/>
        </w:rPr>
      </w:pPr>
      <w:r>
        <w:rPr>
          <w:rFonts w:ascii="Arial" w:cs="Arial" w:eastAsia="Arial" w:hAnsi="Arial"/>
          <w:sz w:val="18"/>
          <w:szCs w:val="18"/>
          <w:color w:val="auto"/>
        </w:rPr>
        <w:t xml:space="preserve">(3) 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reported revenue of $41.8 million and net loss of $14.2 million for the year ended December 31, 2017. The Company expects to report less revenues for the year ended December 31, 2018 as compared to 2017 and also expects to report more losses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310515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80" w:top="580" w:right="239" w:bottom="1440" w:gutter="0" w:footer="0" w:header="0"/>
        </w:sectPr>
      </w:pPr>
    </w:p>
    <w:bookmarkStart w:id="2" w:name="page3"/>
    <w:bookmarkEnd w:id="2"/>
    <w:p>
      <w:pPr>
        <w:jc w:val="center"/>
        <w:ind w:right="138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6174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Date: April 2, 2019</w:t>
            </w:r>
          </w:p>
        </w:tc>
        <w:tc>
          <w:tcPr>
            <w:tcW w:w="6640" w:type="dxa"/>
            <w:vAlign w:val="bottom"/>
            <w:gridSpan w:val="2"/>
          </w:tcPr>
          <w:p>
            <w:pPr>
              <w:ind w:left="1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24"/>
        </w:trPr>
        <w:tc>
          <w:tcPr>
            <w:tcW w:w="3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 Chief Executive Officer</w:t>
            </w:r>
          </w:p>
        </w:tc>
      </w:tr>
    </w:tbl>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The form may be signed by an executive officer of the registrant or by any other duly authorized representative. The name and title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136525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177165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40"/>
      </w:cols>
      <w:pgMar w:left="38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2019-12-03T17:23:31Z</dcterms:created>
  <dcterms:modified xsi:type="dcterms:W3CDTF">2019-12-03T17:23:31Z</dcterms:modified>
</cp:coreProperties>
</file>