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16, 2022 (November 15,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ClearOne,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Borders>
              <w:bottom w:val="single" w:sz="8" w:color="auto"/>
            </w:tcBorders>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001-33660</w:t>
            </w: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51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2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6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4"/>
        </w:trPr>
        <w:tc>
          <w:tcPr>
            <w:tcW w:w="76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5180" w:type="dxa"/>
            <w:vAlign w:val="bottom"/>
            <w:tcBorders>
              <w:top w:val="single" w:sz="8" w:color="auto"/>
            </w:tcBorders>
          </w:tcPr>
          <w:p>
            <w:pPr>
              <w:jc w:val="center"/>
              <w:ind w:left="21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+1 (801) 975-7200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200" w:lineRule="exact"/>
        <w:rPr>
          <w:sz w:val="24"/>
          <w:szCs w:val="24"/>
          <w:color w:val="auto"/>
        </w:rPr>
      </w:pPr>
    </w:p>
    <w:p>
      <w:pPr>
        <w:spacing w:after="0" w:line="201" w:lineRule="exact"/>
        <w:rPr>
          <w:sz w:val="24"/>
          <w:szCs w:val="24"/>
          <w:color w:val="auto"/>
        </w:rPr>
      </w:pPr>
    </w:p>
    <w:p>
      <w:pPr>
        <w:ind w:right="52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720" w:type="dxa"/>
            <w:vAlign w:val="bottom"/>
            <w:tcBorders>
              <w:bottom w:val="single" w:sz="8" w:color="auto"/>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tcPr>
          <w:p>
            <w:pPr>
              <w:spacing w:after="0"/>
              <w:rPr>
                <w:sz w:val="21"/>
                <w:szCs w:val="21"/>
                <w:color w:val="auto"/>
              </w:rPr>
            </w:pPr>
          </w:p>
        </w:tc>
        <w:tc>
          <w:tcPr>
            <w:tcW w:w="37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0" w:type="dxa"/>
            <w:vAlign w:val="bottom"/>
            <w:tcBorders>
              <w:right w:val="single" w:sz="8" w:color="auto"/>
            </w:tcBorders>
          </w:tcPr>
          <w:p>
            <w:pPr>
              <w:spacing w:after="0"/>
              <w:rPr>
                <w:sz w:val="19"/>
                <w:szCs w:val="19"/>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 w:type="dxa"/>
            <w:vAlign w:val="bottom"/>
            <w:vMerge w:val="continue"/>
          </w:tcPr>
          <w:p>
            <w:pPr>
              <w:spacing w:after="0"/>
              <w:rPr>
                <w:sz w:val="19"/>
                <w:szCs w:val="19"/>
                <w:color w:val="auto"/>
              </w:rPr>
            </w:pPr>
          </w:p>
        </w:tc>
        <w:tc>
          <w:tcPr>
            <w:tcW w:w="800" w:type="dxa"/>
            <w:vAlign w:val="bottom"/>
            <w:tcBorders>
              <w:left w:val="single" w:sz="8" w:color="auto"/>
            </w:tcBorders>
          </w:tcPr>
          <w:p>
            <w:pPr>
              <w:spacing w:after="0"/>
              <w:rPr>
                <w:sz w:val="19"/>
                <w:szCs w:val="19"/>
                <w:color w:val="auto"/>
              </w:rPr>
            </w:pPr>
          </w:p>
        </w:tc>
        <w:tc>
          <w:tcPr>
            <w:tcW w:w="290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11"/>
        </w:trPr>
        <w:tc>
          <w:tcPr>
            <w:tcW w:w="60" w:type="dxa"/>
            <w:vAlign w:val="bottom"/>
            <w:tcBorders>
              <w:right w:val="single" w:sz="8" w:color="auto"/>
            </w:tcBorders>
          </w:tcPr>
          <w:p>
            <w:pPr>
              <w:spacing w:after="0"/>
              <w:rPr>
                <w:sz w:val="18"/>
                <w:szCs w:val="18"/>
                <w:color w:val="auto"/>
              </w:rPr>
            </w:pPr>
          </w:p>
        </w:tc>
        <w:tc>
          <w:tcPr>
            <w:tcW w:w="3740" w:type="dxa"/>
            <w:vAlign w:val="bottom"/>
            <w:gridSpan w:val="2"/>
          </w:tcPr>
          <w:p>
            <w:pPr>
              <w:spacing w:after="0"/>
              <w:rPr>
                <w:sz w:val="18"/>
                <w:szCs w:val="18"/>
                <w:color w:val="auto"/>
              </w:rPr>
            </w:pPr>
          </w:p>
        </w:tc>
        <w:tc>
          <w:tcPr>
            <w:tcW w:w="800" w:type="dxa"/>
            <w:vAlign w:val="bottom"/>
            <w:tcBorders>
              <w:left w:val="single" w:sz="8" w:color="auto"/>
            </w:tcBorders>
          </w:tcPr>
          <w:p>
            <w:pPr>
              <w:spacing w:after="0"/>
              <w:rPr>
                <w:sz w:val="18"/>
                <w:szCs w:val="18"/>
                <w:color w:val="auto"/>
              </w:rPr>
            </w:pPr>
          </w:p>
        </w:tc>
        <w:tc>
          <w:tcPr>
            <w:tcW w:w="29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60" w:type="dxa"/>
            <w:vAlign w:val="bottom"/>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60" w:type="dxa"/>
            <w:vAlign w:val="bottom"/>
            <w:tcBorders>
              <w:right w:val="single" w:sz="8" w:color="auto"/>
            </w:tcBorders>
          </w:tcPr>
          <w:p>
            <w:pPr>
              <w:spacing w:after="0"/>
              <w:rPr>
                <w:sz w:val="16"/>
                <w:szCs w:val="16"/>
                <w:color w:val="auto"/>
              </w:rPr>
            </w:pPr>
          </w:p>
        </w:tc>
        <w:tc>
          <w:tcPr>
            <w:tcW w:w="372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Common Stock, $0.001</w:t>
            </w:r>
          </w:p>
        </w:tc>
        <w:tc>
          <w:tcPr>
            <w:tcW w:w="20" w:type="dxa"/>
            <w:vAlign w:val="bottom"/>
          </w:tcPr>
          <w:p>
            <w:pPr>
              <w:spacing w:after="0"/>
              <w:rPr>
                <w:sz w:val="16"/>
                <w:szCs w:val="16"/>
                <w:color w:val="auto"/>
              </w:rPr>
            </w:pPr>
          </w:p>
        </w:tc>
        <w:tc>
          <w:tcPr>
            <w:tcW w:w="800" w:type="dxa"/>
            <w:vAlign w:val="bottom"/>
            <w:tcBorders>
              <w:left w:val="single" w:sz="8" w:color="auto"/>
              <w:bottom w:val="single" w:sz="8" w:color="auto"/>
            </w:tcBorders>
          </w:tcPr>
          <w:p>
            <w:pPr>
              <w:spacing w:after="0"/>
              <w:rPr>
                <w:sz w:val="16"/>
                <w:szCs w:val="16"/>
                <w:color w:val="auto"/>
              </w:rPr>
            </w:pPr>
          </w:p>
        </w:tc>
        <w:tc>
          <w:tcPr>
            <w:tcW w:w="2900" w:type="dxa"/>
            <w:vAlign w:val="bottom"/>
            <w:tcBorders>
              <w:bottom w:val="single" w:sz="8" w:color="auto"/>
              <w:right w:val="single" w:sz="8" w:color="auto"/>
            </w:tcBorders>
          </w:tcPr>
          <w:p>
            <w:pPr>
              <w:jc w:val="center"/>
              <w:ind w:right="730"/>
              <w:spacing w:after="0" w:line="189" w:lineRule="exact"/>
              <w:rPr>
                <w:sz w:val="20"/>
                <w:szCs w:val="20"/>
                <w:color w:val="auto"/>
              </w:rPr>
            </w:pPr>
            <w:r>
              <w:rPr>
                <w:rFonts w:ascii="Times New Roman" w:cs="Times New Roman" w:eastAsia="Times New Roman" w:hAnsi="Times New Roman"/>
                <w:sz w:val="18"/>
                <w:szCs w:val="18"/>
                <w:color w:val="auto"/>
                <w:w w:val="99"/>
              </w:rPr>
              <w:t>CLRO</w:t>
            </w:r>
          </w:p>
        </w:tc>
        <w:tc>
          <w:tcPr>
            <w:tcW w:w="374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The Nasdaq Capital Market</w:t>
            </w:r>
          </w:p>
        </w:tc>
        <w:tc>
          <w:tcPr>
            <w:tcW w:w="0" w:type="dxa"/>
            <w:vAlign w:val="bottom"/>
          </w:tcPr>
          <w:p>
            <w:pPr>
              <w:spacing w:after="0"/>
              <w:rPr>
                <w:sz w:val="1"/>
                <w:szCs w:val="1"/>
                <w:color w:val="auto"/>
              </w:rPr>
            </w:pPr>
          </w:p>
        </w:tc>
      </w:tr>
    </w:tbl>
    <w:p>
      <w:pPr>
        <w:spacing w:after="0" w:line="221" w:lineRule="exact"/>
        <w:rPr>
          <w:sz w:val="24"/>
          <w:szCs w:val="24"/>
          <w:color w:val="auto"/>
        </w:rPr>
      </w:pPr>
    </w:p>
    <w:p>
      <w:pPr>
        <w:ind w:right="520"/>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ind w:right="16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On November 15, 2022 ClearOne, Inc. (the “Company”) issued a press release announcing its financial results for the three and nine months ended September 30, 2022. The full text of the press release is attached as 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5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Press Release of ClearOne, Inc. dated November 15, 2022.</w:t>
      </w:r>
    </w:p>
    <w:p>
      <w:pPr>
        <w:spacing w:after="0" w:line="2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Exhibit 104.1</w:t>
      </w:r>
      <w:r>
        <w:rPr>
          <w:sz w:val="20"/>
          <w:szCs w:val="20"/>
          <w:color w:val="auto"/>
        </w:rPr>
        <w:tab/>
      </w:r>
      <w:r>
        <w:rPr>
          <w:rFonts w:ascii="Times New Roman" w:cs="Times New Roman" w:eastAsia="Times New Roman" w:hAnsi="Times New Roman"/>
          <w:sz w:val="17"/>
          <w:szCs w:val="17"/>
          <w:color w:val="auto"/>
        </w:rPr>
        <w:t>The cover page from this Current Report on Form 8-K, formatted in Inline XBRL.</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information included in this Current Report on Form 8-K (including the exhibit hereto) is being furnished under Item 2.02, “Results of Operations and Financial Condition”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16, 2022</w:t>
            </w:r>
          </w:p>
        </w:tc>
        <w:tc>
          <w:tcPr>
            <w:tcW w:w="77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Narsi Narayanan</w:t>
            </w:r>
          </w:p>
        </w:tc>
      </w:tr>
      <w:tr>
        <w:trPr>
          <w:trHeight w:val="228"/>
        </w:trPr>
        <w:tc>
          <w:tcPr>
            <w:tcW w:w="34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Narsi Narayanan</w:t>
            </w:r>
          </w:p>
        </w:tc>
      </w:tr>
      <w:tr>
        <w:trPr>
          <w:trHeight w:val="441"/>
        </w:trPr>
        <w:tc>
          <w:tcPr>
            <w:tcW w:w="3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72"/>
        </w:trPr>
        <w:tc>
          <w:tcPr>
            <w:tcW w:w="34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ClearOne, Inc. Reports Third Quarter 2022 Financial Results</w:t>
      </w:r>
    </w:p>
    <w:p>
      <w:pPr>
        <w:spacing w:after="0" w:line="16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Non-GAAP Operating Expenses decline by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-78105</wp:posOffset>
            </wp:positionV>
            <wp:extent cx="596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Non-GAAP Net loss declines by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-78105</wp:posOffset>
            </wp:positionV>
            <wp:extent cx="596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Overall Q3 revenue declines 10% year-over-year despite 10% growth in audio conferencing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-78105</wp:posOffset>
            </wp:positionV>
            <wp:extent cx="596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82"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SALT LAKE CITY, UTAH – November 15, 2022 – ClearOne Inc. (NASDAQ: CLRO), a global provider of audio and visual communication solutions, reported financial results for the three and nine months ended September 30, 2022.</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expand our market share with our audio conferencing products as our revenue from these products continue to grow. Our audio conferencing revenue growth would have been higher if we could have procured more inventory to meet the demand for professional audio products and beamforming microphone arrays (BMAs). Our ability to build products to fill our sales backlog was hampered by the ongoing transition of our manufacturing from China to Singapore by our contract manufacturer," said Derek Graham, ClearOne's Interim CEO.</w:t>
      </w:r>
    </w:p>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deep cost-cutting measures that we implemented in Q2 of this year have generated a significant cash savings and helped us conserve cash as well as get closer to our goal of reaching profitability", Graham added.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Highlights</w:t>
      </w:r>
    </w:p>
    <w:p>
      <w:pPr>
        <w:spacing w:after="0" w:line="216" w:lineRule="exact"/>
        <w:rPr>
          <w:sz w:val="20"/>
          <w:szCs w:val="20"/>
          <w:color w:val="auto"/>
        </w:rPr>
      </w:pPr>
    </w:p>
    <w:p>
      <w:pPr>
        <w:ind w:left="540"/>
        <w:spacing w:after="0" w:line="282" w:lineRule="auto"/>
        <w:rPr>
          <w:sz w:val="20"/>
          <w:szCs w:val="20"/>
          <w:color w:val="auto"/>
        </w:rPr>
      </w:pPr>
      <w:r>
        <w:rPr>
          <w:rFonts w:ascii="Times New Roman" w:cs="Times New Roman" w:eastAsia="Times New Roman" w:hAnsi="Times New Roman"/>
          <w:sz w:val="18"/>
          <w:szCs w:val="18"/>
          <w:color w:val="auto"/>
        </w:rPr>
        <w:t>On July 26, 2022, ClearOne introduced the CONVERGENCE® InSite server network hardware that enables remote device management by facilitating bi-directional communications between its Cloud or Enterprise AV Manager and on-site ClearOne Pro Audio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-257810</wp:posOffset>
            </wp:positionV>
            <wp:extent cx="596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61" w:lineRule="exact"/>
        <w:rPr>
          <w:sz w:val="20"/>
          <w:szCs w:val="20"/>
          <w:color w:val="auto"/>
        </w:rPr>
      </w:pPr>
    </w:p>
    <w:p>
      <w:pPr>
        <w:ind w:left="540"/>
        <w:spacing w:after="0" w:line="282" w:lineRule="auto"/>
        <w:rPr>
          <w:sz w:val="20"/>
          <w:szCs w:val="20"/>
          <w:color w:val="auto"/>
        </w:rPr>
      </w:pPr>
      <w:r>
        <w:rPr>
          <w:rFonts w:ascii="Times New Roman" w:cs="Times New Roman" w:eastAsia="Times New Roman" w:hAnsi="Times New Roman"/>
          <w:sz w:val="18"/>
          <w:szCs w:val="18"/>
          <w:color w:val="auto"/>
        </w:rPr>
        <w:t>On August 3, 2022, ClearOne announced the addition of two new US manufacturer sales representatives: Phoenix based Mountain AV Marketing, and Denver based Momentum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-257810</wp:posOffset>
            </wp:positionV>
            <wp:extent cx="596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4" w:lineRule="exact"/>
        <w:rPr>
          <w:sz w:val="20"/>
          <w:szCs w:val="20"/>
          <w:color w:val="auto"/>
        </w:rPr>
      </w:pPr>
    </w:p>
    <w:p>
      <w:pPr>
        <w:ind w:left="540"/>
        <w:spacing w:after="0" w:line="282" w:lineRule="auto"/>
        <w:rPr>
          <w:sz w:val="20"/>
          <w:szCs w:val="20"/>
          <w:color w:val="auto"/>
        </w:rPr>
      </w:pPr>
      <w:r>
        <w:rPr>
          <w:rFonts w:ascii="Times New Roman" w:cs="Times New Roman" w:eastAsia="Times New Roman" w:hAnsi="Times New Roman"/>
          <w:sz w:val="18"/>
          <w:szCs w:val="18"/>
          <w:color w:val="auto"/>
        </w:rPr>
        <w:t>The U.S. District Court for the Northern District of Illinois granted ClearOne’s joint request with Shure to stay all proceedings until January 6, 2023, to allow the parties to engage in settlement negotiations.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-257810</wp:posOffset>
            </wp:positionV>
            <wp:extent cx="596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certain non-GAAP financial measures and reconciles those to GAAP measures in the attached tables.</w:t>
      </w:r>
    </w:p>
    <w:p>
      <w:pPr>
        <w:spacing w:after="0" w:line="212" w:lineRule="exact"/>
        <w:rPr>
          <w:sz w:val="20"/>
          <w:szCs w:val="20"/>
          <w:color w:val="auto"/>
        </w:rPr>
      </w:pPr>
    </w:p>
    <w:p>
      <w:pPr>
        <w:ind w:left="540" w:right="100"/>
        <w:spacing w:after="0" w:line="281" w:lineRule="auto"/>
        <w:rPr>
          <w:sz w:val="20"/>
          <w:szCs w:val="20"/>
          <w:color w:val="auto"/>
        </w:rPr>
      </w:pPr>
      <w:r>
        <w:rPr>
          <w:rFonts w:ascii="Times New Roman" w:cs="Times New Roman" w:eastAsia="Times New Roman" w:hAnsi="Times New Roman"/>
          <w:sz w:val="18"/>
          <w:szCs w:val="18"/>
          <w:color w:val="auto"/>
        </w:rPr>
        <w:t>Revenue in 2022-Q3 was $6.3 million, compared to $7.0 million in 2021-Q3 and $7.4 million in 2022-Q2. The decrease in year-over-year revenue was primarily due to a 59% decline in video products and a 7% decline in microphones, which were partially offset by a 10% increase in audio conferencing.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-398145</wp:posOffset>
            </wp:positionV>
            <wp:extent cx="3429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90" w:lineRule="exact"/>
        <w:rPr>
          <w:sz w:val="20"/>
          <w:szCs w:val="20"/>
          <w:color w:val="auto"/>
        </w:rPr>
      </w:pPr>
    </w:p>
    <w:p>
      <w:pPr>
        <w:ind w:left="540" w:right="340"/>
        <w:spacing w:after="0" w:line="313" w:lineRule="auto"/>
        <w:rPr>
          <w:sz w:val="20"/>
          <w:szCs w:val="20"/>
          <w:color w:val="auto"/>
        </w:rPr>
      </w:pPr>
      <w:r>
        <w:rPr>
          <w:rFonts w:ascii="Times New Roman" w:cs="Times New Roman" w:eastAsia="Times New Roman" w:hAnsi="Times New Roman"/>
          <w:sz w:val="18"/>
          <w:szCs w:val="18"/>
          <w:color w:val="auto"/>
        </w:rPr>
        <w:t>GAAP gross profit in 2022-Q3 was $2.6 million compared to $2.9 million in 2021-Q3 and $2.8 million in 2022-Q2. GAAP gross profit margin was 41.0% in 2022-Q3, compared to 40.8% in 2021-Q3 and 38.1% in 2022-Q2.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-279400</wp:posOffset>
            </wp:positionV>
            <wp:extent cx="3429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61" w:lineRule="exact"/>
        <w:rPr>
          <w:sz w:val="20"/>
          <w:szCs w:val="20"/>
          <w:color w:val="auto"/>
        </w:rPr>
      </w:pPr>
    </w:p>
    <w:p>
      <w:pPr>
        <w:ind w:left="540" w:right="260"/>
        <w:spacing w:after="0" w:line="281" w:lineRule="auto"/>
        <w:rPr>
          <w:sz w:val="20"/>
          <w:szCs w:val="20"/>
          <w:color w:val="auto"/>
        </w:rPr>
      </w:pPr>
      <w:r>
        <w:rPr>
          <w:rFonts w:ascii="Times New Roman" w:cs="Times New Roman" w:eastAsia="Times New Roman" w:hAnsi="Times New Roman"/>
          <w:sz w:val="18"/>
          <w:szCs w:val="18"/>
          <w:color w:val="auto"/>
        </w:rPr>
        <w:t>Operating expenses in 2022-Q3 were $3.7 million, compared to $4.9 million in 2021-Q3 and $4.5 million in 2022-Q2. Non-GAAP operating expenses in 2022-Q3 were $3.0 million, compared to $4.2 million in 2021-Q3 and $3.7 million in 2022-Q2. The year over year decrease in Non-GAAP operating expenses was mainly due to (a) reduction in employee related expenses and consultant expenses caused by a decrease in headcount, (b) decrease in commissions paid to employees and consultants, and (c) decrease in R&amp;D project-related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-551815</wp:posOffset>
            </wp:positionV>
            <wp:extent cx="3429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 w:name="page5"/>
    <w:bookmarkEnd w:id="4"/>
    <w:p>
      <w:pPr>
        <w:ind w:left="540" w:right="20"/>
        <w:spacing w:after="0" w:line="281" w:lineRule="auto"/>
        <w:rPr>
          <w:sz w:val="20"/>
          <w:szCs w:val="20"/>
          <w:color w:val="auto"/>
        </w:rPr>
      </w:pPr>
      <w:r>
        <w:rPr>
          <w:rFonts w:ascii="Times New Roman" w:cs="Times New Roman" w:eastAsia="Times New Roman" w:hAnsi="Times New Roman"/>
          <w:sz w:val="18"/>
          <w:szCs w:val="18"/>
          <w:color w:val="auto"/>
        </w:rPr>
        <w:t>GAAP net loss in 2022-Q3 was $1.2 million, or $0.05 per share, compared to net loss of $2.2 million, or $0.11 per share, in 2021-Q3 and net loss of $0.3 million, or $0.01 per share, in 2022-Q2. The decrease in year-over-year quarterly net loss was mainly due to reduction in operating expenses, which was partially offset by reduction in gross margin caused by a decline in revenues. The increase in sequential quarterly net loss was mainly due to the recognition of $1.5 million in gain from the forgiveness of CARES Act Paycheck Protection Program Loan in 2022-Q2, which was partially offset by a reduction in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-718185</wp:posOffset>
            </wp:positionV>
            <wp:extent cx="5969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91" w:lineRule="exact"/>
        <w:rPr>
          <w:sz w:val="20"/>
          <w:szCs w:val="20"/>
          <w:color w:val="auto"/>
        </w:rPr>
      </w:pPr>
    </w:p>
    <w:p>
      <w:pPr>
        <w:jc w:val="both"/>
        <w:ind w:left="540" w:right="160"/>
        <w:spacing w:after="0" w:line="281" w:lineRule="auto"/>
        <w:rPr>
          <w:sz w:val="20"/>
          <w:szCs w:val="20"/>
          <w:color w:val="auto"/>
        </w:rPr>
      </w:pPr>
      <w:r>
        <w:rPr>
          <w:rFonts w:ascii="Times New Roman" w:cs="Times New Roman" w:eastAsia="Times New Roman" w:hAnsi="Times New Roman"/>
          <w:sz w:val="18"/>
          <w:szCs w:val="18"/>
          <w:color w:val="auto"/>
        </w:rPr>
        <w:t>Non-GAAP net loss in 2022-Q3 was $0.5 million, or $0.02 per share, compared to net loss of $1.6 million, or $0.08 per share, in 2021-Q3 and net loss of $1.1 million, or $0.04 per share, in 2022-Q2. The decrease in quarterly net loss in 2022-Q3 when compared to 2021-Q3 and 2022-Q2 was mainly due to a reduction in operating expenses, which was partially offset by a reduction in gross margin due to a decline in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-410845</wp:posOffset>
            </wp:positionV>
            <wp:extent cx="596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 in 000, except per share)</w:t>
            </w:r>
          </w:p>
        </w:tc>
        <w:tc>
          <w:tcPr>
            <w:tcW w:w="820" w:type="dxa"/>
            <w:vAlign w:val="bottom"/>
          </w:tcPr>
          <w:p>
            <w:pPr>
              <w:spacing w:after="0"/>
              <w:rPr>
                <w:sz w:val="18"/>
                <w:szCs w:val="18"/>
                <w:color w:val="auto"/>
              </w:rPr>
            </w:pPr>
          </w:p>
        </w:tc>
        <w:tc>
          <w:tcPr>
            <w:tcW w:w="3500" w:type="dxa"/>
            <w:vAlign w:val="bottom"/>
            <w:gridSpan w:val="5"/>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18"/>
                <w:szCs w:val="18"/>
                <w:color w:val="auto"/>
              </w:rPr>
            </w:pPr>
          </w:p>
        </w:tc>
        <w:tc>
          <w:tcPr>
            <w:tcW w:w="3460" w:type="dxa"/>
            <w:vAlign w:val="bottom"/>
            <w:gridSpan w:val="6"/>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86"/>
        </w:trPr>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Change in %</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Change in %</w:t>
            </w:r>
          </w:p>
        </w:tc>
        <w:tc>
          <w:tcPr>
            <w:tcW w:w="100" w:type="dxa"/>
            <w:vAlign w:val="bottom"/>
          </w:tcPr>
          <w:p>
            <w:pPr>
              <w:spacing w:after="0"/>
              <w:rPr>
                <w:sz w:val="16"/>
                <w:szCs w:val="16"/>
                <w:color w:val="auto"/>
              </w:rPr>
            </w:pPr>
          </w:p>
        </w:tc>
      </w:tr>
      <w:tr>
        <w:trPr>
          <w:trHeight w:val="215"/>
        </w:trPr>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8"/>
                <w:szCs w:val="18"/>
                <w:color w:val="auto"/>
              </w:rPr>
            </w:pPr>
          </w:p>
        </w:tc>
        <w:tc>
          <w:tcPr>
            <w:tcW w:w="78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Favorable/(Adverse)</w:t>
            </w:r>
          </w:p>
        </w:tc>
        <w:tc>
          <w:tcPr>
            <w:tcW w:w="200" w:type="dxa"/>
            <w:vAlign w:val="bottom"/>
          </w:tcPr>
          <w:p>
            <w:pPr>
              <w:spacing w:after="0"/>
              <w:rPr>
                <w:sz w:val="18"/>
                <w:szCs w:val="18"/>
                <w:color w:val="auto"/>
              </w:rPr>
            </w:pPr>
          </w:p>
        </w:tc>
        <w:tc>
          <w:tcPr>
            <w:tcW w:w="78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Pr>
          <w:p>
            <w:pPr>
              <w:spacing w:after="0"/>
              <w:rPr>
                <w:sz w:val="18"/>
                <w:szCs w:val="18"/>
                <w:color w:val="auto"/>
              </w:rPr>
            </w:pPr>
          </w:p>
        </w:tc>
        <w:tc>
          <w:tcPr>
            <w:tcW w:w="7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Favorable/(Adverse)</w:t>
            </w:r>
          </w:p>
        </w:tc>
      </w:tr>
      <w:tr>
        <w:trPr>
          <w:trHeight w:val="192"/>
        </w:trPr>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GAAP</w:t>
            </w:r>
          </w:p>
        </w:tc>
        <w:tc>
          <w:tcPr>
            <w:tcW w:w="8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
        </w:trPr>
        <w:tc>
          <w:tcPr>
            <w:tcW w:w="46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6,264</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6,992</w:t>
            </w: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21,184</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21,765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2,570</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2,851</w:t>
            </w: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8,193</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9,278</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20" w:type="dxa"/>
            <w:vAlign w:val="bottom"/>
          </w:tcPr>
          <w:p>
            <w:pPr>
              <w:spacing w:after="0"/>
              <w:rPr>
                <w:sz w:val="19"/>
                <w:szCs w:val="19"/>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3,700</w:t>
            </w:r>
          </w:p>
        </w:tc>
        <w:tc>
          <w:tcPr>
            <w:tcW w:w="260" w:type="dxa"/>
            <w:vAlign w:val="bottom"/>
          </w:tcPr>
          <w:p>
            <w:pPr>
              <w:spacing w:after="0"/>
              <w:rPr>
                <w:sz w:val="19"/>
                <w:szCs w:val="19"/>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4,860</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9"/>
                <w:szCs w:val="19"/>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12,825</w:t>
            </w:r>
          </w:p>
        </w:tc>
        <w:tc>
          <w:tcPr>
            <w:tcW w:w="28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14,297</w:t>
            </w:r>
          </w:p>
        </w:tc>
        <w:tc>
          <w:tcPr>
            <w:tcW w:w="12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12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r>
        <w:trPr>
          <w:trHeight w:val="189"/>
        </w:trPr>
        <w:tc>
          <w:tcPr>
            <w:tcW w:w="32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Non-GAAP</w:t>
            </w: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46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2,572</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2,853</w:t>
            </w: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8,199</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820" w:type="dxa"/>
            <w:vAlign w:val="bottom"/>
          </w:tcPr>
          <w:p>
            <w:pPr>
              <w:spacing w:after="0"/>
              <w:rPr>
                <w:sz w:val="18"/>
                <w:szCs w:val="18"/>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2,992</w:t>
            </w:r>
          </w:p>
        </w:tc>
        <w:tc>
          <w:tcPr>
            <w:tcW w:w="260" w:type="dxa"/>
            <w:vAlign w:val="bottom"/>
          </w:tcPr>
          <w:p>
            <w:pPr>
              <w:spacing w:after="0"/>
              <w:rPr>
                <w:sz w:val="18"/>
                <w:szCs w:val="18"/>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4,244</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10,704</w:t>
            </w:r>
          </w:p>
        </w:tc>
        <w:tc>
          <w:tcPr>
            <w:tcW w:w="28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12,568</w:t>
            </w:r>
          </w:p>
        </w:tc>
        <w:tc>
          <w:tcPr>
            <w:tcW w:w="12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operating loss</w:t>
            </w: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Non-GAAP net loss</w:t>
            </w:r>
          </w:p>
        </w:tc>
        <w:tc>
          <w:tcPr>
            <w:tcW w:w="8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12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3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Adjusted EBITDA</w:t>
            </w:r>
          </w:p>
        </w:tc>
        <w:tc>
          <w:tcPr>
            <w:tcW w:w="8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432"/>
        </w:trPr>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Non-GAAP loss per share (diluted)</w:t>
            </w:r>
          </w:p>
        </w:tc>
        <w:tc>
          <w:tcPr>
            <w:tcW w:w="8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24"/>
                <w:szCs w:val="24"/>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Highlights</w:t>
      </w:r>
    </w:p>
    <w:p>
      <w:pPr>
        <w:spacing w:after="0" w:line="14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As of September 30, 2022, cash, cash equivalents and investments were $1.5 million, compared to $4.1 million as of December 31, 2021. As of September 30, 2022, the Company carried $2.1 million in debt on account of senior convertible notes issued in December 2019.</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ClearOne</w:t>
      </w:r>
    </w:p>
    <w:p>
      <w:pPr>
        <w:spacing w:after="0" w:line="148"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 xml:space="preserve">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Visit ClearOne at </w:t>
      </w:r>
      <w:r>
        <w:rPr>
          <w:rFonts w:ascii="Times New Roman" w:cs="Times New Roman" w:eastAsia="Times New Roman" w:hAnsi="Times New Roman"/>
          <w:sz w:val="18"/>
          <w:szCs w:val="18"/>
          <w:u w:val="single" w:color="auto"/>
          <w:color w:val="auto"/>
        </w:rPr>
        <w:t>www.clearone.com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4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on a GAAP basis, ClearOne uses non-GAAP measures of gross profit, operating income (loss), net income (loss), adjusted Earnings Before Interest, Taxes, Depreciation and Amortization (EBITDA) and net income (loss) per share, which are adjusted to exclude certain costs, expenses, gains and losses we believe appropriate to enhance an overall understanding of our past financial performance from period to period and also our prospects for the future. These adjustments to our current period GAAP results are made with the intent of providing both management and investors a more complete understanding of ClearOne’s underlying operational results and trends and our marketplace performance. The non-GAAP results are an indication of our baseline performance before certain gains, losses, or other charges that are considered by management to be outside of our core operating results. In addition, these adjusted non-GAAP results are among the primary indicators management uses as a basis for our planning and forecasting of future periods. The presentation of this additional non-GAAP financial information is not meant to be considered in isolation or as a substitute for gross profit, operating income (loss), net income (loss), income (loss) per share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with this release below.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4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and the possible outcomes of litigation,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Annual Report on Form 10-K (the “10-K”) filed by the Company for the same period with the Securities and Exchange Commission (the “SEC”) and all of the Company’s other public filings with the SEC (the “Public Filings”).</w:t>
      </w:r>
    </w:p>
    <w:p>
      <w:pPr>
        <w:spacing w:after="0" w:line="18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particular, the financial information contained herein is subject to and qualified by reference to the financial statements contained in the 10-Q, including the footnotes thereto, as well as the Company’s annual report on Form 10-K for the year ended December 31, 2022 (the “10-K”), the footnotes thereto and the limitations set forth therein. Investors may not rely on the press release without reference to the 10-Q, the 10-K and the Public Filings.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6" w:name="page7"/>
    <w:bookmarkEnd w:id="6"/>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(Dollars in thousands, except par value)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82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00" w:type="dxa"/>
            <w:vAlign w:val="bottom"/>
            <w:shd w:val="clear" w:color="auto" w:fill="CCEEFF"/>
          </w:tcPr>
          <w:p>
            <w:pPr>
              <w:ind w:left="37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29"/>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1,790</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Receivables, net of allowance for doubtful accounts of $326</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4,123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4,991</w:t>
            </w:r>
          </w:p>
        </w:tc>
        <w:tc>
          <w:tcPr>
            <w:tcW w:w="0" w:type="dxa"/>
            <w:vAlign w:val="bottom"/>
          </w:tcPr>
          <w:p>
            <w:pPr>
              <w:spacing w:after="0"/>
              <w:rPr>
                <w:sz w:val="1"/>
                <w:szCs w:val="1"/>
                <w:color w:val="auto"/>
              </w:rPr>
            </w:pPr>
          </w:p>
        </w:tc>
      </w:tr>
      <w:tr>
        <w:trPr>
          <w:trHeight w:val="230"/>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9,708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10,033</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receivable</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7,535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7,535</w:t>
            </w:r>
          </w:p>
        </w:tc>
        <w:tc>
          <w:tcPr>
            <w:tcW w:w="0" w:type="dxa"/>
            <w:vAlign w:val="bottom"/>
          </w:tcPr>
          <w:p>
            <w:pPr>
              <w:spacing w:after="0"/>
              <w:rPr>
                <w:sz w:val="1"/>
                <w:szCs w:val="1"/>
                <w:color w:val="auto"/>
              </w:rPr>
            </w:pPr>
          </w:p>
        </w:tc>
      </w:tr>
      <w:tr>
        <w:trPr>
          <w:trHeight w:val="230"/>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1,970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4,021</w:t>
            </w:r>
          </w:p>
        </w:tc>
        <w:tc>
          <w:tcPr>
            <w:tcW w:w="0" w:type="dxa"/>
            <w:vAlign w:val="bottom"/>
          </w:tcPr>
          <w:p>
            <w:pPr>
              <w:spacing w:after="0"/>
              <w:rPr>
                <w:sz w:val="1"/>
                <w:szCs w:val="1"/>
                <w:color w:val="auto"/>
              </w:rPr>
            </w:pPr>
          </w:p>
        </w:tc>
      </w:tr>
      <w:tr>
        <w:trPr>
          <w:trHeight w:val="209"/>
        </w:trPr>
        <w:tc>
          <w:tcPr>
            <w:tcW w:w="8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inventories, net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2,961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3,567</w:t>
            </w:r>
          </w:p>
        </w:tc>
        <w:tc>
          <w:tcPr>
            <w:tcW w:w="0" w:type="dxa"/>
            <w:vAlign w:val="bottom"/>
          </w:tcPr>
          <w:p>
            <w:pPr>
              <w:spacing w:after="0"/>
              <w:rPr>
                <w:sz w:val="1"/>
                <w:szCs w:val="1"/>
                <w:color w:val="auto"/>
              </w:rPr>
            </w:pPr>
          </w:p>
        </w:tc>
      </w:tr>
      <w:tr>
        <w:trPr>
          <w:trHeight w:val="229"/>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 right of use assets, net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1,537</w:t>
            </w:r>
          </w:p>
        </w:tc>
        <w:tc>
          <w:tcPr>
            <w:tcW w:w="0" w:type="dxa"/>
            <w:vAlign w:val="bottom"/>
          </w:tcPr>
          <w:p>
            <w:pPr>
              <w:spacing w:after="0"/>
              <w:rPr>
                <w:sz w:val="1"/>
                <w:szCs w:val="1"/>
                <w:color w:val="auto"/>
              </w:rPr>
            </w:pPr>
          </w:p>
        </w:tc>
      </w:tr>
      <w:tr>
        <w:trPr>
          <w:trHeight w:val="230"/>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Intangibles, net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23,783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25,086</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4,587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4,597</w:t>
            </w:r>
          </w:p>
        </w:tc>
        <w:tc>
          <w:tcPr>
            <w:tcW w:w="0" w:type="dxa"/>
            <w:vAlign w:val="bottom"/>
          </w:tcPr>
          <w:p>
            <w:pPr>
              <w:spacing w:after="0"/>
              <w:rPr>
                <w:sz w:val="1"/>
                <w:szCs w:val="1"/>
                <w:color w:val="auto"/>
              </w:rPr>
            </w:pPr>
          </w:p>
        </w:tc>
      </w:tr>
      <w:tr>
        <w:trPr>
          <w:trHeight w:val="250"/>
        </w:trPr>
        <w:tc>
          <w:tcPr>
            <w:tcW w:w="8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57,757</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66,192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200" w:type="dxa"/>
            <w:vAlign w:val="bottom"/>
            <w:shd w:val="clear" w:color="auto" w:fill="CCEEFF"/>
          </w:tcPr>
          <w:p>
            <w:pPr>
              <w:ind w:left="216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2,052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5,388</w:t>
            </w:r>
          </w:p>
        </w:tc>
        <w:tc>
          <w:tcPr>
            <w:tcW w:w="0" w:type="dxa"/>
            <w:vAlign w:val="bottom"/>
          </w:tcPr>
          <w:p>
            <w:pPr>
              <w:spacing w:after="0"/>
              <w:rPr>
                <w:sz w:val="1"/>
                <w:szCs w:val="1"/>
                <w:color w:val="auto"/>
              </w:rPr>
            </w:pPr>
          </w:p>
        </w:tc>
      </w:tr>
      <w:tr>
        <w:trPr>
          <w:trHeight w:val="229"/>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2,477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2,549</w:t>
            </w: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product revenue</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debt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3,481</w:t>
            </w:r>
          </w:p>
        </w:tc>
        <w:tc>
          <w:tcPr>
            <w:tcW w:w="0" w:type="dxa"/>
            <w:vAlign w:val="bottom"/>
          </w:tcPr>
          <w:p>
            <w:pPr>
              <w:spacing w:after="0"/>
              <w:rPr>
                <w:sz w:val="1"/>
                <w:szCs w:val="1"/>
                <w:color w:val="auto"/>
              </w:rPr>
            </w:pPr>
          </w:p>
        </w:tc>
      </w:tr>
      <w:tr>
        <w:trPr>
          <w:trHeight w:val="210"/>
        </w:trPr>
        <w:tc>
          <w:tcPr>
            <w:tcW w:w="8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1,535</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liability, net of current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30"/>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10"/>
        </w:trPr>
        <w:tc>
          <w:tcPr>
            <w:tcW w:w="8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20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Common stock, par value $0.001, 50,000,000 shares authorized, 23,952,555 and 22,410,126 shares issued and</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4"/>
        </w:trPr>
        <w:tc>
          <w:tcPr>
            <w:tcW w:w="8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outstanding, respectively</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74,886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72,795</w:t>
            </w:r>
          </w:p>
        </w:tc>
        <w:tc>
          <w:tcPr>
            <w:tcW w:w="0" w:type="dxa"/>
            <w:vAlign w:val="bottom"/>
          </w:tcPr>
          <w:p>
            <w:pPr>
              <w:spacing w:after="0"/>
              <w:rPr>
                <w:sz w:val="1"/>
                <w:szCs w:val="1"/>
                <w:color w:val="auto"/>
              </w:rPr>
            </w:pPr>
          </w:p>
        </w:tc>
      </w:tr>
      <w:tr>
        <w:trPr>
          <w:trHeight w:val="230"/>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(24,544)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(21,072)</w:t>
            </w:r>
          </w:p>
        </w:tc>
        <w:tc>
          <w:tcPr>
            <w:tcW w:w="0" w:type="dxa"/>
            <w:vAlign w:val="bottom"/>
          </w:tcPr>
          <w:p>
            <w:pPr>
              <w:spacing w:after="0"/>
              <w:rPr>
                <w:sz w:val="1"/>
                <w:szCs w:val="1"/>
                <w:color w:val="auto"/>
              </w:rPr>
            </w:pPr>
          </w:p>
        </w:tc>
      </w:tr>
      <w:tr>
        <w:trPr>
          <w:trHeight w:val="210"/>
        </w:trPr>
        <w:tc>
          <w:tcPr>
            <w:tcW w:w="8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50,078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8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 w:name="page8"/>
    <w:bookmarkEnd w:id="7"/>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LOSS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(Dollars in thousands, except per share values)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5"/>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8"/>
                <w:szCs w:val="18"/>
                <w:color w:val="auto"/>
              </w:rPr>
            </w:pPr>
          </w:p>
        </w:tc>
        <w:tc>
          <w:tcPr>
            <w:tcW w:w="270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4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r>
      <w:tr>
        <w:trPr>
          <w:trHeight w:val="211"/>
        </w:trPr>
        <w:tc>
          <w:tcPr>
            <w:tcW w:w="5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21,765</w:t>
            </w:r>
          </w:p>
        </w:tc>
        <w:tc>
          <w:tcPr>
            <w:tcW w:w="100" w:type="dxa"/>
            <w:vAlign w:val="bottom"/>
            <w:shd w:val="clear" w:color="auto" w:fill="CCEEFF"/>
          </w:tcPr>
          <w:p>
            <w:pPr>
              <w:spacing w:after="0"/>
              <w:rPr>
                <w:sz w:val="18"/>
                <w:szCs w:val="18"/>
                <w:color w:val="auto"/>
              </w:rPr>
            </w:pPr>
          </w:p>
        </w:tc>
      </w:tr>
      <w:tr>
        <w:trPr>
          <w:trHeight w:val="229"/>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3,694</w:t>
            </w: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4,141</w:t>
            </w:r>
          </w:p>
        </w:tc>
        <w:tc>
          <w:tcPr>
            <w:tcW w:w="16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12,991</w:t>
            </w:r>
          </w:p>
        </w:tc>
        <w:tc>
          <w:tcPr>
            <w:tcW w:w="3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12,487</w:t>
            </w:r>
          </w:p>
        </w:tc>
      </w:tr>
      <w:tr>
        <w:trPr>
          <w:trHeight w:val="209"/>
        </w:trPr>
        <w:tc>
          <w:tcPr>
            <w:tcW w:w="54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1,151</w:t>
            </w: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1,692</w:t>
            </w:r>
          </w:p>
        </w:tc>
        <w:tc>
          <w:tcPr>
            <w:tcW w:w="16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4,273</w:t>
            </w:r>
          </w:p>
        </w:tc>
        <w:tc>
          <w:tcPr>
            <w:tcW w:w="3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5,020</w:t>
            </w:r>
          </w:p>
        </w:tc>
      </w:tr>
      <w:tr>
        <w:trPr>
          <w:trHeight w:val="230"/>
        </w:trPr>
        <w:tc>
          <w:tcPr>
            <w:tcW w:w="5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876</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1,492</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3,406</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4,253</w:t>
            </w:r>
          </w:p>
        </w:tc>
      </w:tr>
      <w:tr>
        <w:trPr>
          <w:trHeight w:val="229"/>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1,673</w:t>
            </w: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1,676</w:t>
            </w:r>
          </w:p>
        </w:tc>
        <w:tc>
          <w:tcPr>
            <w:tcW w:w="16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5,146</w:t>
            </w:r>
          </w:p>
        </w:tc>
        <w:tc>
          <w:tcPr>
            <w:tcW w:w="3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5,024</w:t>
            </w:r>
          </w:p>
        </w:tc>
      </w:tr>
      <w:tr>
        <w:trPr>
          <w:trHeight w:val="210"/>
        </w:trPr>
        <w:tc>
          <w:tcPr>
            <w:tcW w:w="54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12,825</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(1,130)</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(2,009)</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(4,632)</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(5,019)</w:t>
            </w:r>
          </w:p>
        </w:tc>
      </w:tr>
      <w:tr>
        <w:trPr>
          <w:trHeight w:val="230"/>
        </w:trPr>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(285)</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(369)</w:t>
            </w:r>
          </w:p>
        </w:tc>
      </w:tr>
      <w:tr>
        <w:trPr>
          <w:trHeight w:val="229"/>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1,505</w:t>
            </w:r>
          </w:p>
        </w:tc>
        <w:tc>
          <w:tcPr>
            <w:tcW w:w="3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0"/>
        </w:trPr>
        <w:tc>
          <w:tcPr>
            <w:tcW w:w="5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(1,223)</w:t>
            </w:r>
          </w:p>
        </w:tc>
        <w:tc>
          <w:tcPr>
            <w:tcW w:w="2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(2,152)</w:t>
            </w:r>
          </w:p>
        </w:tc>
        <w:tc>
          <w:tcPr>
            <w:tcW w:w="1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(3,412)</w:t>
            </w:r>
          </w:p>
        </w:tc>
        <w:tc>
          <w:tcPr>
            <w:tcW w:w="3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(5,371)</w:t>
            </w:r>
          </w:p>
        </w:tc>
      </w:tr>
      <w:tr>
        <w:trPr>
          <w:trHeight w:val="230"/>
        </w:trPr>
        <w:tc>
          <w:tcPr>
            <w:tcW w:w="5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54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50"/>
        </w:trPr>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2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100" w:type="dxa"/>
            <w:vAlign w:val="bottom"/>
            <w:tcBorders>
              <w:bottom w:val="single" w:sz="8" w:color="CCEEFF"/>
            </w:tcBorders>
          </w:tcPr>
          <w:p>
            <w:pPr>
              <w:spacing w:after="0"/>
              <w:rPr>
                <w:sz w:val="21"/>
                <w:szCs w:val="21"/>
                <w:color w:val="auto"/>
              </w:rPr>
            </w:pPr>
          </w:p>
        </w:tc>
      </w:tr>
      <w:tr>
        <w:trPr>
          <w:trHeight w:val="196"/>
        </w:trPr>
        <w:tc>
          <w:tcPr>
            <w:tcW w:w="5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23,952,555</w:t>
            </w:r>
          </w:p>
        </w:tc>
        <w:tc>
          <w:tcPr>
            <w:tcW w:w="2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19,449,283</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23,933,033</w:t>
            </w:r>
          </w:p>
        </w:tc>
        <w:tc>
          <w:tcPr>
            <w:tcW w:w="30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19,002,758</w:t>
            </w:r>
          </w:p>
        </w:tc>
      </w:tr>
      <w:tr>
        <w:trPr>
          <w:trHeight w:val="270"/>
        </w:trPr>
        <w:tc>
          <w:tcPr>
            <w:tcW w:w="5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23,952,555</w:t>
            </w:r>
          </w:p>
        </w:tc>
        <w:tc>
          <w:tcPr>
            <w:tcW w:w="2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19,449,283</w:t>
            </w: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23,933,033</w:t>
            </w: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19,002,758</w:t>
            </w:r>
          </w:p>
        </w:tc>
      </w:tr>
      <w:tr>
        <w:trPr>
          <w:trHeight w:val="230"/>
        </w:trPr>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loss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(0.28)</w:t>
            </w:r>
          </w:p>
        </w:tc>
      </w:tr>
      <w:tr>
        <w:trPr>
          <w:trHeight w:val="229"/>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loss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(0.28)</w:t>
            </w:r>
          </w:p>
        </w:tc>
      </w:tr>
      <w:tr>
        <w:trPr>
          <w:trHeight w:val="230"/>
        </w:trPr>
        <w:tc>
          <w:tcPr>
            <w:tcW w:w="5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(1,248)</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(2,169)</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(3,472)</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(5,410)</w:t>
            </w:r>
          </w:p>
        </w:tc>
      </w:tr>
      <w:tr>
        <w:trPr>
          <w:trHeight w:val="270"/>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 (loss) on available-for-sale securities, net of tax</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3"/>
                <w:szCs w:val="23"/>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3"/>
                <w:szCs w:val="23"/>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10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5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971"/>
              <w:spacing w:after="0"/>
              <w:rPr>
                <w:sz w:val="20"/>
                <w:szCs w:val="20"/>
                <w:color w:val="auto"/>
              </w:rPr>
            </w:pPr>
            <w:r>
              <w:rPr>
                <w:rFonts w:ascii="Times New Roman" w:cs="Times New Roman" w:eastAsia="Times New Roman" w:hAnsi="Times New Roman"/>
                <w:sz w:val="17"/>
                <w:szCs w:val="17"/>
                <w:color w:val="auto"/>
                <w:w w:val="70"/>
              </w:rPr>
              <w:t>5</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8"/>
        </w:trPr>
        <w:tc>
          <w:tcPr>
            <w:tcW w:w="5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 RECONCILIATION OF GAAP MEASURES TO NON-GAAP MEASURES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(Dollars in thousands, except per share values)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6"/>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266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99"/>
        </w:trPr>
        <w:tc>
          <w:tcPr>
            <w:tcW w:w="514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r>
      <w:tr>
        <w:trPr>
          <w:trHeight w:val="210"/>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GAAP gross profit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9,278</w:t>
            </w:r>
          </w:p>
        </w:tc>
        <w:tc>
          <w:tcPr>
            <w:tcW w:w="100" w:type="dxa"/>
            <w:vAlign w:val="bottom"/>
            <w:shd w:val="clear" w:color="auto" w:fill="CCEEFF"/>
          </w:tcPr>
          <w:p>
            <w:pPr>
              <w:spacing w:after="0"/>
              <w:rPr>
                <w:sz w:val="18"/>
                <w:szCs w:val="18"/>
                <w:color w:val="auto"/>
              </w:rPr>
            </w:pPr>
          </w:p>
        </w:tc>
      </w:tr>
      <w:tr>
        <w:trPr>
          <w:trHeight w:val="223"/>
        </w:trPr>
        <w:tc>
          <w:tcPr>
            <w:tcW w:w="5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r>
      <w:tr>
        <w:trPr>
          <w:trHeight w:val="203"/>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Non-GAAP gross profit</w:t>
            </w: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GAAP operating loss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(1,130)</w:t>
            </w:r>
          </w:p>
        </w:tc>
        <w:tc>
          <w:tcPr>
            <w:tcW w:w="3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(4,632)</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(5,019)</w:t>
            </w:r>
          </w:p>
        </w:tc>
      </w:tr>
      <w:tr>
        <w:trPr>
          <w:trHeight w:val="227"/>
        </w:trPr>
        <w:tc>
          <w:tcPr>
            <w:tcW w:w="5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w:t>
            </w:r>
          </w:p>
        </w:tc>
      </w:tr>
      <w:tr>
        <w:trPr>
          <w:trHeight w:val="232"/>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582</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1,636</w:t>
            </w:r>
          </w:p>
        </w:tc>
      </w:tr>
      <w:tr>
        <w:trPr>
          <w:trHeight w:val="236"/>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Non-GAAP operating loss</w:t>
            </w:r>
          </w:p>
        </w:tc>
        <w:tc>
          <w:tcPr>
            <w:tcW w:w="3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2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(2,505)</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(3,283)</w:t>
            </w:r>
          </w:p>
        </w:tc>
        <w:tc>
          <w:tcPr>
            <w:tcW w:w="100" w:type="dxa"/>
            <w:vAlign w:val="bottom"/>
            <w:tcBorders>
              <w:bottom w:val="single" w:sz="8" w:color="CCEEFF"/>
            </w:tcBorders>
          </w:tcPr>
          <w:p>
            <w:pPr>
              <w:spacing w:after="0"/>
              <w:rPr>
                <w:sz w:val="20"/>
                <w:szCs w:val="20"/>
                <w:color w:val="auto"/>
              </w:rPr>
            </w:pPr>
          </w:p>
        </w:tc>
      </w:tr>
      <w:tr>
        <w:trPr>
          <w:trHeight w:val="197"/>
        </w:trPr>
        <w:tc>
          <w:tcPr>
            <w:tcW w:w="5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51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GAAP net loss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(1,248)</w:t>
            </w:r>
          </w:p>
        </w:tc>
        <w:tc>
          <w:tcPr>
            <w:tcW w:w="3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(2,169)</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(3,472)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(5,410)</w:t>
            </w:r>
          </w:p>
        </w:tc>
      </w:tr>
      <w:tr>
        <w:trPr>
          <w:trHeight w:val="230"/>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w:t>
            </w:r>
          </w:p>
        </w:tc>
      </w:tr>
      <w:tr>
        <w:trPr>
          <w:trHeight w:val="226"/>
        </w:trPr>
        <w:tc>
          <w:tcPr>
            <w:tcW w:w="5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582</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1,636</w:t>
            </w:r>
          </w:p>
        </w:tc>
      </w:tr>
      <w:tr>
        <w:trPr>
          <w:trHeight w:val="233"/>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CARES Act PPP loan forgiveness</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(1,528)</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5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Non-GAAP net loss</w:t>
            </w:r>
          </w:p>
        </w:tc>
        <w:tc>
          <w:tcPr>
            <w:tcW w:w="3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2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(2,873)</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(3,674)</w:t>
            </w:r>
          </w:p>
        </w:tc>
        <w:tc>
          <w:tcPr>
            <w:tcW w:w="100" w:type="dxa"/>
            <w:vAlign w:val="bottom"/>
            <w:tcBorders>
              <w:bottom w:val="single" w:sz="8" w:color="CCEEFF"/>
            </w:tcBorders>
          </w:tcPr>
          <w:p>
            <w:pPr>
              <w:spacing w:after="0"/>
              <w:rPr>
                <w:sz w:val="20"/>
                <w:szCs w:val="20"/>
                <w:color w:val="auto"/>
              </w:rPr>
            </w:pPr>
          </w:p>
        </w:tc>
      </w:tr>
      <w:tr>
        <w:trPr>
          <w:trHeight w:val="196"/>
        </w:trPr>
        <w:tc>
          <w:tcPr>
            <w:tcW w:w="5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1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GAAP net loss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(1,248)</w:t>
            </w:r>
          </w:p>
        </w:tc>
        <w:tc>
          <w:tcPr>
            <w:tcW w:w="3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(2,169)</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(3,472)</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(5,410)</w:t>
            </w:r>
          </w:p>
        </w:tc>
      </w:tr>
      <w:tr>
        <w:trPr>
          <w:trHeight w:val="203"/>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Number of shares used in computing GAAP loss per share (diluted)</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23,952,555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19,449,283</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23,933,033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19,002,758</w:t>
            </w:r>
          </w:p>
        </w:tc>
      </w:tr>
      <w:tr>
        <w:trPr>
          <w:trHeight w:val="229"/>
        </w:trPr>
        <w:tc>
          <w:tcPr>
            <w:tcW w:w="51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GAAP loss per share (diluted)</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(0.05)</w:t>
            </w:r>
          </w:p>
        </w:tc>
        <w:tc>
          <w:tcPr>
            <w:tcW w:w="3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(0.11)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(0.15)</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(0.28)</w:t>
            </w:r>
          </w:p>
        </w:tc>
      </w:tr>
      <w:tr>
        <w:trPr>
          <w:trHeight w:val="230"/>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Non-GAAP net loss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(538)</w:t>
            </w:r>
          </w:p>
        </w:tc>
        <w:tc>
          <w:tcPr>
            <w:tcW w:w="3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(2,873)</w:t>
            </w:r>
          </w:p>
        </w:tc>
        <w:tc>
          <w:tcPr>
            <w:tcW w:w="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(3,674)</w:t>
            </w:r>
          </w:p>
        </w:tc>
      </w:tr>
      <w:tr>
        <w:trPr>
          <w:trHeight w:val="226"/>
        </w:trPr>
        <w:tc>
          <w:tcPr>
            <w:tcW w:w="5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Number of shares used in computing Non-GAAP loss per share (diluted)</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23,952,555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19,449,283</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23,933,033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19,002,758</w:t>
            </w:r>
          </w:p>
        </w:tc>
      </w:tr>
      <w:tr>
        <w:trPr>
          <w:trHeight w:val="233"/>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Non-GAAP loss per share (diluted)</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(0.02)</w:t>
            </w:r>
          </w:p>
        </w:tc>
        <w:tc>
          <w:tcPr>
            <w:tcW w:w="3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(0.12)</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(0.19)</w:t>
            </w:r>
          </w:p>
        </w:tc>
      </w:tr>
      <w:tr>
        <w:trPr>
          <w:trHeight w:val="229"/>
        </w:trPr>
        <w:tc>
          <w:tcPr>
            <w:tcW w:w="5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GAAP net loss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(1,248)</w:t>
            </w:r>
          </w:p>
        </w:tc>
        <w:tc>
          <w:tcPr>
            <w:tcW w:w="3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(3,472)</w:t>
            </w:r>
          </w:p>
        </w:tc>
        <w:tc>
          <w:tcPr>
            <w:tcW w:w="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(5,410)</w:t>
            </w:r>
          </w:p>
        </w:tc>
      </w:tr>
      <w:tr>
        <w:trPr>
          <w:trHeight w:val="227"/>
        </w:trPr>
        <w:tc>
          <w:tcPr>
            <w:tcW w:w="5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w:t>
            </w:r>
          </w:p>
        </w:tc>
      </w:tr>
      <w:tr>
        <w:trPr>
          <w:trHeight w:val="233"/>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Depreciation</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283</w:t>
            </w:r>
          </w:p>
        </w:tc>
      </w:tr>
      <w:tr>
        <w:trPr>
          <w:trHeight w:val="226"/>
        </w:trPr>
        <w:tc>
          <w:tcPr>
            <w:tcW w:w="5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582</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1,636</w:t>
            </w:r>
          </w:p>
        </w:tc>
      </w:tr>
      <w:tr>
        <w:trPr>
          <w:trHeight w:val="205"/>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369</w:t>
            </w:r>
          </w:p>
        </w:tc>
      </w:tr>
      <w:tr>
        <w:trPr>
          <w:trHeight w:val="203"/>
        </w:trPr>
        <w:tc>
          <w:tcPr>
            <w:tcW w:w="51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CARES Act PPP loan forgiveness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(1,528)</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w:t>
            </w:r>
          </w:p>
        </w:tc>
      </w:tr>
      <w:tr>
        <w:trPr>
          <w:trHeight w:val="196"/>
        </w:trPr>
        <w:tc>
          <w:tcPr>
            <w:tcW w:w="5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Non-GAAP Adjusted EBITDA</w:t>
            </w:r>
          </w:p>
        </w:tc>
        <w:tc>
          <w:tcPr>
            <w:tcW w:w="3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100" w:type="dxa"/>
            <w:vAlign w:val="bottom"/>
          </w:tcPr>
          <w:p>
            <w:pPr>
              <w:spacing w:after="0"/>
              <w:rPr>
                <w:sz w:val="17"/>
                <w:szCs w:val="17"/>
                <w:color w:val="auto"/>
              </w:rPr>
            </w:pPr>
          </w:p>
        </w:tc>
      </w:tr>
      <w:tr>
        <w:trPr>
          <w:trHeight w:val="20"/>
        </w:trPr>
        <w:tc>
          <w:tcPr>
            <w:tcW w:w="5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Bob Griffin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801-975-7200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investor_relations@clearone.com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http://investors.clearone.com</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2022-11-16T11:35:39Z</dcterms:created>
  <dcterms:modified xsi:type="dcterms:W3CDTF">2022-11-16T11:35:39Z</dcterms:modified>
</cp:coreProperties>
</file>