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jc w:val="center"/>
        <w:ind w:right="2715"/>
        <w:spacing w:after="0" w:line="237" w:lineRule="auto"/>
        <w:rPr>
          <w:sz w:val="20"/>
          <w:szCs w:val="20"/>
          <w:color w:val="auto"/>
        </w:rPr>
      </w:pPr>
      <w:r>
        <w:rPr>
          <w:rFonts w:ascii="Courier New" w:cs="Courier New" w:eastAsia="Courier New" w:hAnsi="Courier New"/>
          <w:sz w:val="16"/>
          <w:szCs w:val="16"/>
          <w:color w:val="auto"/>
        </w:rPr>
        <w:t>FORM 8-K/A</w:t>
      </w:r>
    </w:p>
    <w:p>
      <w:pPr>
        <w:spacing w:after="0" w:line="18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CURRENT REPORT</w:t>
      </w:r>
    </w:p>
    <w:p>
      <w:pPr>
        <w:spacing w:after="0" w:line="179" w:lineRule="exact"/>
        <w:rPr>
          <w:sz w:val="24"/>
          <w:szCs w:val="24"/>
          <w:color w:val="auto"/>
        </w:rPr>
      </w:pPr>
    </w:p>
    <w:p>
      <w:pPr>
        <w:ind w:left="2164"/>
        <w:spacing w:after="0"/>
        <w:rPr>
          <w:sz w:val="20"/>
          <w:szCs w:val="20"/>
          <w:color w:val="auto"/>
        </w:rPr>
      </w:pPr>
      <w:r>
        <w:rPr>
          <w:rFonts w:ascii="Courier New" w:cs="Courier New" w:eastAsia="Courier New" w:hAnsi="Courier New"/>
          <w:sz w:val="16"/>
          <w:szCs w:val="16"/>
          <w:color w:val="auto"/>
        </w:rPr>
        <w:t>Pursuant to Section 13 or 15(d) of</w:t>
      </w:r>
    </w:p>
    <w:p>
      <w:pPr>
        <w:ind w:left="2164"/>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Date of Report (Date of earliest event reported): May 31, 2002</w:t>
      </w:r>
    </w:p>
    <w:p>
      <w:pPr>
        <w:spacing w:after="0" w:line="179" w:lineRule="exact"/>
        <w:rPr>
          <w:sz w:val="24"/>
          <w:szCs w:val="24"/>
          <w:color w:val="auto"/>
        </w:rPr>
      </w:pPr>
    </w:p>
    <w:p>
      <w:pPr>
        <w:jc w:val="center"/>
        <w:ind w:right="2815"/>
        <w:spacing w:after="0"/>
        <w:rPr>
          <w:sz w:val="20"/>
          <w:szCs w:val="20"/>
          <w:color w:val="auto"/>
        </w:rPr>
      </w:pPr>
      <w:r>
        <w:rPr>
          <w:rFonts w:ascii="Courier New" w:cs="Courier New" w:eastAsia="Courier New" w:hAnsi="Courier New"/>
          <w:sz w:val="16"/>
          <w:szCs w:val="16"/>
          <w:color w:val="auto"/>
        </w:rPr>
        <w:t>ClearOne Communications, Inc.</w:t>
      </w:r>
    </w:p>
    <w:p>
      <w:pPr>
        <w:ind w:left="464"/>
        <w:spacing w:after="0"/>
        <w:rPr>
          <w:sz w:val="20"/>
          <w:szCs w:val="20"/>
          <w:color w:val="auto"/>
        </w:rPr>
      </w:pPr>
      <w:r>
        <w:rPr>
          <w:rFonts w:ascii="Courier New" w:cs="Courier New" w:eastAsia="Courier New" w:hAnsi="Courier New"/>
          <w:sz w:val="16"/>
          <w:szCs w:val="16"/>
          <w:color w:val="auto"/>
        </w:rPr>
        <w:t>----------------------------------------------------------------------</w:t>
      </w:r>
    </w:p>
    <w:p>
      <w:pPr>
        <w:ind w:left="1224"/>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0" w:lineRule="exact"/>
        <w:rPr>
          <w:sz w:val="24"/>
          <w:szCs w:val="24"/>
          <w:color w:val="auto"/>
        </w:rPr>
      </w:pPr>
    </w:p>
    <w:tbl>
      <w:tblPr>
        <w:tblLayout w:type="fixed"/>
        <w:tblInd w:w="464" w:type="dxa"/>
        <w:tblCellMar>
          <w:top w:w="0" w:type="dxa"/>
          <w:left w:w="0" w:type="dxa"/>
          <w:bottom w:w="0" w:type="dxa"/>
          <w:right w:w="0" w:type="dxa"/>
        </w:tblCellMar>
      </w:tblPr>
      <w:tr>
        <w:trPr>
          <w:trHeight w:val="181"/>
        </w:trPr>
        <w:tc>
          <w:tcPr>
            <w:tcW w:w="2060" w:type="dxa"/>
            <w:vAlign w:val="bottom"/>
          </w:tcPr>
          <w:p>
            <w:pPr>
              <w:jc w:val="center"/>
              <w:ind w:right="282"/>
              <w:spacing w:after="0"/>
              <w:rPr>
                <w:sz w:val="20"/>
                <w:szCs w:val="20"/>
                <w:color w:val="auto"/>
              </w:rPr>
            </w:pPr>
            <w:r>
              <w:rPr>
                <w:rFonts w:ascii="Courier New" w:cs="Courier New" w:eastAsia="Courier New" w:hAnsi="Courier New"/>
                <w:sz w:val="16"/>
                <w:szCs w:val="16"/>
                <w:color w:val="auto"/>
                <w:w w:val="98"/>
              </w:rPr>
              <w:t>Utah</w:t>
            </w:r>
          </w:p>
        </w:tc>
        <w:tc>
          <w:tcPr>
            <w:tcW w:w="230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17219</w:t>
            </w:r>
          </w:p>
        </w:tc>
        <w:tc>
          <w:tcPr>
            <w:tcW w:w="21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87-0398877</w:t>
            </w:r>
          </w:p>
        </w:tc>
      </w:tr>
      <w:tr>
        <w:trPr>
          <w:trHeight w:val="180"/>
        </w:trPr>
        <w:tc>
          <w:tcPr>
            <w:tcW w:w="206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7"/>
              </w:rPr>
              <w:t>------------------</w:t>
            </w:r>
          </w:p>
        </w:tc>
        <w:tc>
          <w:tcPr>
            <w:tcW w:w="2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(State or other</w:t>
            </w:r>
          </w:p>
        </w:tc>
        <w:tc>
          <w:tcPr>
            <w:tcW w:w="2300" w:type="dxa"/>
            <w:vAlign w:val="bottom"/>
          </w:tcPr>
          <w:p>
            <w:pPr>
              <w:ind w:left="660"/>
              <w:spacing w:after="0"/>
              <w:rPr>
                <w:sz w:val="20"/>
                <w:szCs w:val="20"/>
                <w:color w:val="auto"/>
              </w:rPr>
            </w:pPr>
            <w:r>
              <w:rPr>
                <w:rFonts w:ascii="Courier New" w:cs="Courier New" w:eastAsia="Courier New" w:hAnsi="Courier New"/>
                <w:sz w:val="16"/>
                <w:szCs w:val="16"/>
                <w:color w:val="auto"/>
              </w:rPr>
              <w:t>(Commission</w:t>
            </w:r>
          </w:p>
        </w:tc>
        <w:tc>
          <w:tcPr>
            <w:tcW w:w="2120" w:type="dxa"/>
            <w:vAlign w:val="bottom"/>
          </w:tcPr>
          <w:p>
            <w:pPr>
              <w:ind w:left="340"/>
              <w:spacing w:after="0"/>
              <w:rPr>
                <w:sz w:val="20"/>
                <w:szCs w:val="20"/>
                <w:color w:val="auto"/>
              </w:rPr>
            </w:pPr>
            <w:r>
              <w:rPr>
                <w:rFonts w:ascii="Courier New" w:cs="Courier New" w:eastAsia="Courier New" w:hAnsi="Courier New"/>
                <w:sz w:val="16"/>
                <w:szCs w:val="16"/>
                <w:color w:val="auto"/>
              </w:rPr>
              <w:t>(I.R.S. Employer</w:t>
            </w:r>
          </w:p>
        </w:tc>
      </w:tr>
      <w:tr>
        <w:trPr>
          <w:trHeight w:val="180"/>
        </w:trPr>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jurisdiction of</w:t>
            </w:r>
          </w:p>
        </w:tc>
        <w:tc>
          <w:tcPr>
            <w:tcW w:w="2300" w:type="dxa"/>
            <w:vAlign w:val="bottom"/>
          </w:tcPr>
          <w:p>
            <w:pPr>
              <w:ind w:left="660"/>
              <w:spacing w:after="0"/>
              <w:rPr>
                <w:sz w:val="20"/>
                <w:szCs w:val="20"/>
                <w:color w:val="auto"/>
              </w:rPr>
            </w:pPr>
            <w:r>
              <w:rPr>
                <w:rFonts w:ascii="Courier New" w:cs="Courier New" w:eastAsia="Courier New" w:hAnsi="Courier New"/>
                <w:sz w:val="16"/>
                <w:szCs w:val="16"/>
                <w:color w:val="auto"/>
              </w:rPr>
              <w:t>File Number)</w:t>
            </w:r>
          </w:p>
        </w:tc>
        <w:tc>
          <w:tcPr>
            <w:tcW w:w="2120" w:type="dxa"/>
            <w:vAlign w:val="bottom"/>
          </w:tcPr>
          <w:p>
            <w:pPr>
              <w:ind w:left="340"/>
              <w:spacing w:after="0"/>
              <w:rPr>
                <w:sz w:val="20"/>
                <w:szCs w:val="20"/>
                <w:color w:val="auto"/>
              </w:rPr>
            </w:pPr>
            <w:r>
              <w:rPr>
                <w:rFonts w:ascii="Courier New" w:cs="Courier New" w:eastAsia="Courier New" w:hAnsi="Courier New"/>
                <w:sz w:val="16"/>
                <w:szCs w:val="16"/>
                <w:color w:val="auto"/>
                <w:w w:val="96"/>
              </w:rPr>
              <w:t>Identification No.)</w:t>
            </w:r>
          </w:p>
        </w:tc>
      </w:tr>
    </w:tbl>
    <w:p>
      <w:pPr>
        <w:ind w:left="664"/>
        <w:spacing w:after="0"/>
        <w:rPr>
          <w:sz w:val="20"/>
          <w:szCs w:val="20"/>
          <w:color w:val="auto"/>
        </w:rPr>
      </w:pPr>
      <w:r>
        <w:rPr>
          <w:rFonts w:ascii="Courier New" w:cs="Courier New" w:eastAsia="Courier New" w:hAnsi="Courier New"/>
          <w:sz w:val="16"/>
          <w:szCs w:val="16"/>
          <w:color w:val="auto"/>
        </w:rPr>
        <w:t>incorporation)</w:t>
      </w:r>
    </w:p>
    <w:p>
      <w:pPr>
        <w:spacing w:after="0" w:line="179" w:lineRule="exact"/>
        <w:rPr>
          <w:sz w:val="24"/>
          <w:szCs w:val="24"/>
          <w:color w:val="auto"/>
        </w:rPr>
      </w:pPr>
    </w:p>
    <w:p>
      <w:pPr>
        <w:ind w:left="3004"/>
        <w:spacing w:after="0"/>
        <w:rPr>
          <w:sz w:val="20"/>
          <w:szCs w:val="20"/>
          <w:color w:val="auto"/>
        </w:rPr>
      </w:pPr>
      <w:r>
        <w:rPr>
          <w:rFonts w:ascii="Courier New" w:cs="Courier New" w:eastAsia="Courier New" w:hAnsi="Courier New"/>
          <w:sz w:val="16"/>
          <w:szCs w:val="16"/>
          <w:color w:val="auto"/>
        </w:rPr>
        <w:t>1825 Research Way</w:t>
      </w:r>
    </w:p>
    <w:p>
      <w:pPr>
        <w:ind w:left="2524"/>
        <w:spacing w:after="0"/>
        <w:rPr>
          <w:sz w:val="20"/>
          <w:szCs w:val="20"/>
          <w:color w:val="auto"/>
        </w:rPr>
      </w:pPr>
      <w:r>
        <w:rPr>
          <w:rFonts w:ascii="Courier New" w:cs="Courier New" w:eastAsia="Courier New" w:hAnsi="Courier New"/>
          <w:sz w:val="16"/>
          <w:szCs w:val="16"/>
          <w:color w:val="auto"/>
        </w:rPr>
        <w:t>Salt Lake City, Utah 84119</w:t>
      </w:r>
    </w:p>
    <w:p>
      <w:pPr>
        <w:ind w:left="1504"/>
        <w:spacing w:after="0" w:line="237" w:lineRule="auto"/>
        <w:rPr>
          <w:sz w:val="20"/>
          <w:szCs w:val="20"/>
          <w:color w:val="auto"/>
        </w:rPr>
      </w:pPr>
      <w:r>
        <w:rPr>
          <w:rFonts w:ascii="Courier New" w:cs="Courier New" w:eastAsia="Courier New" w:hAnsi="Courier New"/>
          <w:sz w:val="16"/>
          <w:szCs w:val="16"/>
          <w:color w:val="auto"/>
        </w:rPr>
        <w:t>------------------------------------------------</w:t>
      </w:r>
    </w:p>
    <w:p>
      <w:pPr>
        <w:ind w:left="1884"/>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359" w:lineRule="exact"/>
        <w:rPr>
          <w:sz w:val="24"/>
          <w:szCs w:val="24"/>
          <w:color w:val="auto"/>
        </w:rPr>
      </w:pPr>
    </w:p>
    <w:p>
      <w:pPr>
        <w:ind w:left="3664" w:hanging="569"/>
        <w:spacing w:after="0"/>
        <w:tabs>
          <w:tab w:leader="none" w:pos="36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975-7200</w:t>
      </w:r>
    </w:p>
    <w:p>
      <w:pPr>
        <w:ind w:left="10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3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ACQUISITION OR DISPOSITION OF ASSETS</w:t>
      </w:r>
    </w:p>
    <w:p>
      <w:pPr>
        <w:spacing w:after="0" w:line="185" w:lineRule="exact"/>
        <w:rPr>
          <w:sz w:val="24"/>
          <w:szCs w:val="24"/>
          <w:color w:val="auto"/>
        </w:rPr>
      </w:pPr>
    </w:p>
    <w:p>
      <w:pPr>
        <w:ind w:left="4" w:right="2719" w:firstLine="750"/>
        <w:spacing w:after="0" w:line="238" w:lineRule="auto"/>
        <w:rPr>
          <w:sz w:val="20"/>
          <w:szCs w:val="20"/>
          <w:color w:val="auto"/>
        </w:rPr>
      </w:pPr>
      <w:r>
        <w:rPr>
          <w:rFonts w:ascii="Courier New" w:cs="Courier New" w:eastAsia="Courier New" w:hAnsi="Courier New"/>
          <w:sz w:val="16"/>
          <w:szCs w:val="16"/>
          <w:color w:val="auto"/>
        </w:rPr>
        <w:t>As previously reported on Form 8-K filed on June 5, 2002 (the "Original Filing"), on May 31, 2002 ClearOne Communications, Inc. acquired E.mergent, Inc. by merging its subsidiary, Tundra Acquisition Corporation, with E.mergent, Inc. The terms and conditions of the acquisition are more fully described in the Original Filing and in ClearOne Communications' registration statement on Form S-4 (File No. 333-82242) filed with the Securities and Exchange Commission on May 7, 2002.</w:t>
      </w:r>
    </w:p>
    <w:p>
      <w:pPr>
        <w:spacing w:after="0" w:line="185" w:lineRule="exact"/>
        <w:rPr>
          <w:sz w:val="24"/>
          <w:szCs w:val="24"/>
          <w:color w:val="auto"/>
        </w:rPr>
      </w:pPr>
    </w:p>
    <w:p>
      <w:pPr>
        <w:ind w:left="4" w:right="2819" w:firstLine="750"/>
        <w:spacing w:after="0" w:line="263" w:lineRule="auto"/>
        <w:rPr>
          <w:sz w:val="20"/>
          <w:szCs w:val="20"/>
          <w:color w:val="auto"/>
        </w:rPr>
      </w:pPr>
      <w:r>
        <w:rPr>
          <w:rFonts w:ascii="Courier New" w:cs="Courier New" w:eastAsia="Courier New" w:hAnsi="Courier New"/>
          <w:sz w:val="15"/>
          <w:szCs w:val="15"/>
          <w:color w:val="auto"/>
        </w:rPr>
        <w:t>We are amending the Original Filing to present the financial statements of the business acquired, as set forth in Item 7(a) of this Form 8-K/A.</w:t>
      </w:r>
    </w:p>
    <w:p>
      <w:pPr>
        <w:spacing w:after="0" w:line="344" w:lineRule="exact"/>
        <w:rPr>
          <w:sz w:val="24"/>
          <w:szCs w:val="24"/>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79" w:lineRule="exact"/>
        <w:rPr>
          <w:sz w:val="24"/>
          <w:szCs w:val="24"/>
          <w:color w:val="auto"/>
        </w:rPr>
      </w:pP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Business Acquired.</w:t>
      </w:r>
    </w:p>
    <w:p>
      <w:pPr>
        <w:spacing w:after="0" w:line="184" w:lineRule="exact"/>
        <w:rPr>
          <w:rFonts w:ascii="Courier New" w:cs="Courier New" w:eastAsia="Courier New" w:hAnsi="Courier New"/>
          <w:sz w:val="16"/>
          <w:szCs w:val="16"/>
          <w:color w:val="auto"/>
        </w:rPr>
      </w:pPr>
    </w:p>
    <w:p>
      <w:pPr>
        <w:jc w:val="both"/>
        <w:ind w:left="944" w:right="2719" w:hanging="475"/>
        <w:spacing w:after="0" w:line="259" w:lineRule="auto"/>
        <w:tabs>
          <w:tab w:leader="none" w:pos="944"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statements of E.mergent, Inc. as of December 31, 2001 and 2000 and for each of the years then ended, including the report thereon of Deloitte &amp; Touche LLP, independent auditors; and</w:t>
      </w:r>
    </w:p>
    <w:p>
      <w:pPr>
        <w:spacing w:after="0" w:line="171" w:lineRule="exact"/>
        <w:rPr>
          <w:rFonts w:ascii="Courier New" w:cs="Courier New" w:eastAsia="Courier New" w:hAnsi="Courier New"/>
          <w:sz w:val="15"/>
          <w:szCs w:val="15"/>
          <w:color w:val="auto"/>
        </w:rPr>
      </w:pPr>
    </w:p>
    <w:p>
      <w:pPr>
        <w:jc w:val="both"/>
        <w:ind w:left="944" w:right="2719" w:hanging="475"/>
        <w:spacing w:after="0" w:line="237" w:lineRule="auto"/>
        <w:tabs>
          <w:tab w:leader="none" w:pos="94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interim condensed balance sheet of E.mergent, Inc. as of March 31, 2002 and December 31, 2001 and unaudited condensed statements of operations for the three months ended March 31, 2002 and 2001.</w:t>
      </w:r>
    </w:p>
    <w:p>
      <w:pPr>
        <w:spacing w:after="0" w:line="180"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184" w:lineRule="exact"/>
        <w:rPr>
          <w:rFonts w:ascii="Courier New" w:cs="Courier New" w:eastAsia="Courier New" w:hAnsi="Courier New"/>
          <w:sz w:val="16"/>
          <w:szCs w:val="16"/>
          <w:color w:val="auto"/>
        </w:rPr>
      </w:pPr>
    </w:p>
    <w:p>
      <w:pPr>
        <w:jc w:val="both"/>
        <w:ind w:left="944" w:right="2719" w:hanging="475"/>
        <w:spacing w:after="0" w:line="237" w:lineRule="auto"/>
        <w:tabs>
          <w:tab w:leader="none" w:pos="94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pro forma condensed combined financial information of ClearOne to give effect to its acquisitions of Ivron Systems, Ltd. and E.mergent, Inc. and the December 2001 private placement of ClearOne common stock.</w:t>
      </w:r>
    </w:p>
    <w:p>
      <w:pPr>
        <w:spacing w:after="0" w:line="200" w:lineRule="exact"/>
        <w:rPr>
          <w:sz w:val="24"/>
          <w:szCs w:val="24"/>
          <w:color w:val="auto"/>
        </w:rPr>
      </w:pPr>
    </w:p>
    <w:p>
      <w:pPr>
        <w:spacing w:after="0" w:line="342"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3"/>
          </w:cols>
          <w:pgMar w:left="236" w:top="233" w:right="1440" w:bottom="1440" w:gutter="0" w:footer="0" w:header="0"/>
        </w:sectPr>
      </w:pPr>
    </w:p>
    <w:bookmarkStart w:id="1" w:name="page2"/>
    <w:bookmarkEnd w:id="1"/>
    <w:p>
      <w:pPr>
        <w:ind w:left="3100"/>
        <w:spacing w:after="0"/>
        <w:rPr>
          <w:sz w:val="20"/>
          <w:szCs w:val="20"/>
          <w:color w:val="auto"/>
        </w:rPr>
      </w:pPr>
      <w:r>
        <w:rPr>
          <w:rFonts w:ascii="Courier New" w:cs="Courier New" w:eastAsia="Courier New" w:hAnsi="Courier New"/>
          <w:sz w:val="16"/>
          <w:szCs w:val="16"/>
          <w:color w:val="auto"/>
        </w:rPr>
        <w:t>E.MERGENT, INC.</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INDEX TO FINANCIAL STATEMENTS</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Page</w:t>
      </w:r>
    </w:p>
    <w:p>
      <w:pPr>
        <w:spacing w:after="0" w:line="179"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Report of Independent Auditors</w:t>
      </w:r>
      <w:r>
        <w:rPr>
          <w:sz w:val="20"/>
          <w:szCs w:val="20"/>
          <w:color w:val="auto"/>
        </w:rPr>
        <w:tab/>
      </w:r>
      <w:r>
        <w:rPr>
          <w:rFonts w:ascii="Courier New" w:cs="Courier New" w:eastAsia="Courier New" w:hAnsi="Courier New"/>
          <w:sz w:val="16"/>
          <w:szCs w:val="16"/>
          <w:color w:val="auto"/>
        </w:rPr>
        <w:t>3</w:t>
      </w:r>
    </w:p>
    <w:p>
      <w:pPr>
        <w:spacing w:after="0" w:line="179"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Balance Sheets as of December 31, 2001 and 2000</w:t>
      </w:r>
      <w:r>
        <w:rPr>
          <w:sz w:val="20"/>
          <w:szCs w:val="20"/>
          <w:color w:val="auto"/>
        </w:rPr>
        <w:tab/>
      </w:r>
      <w:r>
        <w:rPr>
          <w:rFonts w:ascii="Courier New" w:cs="Courier New" w:eastAsia="Courier New" w:hAnsi="Courier New"/>
          <w:sz w:val="16"/>
          <w:szCs w:val="16"/>
          <w:color w:val="auto"/>
        </w:rPr>
        <w:t>4</w:t>
      </w:r>
    </w:p>
    <w:p>
      <w:pPr>
        <w:spacing w:after="0" w:line="179"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Statements of Operations for the Years Ended December 31, 2001 and 2000</w:t>
      </w:r>
      <w:r>
        <w:rPr>
          <w:sz w:val="20"/>
          <w:szCs w:val="20"/>
          <w:color w:val="auto"/>
        </w:rPr>
        <w:tab/>
      </w:r>
      <w:r>
        <w:rPr>
          <w:rFonts w:ascii="Courier New" w:cs="Courier New" w:eastAsia="Courier New" w:hAnsi="Courier New"/>
          <w:sz w:val="16"/>
          <w:szCs w:val="16"/>
          <w:color w:val="auto"/>
        </w:rPr>
        <w:t>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Stockholders' Equity for the Years Ended</w:t>
      </w:r>
    </w:p>
    <w:p>
      <w:pPr>
        <w:ind w:left="180"/>
        <w:spacing w:after="0"/>
        <w:tabs>
          <w:tab w:leader="dot" w:pos="7380" w:val="left"/>
        </w:tabs>
        <w:rPr>
          <w:sz w:val="20"/>
          <w:szCs w:val="20"/>
          <w:color w:val="auto"/>
        </w:rPr>
      </w:pPr>
      <w:r>
        <w:rPr>
          <w:rFonts w:ascii="Courier New" w:cs="Courier New" w:eastAsia="Courier New" w:hAnsi="Courier New"/>
          <w:sz w:val="16"/>
          <w:szCs w:val="16"/>
          <w:color w:val="auto"/>
        </w:rPr>
        <w:t>December 31, 2001 and 2000</w:t>
      </w:r>
      <w:r>
        <w:rPr>
          <w:sz w:val="20"/>
          <w:szCs w:val="20"/>
          <w:color w:val="auto"/>
        </w:rPr>
        <w:tab/>
      </w:r>
      <w:r>
        <w:rPr>
          <w:rFonts w:ascii="Courier New" w:cs="Courier New" w:eastAsia="Courier New" w:hAnsi="Courier New"/>
          <w:sz w:val="16"/>
          <w:szCs w:val="16"/>
          <w:color w:val="auto"/>
        </w:rPr>
        <w:t>6</w:t>
      </w:r>
    </w:p>
    <w:p>
      <w:pPr>
        <w:spacing w:after="0" w:line="179"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Statement of Cash Flows for the Years Ended December 31, 2001 and 2000</w:t>
      </w:r>
      <w:r>
        <w:rPr>
          <w:sz w:val="20"/>
          <w:szCs w:val="20"/>
          <w:color w:val="auto"/>
        </w:rPr>
        <w:tab/>
      </w:r>
      <w:r>
        <w:rPr>
          <w:rFonts w:ascii="Courier New" w:cs="Courier New" w:eastAsia="Courier New" w:hAnsi="Courier New"/>
          <w:sz w:val="16"/>
          <w:szCs w:val="16"/>
          <w:color w:val="auto"/>
        </w:rPr>
        <w:t>7</w:t>
      </w:r>
    </w:p>
    <w:p>
      <w:pPr>
        <w:spacing w:after="0" w:line="179"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Notes to Financial Statements</w:t>
      </w:r>
      <w:r>
        <w:rPr>
          <w:sz w:val="20"/>
          <w:szCs w:val="20"/>
          <w:color w:val="auto"/>
        </w:rPr>
        <w:tab/>
      </w: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INDEPENDENT AUDITORS' REPORT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and Board of Directors</w:t>
      </w:r>
    </w:p>
    <w:p>
      <w:pPr>
        <w:spacing w:after="0"/>
        <w:rPr>
          <w:sz w:val="20"/>
          <w:szCs w:val="20"/>
          <w:color w:val="auto"/>
        </w:rPr>
      </w:pPr>
      <w:r>
        <w:rPr>
          <w:rFonts w:ascii="Courier New" w:cs="Courier New" w:eastAsia="Courier New" w:hAnsi="Courier New"/>
          <w:sz w:val="16"/>
          <w:szCs w:val="16"/>
          <w:color w:val="auto"/>
        </w:rPr>
        <w:t>E.mergent, Inc.</w:t>
      </w:r>
    </w:p>
    <w:p>
      <w:pPr>
        <w:spacing w:after="0" w:line="237" w:lineRule="auto"/>
        <w:rPr>
          <w:sz w:val="20"/>
          <w:szCs w:val="20"/>
          <w:color w:val="auto"/>
        </w:rPr>
      </w:pPr>
      <w:r>
        <w:rPr>
          <w:rFonts w:ascii="Courier New" w:cs="Courier New" w:eastAsia="Courier New" w:hAnsi="Courier New"/>
          <w:sz w:val="16"/>
          <w:szCs w:val="16"/>
          <w:color w:val="auto"/>
        </w:rPr>
        <w:t>Golden Valley, Minnesota</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have audited the accompanying balance sheets of E.mergent, Inc. (the Company) as of December 31, 2001 and 2000, and the related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18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In our opinion, such financial statements present fairly, in all material respects, the financial position of E.mergent, Inc. as of December 31, 2001 and 2000, and the results of its operations and its cash flows for the years then ended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rPr>
          <w:sz w:val="20"/>
          <w:szCs w:val="20"/>
          <w:color w:val="auto"/>
        </w:rPr>
      </w:pPr>
      <w:r>
        <w:rPr>
          <w:rFonts w:ascii="Courier New" w:cs="Courier New" w:eastAsia="Courier New" w:hAnsi="Courier New"/>
          <w:sz w:val="16"/>
          <w:szCs w:val="16"/>
          <w:color w:val="auto"/>
        </w:rPr>
        <w:t>Minneapolis, Minnesota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3" w:right="1440" w:bottom="1440" w:gutter="0" w:footer="0" w:header="0"/>
        </w:sectPr>
      </w:pPr>
    </w:p>
    <w:bookmarkStart w:id="3" w:name="page4"/>
    <w:bookmarkEnd w:id="3"/>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E.MERGENT, INC.</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SHEETS</w:t>
      </w:r>
    </w:p>
    <w:p>
      <w:pPr>
        <w:spacing w:after="0"/>
        <w:rPr>
          <w:sz w:val="20"/>
          <w:szCs w:val="20"/>
          <w:color w:val="auto"/>
        </w:rPr>
      </w:pPr>
      <w:r>
        <w:rPr>
          <w:rFonts w:ascii="Courier New" w:cs="Courier New" w:eastAsia="Courier New" w:hAnsi="Courier New"/>
          <w:sz w:val="16"/>
          <w:szCs w:val="16"/>
          <w:color w:val="auto"/>
        </w:rPr>
        <w:t>DECEMBER 31, 2001 AND 2000</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5"/>
                <w:szCs w:val="15"/>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82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41"/>
        </w:trPr>
        <w:tc>
          <w:tcPr>
            <w:tcW w:w="82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807,115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1,230</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260" w:type="dxa"/>
            <w:vAlign w:val="bottom"/>
          </w:tcPr>
          <w:p>
            <w:pPr>
              <w:ind w:left="460"/>
              <w:spacing w:after="0"/>
              <w:rPr>
                <w:sz w:val="20"/>
                <w:szCs w:val="20"/>
                <w:color w:val="auto"/>
              </w:rPr>
            </w:pPr>
            <w:r>
              <w:rPr>
                <w:rFonts w:ascii="Courier New" w:cs="Courier New" w:eastAsia="Courier New" w:hAnsi="Courier New"/>
                <w:sz w:val="16"/>
                <w:szCs w:val="16"/>
                <w:color w:val="auto"/>
              </w:rPr>
              <w:t>Trade accounts, less allowance for doubtful accounts of $150,000 in 2001 and 2000</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3,299,720</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4,947,997</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Other receivables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7,091</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21,084</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Income taxes receivable</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5,741</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3,736,517</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4,464,219</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425,000</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460,000</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128,603</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128,572</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260" w:type="dxa"/>
            <w:vAlign w:val="bottom"/>
          </w:tcPr>
          <w:p>
            <w:pPr>
              <w:ind w:left="660"/>
              <w:spacing w:after="0"/>
              <w:rPr>
                <w:sz w:val="20"/>
                <w:szCs w:val="20"/>
                <w:color w:val="auto"/>
              </w:rPr>
            </w:pPr>
            <w:r>
              <w:rPr>
                <w:rFonts w:ascii="Courier New" w:cs="Courier New" w:eastAsia="Courier New" w:hAnsi="Courier New"/>
                <w:sz w:val="16"/>
                <w:szCs w:val="16"/>
                <w:color w:val="auto"/>
              </w:rPr>
              <w:t>Total current assets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8,404,046</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10,028,843</w:t>
            </w:r>
          </w:p>
        </w:tc>
      </w:tr>
      <w:tr>
        <w:trPr>
          <w:trHeight w:val="361"/>
        </w:trPr>
        <w:tc>
          <w:tcPr>
            <w:tcW w:w="826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Office and computer equipment</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881,514</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780,446</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Machinery and equipment</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363,408</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329,378</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Tooling</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757,441</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758,053</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59,100</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59,100</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2,061,463</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1,926,977</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depreciation</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(1,587,981)</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(1,302,087)</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260" w:type="dxa"/>
            <w:vAlign w:val="bottom"/>
          </w:tcPr>
          <w:p>
            <w:pPr>
              <w:ind w:left="660"/>
              <w:spacing w:after="0"/>
              <w:rPr>
                <w:sz w:val="20"/>
                <w:szCs w:val="20"/>
                <w:color w:val="auto"/>
              </w:rPr>
            </w:pPr>
            <w:r>
              <w:rPr>
                <w:rFonts w:ascii="Courier New" w:cs="Courier New" w:eastAsia="Courier New" w:hAnsi="Courier New"/>
                <w:sz w:val="16"/>
                <w:szCs w:val="16"/>
                <w:color w:val="auto"/>
              </w:rPr>
              <w:t>Net property and equipment</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473,482</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624,890</w:t>
            </w:r>
          </w:p>
        </w:tc>
      </w:tr>
      <w:tr>
        <w:trPr>
          <w:trHeight w:val="361"/>
        </w:trPr>
        <w:tc>
          <w:tcPr>
            <w:tcW w:w="82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75,000</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Goodwill, net</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999,040</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1,130,782</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Noncompete, net</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598,958</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661,458</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Patents, net</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92,857</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121,429</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Notes receivable from MedCam</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42,000</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78,000</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Investment in MedCam</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150,000</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150,000</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15,000</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260" w:type="dxa"/>
            <w:vAlign w:val="bottom"/>
          </w:tcPr>
          <w:p>
            <w:pPr>
              <w:ind w:left="660"/>
              <w:spacing w:after="0"/>
              <w:rPr>
                <w:sz w:val="20"/>
                <w:szCs w:val="20"/>
                <w:color w:val="auto"/>
              </w:rPr>
            </w:pPr>
            <w:r>
              <w:rPr>
                <w:rFonts w:ascii="Courier New" w:cs="Courier New" w:eastAsia="Courier New" w:hAnsi="Courier New"/>
                <w:sz w:val="16"/>
                <w:szCs w:val="16"/>
                <w:color w:val="auto"/>
              </w:rPr>
              <w:t>Total other assets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1,957,855</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2,156,669</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$ 10,835,383</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$ 12,810,402</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82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1"/>
        </w:trPr>
        <w:tc>
          <w:tcPr>
            <w:tcW w:w="82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Line of credit</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1,146,811</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862,168</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2,112,247</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Current maturities of long-term debt and capital leases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237,547</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194,253</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Current maturities of unearned maintenance contracts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764,072</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703,073</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Customer deposits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150,113</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102,064</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Accrued liabilities: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260" w:type="dxa"/>
            <w:vAlign w:val="bottom"/>
          </w:tcPr>
          <w:p>
            <w:pPr>
              <w:ind w:left="460"/>
              <w:spacing w:after="0"/>
              <w:rPr>
                <w:sz w:val="20"/>
                <w:szCs w:val="20"/>
                <w:color w:val="auto"/>
              </w:rPr>
            </w:pPr>
            <w:r>
              <w:rPr>
                <w:rFonts w:ascii="Courier New" w:cs="Courier New" w:eastAsia="Courier New" w:hAnsi="Courier New"/>
                <w:sz w:val="16"/>
                <w:szCs w:val="16"/>
                <w:color w:val="auto"/>
              </w:rPr>
              <w:t>Compensation</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203,635</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244,359</w:t>
            </w:r>
          </w:p>
        </w:tc>
      </w:tr>
      <w:tr>
        <w:trPr>
          <w:trHeight w:val="180"/>
        </w:trPr>
        <w:tc>
          <w:tcPr>
            <w:tcW w:w="8260" w:type="dxa"/>
            <w:vAlign w:val="bottom"/>
          </w:tcPr>
          <w:p>
            <w:pPr>
              <w:ind w:left="460"/>
              <w:spacing w:after="0"/>
              <w:rPr>
                <w:sz w:val="20"/>
                <w:szCs w:val="20"/>
                <w:color w:val="auto"/>
              </w:rPr>
            </w:pPr>
            <w:r>
              <w:rPr>
                <w:rFonts w:ascii="Courier New" w:cs="Courier New" w:eastAsia="Courier New" w:hAnsi="Courier New"/>
                <w:sz w:val="16"/>
                <w:szCs w:val="16"/>
                <w:color w:val="auto"/>
              </w:rPr>
              <w:t>Income taxes payable</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188,911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260" w:type="dxa"/>
            <w:vAlign w:val="bottom"/>
          </w:tcPr>
          <w:p>
            <w:pPr>
              <w:ind w:left="460"/>
              <w:spacing w:after="0"/>
              <w:rPr>
                <w:sz w:val="20"/>
                <w:szCs w:val="20"/>
                <w:color w:val="auto"/>
              </w:rPr>
            </w:pPr>
            <w:r>
              <w:rPr>
                <w:rFonts w:ascii="Courier New" w:cs="Courier New" w:eastAsia="Courier New" w:hAnsi="Courier New"/>
                <w:sz w:val="16"/>
                <w:szCs w:val="16"/>
                <w:color w:val="auto"/>
              </w:rPr>
              <w:t>Other</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69,439</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71,777</w:t>
            </w:r>
          </w:p>
        </w:tc>
      </w:tr>
      <w:tr>
        <w:trPr>
          <w:trHeight w:val="180"/>
        </w:trPr>
        <w:tc>
          <w:tcPr>
            <w:tcW w:w="8260" w:type="dxa"/>
            <w:vAlign w:val="bottom"/>
          </w:tcPr>
          <w:p>
            <w:pPr>
              <w:ind w:left="460"/>
              <w:spacing w:after="0"/>
              <w:rPr>
                <w:sz w:val="20"/>
                <w:szCs w:val="20"/>
                <w:color w:val="auto"/>
              </w:rPr>
            </w:pPr>
            <w:r>
              <w:rPr>
                <w:rFonts w:ascii="Courier New" w:cs="Courier New" w:eastAsia="Courier New" w:hAnsi="Courier New"/>
                <w:sz w:val="16"/>
                <w:szCs w:val="16"/>
                <w:color w:val="auto"/>
              </w:rPr>
              <w:t>Warranty</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7,622</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81,000</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260" w:type="dxa"/>
            <w:vAlign w:val="bottom"/>
          </w:tcPr>
          <w:p>
            <w:pPr>
              <w:ind w:left="660"/>
              <w:spacing w:after="0"/>
              <w:rPr>
                <w:sz w:val="20"/>
                <w:szCs w:val="20"/>
                <w:color w:val="auto"/>
              </w:rPr>
            </w:pPr>
            <w:r>
              <w:rPr>
                <w:rFonts w:ascii="Courier New" w:cs="Courier New" w:eastAsia="Courier New" w:hAnsi="Courier New"/>
                <w:sz w:val="16"/>
                <w:szCs w:val="16"/>
                <w:color w:val="auto"/>
              </w:rPr>
              <w:t>Total current liabilities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2,483,507</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4,655,584</w:t>
            </w:r>
          </w:p>
        </w:tc>
      </w:tr>
      <w:tr>
        <w:trPr>
          <w:trHeight w:val="361"/>
        </w:trPr>
        <w:tc>
          <w:tcPr>
            <w:tcW w:w="826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LEASES, net of current maturities</w:t>
            </w:r>
          </w:p>
        </w:tc>
        <w:tc>
          <w:tcPr>
            <w:tcW w:w="320" w:type="dxa"/>
            <w:vAlign w:val="bottom"/>
          </w:tcPr>
          <w:p>
            <w:pPr>
              <w:spacing w:after="0"/>
              <w:rPr>
                <w:sz w:val="24"/>
                <w:szCs w:val="24"/>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403,245</w:t>
            </w:r>
          </w:p>
        </w:tc>
        <w:tc>
          <w:tcPr>
            <w:tcW w:w="3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654,136</w:t>
            </w:r>
          </w:p>
        </w:tc>
      </w:tr>
      <w:tr>
        <w:trPr>
          <w:trHeight w:val="361"/>
        </w:trPr>
        <w:tc>
          <w:tcPr>
            <w:tcW w:w="8260" w:type="dxa"/>
            <w:vAlign w:val="bottom"/>
          </w:tcPr>
          <w:p>
            <w:pPr>
              <w:spacing w:after="0"/>
              <w:rPr>
                <w:sz w:val="20"/>
                <w:szCs w:val="20"/>
                <w:color w:val="auto"/>
              </w:rPr>
            </w:pPr>
            <w:r>
              <w:rPr>
                <w:rFonts w:ascii="Courier New" w:cs="Courier New" w:eastAsia="Courier New" w:hAnsi="Courier New"/>
                <w:sz w:val="16"/>
                <w:szCs w:val="16"/>
                <w:color w:val="auto"/>
              </w:rPr>
              <w:t>UNEARNED MAINTENANCE CONTRACTS, net of current maturities</w:t>
            </w:r>
          </w:p>
        </w:tc>
        <w:tc>
          <w:tcPr>
            <w:tcW w:w="320" w:type="dxa"/>
            <w:vAlign w:val="bottom"/>
          </w:tcPr>
          <w:p>
            <w:pPr>
              <w:spacing w:after="0"/>
              <w:rPr>
                <w:sz w:val="24"/>
                <w:szCs w:val="24"/>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300,418</w:t>
            </w:r>
          </w:p>
        </w:tc>
        <w:tc>
          <w:tcPr>
            <w:tcW w:w="3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232,488</w:t>
            </w:r>
          </w:p>
        </w:tc>
      </w:tr>
      <w:tr>
        <w:trPr>
          <w:trHeight w:val="361"/>
        </w:trPr>
        <w:tc>
          <w:tcPr>
            <w:tcW w:w="82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78,000</w:t>
            </w:r>
          </w:p>
        </w:tc>
      </w:tr>
      <w:tr>
        <w:trPr>
          <w:trHeight w:val="361"/>
        </w:trPr>
        <w:tc>
          <w:tcPr>
            <w:tcW w:w="82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1"/>
        </w:trPr>
        <w:tc>
          <w:tcPr>
            <w:tcW w:w="82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Preferred stock, $.01 par value; authorized, 5,000,000 shares; no shares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260" w:type="dxa"/>
            <w:vAlign w:val="bottom"/>
          </w:tcPr>
          <w:p>
            <w:pPr>
              <w:ind w:left="460"/>
              <w:spacing w:after="0"/>
              <w:rPr>
                <w:sz w:val="20"/>
                <w:szCs w:val="20"/>
                <w:color w:val="auto"/>
              </w:rPr>
            </w:pPr>
            <w:r>
              <w:rPr>
                <w:rFonts w:ascii="Courier New" w:cs="Courier New" w:eastAsia="Courier New" w:hAnsi="Courier New"/>
                <w:sz w:val="16"/>
                <w:szCs w:val="16"/>
                <w:color w:val="auto"/>
              </w:rPr>
              <w:t>issued and outstanding</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Common stock, $.01 par value; authorized, 20,000,000 shares; issued</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260" w:type="dxa"/>
            <w:vAlign w:val="bottom"/>
          </w:tcPr>
          <w:p>
            <w:pPr>
              <w:ind w:left="460"/>
              <w:spacing w:after="0"/>
              <w:rPr>
                <w:sz w:val="20"/>
                <w:szCs w:val="20"/>
                <w:color w:val="auto"/>
              </w:rPr>
            </w:pPr>
            <w:r>
              <w:rPr>
                <w:rFonts w:ascii="Courier New" w:cs="Courier New" w:eastAsia="Courier New" w:hAnsi="Courier New"/>
                <w:sz w:val="16"/>
                <w:szCs w:val="16"/>
                <w:color w:val="auto"/>
              </w:rPr>
              <w:t>and outstanding, 5,929,280 shares in 2001 and 5,760,440 shares in 2000</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59,293</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57,604</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Additional paid-in capital</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7,863,640</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7,698,793</w:t>
            </w: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Treasury stock</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(73,386)</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Note receivable from officer</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(121,875)</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260" w:type="dxa"/>
            <w:vAlign w:val="bottom"/>
          </w:tcPr>
          <w:p>
            <w:pPr>
              <w:ind w:left="280"/>
              <w:spacing w:after="0"/>
              <w:rPr>
                <w:sz w:val="20"/>
                <w:szCs w:val="20"/>
                <w:color w:val="auto"/>
              </w:rPr>
            </w:pPr>
            <w:r>
              <w:rPr>
                <w:rFonts w:ascii="Courier New" w:cs="Courier New" w:eastAsia="Courier New" w:hAnsi="Courier New"/>
                <w:sz w:val="16"/>
                <w:szCs w:val="16"/>
                <w:color w:val="auto"/>
              </w:rPr>
              <w:t>Accumulated deficit</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(79,459)</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(566,203)</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260" w:type="dxa"/>
            <w:vAlign w:val="bottom"/>
          </w:tcPr>
          <w:p>
            <w:pPr>
              <w:ind w:left="660"/>
              <w:spacing w:after="0"/>
              <w:rPr>
                <w:sz w:val="20"/>
                <w:szCs w:val="20"/>
                <w:color w:val="auto"/>
              </w:rPr>
            </w:pPr>
            <w:r>
              <w:rPr>
                <w:rFonts w:ascii="Courier New" w:cs="Courier New" w:eastAsia="Courier New" w:hAnsi="Courier New"/>
                <w:sz w:val="16"/>
                <w:szCs w:val="16"/>
                <w:color w:val="auto"/>
              </w:rPr>
              <w:t>Total stockholders' equity</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7,648,213</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7,190,194</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26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$ 10,835,383</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$ 12,810,402</w:t>
            </w:r>
          </w:p>
        </w:tc>
      </w:tr>
    </w:tbl>
    <w:p>
      <w:pPr>
        <w:sectPr>
          <w:pgSz w:w="11900" w:h="16908" w:orient="portrait"/>
          <w:cols w:equalWidth="0" w:num="1">
            <w:col w:w="11260"/>
          </w:cols>
          <w:pgMar w:left="240" w:top="834" w:right="399" w:bottom="0" w:gutter="0" w:footer="0" w:header="0"/>
        </w:sectPr>
      </w:pPr>
    </w:p>
    <w:bookmarkStart w:id="4" w:name="page5"/>
    <w:bookmarkEnd w:id="4"/>
    <w:p>
      <w:pPr>
        <w:jc w:val="both"/>
        <w:ind w:left="8440"/>
        <w:spacing w:after="0"/>
        <w:tabs>
          <w:tab w:leader="none" w:pos="10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160"/>
          </w:cols>
          <w:pgMar w:left="240" w:top="137" w:right="4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E.MERGENT, INC.</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OPERATIONS</w:t>
      </w:r>
    </w:p>
    <w:p>
      <w:pPr>
        <w:spacing w:after="0"/>
        <w:rPr>
          <w:sz w:val="20"/>
          <w:szCs w:val="20"/>
          <w:color w:val="auto"/>
        </w:rPr>
      </w:pPr>
      <w:r>
        <w:rPr>
          <w:rFonts w:ascii="Courier New" w:cs="Courier New" w:eastAsia="Courier New" w:hAnsi="Courier New"/>
          <w:sz w:val="16"/>
          <w:szCs w:val="16"/>
          <w:color w:val="auto"/>
        </w:rPr>
        <w:t>YEARS ENDED DECEMBER 31, 2001 AND 2000</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5"/>
                <w:szCs w:val="15"/>
                <w:color w:val="auto"/>
              </w:rPr>
            </w:pP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2000</w:t>
            </w:r>
          </w:p>
        </w:tc>
      </w:tr>
      <w:tr>
        <w:trPr>
          <w:trHeight w:val="541"/>
        </w:trPr>
        <w:tc>
          <w:tcPr>
            <w:tcW w:w="43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$ 22,417,149</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$ 21,830,372</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26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14,322,420</w:t>
            </w:r>
          </w:p>
        </w:tc>
        <w:tc>
          <w:tcPr>
            <w:tcW w:w="3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13,767,699</w:t>
            </w:r>
          </w:p>
        </w:tc>
      </w:tr>
      <w:tr>
        <w:trPr>
          <w:trHeight w:val="180"/>
        </w:trPr>
        <w:tc>
          <w:tcPr>
            <w:tcW w:w="4360" w:type="dxa"/>
            <w:vAlign w:val="bottom"/>
          </w:tcPr>
          <w:p>
            <w:pPr>
              <w:spacing w:after="0"/>
              <w:rPr>
                <w:sz w:val="15"/>
                <w:szCs w:val="15"/>
                <w:color w:val="auto"/>
              </w:rPr>
            </w:pP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26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8,094,729</w:t>
            </w:r>
          </w:p>
        </w:tc>
        <w:tc>
          <w:tcPr>
            <w:tcW w:w="3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8,062,673</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rPr>
              <w:t>Selling</w:t>
            </w:r>
          </w:p>
        </w:tc>
        <w:tc>
          <w:tcPr>
            <w:tcW w:w="12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3,446,311</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3,023,696</w:t>
            </w: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rPr>
              <w:t>General and administrative</w:t>
            </w:r>
          </w:p>
        </w:tc>
        <w:tc>
          <w:tcPr>
            <w:tcW w:w="12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3,104,752</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3,128,010</w:t>
            </w: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rPr>
              <w:t>Research and development</w:t>
            </w:r>
          </w:p>
        </w:tc>
        <w:tc>
          <w:tcPr>
            <w:tcW w:w="12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662,719</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781,616</w:t>
            </w:r>
          </w:p>
        </w:tc>
      </w:tr>
      <w:tr>
        <w:trPr>
          <w:trHeight w:val="180"/>
        </w:trPr>
        <w:tc>
          <w:tcPr>
            <w:tcW w:w="4360" w:type="dxa"/>
            <w:vAlign w:val="bottom"/>
          </w:tcPr>
          <w:p>
            <w:pPr>
              <w:spacing w:after="0"/>
              <w:rPr>
                <w:sz w:val="15"/>
                <w:szCs w:val="15"/>
                <w:color w:val="auto"/>
              </w:rPr>
            </w:pP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7,213,782</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6,933,322</w:t>
            </w:r>
          </w:p>
        </w:tc>
      </w:tr>
      <w:tr>
        <w:trPr>
          <w:trHeight w:val="180"/>
        </w:trPr>
        <w:tc>
          <w:tcPr>
            <w:tcW w:w="4360" w:type="dxa"/>
            <w:vAlign w:val="bottom"/>
          </w:tcPr>
          <w:p>
            <w:pPr>
              <w:spacing w:after="0"/>
              <w:rPr>
                <w:sz w:val="15"/>
                <w:szCs w:val="15"/>
                <w:color w:val="auto"/>
              </w:rPr>
            </w:pP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6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880,947</w:t>
            </w:r>
          </w:p>
        </w:tc>
        <w:tc>
          <w:tcPr>
            <w:tcW w:w="3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1,129,351</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rPr>
              <w:t>Interest income</w:t>
            </w:r>
          </w:p>
        </w:tc>
        <w:tc>
          <w:tcPr>
            <w:tcW w:w="12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3,628</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5,317</w:t>
            </w:r>
          </w:p>
        </w:tc>
      </w:tr>
      <w:tr>
        <w:trPr>
          <w:trHeight w:val="180"/>
        </w:trPr>
        <w:tc>
          <w:tcPr>
            <w:tcW w:w="4360" w:type="dxa"/>
            <w:vAlign w:val="bottom"/>
          </w:tcPr>
          <w:p>
            <w:pPr>
              <w:ind w:left="280"/>
              <w:spacing w:after="0"/>
              <w:rPr>
                <w:sz w:val="20"/>
                <w:szCs w:val="20"/>
                <w:color w:val="auto"/>
              </w:rPr>
            </w:pPr>
            <w:r>
              <w:rPr>
                <w:rFonts w:ascii="Courier New" w:cs="Courier New" w:eastAsia="Courier New" w:hAnsi="Courier New"/>
                <w:sz w:val="16"/>
                <w:szCs w:val="16"/>
                <w:color w:val="auto"/>
              </w:rPr>
              <w:t>Interest expense</w:t>
            </w:r>
          </w:p>
        </w:tc>
        <w:tc>
          <w:tcPr>
            <w:tcW w:w="126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(84,831)</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(156,409)</w:t>
            </w:r>
          </w:p>
        </w:tc>
      </w:tr>
      <w:tr>
        <w:trPr>
          <w:trHeight w:val="180"/>
        </w:trPr>
        <w:tc>
          <w:tcPr>
            <w:tcW w:w="4360" w:type="dxa"/>
            <w:vAlign w:val="bottom"/>
          </w:tcPr>
          <w:p>
            <w:pPr>
              <w:spacing w:after="0"/>
              <w:rPr>
                <w:sz w:val="15"/>
                <w:szCs w:val="15"/>
                <w:color w:val="auto"/>
              </w:rPr>
            </w:pP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(81,203)</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(151,092)</w:t>
            </w:r>
          </w:p>
        </w:tc>
      </w:tr>
      <w:tr>
        <w:trPr>
          <w:trHeight w:val="180"/>
        </w:trPr>
        <w:tc>
          <w:tcPr>
            <w:tcW w:w="4360" w:type="dxa"/>
            <w:vAlign w:val="bottom"/>
          </w:tcPr>
          <w:p>
            <w:pPr>
              <w:spacing w:after="0"/>
              <w:rPr>
                <w:sz w:val="15"/>
                <w:szCs w:val="15"/>
                <w:color w:val="auto"/>
              </w:rPr>
            </w:pP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26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799,744</w:t>
            </w:r>
          </w:p>
        </w:tc>
        <w:tc>
          <w:tcPr>
            <w:tcW w:w="3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978,259</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26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313,000</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(56,000)</w:t>
            </w:r>
          </w:p>
        </w:tc>
      </w:tr>
      <w:tr>
        <w:trPr>
          <w:trHeight w:val="180"/>
        </w:trPr>
        <w:tc>
          <w:tcPr>
            <w:tcW w:w="4360" w:type="dxa"/>
            <w:vAlign w:val="bottom"/>
          </w:tcPr>
          <w:p>
            <w:pPr>
              <w:spacing w:after="0"/>
              <w:rPr>
                <w:sz w:val="15"/>
                <w:szCs w:val="15"/>
                <w:color w:val="auto"/>
              </w:rPr>
            </w:pP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486,744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1,034,259</w:t>
            </w:r>
          </w:p>
        </w:tc>
      </w:tr>
      <w:tr>
        <w:trPr>
          <w:trHeight w:val="180"/>
        </w:trPr>
        <w:tc>
          <w:tcPr>
            <w:tcW w:w="4360" w:type="dxa"/>
            <w:vAlign w:val="bottom"/>
          </w:tcPr>
          <w:p>
            <w:pPr>
              <w:spacing w:after="0"/>
              <w:rPr>
                <w:sz w:val="15"/>
                <w:szCs w:val="15"/>
                <w:color w:val="auto"/>
              </w:rPr>
            </w:pP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EARNINGS PER COMMON SHARE - BASIC</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w:t>
            </w:r>
          </w:p>
        </w:tc>
      </w:tr>
      <w:tr>
        <w:trPr>
          <w:trHeight w:val="180"/>
        </w:trPr>
        <w:tc>
          <w:tcPr>
            <w:tcW w:w="4360" w:type="dxa"/>
            <w:vAlign w:val="bottom"/>
          </w:tcPr>
          <w:p>
            <w:pPr>
              <w:spacing w:after="0"/>
              <w:rPr>
                <w:sz w:val="15"/>
                <w:szCs w:val="15"/>
                <w:color w:val="auto"/>
              </w:rPr>
            </w:pP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EARNINGS PER COMMON SHARE - DILUTED</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w:t>
            </w:r>
          </w:p>
        </w:tc>
      </w:tr>
      <w:tr>
        <w:trPr>
          <w:trHeight w:val="180"/>
        </w:trPr>
        <w:tc>
          <w:tcPr>
            <w:tcW w:w="4360" w:type="dxa"/>
            <w:vAlign w:val="bottom"/>
          </w:tcPr>
          <w:p>
            <w:pPr>
              <w:spacing w:after="0"/>
              <w:rPr>
                <w:sz w:val="15"/>
                <w:szCs w:val="15"/>
                <w:color w:val="auto"/>
              </w:rPr>
            </w:pPr>
          </w:p>
        </w:tc>
        <w:tc>
          <w:tcPr>
            <w:tcW w:w="24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3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E.MERGENT, INC.</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STOCKHOLDERS' EQUITY</w:t>
      </w:r>
    </w:p>
    <w:p>
      <w:pPr>
        <w:spacing w:after="0"/>
        <w:rPr>
          <w:sz w:val="20"/>
          <w:szCs w:val="20"/>
          <w:color w:val="auto"/>
        </w:rPr>
      </w:pPr>
      <w:r>
        <w:rPr>
          <w:rFonts w:ascii="Courier New" w:cs="Courier New" w:eastAsia="Courier New" w:hAnsi="Courier New"/>
          <w:sz w:val="16"/>
          <w:szCs w:val="16"/>
          <w:color w:val="auto"/>
        </w:rPr>
        <w:t>YEARS ENDED DECEMBER 31, 2001 AND 2000</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Pr>
          <w:p>
            <w:pPr>
              <w:spacing w:after="0"/>
              <w:rPr>
                <w:sz w:val="15"/>
                <w:szCs w:val="15"/>
                <w:color w:val="auto"/>
              </w:rPr>
            </w:pPr>
          </w:p>
        </w:tc>
        <w:tc>
          <w:tcPr>
            <w:tcW w:w="2340" w:type="dxa"/>
            <w:vAlign w:val="bottom"/>
            <w:gridSpan w:val="3"/>
          </w:tcPr>
          <w:p>
            <w:pPr>
              <w:jc w:val="right"/>
              <w:ind w:right="522"/>
              <w:spacing w:after="0"/>
              <w:rPr>
                <w:sz w:val="20"/>
                <w:szCs w:val="20"/>
                <w:color w:val="auto"/>
              </w:rPr>
            </w:pPr>
            <w:r>
              <w:rPr>
                <w:rFonts w:ascii="Courier New" w:cs="Courier New" w:eastAsia="Courier New" w:hAnsi="Courier New"/>
                <w:sz w:val="16"/>
                <w:szCs w:val="16"/>
                <w:color w:val="auto"/>
              </w:rPr>
              <w:t>COMMON STOCK</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ADDITIONAL</w:t>
            </w:r>
          </w:p>
        </w:tc>
        <w:tc>
          <w:tcPr>
            <w:tcW w:w="1120" w:type="dxa"/>
            <w:vAlign w:val="bottom"/>
          </w:tcPr>
          <w:p>
            <w:pPr>
              <w:spacing w:after="0"/>
              <w:rPr>
                <w:sz w:val="15"/>
                <w:szCs w:val="15"/>
                <w:color w:val="auto"/>
              </w:rPr>
            </w:pPr>
          </w:p>
        </w:tc>
        <w:tc>
          <w:tcPr>
            <w:tcW w:w="1360" w:type="dxa"/>
            <w:vAlign w:val="bottom"/>
          </w:tcPr>
          <w:p>
            <w:pPr>
              <w:ind w:left="560"/>
              <w:spacing w:after="0"/>
              <w:rPr>
                <w:sz w:val="20"/>
                <w:szCs w:val="20"/>
                <w:color w:val="auto"/>
              </w:rPr>
            </w:pPr>
            <w:r>
              <w:rPr>
                <w:rFonts w:ascii="Courier New" w:cs="Courier New" w:eastAsia="Courier New" w:hAnsi="Courier New"/>
                <w:sz w:val="16"/>
                <w:szCs w:val="16"/>
                <w:color w:val="auto"/>
              </w:rPr>
              <w:t>NOTE</w:t>
            </w:r>
          </w:p>
        </w:tc>
        <w:tc>
          <w:tcPr>
            <w:tcW w:w="1260" w:type="dxa"/>
            <w:vAlign w:val="bottom"/>
          </w:tcPr>
          <w:p>
            <w:pPr>
              <w:spacing w:after="0"/>
              <w:rPr>
                <w:sz w:val="15"/>
                <w:szCs w:val="15"/>
                <w:color w:val="auto"/>
              </w:rPr>
            </w:pPr>
          </w:p>
        </w:tc>
      </w:tr>
      <w:tr>
        <w:trPr>
          <w:trHeight w:val="180"/>
        </w:trPr>
        <w:tc>
          <w:tcPr>
            <w:tcW w:w="34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880" w:type="dxa"/>
            <w:vAlign w:val="bottom"/>
          </w:tcPr>
          <w:p>
            <w:pPr>
              <w:spacing w:after="0"/>
              <w:rPr>
                <w:sz w:val="15"/>
                <w:szCs w:val="15"/>
                <w:color w:val="auto"/>
              </w:rPr>
            </w:pPr>
          </w:p>
        </w:tc>
        <w:tc>
          <w:tcPr>
            <w:tcW w:w="12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PAID-IN</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TREASURY</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RECEIVABLE</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ACCUMULATED</w:t>
            </w:r>
          </w:p>
        </w:tc>
      </w:tr>
      <w:tr>
        <w:trPr>
          <w:trHeight w:val="180"/>
        </w:trPr>
        <w:tc>
          <w:tcPr>
            <w:tcW w:w="3420" w:type="dxa"/>
            <w:vAlign w:val="bottom"/>
          </w:tcPr>
          <w:p>
            <w:pPr>
              <w:spacing w:after="0"/>
              <w:rPr>
                <w:sz w:val="15"/>
                <w:szCs w:val="15"/>
                <w:color w:val="auto"/>
              </w:rPr>
            </w:pP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SHARES</w:t>
            </w:r>
          </w:p>
        </w:tc>
        <w:tc>
          <w:tcPr>
            <w:tcW w:w="100" w:type="dxa"/>
            <w:vAlign w:val="bottom"/>
          </w:tcPr>
          <w:p>
            <w:pPr>
              <w:spacing w:after="0"/>
              <w:rPr>
                <w:sz w:val="15"/>
                <w:szCs w:val="15"/>
                <w:color w:val="auto"/>
              </w:rPr>
            </w:pP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AMOUNT</w:t>
            </w:r>
          </w:p>
        </w:tc>
        <w:tc>
          <w:tcPr>
            <w:tcW w:w="12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CAPITAL</w:t>
            </w:r>
          </w:p>
        </w:tc>
        <w:tc>
          <w:tcPr>
            <w:tcW w:w="1120" w:type="dxa"/>
            <w:vAlign w:val="bottom"/>
          </w:tcPr>
          <w:p>
            <w:pPr>
              <w:ind w:left="360"/>
              <w:spacing w:after="0"/>
              <w:rPr>
                <w:sz w:val="20"/>
                <w:szCs w:val="20"/>
                <w:color w:val="auto"/>
              </w:rPr>
            </w:pPr>
            <w:r>
              <w:rPr>
                <w:rFonts w:ascii="Courier New" w:cs="Courier New" w:eastAsia="Courier New" w:hAnsi="Courier New"/>
                <w:sz w:val="16"/>
                <w:szCs w:val="16"/>
                <w:color w:val="auto"/>
              </w:rPr>
              <w:t>STOCK</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FROM OFFICER</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DEFICIT</w:t>
            </w:r>
          </w:p>
        </w:tc>
      </w:tr>
      <w:tr>
        <w:trPr>
          <w:trHeight w:val="180"/>
        </w:trPr>
        <w:tc>
          <w:tcPr>
            <w:tcW w:w="3420" w:type="dxa"/>
            <w:vAlign w:val="bottom"/>
          </w:tcPr>
          <w:p>
            <w:pPr>
              <w:spacing w:after="0"/>
              <w:rPr>
                <w:sz w:val="15"/>
                <w:szCs w:val="15"/>
                <w:color w:val="auto"/>
              </w:rPr>
            </w:pP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4"/>
              </w:rPr>
              <w:t>---------</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3420" w:type="dxa"/>
            <w:vAlign w:val="bottom"/>
          </w:tcPr>
          <w:p>
            <w:pPr>
              <w:spacing w:after="0"/>
              <w:rPr>
                <w:sz w:val="20"/>
                <w:szCs w:val="20"/>
                <w:color w:val="auto"/>
              </w:rPr>
            </w:pPr>
            <w:r>
              <w:rPr>
                <w:rFonts w:ascii="Courier New" w:cs="Courier New" w:eastAsia="Courier New" w:hAnsi="Courier New"/>
                <w:sz w:val="16"/>
                <w:szCs w:val="16"/>
                <w:color w:val="auto"/>
              </w:rPr>
              <w:t>BALANCES - DECEMBER 31, 1999</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5,675,440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56,754</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$ 7,494,437</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$(1,600,462)</w:t>
            </w:r>
          </w:p>
        </w:tc>
      </w:tr>
      <w:tr>
        <w:trPr>
          <w:trHeight w:val="361"/>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1,034,259</w:t>
            </w:r>
          </w:p>
        </w:tc>
      </w:tr>
      <w:tr>
        <w:trPr>
          <w:trHeight w:val="180"/>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rPr>
              <w:t>Exercise of options</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85,000</w:t>
            </w:r>
          </w:p>
        </w:tc>
        <w:tc>
          <w:tcPr>
            <w:tcW w:w="10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850</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133,156</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rPr>
              <w:t>Tax benefit from exercise of</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ind w:left="460"/>
              <w:spacing w:after="0"/>
              <w:rPr>
                <w:sz w:val="20"/>
                <w:szCs w:val="20"/>
                <w:color w:val="auto"/>
              </w:rPr>
            </w:pPr>
            <w:r>
              <w:rPr>
                <w:rFonts w:ascii="Courier New" w:cs="Courier New" w:eastAsia="Courier New" w:hAnsi="Courier New"/>
                <w:sz w:val="16"/>
                <w:szCs w:val="16"/>
                <w:color w:val="auto"/>
              </w:rPr>
              <w:t>nonqualified employee stock</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ind w:left="460"/>
              <w:spacing w:after="0"/>
              <w:rPr>
                <w:sz w:val="20"/>
                <w:szCs w:val="20"/>
                <w:color w:val="auto"/>
              </w:rPr>
            </w:pPr>
            <w:r>
              <w:rPr>
                <w:rFonts w:ascii="Courier New" w:cs="Courier New" w:eastAsia="Courier New" w:hAnsi="Courier New"/>
                <w:sz w:val="16"/>
                <w:szCs w:val="16"/>
                <w:color w:val="auto"/>
              </w:rPr>
              <w:t>options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71,200</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spacing w:after="0"/>
              <w:rPr>
                <w:sz w:val="15"/>
                <w:szCs w:val="15"/>
                <w:color w:val="auto"/>
              </w:rPr>
            </w:pP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4"/>
              </w:rPr>
              <w:t>---------</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420" w:type="dxa"/>
            <w:vAlign w:val="bottom"/>
          </w:tcPr>
          <w:p>
            <w:pPr>
              <w:spacing w:after="0"/>
              <w:rPr>
                <w:sz w:val="20"/>
                <w:szCs w:val="20"/>
                <w:color w:val="auto"/>
              </w:rPr>
            </w:pPr>
            <w:r>
              <w:rPr>
                <w:rFonts w:ascii="Courier New" w:cs="Courier New" w:eastAsia="Courier New" w:hAnsi="Courier New"/>
                <w:sz w:val="16"/>
                <w:szCs w:val="16"/>
                <w:color w:val="auto"/>
              </w:rPr>
              <w:t>BALANCES - DECEMBER 31, 2000</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5,760,440</w:t>
            </w:r>
          </w:p>
        </w:tc>
        <w:tc>
          <w:tcPr>
            <w:tcW w:w="100" w:type="dxa"/>
            <w:vAlign w:val="bottom"/>
          </w:tcPr>
          <w:p>
            <w:pPr>
              <w:spacing w:after="0"/>
              <w:rPr>
                <w:sz w:val="24"/>
                <w:szCs w:val="24"/>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57,604</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7,698,793</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(566,203)</w:t>
            </w:r>
          </w:p>
        </w:tc>
      </w:tr>
      <w:tr>
        <w:trPr>
          <w:trHeight w:val="361"/>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486,744</w:t>
            </w:r>
          </w:p>
        </w:tc>
      </w:tr>
      <w:tr>
        <w:trPr>
          <w:trHeight w:val="180"/>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rPr>
              <w:t>Exercise of options</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172,090</w:t>
            </w:r>
          </w:p>
        </w:tc>
        <w:tc>
          <w:tcPr>
            <w:tcW w:w="10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1,721</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153,105</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rPr>
              <w:t>Purchase and retirement of stock</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(3,250)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(6,468)</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rPr>
              <w:t>Purchase of treasury stock</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 (73,386)</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rPr>
              <w:t>Advance to officer</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 (121,875)</w:t>
            </w:r>
          </w:p>
        </w:tc>
        <w:tc>
          <w:tcPr>
            <w:tcW w:w="1260" w:type="dxa"/>
            <w:vAlign w:val="bottom"/>
          </w:tcPr>
          <w:p>
            <w:pPr>
              <w:spacing w:after="0"/>
              <w:rPr>
                <w:sz w:val="15"/>
                <w:szCs w:val="15"/>
                <w:color w:val="auto"/>
              </w:rPr>
            </w:pPr>
          </w:p>
        </w:tc>
      </w:tr>
      <w:tr>
        <w:trPr>
          <w:trHeight w:val="180"/>
        </w:trPr>
        <w:tc>
          <w:tcPr>
            <w:tcW w:w="3420" w:type="dxa"/>
            <w:vAlign w:val="bottom"/>
          </w:tcPr>
          <w:p>
            <w:pPr>
              <w:ind w:left="280"/>
              <w:spacing w:after="0"/>
              <w:rPr>
                <w:sz w:val="20"/>
                <w:szCs w:val="20"/>
                <w:color w:val="auto"/>
              </w:rPr>
            </w:pPr>
            <w:r>
              <w:rPr>
                <w:rFonts w:ascii="Courier New" w:cs="Courier New" w:eastAsia="Courier New" w:hAnsi="Courier New"/>
                <w:sz w:val="16"/>
                <w:szCs w:val="16"/>
                <w:color w:val="auto"/>
              </w:rPr>
              <w:t>Tax benefit from exercise of</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ind w:left="460"/>
              <w:spacing w:after="0"/>
              <w:rPr>
                <w:sz w:val="20"/>
                <w:szCs w:val="20"/>
                <w:color w:val="auto"/>
              </w:rPr>
            </w:pPr>
            <w:r>
              <w:rPr>
                <w:rFonts w:ascii="Courier New" w:cs="Courier New" w:eastAsia="Courier New" w:hAnsi="Courier New"/>
                <w:sz w:val="16"/>
                <w:szCs w:val="16"/>
                <w:color w:val="auto"/>
              </w:rPr>
              <w:t>nonqualified employee stock</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ind w:left="460"/>
              <w:spacing w:after="0"/>
              <w:rPr>
                <w:sz w:val="20"/>
                <w:szCs w:val="20"/>
                <w:color w:val="auto"/>
              </w:rPr>
            </w:pPr>
            <w:r>
              <w:rPr>
                <w:rFonts w:ascii="Courier New" w:cs="Courier New" w:eastAsia="Courier New" w:hAnsi="Courier New"/>
                <w:sz w:val="16"/>
                <w:szCs w:val="16"/>
                <w:color w:val="auto"/>
              </w:rPr>
              <w:t>options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18,210</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420" w:type="dxa"/>
            <w:vAlign w:val="bottom"/>
          </w:tcPr>
          <w:p>
            <w:pPr>
              <w:spacing w:after="0"/>
              <w:rPr>
                <w:sz w:val="15"/>
                <w:szCs w:val="15"/>
                <w:color w:val="auto"/>
              </w:rPr>
            </w:pP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4"/>
              </w:rPr>
              <w:t>---------</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BALANCES - DECEMBER 31, 2001</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5,929,280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59,293</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$ 7,863,640</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 (73,386)</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 (121,875)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(79,459)</w:t>
            </w:r>
          </w:p>
        </w:tc>
      </w:tr>
      <w:tr>
        <w:trPr>
          <w:trHeight w:val="180"/>
        </w:trPr>
        <w:tc>
          <w:tcPr>
            <w:tcW w:w="3420" w:type="dxa"/>
            <w:vAlign w:val="bottom"/>
          </w:tcPr>
          <w:p>
            <w:pPr>
              <w:spacing w:after="0"/>
              <w:rPr>
                <w:sz w:val="15"/>
                <w:szCs w:val="15"/>
                <w:color w:val="auto"/>
              </w:rPr>
            </w:pP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4"/>
              </w:rPr>
              <w:t>=========</w:t>
            </w:r>
          </w:p>
        </w:tc>
        <w:tc>
          <w:tcPr>
            <w:tcW w:w="12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780"/>
          </w:cols>
          <w:pgMar w:left="240" w:top="654" w:right="87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E.MERGENT, INC.</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CASH FLOWS</w:t>
      </w:r>
    </w:p>
    <w:p>
      <w:pPr>
        <w:spacing w:after="0"/>
        <w:rPr>
          <w:sz w:val="20"/>
          <w:szCs w:val="20"/>
          <w:color w:val="auto"/>
        </w:rPr>
      </w:pPr>
      <w:r>
        <w:rPr>
          <w:rFonts w:ascii="Courier New" w:cs="Courier New" w:eastAsia="Courier New" w:hAnsi="Courier New"/>
          <w:sz w:val="16"/>
          <w:szCs w:val="16"/>
          <w:color w:val="auto"/>
        </w:rPr>
        <w:t>YEARS ENDED DECEMBER 31, 2001 AND 2000</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5"/>
                <w:szCs w:val="15"/>
                <w:color w:val="auto"/>
              </w:rPr>
            </w:pP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2000</w:t>
            </w:r>
          </w:p>
        </w:tc>
      </w:tr>
      <w:tr>
        <w:trPr>
          <w:trHeight w:val="541"/>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486,744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1,034,259</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provided by (used in) operations: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Depreciation</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367,109</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393,155</w:t>
            </w:r>
          </w:p>
        </w:tc>
      </w:tr>
      <w:tr>
        <w:trPr>
          <w:trHeight w:val="180"/>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Amortization</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222,814</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223,580</w:t>
            </w:r>
          </w:p>
        </w:tc>
      </w:tr>
      <w:tr>
        <w:trPr>
          <w:trHeight w:val="180"/>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Provision for losses on accounts receivable</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50,000</w:t>
            </w:r>
          </w:p>
        </w:tc>
      </w:tr>
      <w:tr>
        <w:trPr>
          <w:trHeight w:val="180"/>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Loss on sale of assets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25,124</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Deferred income taxes</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(118,000)</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(162,000)</w:t>
            </w:r>
          </w:p>
        </w:tc>
      </w:tr>
      <w:tr>
        <w:trPr>
          <w:trHeight w:val="180"/>
        </w:trPr>
        <w:tc>
          <w:tcPr>
            <w:tcW w:w="5820" w:type="dxa"/>
            <w:vAlign w:val="bottom"/>
          </w:tcPr>
          <w:p>
            <w:pPr>
              <w:ind w:left="460"/>
              <w:spacing w:after="0"/>
              <w:rPr>
                <w:sz w:val="20"/>
                <w:szCs w:val="20"/>
                <w:color w:val="auto"/>
              </w:rPr>
            </w:pPr>
            <w:r>
              <w:rPr>
                <w:rFonts w:ascii="Courier New" w:cs="Courier New" w:eastAsia="Courier New" w:hAnsi="Courier New"/>
                <w:sz w:val="16"/>
                <w:szCs w:val="16"/>
                <w:color w:val="auto"/>
              </w:rPr>
              <w:t>Change in operating assets and liabilities: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Accounts receivable - trade</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1,648,277</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(2,103,502)</w:t>
            </w: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Other receivables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13,993</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1,030</w:t>
            </w: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Income taxes receivable/payable</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212,862</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(4,541)</w:t>
            </w: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Inventories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727,702</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(874,691)</w:t>
            </w: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Prepaid expenses</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(57,319)</w:t>
            </w: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Other assets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15,000</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Accounts payable</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(1,250,079)</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665,317</w:t>
            </w: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Customer deposits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48,049</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79,816</w:t>
            </w: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Accrued liabilities</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(116,440)</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(185,935)</w:t>
            </w:r>
          </w:p>
        </w:tc>
      </w:tr>
      <w:tr>
        <w:trPr>
          <w:trHeight w:val="180"/>
        </w:trPr>
        <w:tc>
          <w:tcPr>
            <w:tcW w:w="5820" w:type="dxa"/>
            <w:vAlign w:val="bottom"/>
          </w:tcPr>
          <w:p>
            <w:pPr>
              <w:ind w:left="660"/>
              <w:spacing w:after="0"/>
              <w:rPr>
                <w:sz w:val="20"/>
                <w:szCs w:val="20"/>
                <w:color w:val="auto"/>
              </w:rPr>
            </w:pPr>
            <w:r>
              <w:rPr>
                <w:rFonts w:ascii="Courier New" w:cs="Courier New" w:eastAsia="Courier New" w:hAnsi="Courier New"/>
                <w:sz w:val="16"/>
                <w:szCs w:val="16"/>
                <w:color w:val="auto"/>
              </w:rPr>
              <w:t>Unearned maintenance contracts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128,929</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306,661</w:t>
            </w:r>
          </w:p>
        </w:tc>
      </w:tr>
      <w:tr>
        <w:trPr>
          <w:trHeight w:val="180"/>
        </w:trPr>
        <w:tc>
          <w:tcPr>
            <w:tcW w:w="582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820" w:type="dxa"/>
            <w:vAlign w:val="bottom"/>
          </w:tcPr>
          <w:p>
            <w:pPr>
              <w:ind w:left="840"/>
              <w:spacing w:after="0"/>
              <w:rPr>
                <w:sz w:val="20"/>
                <w:szCs w:val="20"/>
                <w:color w:val="auto"/>
              </w:rPr>
            </w:pPr>
            <w:r>
              <w:rPr>
                <w:rFonts w:ascii="Courier New" w:cs="Courier New" w:eastAsia="Courier New" w:hAnsi="Courier New"/>
                <w:sz w:val="16"/>
                <w:szCs w:val="16"/>
                <w:color w:val="auto"/>
              </w:rPr>
              <w:t>Net cash provided by (used in) operating activities</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2,412,053</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(649,170)</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Investment in MedCam</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Capital expenditures</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(240,825)</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(193,345)</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 of assets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8,981</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Cash receipts for collection of notes receivable</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36,000</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30,000</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Proceeds from maturities of certificates of deposit</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158,000</w:t>
            </w:r>
          </w:p>
        </w:tc>
      </w:tr>
      <w:tr>
        <w:trPr>
          <w:trHeight w:val="180"/>
        </w:trPr>
        <w:tc>
          <w:tcPr>
            <w:tcW w:w="582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820" w:type="dxa"/>
            <w:vAlign w:val="bottom"/>
          </w:tcPr>
          <w:p>
            <w:pPr>
              <w:ind w:left="840"/>
              <w:spacing w:after="0"/>
              <w:rPr>
                <w:sz w:val="20"/>
                <w:szCs w:val="20"/>
                <w:color w:val="auto"/>
              </w:rPr>
            </w:pPr>
            <w:r>
              <w:rPr>
                <w:rFonts w:ascii="Courier New" w:cs="Courier New" w:eastAsia="Courier New" w:hAnsi="Courier New"/>
                <w:sz w:val="16"/>
                <w:szCs w:val="16"/>
                <w:color w:val="auto"/>
              </w:rPr>
              <w:t>Net cash used in investing activities</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(204,825)</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(146,364)</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Issuance of common stock</w:t>
            </w:r>
          </w:p>
        </w:tc>
        <w:tc>
          <w:tcPr>
            <w:tcW w:w="32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32,951</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134,006</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(Payments on) proceeds from line of credit, net</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(1,146,811)</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476,206</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Payments of long-term debt</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(207,597)</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(25,883)</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Payments of noncompete obligation</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(750,000)</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Proceeds from long-term debt</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750,000</w:t>
            </w:r>
          </w:p>
        </w:tc>
      </w:tr>
      <w:tr>
        <w:trPr>
          <w:trHeight w:val="180"/>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Repurchase of common stock</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(79,886)</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82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820" w:type="dxa"/>
            <w:vAlign w:val="bottom"/>
          </w:tcPr>
          <w:p>
            <w:pPr>
              <w:ind w:left="840"/>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32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(1,401,343)</w:t>
            </w:r>
          </w:p>
        </w:tc>
        <w:tc>
          <w:tcPr>
            <w:tcW w:w="3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584,329</w:t>
            </w:r>
          </w:p>
        </w:tc>
      </w:tr>
      <w:tr>
        <w:trPr>
          <w:trHeight w:val="180"/>
        </w:trPr>
        <w:tc>
          <w:tcPr>
            <w:tcW w:w="582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320" w:type="dxa"/>
            <w:vAlign w:val="bottom"/>
          </w:tcPr>
          <w:p>
            <w:pPr>
              <w:spacing w:after="0"/>
              <w:rPr>
                <w:sz w:val="24"/>
                <w:szCs w:val="24"/>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805,885</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(211,205)</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AND CASH EQUIVALENTS - BEGINNING OF YEAR</w:t>
            </w:r>
          </w:p>
        </w:tc>
        <w:tc>
          <w:tcPr>
            <w:tcW w:w="320" w:type="dxa"/>
            <w:vAlign w:val="bottom"/>
          </w:tcPr>
          <w:p>
            <w:pPr>
              <w:spacing w:after="0"/>
              <w:rPr>
                <w:sz w:val="24"/>
                <w:szCs w:val="24"/>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1,230</w:t>
            </w:r>
          </w:p>
        </w:tc>
        <w:tc>
          <w:tcPr>
            <w:tcW w:w="3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212,435</w:t>
            </w:r>
          </w:p>
        </w:tc>
      </w:tr>
      <w:tr>
        <w:trPr>
          <w:trHeight w:val="180"/>
        </w:trPr>
        <w:tc>
          <w:tcPr>
            <w:tcW w:w="582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AND CASH EQUIVALENTS - END OF YEAR</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807,115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1,230</w:t>
            </w:r>
          </w:p>
        </w:tc>
      </w:tr>
      <w:tr>
        <w:trPr>
          <w:trHeight w:val="180"/>
        </w:trPr>
        <w:tc>
          <w:tcPr>
            <w:tcW w:w="5820" w:type="dxa"/>
            <w:vAlign w:val="bottom"/>
          </w:tcPr>
          <w:p>
            <w:pPr>
              <w:spacing w:after="0"/>
              <w:rPr>
                <w:sz w:val="15"/>
                <w:szCs w:val="15"/>
                <w:color w:val="auto"/>
              </w:rPr>
            </w:pP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3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E.MERGENT, INC.</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 (CONTINUED)</w:t>
      </w:r>
    </w:p>
    <w:p>
      <w:pPr>
        <w:spacing w:after="0"/>
        <w:rPr>
          <w:sz w:val="20"/>
          <w:szCs w:val="20"/>
          <w:color w:val="auto"/>
        </w:rPr>
      </w:pPr>
      <w:r>
        <w:rPr>
          <w:rFonts w:ascii="Courier New" w:cs="Courier New" w:eastAsia="Courier New" w:hAnsi="Courier New"/>
          <w:sz w:val="16"/>
          <w:szCs w:val="16"/>
          <w:color w:val="auto"/>
        </w:rPr>
        <w:t>YEARS ENDED DECEMBER 31, 2001 AND 2000</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2001</w:t>
            </w:r>
          </w:p>
        </w:tc>
        <w:tc>
          <w:tcPr>
            <w:tcW w:w="420" w:type="dxa"/>
            <w:vAlign w:val="bottom"/>
          </w:tcPr>
          <w:p>
            <w:pPr>
              <w:spacing w:after="0"/>
              <w:rPr>
                <w:sz w:val="15"/>
                <w:szCs w:val="15"/>
                <w:color w:val="auto"/>
              </w:rPr>
            </w:pP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2000</w:t>
            </w:r>
          </w:p>
        </w:tc>
      </w:tr>
      <w:tr>
        <w:trPr>
          <w:trHeight w:val="541"/>
        </w:trPr>
        <w:tc>
          <w:tcPr>
            <w:tcW w:w="572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Cash paid during the year for interest</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92,327</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147,672</w:t>
            </w:r>
          </w:p>
        </w:tc>
      </w:tr>
      <w:tr>
        <w:trPr>
          <w:trHeight w:val="180"/>
        </w:trPr>
        <w:tc>
          <w:tcPr>
            <w:tcW w:w="5720" w:type="dxa"/>
            <w:vAlign w:val="bottom"/>
          </w:tcPr>
          <w:p>
            <w:pPr>
              <w:spacing w:after="0"/>
              <w:rPr>
                <w:sz w:val="15"/>
                <w:szCs w:val="15"/>
                <w:color w:val="auto"/>
              </w:rPr>
            </w:pPr>
          </w:p>
        </w:tc>
        <w:tc>
          <w:tcPr>
            <w:tcW w:w="16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Cash paid during the year for taxes</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218,138</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105,453</w:t>
            </w:r>
          </w:p>
        </w:tc>
      </w:tr>
      <w:tr>
        <w:trPr>
          <w:trHeight w:val="180"/>
        </w:trPr>
        <w:tc>
          <w:tcPr>
            <w:tcW w:w="5720" w:type="dxa"/>
            <w:vAlign w:val="bottom"/>
          </w:tcPr>
          <w:p>
            <w:pPr>
              <w:spacing w:after="0"/>
              <w:rPr>
                <w:sz w:val="15"/>
                <w:szCs w:val="15"/>
                <w:color w:val="auto"/>
              </w:rPr>
            </w:pPr>
          </w:p>
        </w:tc>
        <w:tc>
          <w:tcPr>
            <w:tcW w:w="16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SUPPLEMENTAL SCHEDULE OF NONCASH INVESTING AND</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5720" w:type="dxa"/>
            <w:vAlign w:val="bottom"/>
          </w:tcPr>
          <w:p>
            <w:pPr>
              <w:ind w:left="460"/>
              <w:spacing w:after="0"/>
              <w:rPr>
                <w:sz w:val="20"/>
                <w:szCs w:val="20"/>
                <w:color w:val="auto"/>
              </w:rPr>
            </w:pPr>
            <w:r>
              <w:rPr>
                <w:rFonts w:ascii="Courier New" w:cs="Courier New" w:eastAsia="Courier New" w:hAnsi="Courier New"/>
                <w:sz w:val="16"/>
                <w:szCs w:val="16"/>
                <w:color w:val="auto"/>
              </w:rPr>
              <w:t>FINANCING ACTIVITIES:</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Note receivable to exercise nonqualified stock options</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121,875</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Tax benefit from exercise of nonqualified stock options</w:t>
            </w:r>
          </w:p>
        </w:tc>
        <w:tc>
          <w:tcPr>
            <w:tcW w:w="520" w:type="dxa"/>
            <w:vAlign w:val="bottom"/>
          </w:tcPr>
          <w:p>
            <w:pPr>
              <w:spacing w:after="0"/>
              <w:rPr>
                <w:sz w:val="15"/>
                <w:szCs w:val="15"/>
                <w:color w:val="auto"/>
              </w:rPr>
            </w:pP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18,210</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71,200</w:t>
            </w:r>
          </w:p>
        </w:tc>
      </w:tr>
      <w:tr>
        <w:trPr>
          <w:trHeight w:val="180"/>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Note receivable for assets sold</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108,000</w:t>
            </w:r>
          </w:p>
        </w:tc>
      </w:tr>
      <w:tr>
        <w:trPr>
          <w:trHeight w:val="180"/>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Note payable forgiven</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Note payable for noncompete agreement</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750,000</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34" w:right="1440" w:bottom="1440" w:gutter="0" w:footer="0" w:header="0"/>
        </w:sectPr>
      </w:pPr>
    </w:p>
    <w:bookmarkStart w:id="9" w:name="page10"/>
    <w:bookmarkEnd w:id="9"/>
    <w:p>
      <w:pPr>
        <w:ind w:left="4"/>
        <w:spacing w:after="0"/>
        <w:rPr>
          <w:sz w:val="20"/>
          <w:szCs w:val="20"/>
          <w:color w:val="auto"/>
        </w:rPr>
      </w:pPr>
      <w:r>
        <w:rPr>
          <w:rFonts w:ascii="Courier New" w:cs="Courier New" w:eastAsia="Courier New" w:hAnsi="Courier New"/>
          <w:sz w:val="16"/>
          <w:szCs w:val="16"/>
          <w:color w:val="auto"/>
        </w:rPr>
        <w:t>E.MERGENT, INC.</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NOTES TO FINANCIAL STATEMENTS</w:t>
      </w:r>
    </w:p>
    <w:p>
      <w:pPr>
        <w:ind w:left="4"/>
        <w:spacing w:after="0"/>
        <w:rPr>
          <w:sz w:val="20"/>
          <w:szCs w:val="20"/>
          <w:color w:val="auto"/>
        </w:rPr>
      </w:pPr>
      <w:r>
        <w:rPr>
          <w:rFonts w:ascii="Courier New" w:cs="Courier New" w:eastAsia="Courier New" w:hAnsi="Courier New"/>
          <w:sz w:val="16"/>
          <w:szCs w:val="16"/>
          <w:color w:val="auto"/>
        </w:rPr>
        <w:t>YEARS ENDED DECEMBER 31, 2001 AND 2000</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744" w:hanging="744"/>
        <w:spacing w:after="0"/>
        <w:tabs>
          <w:tab w:leader="none" w:pos="74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4" w:lineRule="exact"/>
        <w:rPr>
          <w:rFonts w:ascii="Courier New" w:cs="Courier New" w:eastAsia="Courier New" w:hAnsi="Courier New"/>
          <w:sz w:val="16"/>
          <w:szCs w:val="16"/>
          <w:color w:val="auto"/>
        </w:rPr>
      </w:pPr>
    </w:p>
    <w:p>
      <w:pPr>
        <w:ind w:left="744"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BUSINESS - E.mergent, Inc. (the Company) is a provider of products and services for visual communication solutions. The Company sells its products and services through a global network of resellers and original equipment manufacturers.</w:t>
      </w:r>
    </w:p>
    <w:p>
      <w:pPr>
        <w:spacing w:after="0" w:line="185" w:lineRule="exact"/>
        <w:rPr>
          <w:rFonts w:ascii="Courier New" w:cs="Courier New" w:eastAsia="Courier New" w:hAnsi="Courier New"/>
          <w:sz w:val="16"/>
          <w:szCs w:val="16"/>
          <w:color w:val="auto"/>
        </w:rPr>
      </w:pPr>
    </w:p>
    <w:p>
      <w:pPr>
        <w:ind w:left="744"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extends credit in the normal course of business to its customers who are generally companies in the videoconferencing, audio visual, medical, educational, and technology industries. The Company performs credit evaluations of its customers' financial condition and generally requires no collateral.</w:t>
      </w:r>
    </w:p>
    <w:p>
      <w:pPr>
        <w:spacing w:after="0" w:line="187" w:lineRule="exact"/>
        <w:rPr>
          <w:rFonts w:ascii="Courier New" w:cs="Courier New" w:eastAsia="Courier New" w:hAnsi="Courier New"/>
          <w:sz w:val="16"/>
          <w:szCs w:val="16"/>
          <w:color w:val="auto"/>
        </w:rPr>
      </w:pPr>
    </w:p>
    <w:p>
      <w:pPr>
        <w:ind w:left="744"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USE OF ESTIMATES - The presentation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Company's estimates consist principally of reserves for uncollectible accounts receivable, lower of cost or market inventory adjustments, product warranty, and the valuation of deferred tax assets.</w:t>
      </w:r>
    </w:p>
    <w:p>
      <w:pPr>
        <w:spacing w:after="0" w:line="178" w:lineRule="exact"/>
        <w:rPr>
          <w:rFonts w:ascii="Courier New" w:cs="Courier New" w:eastAsia="Courier New" w:hAnsi="Courier New"/>
          <w:sz w:val="16"/>
          <w:szCs w:val="16"/>
          <w:color w:val="auto"/>
        </w:rPr>
      </w:pPr>
    </w:p>
    <w:p>
      <w:pPr>
        <w:ind w:left="744"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 - The fair value of the Company's accounts receivable, accounts payable, accrued expenses, line of credit and notes payable approximate their carrying value due to their short-term nature. The fair value of the Company's long-term debt approximates carrying value due to its variable interest rate.</w:t>
      </w:r>
    </w:p>
    <w:p>
      <w:pPr>
        <w:spacing w:after="0" w:line="187" w:lineRule="exact"/>
        <w:rPr>
          <w:rFonts w:ascii="Courier New" w:cs="Courier New" w:eastAsia="Courier New" w:hAnsi="Courier New"/>
          <w:sz w:val="16"/>
          <w:szCs w:val="16"/>
          <w:color w:val="auto"/>
        </w:rPr>
      </w:pPr>
    </w:p>
    <w:p>
      <w:pPr>
        <w:ind w:left="744" w:right="281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REVENUE RECOGNITION - The Company recognizes revenue from product sales at the time of product shipment or at the completion of installation if customer acceptance is required. The Company transfers the risks and rewards of the products, including title, at this time.</w:t>
      </w:r>
    </w:p>
    <w:p>
      <w:pPr>
        <w:spacing w:after="0" w:line="174" w:lineRule="exact"/>
        <w:rPr>
          <w:rFonts w:ascii="Courier New" w:cs="Courier New" w:eastAsia="Courier New" w:hAnsi="Courier New"/>
          <w:sz w:val="16"/>
          <w:szCs w:val="16"/>
          <w:color w:val="auto"/>
        </w:rPr>
      </w:pPr>
    </w:p>
    <w:p>
      <w:pPr>
        <w:ind w:left="744" w:right="27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recognizes revenue on maintenance contracts ratably over the life of the contract.</w:t>
      </w:r>
    </w:p>
    <w:p>
      <w:pPr>
        <w:spacing w:after="0" w:line="184" w:lineRule="exact"/>
        <w:rPr>
          <w:rFonts w:ascii="Courier New" w:cs="Courier New" w:eastAsia="Courier New" w:hAnsi="Courier New"/>
          <w:sz w:val="16"/>
          <w:szCs w:val="16"/>
          <w:color w:val="auto"/>
        </w:rPr>
      </w:pPr>
    </w:p>
    <w:p>
      <w:pPr>
        <w:ind w:left="744" w:right="29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Shipping and handling costs are recorded as sales, and the offsetting expense is recorded in cost of sales.</w:t>
      </w:r>
    </w:p>
    <w:p>
      <w:pPr>
        <w:spacing w:after="0" w:line="184" w:lineRule="exact"/>
        <w:rPr>
          <w:rFonts w:ascii="Courier New" w:cs="Courier New" w:eastAsia="Courier New" w:hAnsi="Courier New"/>
          <w:sz w:val="16"/>
          <w:szCs w:val="16"/>
          <w:color w:val="auto"/>
        </w:rPr>
      </w:pPr>
    </w:p>
    <w:p>
      <w:pPr>
        <w:ind w:left="744" w:right="271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CASH AND CASH EQUIVALENTS - For purposes of the statement of cash flows, the Company considers all highly liquid investments with a maturity of three months or less at the time of purchase to be cash equivalents.</w:t>
      </w:r>
    </w:p>
    <w:p>
      <w:pPr>
        <w:spacing w:after="0" w:line="171" w:lineRule="exact"/>
        <w:rPr>
          <w:rFonts w:ascii="Courier New" w:cs="Courier New" w:eastAsia="Courier New" w:hAnsi="Courier New"/>
          <w:sz w:val="16"/>
          <w:szCs w:val="16"/>
          <w:color w:val="auto"/>
        </w:rPr>
      </w:pPr>
    </w:p>
    <w:p>
      <w:pPr>
        <w:ind w:left="744"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 Materials, work-in-process, and finished goods are stated at the lower of moving average cost or market.</w:t>
      </w:r>
    </w:p>
    <w:p>
      <w:pPr>
        <w:spacing w:after="0" w:line="184" w:lineRule="exact"/>
        <w:rPr>
          <w:rFonts w:ascii="Courier New" w:cs="Courier New" w:eastAsia="Courier New" w:hAnsi="Courier New"/>
          <w:sz w:val="16"/>
          <w:szCs w:val="16"/>
          <w:color w:val="auto"/>
        </w:rPr>
      </w:pPr>
    </w:p>
    <w:p>
      <w:pPr>
        <w:ind w:left="74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 Property and equipment are recorded at cost. Depreciation is computed over estimated useful lives using principally the straight-line method. Maintenance and repairs are charged to operations, and additions or improvements are capitalized. Items of property sold, retired, or otherwise disposed of are removed from the assets and accumulated depreciation accounts and any gains or loss on disposal are reflected in operations; major improvements and betterments are capitalized. The present values of capital lease obligations are classified as long-term debt and the related assets are included in machinery and equipment. Amortization of machinery and equipment under capital leases is included in depreciation expense.</w:t>
      </w:r>
    </w:p>
    <w:p>
      <w:pPr>
        <w:spacing w:after="0" w:line="187" w:lineRule="exact"/>
        <w:rPr>
          <w:rFonts w:ascii="Courier New" w:cs="Courier New" w:eastAsia="Courier New" w:hAnsi="Courier New"/>
          <w:sz w:val="16"/>
          <w:szCs w:val="16"/>
          <w:color w:val="auto"/>
        </w:rPr>
      </w:pPr>
    </w:p>
    <w:p>
      <w:pPr>
        <w:ind w:left="74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 OF LNTANGIBLE ASSETS - Patents are being amortized using the straight-line method over seven years. Noncompete agreements are being amortized using the straight-line method over the 12-year life of the</w:t>
      </w:r>
    </w:p>
    <w:p>
      <w:pPr>
        <w:spacing w:after="0" w:line="200" w:lineRule="exact"/>
        <w:rPr>
          <w:sz w:val="20"/>
          <w:szCs w:val="20"/>
          <w:color w:val="auto"/>
        </w:rPr>
      </w:pPr>
    </w:p>
    <w:p>
      <w:pPr>
        <w:spacing w:after="0" w:line="34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834" w:right="1440" w:bottom="1440" w:gutter="0" w:footer="0" w:header="0"/>
        </w:sectPr>
      </w:pPr>
    </w:p>
    <w:bookmarkStart w:id="10" w:name="page11"/>
    <w:bookmarkEnd w:id="10"/>
    <w:p>
      <w:pPr>
        <w:ind w:right="2719"/>
        <w:spacing w:after="0" w:line="237" w:lineRule="auto"/>
        <w:rPr>
          <w:sz w:val="20"/>
          <w:szCs w:val="20"/>
          <w:color w:val="auto"/>
        </w:rPr>
      </w:pPr>
      <w:r>
        <w:rPr>
          <w:rFonts w:ascii="Courier New" w:cs="Courier New" w:eastAsia="Courier New" w:hAnsi="Courier New"/>
          <w:sz w:val="16"/>
          <w:szCs w:val="16"/>
          <w:color w:val="auto"/>
        </w:rPr>
        <w:t>agreement. Goodwill, representing the excess cost over net book value of acquired companies, is amortized using the straight-line method over 10 years.</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RECOVERABILITY OF LONG-LIVED ASSETS - The Company reviews its long-lived assets periodically to determine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the discounted cash flows expected to be generated by the asset. At December 31, 2001 and 2000, no impairment loss provision is required or recorded in the financial statements.</w:t>
      </w:r>
    </w:p>
    <w:p>
      <w:pPr>
        <w:spacing w:after="0" w:line="179"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RESEARCH AND DEVELOPMENT COSTS - Research and development costs are charged to operations when incurred.</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INCOME TAXES - Deferred income tax assets and liabilities are determined based on the differences between the financial statement and tax bases of assets and liabilities using tax rates in effect when the differences are expected to reverse. Income tax expense is the tax payable for the period and the change during the period in deferred income tax assets and liabilities.</w:t>
      </w:r>
    </w:p>
    <w:p>
      <w:pPr>
        <w:spacing w:after="0" w:line="189"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EARNINGS PER COMMON SHARE - Basic net income per common share is based on the weighted average number of common shares outstanding during each year. Diluted net income per common share takes into effect the dilutive effect of potential common shares outstanding. The Company's only potential common shares outstanding are stock options and stock warrants, which resulted in a dilutive effect of 176,694 and 395,638 shares in 2001 and 2000, respectively. The total number of anti-dilutive stock options and warrants was 151,000 and 87,000 as of December 31, 2001 and 2000, respectively. The Company calculates the dilutive effect of outstanding options using the treasury stock method. The following data show the amounts used in computing the weighted average number of shares of dilutive potential common stock at December 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5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386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used</w:t>
            </w: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3860" w:type="dxa"/>
            <w:vAlign w:val="bottom"/>
          </w:tcPr>
          <w:p>
            <w:pPr>
              <w:ind w:left="200"/>
              <w:spacing w:after="0"/>
              <w:rPr>
                <w:sz w:val="20"/>
                <w:szCs w:val="20"/>
                <w:color w:val="auto"/>
              </w:rPr>
            </w:pPr>
            <w:r>
              <w:rPr>
                <w:rFonts w:ascii="Courier New" w:cs="Courier New" w:eastAsia="Courier New" w:hAnsi="Courier New"/>
                <w:sz w:val="16"/>
                <w:szCs w:val="16"/>
                <w:color w:val="auto"/>
              </w:rPr>
              <w:t>in basic earnings per share</w:t>
            </w: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5,844,860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5,741,330</w:t>
            </w:r>
          </w:p>
        </w:tc>
      </w:tr>
      <w:tr>
        <w:trPr>
          <w:trHeight w:val="180"/>
        </w:trPr>
        <w:tc>
          <w:tcPr>
            <w:tcW w:w="3860" w:type="dxa"/>
            <w:vAlign w:val="bottom"/>
          </w:tcPr>
          <w:p>
            <w:pPr>
              <w:spacing w:after="0"/>
              <w:rPr>
                <w:sz w:val="20"/>
                <w:szCs w:val="20"/>
                <w:color w:val="auto"/>
              </w:rPr>
            </w:pPr>
            <w:r>
              <w:rPr>
                <w:rFonts w:ascii="Courier New" w:cs="Courier New" w:eastAsia="Courier New" w:hAnsi="Courier New"/>
                <w:sz w:val="16"/>
                <w:szCs w:val="16"/>
                <w:color w:val="auto"/>
              </w:rPr>
              <w:t>Effect of dilutive stock options</w:t>
            </w: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176,694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395,638</w:t>
            </w:r>
          </w:p>
        </w:tc>
      </w:tr>
      <w:tr>
        <w:trPr>
          <w:trHeight w:val="180"/>
        </w:trPr>
        <w:tc>
          <w:tcPr>
            <w:tcW w:w="3860" w:type="dxa"/>
            <w:vAlign w:val="bottom"/>
          </w:tcPr>
          <w:p>
            <w:pPr>
              <w:spacing w:after="0"/>
              <w:rPr>
                <w:sz w:val="15"/>
                <w:szCs w:val="15"/>
                <w:color w:val="auto"/>
              </w:rPr>
            </w:pP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60" w:type="dxa"/>
            <w:vAlign w:val="bottom"/>
          </w:tcPr>
          <w:p>
            <w:pPr>
              <w:spacing w:after="0"/>
              <w:rPr>
                <w:sz w:val="15"/>
                <w:szCs w:val="15"/>
                <w:color w:val="auto"/>
              </w:rPr>
            </w:pP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6,021,554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6,136,968</w:t>
            </w:r>
          </w:p>
        </w:tc>
      </w:tr>
      <w:tr>
        <w:trPr>
          <w:trHeight w:val="180"/>
        </w:trPr>
        <w:tc>
          <w:tcPr>
            <w:tcW w:w="3860" w:type="dxa"/>
            <w:vAlign w:val="bottom"/>
          </w:tcPr>
          <w:p>
            <w:pPr>
              <w:spacing w:after="0"/>
              <w:rPr>
                <w:sz w:val="15"/>
                <w:szCs w:val="15"/>
                <w:color w:val="auto"/>
              </w:rPr>
            </w:pP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DERIVATIVE INSTRUMENTS AND HEDGING ACTIVITIES - On January 1, 2001, the Company adopted Statement of Financial Accounting Standards (SFAS) No. 133, ACCOUNTING FOR DERIVATIVE INSTRUMENTS AND HEDGING Activities, as amended by SFAS No. 138, ACCOUNTING FOR CERTAIN DERIVATIVE INSTRUMENTS AND CERTAIN HEDGING ACTIVITIES. SFAS No.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they have no freestanding or embedded derivatives. All contracts that contain provisions meeting the definition of a derivative also meet the requirements of, and have been designated as, normal purchases or sales. The Company's policy is to not use freestanding derivatives and to not enter into contracts with terms that cannot be designated as normal purchases or sales.</w:t>
      </w:r>
    </w:p>
    <w:p>
      <w:pPr>
        <w:spacing w:after="0" w:line="178" w:lineRule="exact"/>
        <w:rPr>
          <w:sz w:val="20"/>
          <w:szCs w:val="20"/>
          <w:color w:val="auto"/>
        </w:rPr>
      </w:pPr>
    </w:p>
    <w:p>
      <w:pPr>
        <w:ind w:right="3279"/>
        <w:spacing w:after="0" w:line="257" w:lineRule="auto"/>
        <w:rPr>
          <w:sz w:val="20"/>
          <w:szCs w:val="20"/>
          <w:color w:val="auto"/>
        </w:rPr>
      </w:pPr>
      <w:r>
        <w:rPr>
          <w:rFonts w:ascii="Courier New" w:cs="Courier New" w:eastAsia="Courier New" w:hAnsi="Courier New"/>
          <w:sz w:val="15"/>
          <w:szCs w:val="15"/>
          <w:color w:val="auto"/>
        </w:rPr>
        <w:t>FOREIGN CURRENCY TRANSLATION - The functional currency is the U.S. dollar for each foreign country in which the Company operates. The Company's foreign offices act as distributors for the Company's products and services rather than as stand-alone entities.</w:t>
      </w:r>
    </w:p>
    <w:p>
      <w:pPr>
        <w:spacing w:after="0" w:line="174"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RECLASSIFICATIONS - Certain amounts in the 2000 financial statements have been reclassified to conform to the 2001 financial statement presentation. These reclassifications had no effect on net income or stockholders' equity as previously reported.</w:t>
      </w:r>
    </w:p>
    <w:p>
      <w:pPr>
        <w:spacing w:after="0" w:line="200" w:lineRule="exact"/>
        <w:rPr>
          <w:sz w:val="20"/>
          <w:szCs w:val="20"/>
          <w:color w:val="auto"/>
        </w:rPr>
      </w:pP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479"/>
          </w:cols>
          <w:pgMar w:left="980" w:top="839" w:right="1440" w:bottom="1009" w:gutter="0" w:footer="0" w:header="0"/>
        </w:sectPr>
      </w:pPr>
    </w:p>
    <w:bookmarkStart w:id="11" w:name="page12"/>
    <w:bookmarkEnd w:id="11"/>
    <w:p>
      <w:pPr>
        <w:ind w:left="744" w:hanging="744"/>
        <w:spacing w:after="0"/>
        <w:tabs>
          <w:tab w:leader="none" w:pos="7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DISPOSITIONS</w:t>
      </w:r>
    </w:p>
    <w:p>
      <w:pPr>
        <w:spacing w:after="0" w:line="184" w:lineRule="exact"/>
        <w:rPr>
          <w:rFonts w:ascii="Courier New" w:cs="Courier New" w:eastAsia="Courier New" w:hAnsi="Courier New"/>
          <w:sz w:val="16"/>
          <w:szCs w:val="16"/>
          <w:color w:val="auto"/>
        </w:rPr>
      </w:pPr>
    </w:p>
    <w:p>
      <w:pPr>
        <w:ind w:left="744"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MEDCAM TECHNOLOGY, INC. - In February 2000, the Company sold certain assets acquired in 1998 as part of the Video Dynamics, Inc. (VDI) acquisition in exchange for $108,000 payable over three years. In addition, the remaining related employment agreements were terminated along with a $10,000 note payable.</w:t>
      </w:r>
    </w:p>
    <w:p>
      <w:pPr>
        <w:spacing w:after="0" w:line="187" w:lineRule="exact"/>
        <w:rPr>
          <w:rFonts w:ascii="Courier New" w:cs="Courier New" w:eastAsia="Courier New" w:hAnsi="Courier New"/>
          <w:sz w:val="16"/>
          <w:szCs w:val="16"/>
          <w:color w:val="auto"/>
        </w:rPr>
      </w:pPr>
    </w:p>
    <w:p>
      <w:pPr>
        <w:ind w:left="744" w:right="289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part of the agreement, the Company executed a $150,000 note payable over 12 months to MedCam Technology, Inc. (MedCam), a new company started by the VDI founders, in exchange for a perpetual option to buy 20% of MedCam for $1. In addition, a three-year reseller agreement was executed with MedCam, which entitles the Company to a 5% royalty on sales of the MedCam Pro and MedCam Pro Plus products. The Company accounts for its investment in MedCam using the cost method of accounting.</w:t>
      </w:r>
    </w:p>
    <w:p>
      <w:pPr>
        <w:spacing w:after="0" w:line="180" w:lineRule="exact"/>
        <w:rPr>
          <w:rFonts w:ascii="Courier New" w:cs="Courier New" w:eastAsia="Courier New" w:hAnsi="Courier New"/>
          <w:sz w:val="16"/>
          <w:szCs w:val="16"/>
          <w:color w:val="auto"/>
        </w:rPr>
      </w:pPr>
    </w:p>
    <w:p>
      <w:pPr>
        <w:ind w:left="744" w:hanging="744"/>
        <w:spacing w:after="0"/>
        <w:tabs>
          <w:tab w:leader="none" w:pos="7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79" w:lineRule="exact"/>
        <w:rPr>
          <w:rFonts w:ascii="Courier New" w:cs="Courier New" w:eastAsia="Courier New" w:hAnsi="Courier New"/>
          <w:sz w:val="16"/>
          <w:szCs w:val="16"/>
          <w:color w:val="auto"/>
        </w:rPr>
      </w:pP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consisted of the following at December 31:</w:t>
      </w:r>
    </w:p>
    <w:p>
      <w:pPr>
        <w:spacing w:after="0" w:line="179"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2001</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432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$ 1,972,910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$ 1,695,726</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rPr>
              <w:t>Work-in-process</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481,465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515,884</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Finished goods, including demonstration units</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1,282,142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2,252,609</w:t>
            </w:r>
          </w:p>
        </w:tc>
      </w:tr>
      <w:tr>
        <w:trPr>
          <w:trHeight w:val="180"/>
        </w:trPr>
        <w:tc>
          <w:tcPr>
            <w:tcW w:w="43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3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$ 3,736,517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$ 4,464,219</w:t>
            </w:r>
          </w:p>
        </w:tc>
      </w:tr>
      <w:tr>
        <w:trPr>
          <w:trHeight w:val="180"/>
        </w:trPr>
        <w:tc>
          <w:tcPr>
            <w:tcW w:w="43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744" w:hanging="744"/>
        <w:spacing w:after="0"/>
        <w:tabs>
          <w:tab w:leader="none" w:pos="7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NONCOMPETE OBLIGATION</w:t>
      </w:r>
    </w:p>
    <w:p>
      <w:pPr>
        <w:spacing w:after="0" w:line="364" w:lineRule="exact"/>
        <w:rPr>
          <w:rFonts w:ascii="Courier New" w:cs="Courier New" w:eastAsia="Courier New" w:hAnsi="Courier New"/>
          <w:sz w:val="16"/>
          <w:szCs w:val="16"/>
          <w:color w:val="auto"/>
        </w:rPr>
      </w:pPr>
    </w:p>
    <w:p>
      <w:pPr>
        <w:ind w:left="744" w:right="27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 December 31, 1999, the Company had a $750,000 obligation, which was due and paid in full in April 2000, to a shareholder for a twelve-year noncompete agreement. The shareholder had the option to defer payment in whole or in part for up to twelve one-year periods. Interest was to begin accruing on this obligation upon the shareholder's first deferral at the Company's short-term cost of borrowing. As the obligation was paid in April 2000, no interest was due under terms of the agreement.</w:t>
      </w:r>
    </w:p>
    <w:p>
      <w:pPr>
        <w:spacing w:after="0" w:line="169" w:lineRule="exact"/>
        <w:rPr>
          <w:rFonts w:ascii="Courier New" w:cs="Courier New" w:eastAsia="Courier New" w:hAnsi="Courier New"/>
          <w:sz w:val="16"/>
          <w:szCs w:val="16"/>
          <w:color w:val="auto"/>
        </w:rPr>
      </w:pPr>
    </w:p>
    <w:p>
      <w:pPr>
        <w:ind w:left="744" w:hanging="744"/>
        <w:spacing w:after="0"/>
        <w:tabs>
          <w:tab w:leader="none" w:pos="7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LINE OF CREDIT</w:t>
      </w:r>
    </w:p>
    <w:p>
      <w:pPr>
        <w:spacing w:after="0" w:line="184" w:lineRule="exact"/>
        <w:rPr>
          <w:rFonts w:ascii="Courier New" w:cs="Courier New" w:eastAsia="Courier New" w:hAnsi="Courier New"/>
          <w:sz w:val="16"/>
          <w:szCs w:val="16"/>
          <w:color w:val="auto"/>
        </w:rPr>
      </w:pPr>
    </w:p>
    <w:p>
      <w:pPr>
        <w:ind w:left="744" w:right="28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2001, the Company has available a $2,750,000 bank revolving note, secured by substantially all assets, that expires April 30, 2002. Interest is computed on actual days elapsed at an annual rate equal to the prime rate as quoted by THE WALL STREET JOURNAL. The note is payable on demand. The terms of the note require the Company to maintain certain financial ratios. The Company was in compliance with all financial covenants as of December 31, 2001. The amount outstanding under the note was $0 and $1,146,811 at December 31, 2001 and 2000, respectively.</w:t>
      </w:r>
    </w:p>
    <w:p>
      <w:pPr>
        <w:spacing w:after="0" w:line="181" w:lineRule="exact"/>
        <w:rPr>
          <w:rFonts w:ascii="Courier New" w:cs="Courier New" w:eastAsia="Courier New" w:hAnsi="Courier New"/>
          <w:sz w:val="16"/>
          <w:szCs w:val="16"/>
          <w:color w:val="auto"/>
        </w:rPr>
      </w:pPr>
    </w:p>
    <w:p>
      <w:pPr>
        <w:ind w:left="744" w:hanging="744"/>
        <w:spacing w:after="0"/>
        <w:tabs>
          <w:tab w:leader="none" w:pos="7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9" w:lineRule="exact"/>
        <w:rPr>
          <w:rFonts w:ascii="Courier New" w:cs="Courier New" w:eastAsia="Courier New" w:hAnsi="Courier New"/>
          <w:sz w:val="16"/>
          <w:szCs w:val="16"/>
          <w:color w:val="auto"/>
        </w:rPr>
      </w:pP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consists of the following:</w:t>
      </w:r>
    </w:p>
    <w:p>
      <w:pPr>
        <w:spacing w:after="0" w:line="179"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5"/>
                <w:szCs w:val="15"/>
                <w:color w:val="auto"/>
              </w:rPr>
            </w:pP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Capital lease obligations, at implicit rates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4360" w:type="dxa"/>
            <w:vAlign w:val="bottom"/>
          </w:tcPr>
          <w:p>
            <w:pPr>
              <w:ind w:left="200"/>
              <w:spacing w:after="0"/>
              <w:rPr>
                <w:sz w:val="20"/>
                <w:szCs w:val="20"/>
                <w:color w:val="auto"/>
              </w:rPr>
            </w:pPr>
            <w:r>
              <w:rPr>
                <w:rFonts w:ascii="Courier New" w:cs="Courier New" w:eastAsia="Courier New" w:hAnsi="Courier New"/>
                <w:sz w:val="16"/>
                <w:szCs w:val="16"/>
                <w:color w:val="auto"/>
              </w:rPr>
              <w:t>from 3% to 9%, payable in installments to</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360" w:type="dxa"/>
            <w:vAlign w:val="bottom"/>
          </w:tcPr>
          <w:p>
            <w:pPr>
              <w:ind w:left="200"/>
              <w:spacing w:after="0"/>
              <w:rPr>
                <w:sz w:val="20"/>
                <w:szCs w:val="20"/>
                <w:color w:val="auto"/>
              </w:rPr>
            </w:pPr>
            <w:r>
              <w:rPr>
                <w:rFonts w:ascii="Courier New" w:cs="Courier New" w:eastAsia="Courier New" w:hAnsi="Courier New"/>
                <w:sz w:val="16"/>
                <w:szCs w:val="16"/>
                <w:color w:val="auto"/>
              </w:rPr>
              <w:t>2004</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71,931</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98,389</w:t>
            </w: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Note payable to bank, monthly payments of</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360" w:type="dxa"/>
            <w:vAlign w:val="bottom"/>
          </w:tcPr>
          <w:p>
            <w:pPr>
              <w:ind w:left="200"/>
              <w:spacing w:after="0"/>
              <w:rPr>
                <w:sz w:val="20"/>
                <w:szCs w:val="20"/>
                <w:color w:val="auto"/>
              </w:rPr>
            </w:pPr>
            <w:r>
              <w:rPr>
                <w:rFonts w:ascii="Courier New" w:cs="Courier New" w:eastAsia="Courier New" w:hAnsi="Courier New"/>
                <w:sz w:val="16"/>
                <w:szCs w:val="16"/>
                <w:color w:val="auto"/>
                <w:w w:val="98"/>
              </w:rPr>
              <w:t>$19,202 through August 2004, interest at the</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360" w:type="dxa"/>
            <w:vAlign w:val="bottom"/>
          </w:tcPr>
          <w:p>
            <w:pPr>
              <w:ind w:left="200"/>
              <w:spacing w:after="0"/>
              <w:rPr>
                <w:sz w:val="20"/>
                <w:szCs w:val="20"/>
                <w:color w:val="auto"/>
              </w:rPr>
            </w:pPr>
            <w:r>
              <w:rPr>
                <w:rFonts w:ascii="Courier New" w:cs="Courier New" w:eastAsia="Courier New" w:hAnsi="Courier New"/>
                <w:sz w:val="16"/>
                <w:szCs w:val="16"/>
                <w:color w:val="auto"/>
              </w:rPr>
              <w:t>prime rate (4.75% at December 31, 2001),</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360" w:type="dxa"/>
            <w:vAlign w:val="bottom"/>
          </w:tcPr>
          <w:p>
            <w:pPr>
              <w:ind w:left="200"/>
              <w:spacing w:after="0"/>
              <w:rPr>
                <w:sz w:val="20"/>
                <w:szCs w:val="20"/>
                <w:color w:val="auto"/>
              </w:rPr>
            </w:pPr>
            <w:r>
              <w:rPr>
                <w:rFonts w:ascii="Courier New" w:cs="Courier New" w:eastAsia="Courier New" w:hAnsi="Courier New"/>
                <w:sz w:val="16"/>
                <w:szCs w:val="16"/>
                <w:color w:val="auto"/>
              </w:rPr>
              <w:t>secured by substantially all assets</w:t>
            </w:r>
          </w:p>
        </w:tc>
        <w:tc>
          <w:tcPr>
            <w:tcW w:w="280" w:type="dxa"/>
            <w:vAlign w:val="bottom"/>
          </w:tcPr>
          <w:p>
            <w:pPr>
              <w:spacing w:after="0"/>
              <w:rPr>
                <w:sz w:val="15"/>
                <w:szCs w:val="15"/>
                <w:color w:val="auto"/>
              </w:rPr>
            </w:pP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568,861</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750,000</w:t>
            </w:r>
          </w:p>
        </w:tc>
      </w:tr>
      <w:tr>
        <w:trPr>
          <w:trHeight w:val="180"/>
        </w:trPr>
        <w:tc>
          <w:tcPr>
            <w:tcW w:w="436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640,792</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848,389</w:t>
            </w:r>
          </w:p>
        </w:tc>
      </w:tr>
      <w:tr>
        <w:trPr>
          <w:trHeight w:val="180"/>
        </w:trPr>
        <w:tc>
          <w:tcPr>
            <w:tcW w:w="4360" w:type="dxa"/>
            <w:vAlign w:val="bottom"/>
          </w:tcPr>
          <w:p>
            <w:pPr>
              <w:spacing w:after="0"/>
              <w:rPr>
                <w:sz w:val="20"/>
                <w:szCs w:val="20"/>
                <w:color w:val="auto"/>
              </w:rPr>
            </w:pPr>
            <w:r>
              <w:rPr>
                <w:rFonts w:ascii="Courier New" w:cs="Courier New" w:eastAsia="Courier New" w:hAnsi="Courier New"/>
                <w:sz w:val="16"/>
                <w:szCs w:val="16"/>
                <w:color w:val="auto"/>
              </w:rPr>
              <w:t>Less amounts due within one year</w:t>
            </w:r>
          </w:p>
        </w:tc>
        <w:tc>
          <w:tcPr>
            <w:tcW w:w="280" w:type="dxa"/>
            <w:vAlign w:val="bottom"/>
          </w:tcPr>
          <w:p>
            <w:pPr>
              <w:spacing w:after="0"/>
              <w:rPr>
                <w:sz w:val="15"/>
                <w:szCs w:val="15"/>
                <w:color w:val="auto"/>
              </w:rPr>
            </w:pP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237,547</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194,253</w:t>
            </w:r>
          </w:p>
        </w:tc>
      </w:tr>
      <w:tr>
        <w:trPr>
          <w:trHeight w:val="180"/>
        </w:trPr>
        <w:tc>
          <w:tcPr>
            <w:tcW w:w="436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360" w:type="dxa"/>
            <w:vAlign w:val="bottom"/>
          </w:tcPr>
          <w:p>
            <w:pPr>
              <w:spacing w:after="0"/>
              <w:rPr>
                <w:sz w:val="15"/>
                <w:szCs w:val="15"/>
                <w:color w:val="auto"/>
              </w:rPr>
            </w:pP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403,245</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654,136</w:t>
            </w:r>
          </w:p>
        </w:tc>
      </w:tr>
      <w:tr>
        <w:trPr>
          <w:trHeight w:val="180"/>
        </w:trPr>
        <w:tc>
          <w:tcPr>
            <w:tcW w:w="436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902"/>
        </w:trPr>
        <w:tc>
          <w:tcPr>
            <w:tcW w:w="4360" w:type="dxa"/>
            <w:vAlign w:val="bottom"/>
          </w:tcPr>
          <w:p>
            <w:pPr>
              <w:ind w:left="2920"/>
              <w:spacing w:after="0"/>
              <w:rPr>
                <w:sz w:val="20"/>
                <w:szCs w:val="20"/>
                <w:color w:val="auto"/>
              </w:rPr>
            </w:pPr>
            <w:r>
              <w:rPr>
                <w:rFonts w:ascii="Courier New" w:cs="Courier New" w:eastAsia="Courier New" w:hAnsi="Courier New"/>
                <w:sz w:val="16"/>
                <w:szCs w:val="16"/>
                <w:color w:val="auto"/>
              </w:rPr>
              <w:t>11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23"/>
          </w:cols>
          <w:pgMar w:left="236" w:top="834" w:right="1440" w:bottom="1440" w:gutter="0" w:footer="0" w:header="0"/>
        </w:sectPr>
      </w:pPr>
    </w:p>
    <w:bookmarkStart w:id="12" w:name="page13"/>
    <w:bookmarkEnd w:id="12"/>
    <w:p>
      <w:pPr>
        <w:ind w:left="744" w:right="2999"/>
        <w:spacing w:after="0" w:line="236" w:lineRule="auto"/>
        <w:rPr>
          <w:sz w:val="20"/>
          <w:szCs w:val="20"/>
          <w:color w:val="auto"/>
        </w:rPr>
      </w:pPr>
      <w:r>
        <w:rPr>
          <w:rFonts w:ascii="Courier New" w:cs="Courier New" w:eastAsia="Courier New" w:hAnsi="Courier New"/>
          <w:sz w:val="16"/>
          <w:szCs w:val="16"/>
          <w:color w:val="auto"/>
        </w:rPr>
        <w:t>Scheduled maturities of long-term debt are as follows at December 31, 2001:</w:t>
      </w:r>
    </w:p>
    <w:p>
      <w:pPr>
        <w:spacing w:after="0" w:line="180"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3000" w:type="dxa"/>
            <w:vAlign w:val="bottom"/>
          </w:tcPr>
          <w:p>
            <w:pPr>
              <w:jc w:val="right"/>
              <w:ind w:right="2542"/>
              <w:spacing w:after="0"/>
              <w:rPr>
                <w:sz w:val="20"/>
                <w:szCs w:val="20"/>
                <w:color w:val="auto"/>
              </w:rPr>
            </w:pPr>
            <w:r>
              <w:rPr>
                <w:rFonts w:ascii="Courier New" w:cs="Courier New" w:eastAsia="Courier New" w:hAnsi="Courier New"/>
                <w:sz w:val="16"/>
                <w:szCs w:val="16"/>
                <w:color w:val="auto"/>
                <w:w w:val="93"/>
              </w:rPr>
              <w:t>2002</w:t>
            </w:r>
          </w:p>
        </w:tc>
        <w:tc>
          <w:tcPr>
            <w:tcW w:w="2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237,547</w:t>
            </w:r>
          </w:p>
        </w:tc>
      </w:tr>
      <w:tr>
        <w:trPr>
          <w:trHeight w:val="180"/>
        </w:trPr>
        <w:tc>
          <w:tcPr>
            <w:tcW w:w="3000" w:type="dxa"/>
            <w:vAlign w:val="bottom"/>
          </w:tcPr>
          <w:p>
            <w:pPr>
              <w:jc w:val="right"/>
              <w:ind w:right="2542"/>
              <w:spacing w:after="0"/>
              <w:rPr>
                <w:sz w:val="20"/>
                <w:szCs w:val="20"/>
                <w:color w:val="auto"/>
              </w:rPr>
            </w:pPr>
            <w:r>
              <w:rPr>
                <w:rFonts w:ascii="Courier New" w:cs="Courier New" w:eastAsia="Courier New" w:hAnsi="Courier New"/>
                <w:sz w:val="16"/>
                <w:szCs w:val="16"/>
                <w:color w:val="auto"/>
                <w:w w:val="93"/>
              </w:rPr>
              <w:t>2003</w:t>
            </w:r>
          </w:p>
        </w:tc>
        <w:tc>
          <w:tcPr>
            <w:tcW w:w="2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245,562</w:t>
            </w:r>
          </w:p>
        </w:tc>
      </w:tr>
      <w:tr>
        <w:trPr>
          <w:trHeight w:val="180"/>
        </w:trPr>
        <w:tc>
          <w:tcPr>
            <w:tcW w:w="3000" w:type="dxa"/>
            <w:vAlign w:val="bottom"/>
          </w:tcPr>
          <w:p>
            <w:pPr>
              <w:jc w:val="right"/>
              <w:ind w:right="2542"/>
              <w:spacing w:after="0"/>
              <w:rPr>
                <w:sz w:val="20"/>
                <w:szCs w:val="20"/>
                <w:color w:val="auto"/>
              </w:rPr>
            </w:pPr>
            <w:r>
              <w:rPr>
                <w:rFonts w:ascii="Courier New" w:cs="Courier New" w:eastAsia="Courier New" w:hAnsi="Courier New"/>
                <w:sz w:val="16"/>
                <w:szCs w:val="16"/>
                <w:color w:val="auto"/>
                <w:w w:val="93"/>
              </w:rPr>
              <w:t>2004</w:t>
            </w:r>
          </w:p>
        </w:tc>
        <w:tc>
          <w:tcPr>
            <w:tcW w:w="2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157,683</w:t>
            </w:r>
          </w:p>
        </w:tc>
      </w:tr>
      <w:tr>
        <w:trPr>
          <w:trHeight w:val="180"/>
        </w:trPr>
        <w:tc>
          <w:tcPr>
            <w:tcW w:w="3000" w:type="dxa"/>
            <w:vAlign w:val="bottom"/>
          </w:tcPr>
          <w:p>
            <w:pPr>
              <w:spacing w:after="0"/>
              <w:rPr>
                <w:sz w:val="15"/>
                <w:szCs w:val="15"/>
                <w:color w:val="auto"/>
              </w:rPr>
            </w:pPr>
          </w:p>
        </w:tc>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000" w:type="dxa"/>
            <w:vAlign w:val="bottom"/>
          </w:tcPr>
          <w:p>
            <w:pPr>
              <w:spacing w:after="0"/>
              <w:rPr>
                <w:sz w:val="15"/>
                <w:szCs w:val="15"/>
                <w:color w:val="auto"/>
              </w:rPr>
            </w:pPr>
          </w:p>
        </w:tc>
        <w:tc>
          <w:tcPr>
            <w:tcW w:w="2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640,792</w:t>
            </w:r>
          </w:p>
        </w:tc>
      </w:tr>
      <w:tr>
        <w:trPr>
          <w:trHeight w:val="180"/>
        </w:trPr>
        <w:tc>
          <w:tcPr>
            <w:tcW w:w="3000" w:type="dxa"/>
            <w:vAlign w:val="bottom"/>
          </w:tcPr>
          <w:p>
            <w:pPr>
              <w:spacing w:after="0"/>
              <w:rPr>
                <w:sz w:val="15"/>
                <w:szCs w:val="15"/>
                <w:color w:val="auto"/>
              </w:rPr>
            </w:pPr>
          </w:p>
        </w:tc>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744" w:hanging="744"/>
        <w:spacing w:after="0"/>
        <w:tabs>
          <w:tab w:leader="none" w:pos="74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 OBLIGATIONS</w:t>
      </w:r>
    </w:p>
    <w:p>
      <w:pPr>
        <w:spacing w:after="0" w:line="364" w:lineRule="exact"/>
        <w:rPr>
          <w:rFonts w:ascii="Courier New" w:cs="Courier New" w:eastAsia="Courier New" w:hAnsi="Courier New"/>
          <w:sz w:val="16"/>
          <w:szCs w:val="16"/>
          <w:color w:val="auto"/>
        </w:rPr>
      </w:pPr>
    </w:p>
    <w:p>
      <w:pPr>
        <w:ind w:left="74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leases various items of equipment and vehicles over terms of three to five years. Equipment and vehicle leases expire at varying dates over the next three years. The Company also leases office and warehouse facilities in Minnesota, Illinois, Nebraska, and Iowa; the leases expire from September 2002 to July 2004 and one is month-to-month. The Company is obligated to pay costs of property taxes and operating costs under the terms of the office and warehouse leases.</w:t>
      </w:r>
    </w:p>
    <w:p>
      <w:pPr>
        <w:spacing w:after="0" w:line="184" w:lineRule="exact"/>
        <w:rPr>
          <w:rFonts w:ascii="Courier New" w:cs="Courier New" w:eastAsia="Courier New" w:hAnsi="Courier New"/>
          <w:sz w:val="16"/>
          <w:szCs w:val="16"/>
          <w:color w:val="auto"/>
        </w:rPr>
      </w:pPr>
    </w:p>
    <w:p>
      <w:pPr>
        <w:ind w:left="744" w:right="27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includes the following amounts for capital leases at December 31:</w:t>
      </w:r>
    </w:p>
    <w:p>
      <w:pPr>
        <w:spacing w:after="0" w:line="180"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2001</w:t>
            </w:r>
          </w:p>
        </w:tc>
        <w:tc>
          <w:tcPr>
            <w:tcW w:w="32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324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163,085</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163,085</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Vehicles</w:t>
            </w:r>
          </w:p>
        </w:tc>
        <w:tc>
          <w:tcPr>
            <w:tcW w:w="11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13,500</w:t>
            </w:r>
          </w:p>
        </w:tc>
        <w:tc>
          <w:tcPr>
            <w:tcW w:w="32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13,500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Accumulated depreciation</w:t>
            </w:r>
          </w:p>
        </w:tc>
        <w:tc>
          <w:tcPr>
            <w:tcW w:w="11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(153,209)</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(107,956)</w:t>
            </w:r>
          </w:p>
        </w:tc>
      </w:tr>
      <w:tr>
        <w:trPr>
          <w:trHeight w:val="180"/>
        </w:trPr>
        <w:tc>
          <w:tcPr>
            <w:tcW w:w="3240" w:type="dxa"/>
            <w:vAlign w:val="bottom"/>
          </w:tcPr>
          <w:p>
            <w:pPr>
              <w:spacing w:after="0"/>
              <w:rPr>
                <w:sz w:val="15"/>
                <w:szCs w:val="15"/>
                <w:color w:val="auto"/>
              </w:rPr>
            </w:pPr>
          </w:p>
        </w:tc>
        <w:tc>
          <w:tcPr>
            <w:tcW w:w="2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24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23,376</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68,629</w:t>
            </w:r>
          </w:p>
        </w:tc>
      </w:tr>
      <w:tr>
        <w:trPr>
          <w:trHeight w:val="180"/>
        </w:trPr>
        <w:tc>
          <w:tcPr>
            <w:tcW w:w="3240" w:type="dxa"/>
            <w:vAlign w:val="bottom"/>
          </w:tcPr>
          <w:p>
            <w:pPr>
              <w:spacing w:after="0"/>
              <w:rPr>
                <w:sz w:val="15"/>
                <w:szCs w:val="15"/>
                <w:color w:val="auto"/>
              </w:rPr>
            </w:pPr>
          </w:p>
        </w:tc>
        <w:tc>
          <w:tcPr>
            <w:tcW w:w="2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744" w:right="2819"/>
        <w:spacing w:after="0" w:line="237" w:lineRule="auto"/>
        <w:rPr>
          <w:sz w:val="20"/>
          <w:szCs w:val="20"/>
          <w:color w:val="auto"/>
        </w:rPr>
      </w:pPr>
      <w:r>
        <w:rPr>
          <w:rFonts w:ascii="Courier New" w:cs="Courier New" w:eastAsia="Courier New" w:hAnsi="Courier New"/>
          <w:sz w:val="16"/>
          <w:szCs w:val="16"/>
          <w:color w:val="auto"/>
        </w:rPr>
        <w:t>At December 31, 2001, the Company had the following minimum commitments for payments of rentals under leases, which at inception had a noncancelable term of more than one year:</w:t>
      </w:r>
    </w:p>
    <w:p>
      <w:pPr>
        <w:spacing w:after="0" w:line="180"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Operating</w:t>
            </w:r>
          </w:p>
        </w:tc>
        <w:tc>
          <w:tcPr>
            <w:tcW w:w="34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Capital</w:t>
            </w:r>
          </w:p>
        </w:tc>
      </w:tr>
      <w:tr>
        <w:trPr>
          <w:trHeight w:val="180"/>
        </w:trPr>
        <w:tc>
          <w:tcPr>
            <w:tcW w:w="3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Leases</w:t>
            </w:r>
          </w:p>
        </w:tc>
        <w:tc>
          <w:tcPr>
            <w:tcW w:w="34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Leases</w:t>
            </w:r>
          </w:p>
        </w:tc>
      </w:tr>
      <w:tr>
        <w:trPr>
          <w:trHeight w:val="361"/>
        </w:trPr>
        <w:tc>
          <w:tcPr>
            <w:tcW w:w="394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210,683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34,621</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4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42,028</w:t>
            </w:r>
          </w:p>
        </w:tc>
        <w:tc>
          <w:tcPr>
            <w:tcW w:w="34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30,126</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42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23,583</w:t>
            </w:r>
          </w:p>
        </w:tc>
        <w:tc>
          <w:tcPr>
            <w:tcW w:w="34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15,063</w:t>
            </w:r>
          </w:p>
        </w:tc>
      </w:tr>
      <w:tr>
        <w:trPr>
          <w:trHeight w:val="180"/>
        </w:trPr>
        <w:tc>
          <w:tcPr>
            <w:tcW w:w="3940" w:type="dxa"/>
            <w:vAlign w:val="bottom"/>
          </w:tcPr>
          <w:p>
            <w:pPr>
              <w:spacing w:after="0"/>
              <w:rPr>
                <w:sz w:val="15"/>
                <w:szCs w:val="15"/>
                <w:color w:val="auto"/>
              </w:rPr>
            </w:pP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Total lease commitments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276,294</w:t>
            </w:r>
          </w:p>
        </w:tc>
        <w:tc>
          <w:tcPr>
            <w:tcW w:w="34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79,810</w:t>
            </w:r>
          </w:p>
        </w:tc>
      </w:tr>
      <w:tr>
        <w:trPr>
          <w:trHeight w:val="180"/>
        </w:trPr>
        <w:tc>
          <w:tcPr>
            <w:tcW w:w="3940" w:type="dxa"/>
            <w:vAlign w:val="bottom"/>
          </w:tcPr>
          <w:p>
            <w:pPr>
              <w:spacing w:after="0"/>
              <w:rPr>
                <w:sz w:val="15"/>
                <w:szCs w:val="15"/>
                <w:color w:val="auto"/>
              </w:rPr>
            </w:pPr>
          </w:p>
        </w:tc>
        <w:tc>
          <w:tcPr>
            <w:tcW w:w="15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Less amount representing interest</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(7,879)</w:t>
            </w:r>
          </w:p>
        </w:tc>
      </w:tr>
      <w:tr>
        <w:trPr>
          <w:trHeight w:val="180"/>
        </w:trPr>
        <w:tc>
          <w:tcPr>
            <w:tcW w:w="3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Present value of minimum lease payments</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940" w:type="dxa"/>
            <w:vAlign w:val="bottom"/>
          </w:tcPr>
          <w:p>
            <w:pPr>
              <w:ind w:left="200"/>
              <w:spacing w:after="0"/>
              <w:rPr>
                <w:sz w:val="20"/>
                <w:szCs w:val="20"/>
                <w:color w:val="auto"/>
              </w:rPr>
            </w:pPr>
            <w:r>
              <w:rPr>
                <w:rFonts w:ascii="Courier New" w:cs="Courier New" w:eastAsia="Courier New" w:hAnsi="Courier New"/>
                <w:sz w:val="16"/>
                <w:szCs w:val="16"/>
                <w:color w:val="auto"/>
              </w:rPr>
              <w:t>(included in long-term debt)</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71,931</w:t>
            </w:r>
          </w:p>
        </w:tc>
      </w:tr>
      <w:tr>
        <w:trPr>
          <w:trHeight w:val="180"/>
        </w:trPr>
        <w:tc>
          <w:tcPr>
            <w:tcW w:w="3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744" w:right="3099"/>
        <w:spacing w:after="0" w:line="236" w:lineRule="auto"/>
        <w:rPr>
          <w:sz w:val="20"/>
          <w:szCs w:val="20"/>
          <w:color w:val="auto"/>
        </w:rPr>
      </w:pPr>
      <w:r>
        <w:rPr>
          <w:rFonts w:ascii="Courier New" w:cs="Courier New" w:eastAsia="Courier New" w:hAnsi="Courier New"/>
          <w:sz w:val="16"/>
          <w:szCs w:val="16"/>
          <w:color w:val="auto"/>
        </w:rPr>
        <w:t>Rental expense for operating leases totaled $415,120 and $444,081 in 2001 and 2000, respectively.</w:t>
      </w:r>
    </w:p>
    <w:p>
      <w:pPr>
        <w:spacing w:after="0" w:line="180" w:lineRule="exact"/>
        <w:rPr>
          <w:sz w:val="20"/>
          <w:szCs w:val="20"/>
          <w:color w:val="auto"/>
        </w:rPr>
      </w:pPr>
    </w:p>
    <w:p>
      <w:pPr>
        <w:ind w:left="744" w:hanging="744"/>
        <w:spacing w:after="0"/>
        <w:tabs>
          <w:tab w:leader="none" w:pos="7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4" w:lineRule="exact"/>
        <w:rPr>
          <w:rFonts w:ascii="Courier New" w:cs="Courier New" w:eastAsia="Courier New" w:hAnsi="Courier New"/>
          <w:sz w:val="16"/>
          <w:szCs w:val="16"/>
          <w:color w:val="auto"/>
        </w:rPr>
      </w:pPr>
    </w:p>
    <w:p>
      <w:pPr>
        <w:ind w:left="744" w:right="281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Board of Directors has authorized the redemption of up to 1,200,000 shares of the Company's Common Stock. During 2001, 50,317 shares at a cost of $73,386 were redeemed and recorded as treasury stock.</w:t>
      </w:r>
    </w:p>
    <w:p>
      <w:pPr>
        <w:spacing w:after="0" w:line="171" w:lineRule="exact"/>
        <w:rPr>
          <w:rFonts w:ascii="Courier New" w:cs="Courier New" w:eastAsia="Courier New" w:hAnsi="Courier New"/>
          <w:sz w:val="16"/>
          <w:szCs w:val="16"/>
          <w:color w:val="auto"/>
        </w:rPr>
      </w:pPr>
    </w:p>
    <w:p>
      <w:pPr>
        <w:ind w:left="744"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had outstanding warrants to issue 7,273 shares common stock at $0.69 per share that expired in November 2000.</w:t>
      </w:r>
    </w:p>
    <w:p>
      <w:pPr>
        <w:spacing w:after="0" w:line="184" w:lineRule="exact"/>
        <w:rPr>
          <w:rFonts w:ascii="Courier New" w:cs="Courier New" w:eastAsia="Courier New" w:hAnsi="Courier New"/>
          <w:sz w:val="16"/>
          <w:szCs w:val="16"/>
          <w:color w:val="auto"/>
        </w:rPr>
      </w:pPr>
    </w:p>
    <w:p>
      <w:pPr>
        <w:ind w:left="744" w:right="29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has not yet established rights and preferences for the Company's preferred stock.</w:t>
      </w:r>
    </w:p>
    <w:p>
      <w:pPr>
        <w:spacing w:after="0" w:line="200" w:lineRule="exact"/>
        <w:rPr>
          <w:sz w:val="20"/>
          <w:szCs w:val="20"/>
          <w:color w:val="auto"/>
        </w:rPr>
      </w:pPr>
    </w:p>
    <w:p>
      <w:pPr>
        <w:spacing w:after="0" w:line="34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839" w:right="1440" w:bottom="1440" w:gutter="0" w:footer="0" w:header="0"/>
        </w:sectPr>
      </w:pPr>
    </w:p>
    <w:bookmarkStart w:id="13" w:name="page14"/>
    <w:bookmarkEnd w:id="13"/>
    <w:p>
      <w:pPr>
        <w:ind w:left="744" w:hanging="744"/>
        <w:spacing w:after="0"/>
        <w:tabs>
          <w:tab w:leader="none" w:pos="74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w:t>
      </w:r>
    </w:p>
    <w:p>
      <w:pPr>
        <w:spacing w:after="0" w:line="184" w:lineRule="exact"/>
        <w:rPr>
          <w:rFonts w:ascii="Courier New" w:cs="Courier New" w:eastAsia="Courier New" w:hAnsi="Courier New"/>
          <w:sz w:val="16"/>
          <w:szCs w:val="16"/>
          <w:color w:val="auto"/>
        </w:rPr>
      </w:pPr>
    </w:p>
    <w:p>
      <w:pPr>
        <w:ind w:left="744" w:right="3280"/>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 qualified incentive stock option plan, whereby options to purchase shares of the Company's Common Stock are granted at a price not less than the fair market value of the stock at the date of grant. Each option expires no later than ten years from the date of grant. If options are granted to persons owning more than ten percent of the voting stock of the Company, the plan provides that the exercise price shall not be less than 110% of the fair market value per share at the date of grant, and will expire no later than five years from the date of grant. In 2001 and 2000, the plan had authorized 575,000 options for the purchase of common stock.</w:t>
      </w:r>
    </w:p>
    <w:p>
      <w:pPr>
        <w:spacing w:after="0" w:line="186" w:lineRule="exact"/>
        <w:rPr>
          <w:rFonts w:ascii="Courier New" w:cs="Courier New" w:eastAsia="Courier New" w:hAnsi="Courier New"/>
          <w:sz w:val="16"/>
          <w:szCs w:val="16"/>
          <w:color w:val="auto"/>
        </w:rPr>
      </w:pPr>
    </w:p>
    <w:p>
      <w:pPr>
        <w:ind w:left="744" w:right="3380"/>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has a nonqualified incentive stock option plan for outside directors and nonemployees, with 500,000 authorized options to purchase the Company's stock. The plan is substantially the same as the plan discussed above. However, the exercise price may be lower than, greater than, or equal to the stock price at the date of issuance.</w:t>
      </w:r>
    </w:p>
    <w:p>
      <w:pPr>
        <w:spacing w:after="0" w:line="176" w:lineRule="exact"/>
        <w:rPr>
          <w:rFonts w:ascii="Courier New" w:cs="Courier New" w:eastAsia="Courier New" w:hAnsi="Courier New"/>
          <w:sz w:val="16"/>
          <w:szCs w:val="16"/>
          <w:color w:val="auto"/>
        </w:rPr>
      </w:pPr>
    </w:p>
    <w:p>
      <w:pPr>
        <w:ind w:left="744" w:right="356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summary of the Company's stock option plans as of December 31, 2001 and 2000 and changes during the years ended on those dates is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35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Courier New" w:cs="Courier New" w:eastAsia="Courier New" w:hAnsi="Courier New"/>
                <w:sz w:val="16"/>
                <w:szCs w:val="16"/>
                <w:color w:val="auto"/>
              </w:rPr>
              <w:t>2000</w:t>
            </w:r>
          </w:p>
        </w:tc>
        <w:tc>
          <w:tcPr>
            <w:tcW w:w="880" w:type="dxa"/>
            <w:vAlign w:val="bottom"/>
          </w:tcPr>
          <w:p>
            <w:pPr>
              <w:spacing w:after="0"/>
              <w:rPr>
                <w:sz w:val="15"/>
                <w:szCs w:val="15"/>
                <w:color w:val="auto"/>
              </w:rPr>
            </w:pPr>
          </w:p>
        </w:tc>
      </w:tr>
      <w:tr>
        <w:trPr>
          <w:trHeight w:val="180"/>
        </w:trPr>
        <w:tc>
          <w:tcPr>
            <w:tcW w:w="3580" w:type="dxa"/>
            <w:vAlign w:val="bottom"/>
          </w:tcPr>
          <w:p>
            <w:pPr>
              <w:spacing w:after="0"/>
              <w:rPr>
                <w:sz w:val="15"/>
                <w:szCs w:val="15"/>
                <w:color w:val="auto"/>
              </w:rPr>
            </w:pPr>
          </w:p>
        </w:tc>
        <w:tc>
          <w:tcPr>
            <w:tcW w:w="2380" w:type="dxa"/>
            <w:vAlign w:val="bottom"/>
            <w:gridSpan w:val="2"/>
          </w:tcPr>
          <w:p>
            <w:pPr>
              <w:ind w:left="560"/>
              <w:spacing w:after="0"/>
              <w:rPr>
                <w:sz w:val="20"/>
                <w:szCs w:val="20"/>
                <w:color w:val="auto"/>
              </w:rPr>
            </w:pPr>
            <w:r>
              <w:rPr>
                <w:rFonts w:ascii="Courier New" w:cs="Courier New" w:eastAsia="Courier New" w:hAnsi="Courier New"/>
                <w:sz w:val="13"/>
                <w:szCs w:val="13"/>
                <w:color w:val="auto"/>
                <w:w w:val="79"/>
              </w:rPr>
              <w:t>-----------------------------</w:t>
            </w:r>
          </w:p>
        </w:tc>
        <w:tc>
          <w:tcPr>
            <w:tcW w:w="1180" w:type="dxa"/>
            <w:vAlign w:val="bottom"/>
          </w:tcPr>
          <w:p>
            <w:pPr>
              <w:spacing w:after="0"/>
              <w:rPr>
                <w:sz w:val="15"/>
                <w:szCs w:val="15"/>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5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7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6"/>
              </w:rPr>
              <w:t>Weighted-Average</w:t>
            </w:r>
          </w:p>
        </w:tc>
        <w:tc>
          <w:tcPr>
            <w:tcW w:w="136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Weighted-Average</w:t>
            </w:r>
          </w:p>
        </w:tc>
      </w:tr>
      <w:tr>
        <w:trPr>
          <w:trHeight w:val="180"/>
        </w:trPr>
        <w:tc>
          <w:tcPr>
            <w:tcW w:w="3580" w:type="dxa"/>
            <w:vAlign w:val="bottom"/>
          </w:tcPr>
          <w:p>
            <w:pPr>
              <w:spacing w:after="0"/>
              <w:rPr>
                <w:sz w:val="15"/>
                <w:szCs w:val="15"/>
                <w:color w:val="auto"/>
              </w:rPr>
            </w:pPr>
          </w:p>
        </w:tc>
        <w:tc>
          <w:tcPr>
            <w:tcW w:w="17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Shares</w:t>
            </w:r>
          </w:p>
        </w:tc>
        <w:tc>
          <w:tcPr>
            <w:tcW w:w="17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Exercise Price</w:t>
            </w:r>
          </w:p>
        </w:tc>
        <w:tc>
          <w:tcPr>
            <w:tcW w:w="13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Shares</w:t>
            </w:r>
          </w:p>
        </w:tc>
        <w:tc>
          <w:tcPr>
            <w:tcW w:w="15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Exercise Price</w:t>
            </w:r>
          </w:p>
        </w:tc>
      </w:tr>
      <w:tr>
        <w:trPr>
          <w:trHeight w:val="180"/>
        </w:trPr>
        <w:tc>
          <w:tcPr>
            <w:tcW w:w="3580" w:type="dxa"/>
            <w:vAlign w:val="bottom"/>
          </w:tcPr>
          <w:p>
            <w:pPr>
              <w:spacing w:after="0"/>
              <w:rPr>
                <w:sz w:val="15"/>
                <w:szCs w:val="15"/>
                <w:color w:val="auto"/>
              </w:rPr>
            </w:pPr>
          </w:p>
        </w:tc>
        <w:tc>
          <w:tcPr>
            <w:tcW w:w="178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541"/>
        </w:trPr>
        <w:tc>
          <w:tcPr>
            <w:tcW w:w="3580" w:type="dxa"/>
            <w:vAlign w:val="bottom"/>
          </w:tcPr>
          <w:p>
            <w:pPr>
              <w:spacing w:after="0"/>
              <w:rPr>
                <w:sz w:val="20"/>
                <w:szCs w:val="20"/>
                <w:color w:val="auto"/>
              </w:rPr>
            </w:pPr>
            <w:r>
              <w:rPr>
                <w:rFonts w:ascii="Courier New" w:cs="Courier New" w:eastAsia="Courier New" w:hAnsi="Courier New"/>
                <w:sz w:val="16"/>
                <w:szCs w:val="16"/>
                <w:color w:val="auto"/>
              </w:rPr>
              <w:t>Outstanding at beginning of year</w:t>
            </w:r>
          </w:p>
        </w:tc>
        <w:tc>
          <w:tcPr>
            <w:tcW w:w="17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732,750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1.27</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663,000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0.84</w:t>
            </w:r>
          </w:p>
        </w:tc>
      </w:tr>
      <w:tr>
        <w:trPr>
          <w:trHeight w:val="180"/>
        </w:trPr>
        <w:tc>
          <w:tcPr>
            <w:tcW w:w="358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7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114,000</w:t>
            </w:r>
          </w:p>
        </w:tc>
        <w:tc>
          <w:tcPr>
            <w:tcW w:w="60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1.67</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155,750</w:t>
            </w:r>
          </w:p>
        </w:tc>
        <w:tc>
          <w:tcPr>
            <w:tcW w:w="660" w:type="dxa"/>
            <w:vAlign w:val="bottom"/>
          </w:tcPr>
          <w:p>
            <w:pPr>
              <w:spacing w:after="0"/>
              <w:rPr>
                <w:sz w:val="15"/>
                <w:szCs w:val="15"/>
                <w:color w:val="auto"/>
              </w:rPr>
            </w:pPr>
          </w:p>
        </w:tc>
        <w:tc>
          <w:tcPr>
            <w:tcW w:w="8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3.25</w:t>
            </w:r>
          </w:p>
        </w:tc>
      </w:tr>
      <w:tr>
        <w:trPr>
          <w:trHeight w:val="180"/>
        </w:trPr>
        <w:tc>
          <w:tcPr>
            <w:tcW w:w="358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7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(172,090)</w:t>
            </w:r>
          </w:p>
        </w:tc>
        <w:tc>
          <w:tcPr>
            <w:tcW w:w="60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.85</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(85,000)</w:t>
            </w:r>
          </w:p>
        </w:tc>
        <w:tc>
          <w:tcPr>
            <w:tcW w:w="660" w:type="dxa"/>
            <w:vAlign w:val="bottom"/>
          </w:tcPr>
          <w:p>
            <w:pPr>
              <w:spacing w:after="0"/>
              <w:rPr>
                <w:sz w:val="15"/>
                <w:szCs w:val="15"/>
                <w:color w:val="auto"/>
              </w:rPr>
            </w:pPr>
          </w:p>
        </w:tc>
        <w:tc>
          <w:tcPr>
            <w:tcW w:w="8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1.58</w:t>
            </w:r>
          </w:p>
        </w:tc>
      </w:tr>
      <w:tr>
        <w:trPr>
          <w:trHeight w:val="180"/>
        </w:trPr>
        <w:tc>
          <w:tcPr>
            <w:tcW w:w="358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7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(66,660)</w:t>
            </w:r>
          </w:p>
        </w:tc>
        <w:tc>
          <w:tcPr>
            <w:tcW w:w="600" w:type="dxa"/>
            <w:vAlign w:val="bottom"/>
          </w:tcPr>
          <w:p>
            <w:pPr>
              <w:spacing w:after="0"/>
              <w:rPr>
                <w:sz w:val="15"/>
                <w:szCs w:val="15"/>
                <w:color w:val="auto"/>
              </w:rPr>
            </w:pP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3.52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660" w:type="dxa"/>
            <w:vAlign w:val="bottom"/>
          </w:tcPr>
          <w:p>
            <w:pPr>
              <w:spacing w:after="0"/>
              <w:rPr>
                <w:sz w:val="15"/>
                <w:szCs w:val="15"/>
                <w:color w:val="auto"/>
              </w:rPr>
            </w:pPr>
          </w:p>
        </w:tc>
        <w:tc>
          <w:tcPr>
            <w:tcW w:w="8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0.69</w:t>
            </w:r>
          </w:p>
        </w:tc>
      </w:tr>
      <w:tr>
        <w:trPr>
          <w:trHeight w:val="180"/>
        </w:trPr>
        <w:tc>
          <w:tcPr>
            <w:tcW w:w="3580" w:type="dxa"/>
            <w:vAlign w:val="bottom"/>
          </w:tcPr>
          <w:p>
            <w:pPr>
              <w:spacing w:after="0"/>
              <w:rPr>
                <w:sz w:val="15"/>
                <w:szCs w:val="15"/>
                <w:color w:val="auto"/>
              </w:rPr>
            </w:pPr>
          </w:p>
        </w:tc>
        <w:tc>
          <w:tcPr>
            <w:tcW w:w="17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580" w:type="dxa"/>
            <w:vAlign w:val="bottom"/>
          </w:tcPr>
          <w:p>
            <w:pPr>
              <w:spacing w:after="0"/>
              <w:rPr>
                <w:sz w:val="20"/>
                <w:szCs w:val="20"/>
                <w:color w:val="auto"/>
              </w:rPr>
            </w:pPr>
            <w:r>
              <w:rPr>
                <w:rFonts w:ascii="Courier New" w:cs="Courier New" w:eastAsia="Courier New" w:hAnsi="Courier New"/>
                <w:sz w:val="16"/>
                <w:szCs w:val="16"/>
                <w:color w:val="auto"/>
              </w:rPr>
              <w:t>Outstanding at end of year</w:t>
            </w:r>
          </w:p>
        </w:tc>
        <w:tc>
          <w:tcPr>
            <w:tcW w:w="17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608,000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1.60</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732,750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1.27</w:t>
            </w:r>
          </w:p>
        </w:tc>
      </w:tr>
      <w:tr>
        <w:trPr>
          <w:trHeight w:val="180"/>
        </w:trPr>
        <w:tc>
          <w:tcPr>
            <w:tcW w:w="3580" w:type="dxa"/>
            <w:vAlign w:val="bottom"/>
          </w:tcPr>
          <w:p>
            <w:pPr>
              <w:spacing w:after="0"/>
              <w:rPr>
                <w:sz w:val="15"/>
                <w:szCs w:val="15"/>
                <w:color w:val="auto"/>
              </w:rPr>
            </w:pPr>
          </w:p>
        </w:tc>
        <w:tc>
          <w:tcPr>
            <w:tcW w:w="17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61"/>
        </w:trPr>
        <w:tc>
          <w:tcPr>
            <w:tcW w:w="3580" w:type="dxa"/>
            <w:vAlign w:val="bottom"/>
          </w:tcPr>
          <w:p>
            <w:pPr>
              <w:spacing w:after="0"/>
              <w:rPr>
                <w:sz w:val="20"/>
                <w:szCs w:val="20"/>
                <w:color w:val="auto"/>
              </w:rPr>
            </w:pPr>
            <w:r>
              <w:rPr>
                <w:rFonts w:ascii="Courier New" w:cs="Courier New" w:eastAsia="Courier New" w:hAnsi="Courier New"/>
                <w:sz w:val="16"/>
                <w:szCs w:val="16"/>
                <w:color w:val="auto"/>
              </w:rPr>
              <w:t>Options exercisable at year-end</w:t>
            </w:r>
          </w:p>
        </w:tc>
        <w:tc>
          <w:tcPr>
            <w:tcW w:w="17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557,860</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607,750</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3580" w:type="dxa"/>
            <w:vAlign w:val="bottom"/>
          </w:tcPr>
          <w:p>
            <w:pPr>
              <w:spacing w:after="0"/>
              <w:rPr>
                <w:sz w:val="15"/>
                <w:szCs w:val="15"/>
                <w:color w:val="auto"/>
              </w:rPr>
            </w:pPr>
          </w:p>
        </w:tc>
        <w:tc>
          <w:tcPr>
            <w:tcW w:w="178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44" w:right="3660"/>
        <w:spacing w:after="0" w:line="236" w:lineRule="auto"/>
        <w:rPr>
          <w:sz w:val="20"/>
          <w:szCs w:val="20"/>
          <w:color w:val="auto"/>
        </w:rPr>
      </w:pPr>
      <w:r>
        <w:rPr>
          <w:rFonts w:ascii="Courier New" w:cs="Courier New" w:eastAsia="Courier New" w:hAnsi="Courier New"/>
          <w:sz w:val="16"/>
          <w:szCs w:val="16"/>
          <w:color w:val="auto"/>
        </w:rPr>
        <w:t>The following table summarizes information about fixed stock options outstanding at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844"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4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Weighted-Average</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4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Exercise Price</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Weighted-Average</w:t>
            </w:r>
          </w:p>
        </w:tc>
      </w:tr>
      <w:tr>
        <w:trPr>
          <w:trHeight w:val="180"/>
        </w:trPr>
        <w:tc>
          <w:tcPr>
            <w:tcW w:w="8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Range</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5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Number</w:t>
            </w:r>
          </w:p>
        </w:tc>
        <w:tc>
          <w:tcPr>
            <w:tcW w:w="16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Options</w:t>
            </w:r>
          </w:p>
        </w:tc>
        <w:tc>
          <w:tcPr>
            <w:tcW w:w="158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6"/>
              </w:rPr>
              <w:t>----------------------------</w:t>
            </w:r>
          </w:p>
        </w:tc>
        <w:tc>
          <w:tcPr>
            <w:tcW w:w="1500" w:type="dxa"/>
            <w:vAlign w:val="bottom"/>
          </w:tcPr>
          <w:p>
            <w:pPr>
              <w:spacing w:after="0"/>
              <w:rPr>
                <w:sz w:val="15"/>
                <w:szCs w:val="15"/>
                <w:color w:val="auto"/>
              </w:rPr>
            </w:pPr>
          </w:p>
        </w:tc>
        <w:tc>
          <w:tcPr>
            <w:tcW w:w="17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Remaining</w:t>
            </w:r>
          </w:p>
        </w:tc>
      </w:tr>
      <w:tr>
        <w:trPr>
          <w:trHeight w:val="180"/>
        </w:trPr>
        <w:tc>
          <w:tcPr>
            <w:tcW w:w="800" w:type="dxa"/>
            <w:vAlign w:val="bottom"/>
            <w:gridSpan w:val="2"/>
          </w:tcPr>
          <w:p>
            <w:pPr>
              <w:spacing w:after="0"/>
              <w:rPr>
                <w:sz w:val="20"/>
                <w:szCs w:val="20"/>
                <w:color w:val="auto"/>
              </w:rPr>
            </w:pPr>
            <w:r>
              <w:rPr>
                <w:rFonts w:ascii="Courier New" w:cs="Courier New" w:eastAsia="Courier New" w:hAnsi="Courier New"/>
                <w:sz w:val="16"/>
                <w:szCs w:val="16"/>
                <w:color w:val="auto"/>
              </w:rPr>
              <w:t>Exercise</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Prices</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Outstanding</w:t>
            </w:r>
          </w:p>
        </w:tc>
        <w:tc>
          <w:tcPr>
            <w:tcW w:w="16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Exercisable</w:t>
            </w:r>
          </w:p>
        </w:tc>
        <w:tc>
          <w:tcPr>
            <w:tcW w:w="15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Outstanding</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Exercisable</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Contractual Life</w:t>
            </w:r>
          </w:p>
        </w:tc>
      </w:tr>
      <w:tr>
        <w:trPr>
          <w:trHeight w:val="180"/>
        </w:trPr>
        <w:tc>
          <w:tcPr>
            <w:tcW w:w="800" w:type="dxa"/>
            <w:vAlign w:val="bottom"/>
            <w:gridSpan w:val="2"/>
          </w:tcPr>
          <w:p>
            <w:pPr>
              <w:spacing w:after="0"/>
              <w:rPr>
                <w:sz w:val="20"/>
                <w:szCs w:val="20"/>
                <w:color w:val="auto"/>
              </w:rPr>
            </w:pPr>
            <w:r>
              <w:rPr>
                <w:rFonts w:ascii="Courier New" w:cs="Courier New" w:eastAsia="Courier New" w:hAnsi="Courier New"/>
                <w:sz w:val="12"/>
                <w:szCs w:val="12"/>
                <w:color w:val="auto"/>
                <w:w w:val="72"/>
              </w:rPr>
              <w:t>---------------</w:t>
            </w:r>
          </w:p>
        </w:tc>
        <w:tc>
          <w:tcPr>
            <w:tcW w:w="740" w:type="dxa"/>
            <w:vAlign w:val="bottom"/>
          </w:tcPr>
          <w:p>
            <w:pPr>
              <w:spacing w:after="0"/>
              <w:rPr>
                <w:sz w:val="15"/>
                <w:szCs w:val="15"/>
                <w:color w:val="auto"/>
              </w:rPr>
            </w:pP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541"/>
        </w:trPr>
        <w:tc>
          <w:tcPr>
            <w:tcW w:w="560" w:type="dxa"/>
            <w:vAlign w:val="bottom"/>
          </w:tcPr>
          <w:p>
            <w:pPr>
              <w:jc w:val="right"/>
              <w:ind w:right="25"/>
              <w:spacing w:after="0"/>
              <w:rPr>
                <w:sz w:val="20"/>
                <w:szCs w:val="20"/>
                <w:color w:val="auto"/>
              </w:rPr>
            </w:pPr>
            <w:r>
              <w:rPr>
                <w:rFonts w:ascii="Courier New" w:cs="Courier New" w:eastAsia="Courier New" w:hAnsi="Courier New"/>
                <w:sz w:val="16"/>
                <w:szCs w:val="16"/>
                <w:color w:val="auto"/>
                <w:w w:val="91"/>
              </w:rPr>
              <w:t>$0.81</w:t>
            </w:r>
          </w:p>
        </w:tc>
        <w:tc>
          <w:tcPr>
            <w:tcW w:w="9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w w:val="95"/>
              </w:rPr>
              <w:t>- $1.00</w:t>
            </w:r>
          </w:p>
        </w:tc>
        <w:tc>
          <w:tcPr>
            <w:tcW w:w="15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198,500</w:t>
            </w:r>
          </w:p>
        </w:tc>
        <w:tc>
          <w:tcPr>
            <w:tcW w:w="1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198,500</w:t>
            </w:r>
          </w:p>
        </w:tc>
        <w:tc>
          <w:tcPr>
            <w:tcW w:w="640" w:type="dxa"/>
            <w:vAlign w:val="bottom"/>
          </w:tcPr>
          <w:p>
            <w:pPr>
              <w:jc w:val="right"/>
              <w:ind w:right="10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0.95</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$ 0.95</w:t>
            </w: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5.80</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years</w:t>
            </w:r>
          </w:p>
        </w:tc>
      </w:tr>
      <w:tr>
        <w:trPr>
          <w:trHeight w:val="180"/>
        </w:trPr>
        <w:tc>
          <w:tcPr>
            <w:tcW w:w="560" w:type="dxa"/>
            <w:vAlign w:val="bottom"/>
          </w:tcPr>
          <w:p>
            <w:pPr>
              <w:jc w:val="right"/>
              <w:ind w:right="25"/>
              <w:spacing w:after="0"/>
              <w:rPr>
                <w:sz w:val="20"/>
                <w:szCs w:val="20"/>
                <w:color w:val="auto"/>
              </w:rPr>
            </w:pPr>
            <w:r>
              <w:rPr>
                <w:rFonts w:ascii="Courier New" w:cs="Courier New" w:eastAsia="Courier New" w:hAnsi="Courier New"/>
                <w:sz w:val="16"/>
                <w:szCs w:val="16"/>
                <w:color w:val="auto"/>
              </w:rPr>
              <w:t>1.01</w:t>
            </w:r>
          </w:p>
        </w:tc>
        <w:tc>
          <w:tcPr>
            <w:tcW w:w="2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w:t>
            </w:r>
          </w:p>
        </w:tc>
        <w:tc>
          <w:tcPr>
            <w:tcW w:w="15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258,500</w:t>
            </w:r>
          </w:p>
        </w:tc>
        <w:tc>
          <w:tcPr>
            <w:tcW w:w="1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215,860</w:t>
            </w:r>
          </w:p>
        </w:tc>
        <w:tc>
          <w:tcPr>
            <w:tcW w:w="640" w:type="dxa"/>
            <w:vAlign w:val="bottom"/>
          </w:tcPr>
          <w:p>
            <w:pPr>
              <w:spacing w:after="0"/>
              <w:rPr>
                <w:sz w:val="15"/>
                <w:szCs w:val="15"/>
                <w:color w:val="auto"/>
              </w:rPr>
            </w:pP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1.39</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1.38</w:t>
            </w: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2.32</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years</w:t>
            </w:r>
          </w:p>
        </w:tc>
      </w:tr>
      <w:tr>
        <w:trPr>
          <w:trHeight w:val="180"/>
        </w:trPr>
        <w:tc>
          <w:tcPr>
            <w:tcW w:w="560" w:type="dxa"/>
            <w:vAlign w:val="bottom"/>
          </w:tcPr>
          <w:p>
            <w:pPr>
              <w:jc w:val="right"/>
              <w:ind w:right="25"/>
              <w:spacing w:after="0"/>
              <w:rPr>
                <w:sz w:val="20"/>
                <w:szCs w:val="20"/>
                <w:color w:val="auto"/>
              </w:rPr>
            </w:pPr>
            <w:r>
              <w:rPr>
                <w:rFonts w:ascii="Courier New" w:cs="Courier New" w:eastAsia="Courier New" w:hAnsi="Courier New"/>
                <w:sz w:val="16"/>
                <w:szCs w:val="16"/>
                <w:color w:val="auto"/>
              </w:rPr>
              <w:t>2.01</w:t>
            </w:r>
          </w:p>
        </w:tc>
        <w:tc>
          <w:tcPr>
            <w:tcW w:w="2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3.00</w:t>
            </w:r>
          </w:p>
        </w:tc>
        <w:tc>
          <w:tcPr>
            <w:tcW w:w="15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99,000</w:t>
            </w:r>
          </w:p>
        </w:tc>
        <w:tc>
          <w:tcPr>
            <w:tcW w:w="1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99,000</w:t>
            </w:r>
          </w:p>
        </w:tc>
        <w:tc>
          <w:tcPr>
            <w:tcW w:w="640" w:type="dxa"/>
            <w:vAlign w:val="bottom"/>
          </w:tcPr>
          <w:p>
            <w:pPr>
              <w:spacing w:after="0"/>
              <w:rPr>
                <w:sz w:val="15"/>
                <w:szCs w:val="15"/>
                <w:color w:val="auto"/>
              </w:rPr>
            </w:pP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1.66</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1.66</w:t>
            </w: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1.62</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years</w:t>
            </w:r>
          </w:p>
        </w:tc>
      </w:tr>
      <w:tr>
        <w:trPr>
          <w:trHeight w:val="180"/>
        </w:trPr>
        <w:tc>
          <w:tcPr>
            <w:tcW w:w="560" w:type="dxa"/>
            <w:vAlign w:val="bottom"/>
          </w:tcPr>
          <w:p>
            <w:pPr>
              <w:jc w:val="right"/>
              <w:ind w:right="25"/>
              <w:spacing w:after="0"/>
              <w:rPr>
                <w:sz w:val="20"/>
                <w:szCs w:val="20"/>
                <w:color w:val="auto"/>
              </w:rPr>
            </w:pPr>
            <w:r>
              <w:rPr>
                <w:rFonts w:ascii="Courier New" w:cs="Courier New" w:eastAsia="Courier New" w:hAnsi="Courier New"/>
                <w:sz w:val="16"/>
                <w:szCs w:val="16"/>
                <w:color w:val="auto"/>
              </w:rPr>
              <w:t>3.01</w:t>
            </w:r>
          </w:p>
        </w:tc>
        <w:tc>
          <w:tcPr>
            <w:tcW w:w="2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4.26</w:t>
            </w:r>
          </w:p>
        </w:tc>
        <w:tc>
          <w:tcPr>
            <w:tcW w:w="15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52,000</w:t>
            </w:r>
          </w:p>
        </w:tc>
        <w:tc>
          <w:tcPr>
            <w:tcW w:w="1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44,500</w:t>
            </w:r>
          </w:p>
        </w:tc>
        <w:tc>
          <w:tcPr>
            <w:tcW w:w="640" w:type="dxa"/>
            <w:vAlign w:val="bottom"/>
          </w:tcPr>
          <w:p>
            <w:pPr>
              <w:spacing w:after="0"/>
              <w:rPr>
                <w:sz w:val="15"/>
                <w:szCs w:val="15"/>
                <w:color w:val="auto"/>
              </w:rPr>
            </w:pP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3"/>
              </w:rPr>
              <w:t>3.60</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3.64</w:t>
            </w: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1.13</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years</w:t>
            </w:r>
          </w:p>
        </w:tc>
      </w:tr>
      <w:tr>
        <w:trPr>
          <w:trHeight w:val="180"/>
        </w:trPr>
        <w:tc>
          <w:tcPr>
            <w:tcW w:w="800" w:type="dxa"/>
            <w:vAlign w:val="bottom"/>
            <w:gridSpan w:val="2"/>
          </w:tcPr>
          <w:p>
            <w:pPr>
              <w:spacing w:after="0"/>
              <w:rPr>
                <w:sz w:val="20"/>
                <w:szCs w:val="20"/>
                <w:color w:val="auto"/>
              </w:rPr>
            </w:pPr>
            <w:r>
              <w:rPr>
                <w:rFonts w:ascii="Courier New" w:cs="Courier New" w:eastAsia="Courier New" w:hAnsi="Courier New"/>
                <w:sz w:val="13"/>
                <w:szCs w:val="13"/>
                <w:color w:val="auto"/>
                <w:w w:val="76"/>
              </w:rPr>
              <w:t>-------------</w:t>
            </w:r>
          </w:p>
        </w:tc>
        <w:tc>
          <w:tcPr>
            <w:tcW w:w="740" w:type="dxa"/>
            <w:vAlign w:val="bottom"/>
          </w:tcPr>
          <w:p>
            <w:pPr>
              <w:spacing w:after="0"/>
              <w:rPr>
                <w:sz w:val="15"/>
                <w:szCs w:val="15"/>
                <w:color w:val="auto"/>
              </w:rPr>
            </w:pPr>
          </w:p>
        </w:tc>
        <w:tc>
          <w:tcPr>
            <w:tcW w:w="15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60" w:type="dxa"/>
            <w:vAlign w:val="bottom"/>
          </w:tcPr>
          <w:p>
            <w:pPr>
              <w:jc w:val="right"/>
              <w:ind w:right="25"/>
              <w:spacing w:after="0"/>
              <w:rPr>
                <w:sz w:val="20"/>
                <w:szCs w:val="20"/>
                <w:color w:val="auto"/>
              </w:rPr>
            </w:pPr>
            <w:r>
              <w:rPr>
                <w:rFonts w:ascii="Courier New" w:cs="Courier New" w:eastAsia="Courier New" w:hAnsi="Courier New"/>
                <w:sz w:val="16"/>
                <w:szCs w:val="16"/>
                <w:color w:val="auto"/>
                <w:w w:val="91"/>
              </w:rPr>
              <w:t>$0.81</w:t>
            </w:r>
          </w:p>
        </w:tc>
        <w:tc>
          <w:tcPr>
            <w:tcW w:w="9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w w:val="95"/>
              </w:rPr>
              <w:t>- $4.26</w:t>
            </w:r>
          </w:p>
        </w:tc>
        <w:tc>
          <w:tcPr>
            <w:tcW w:w="15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608,000</w:t>
            </w:r>
          </w:p>
        </w:tc>
        <w:tc>
          <w:tcPr>
            <w:tcW w:w="1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557,860</w:t>
            </w: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3.24</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years</w:t>
            </w:r>
          </w:p>
        </w:tc>
      </w:tr>
      <w:tr>
        <w:trPr>
          <w:trHeight w:val="180"/>
        </w:trPr>
        <w:tc>
          <w:tcPr>
            <w:tcW w:w="154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w w:val="96"/>
              </w:rPr>
              <w:t>=============</w:t>
            </w:r>
          </w:p>
        </w:tc>
        <w:tc>
          <w:tcPr>
            <w:tcW w:w="15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5" w:lineRule="exact"/>
        <w:rPr>
          <w:sz w:val="20"/>
          <w:szCs w:val="20"/>
          <w:color w:val="auto"/>
        </w:rPr>
      </w:pPr>
    </w:p>
    <w:p>
      <w:pPr>
        <w:ind w:left="744" w:right="3280"/>
        <w:spacing w:after="0" w:line="237" w:lineRule="auto"/>
        <w:rPr>
          <w:sz w:val="20"/>
          <w:szCs w:val="20"/>
          <w:color w:val="auto"/>
        </w:rPr>
      </w:pPr>
      <w:r>
        <w:rPr>
          <w:rFonts w:ascii="Courier New" w:cs="Courier New" w:eastAsia="Courier New" w:hAnsi="Courier New"/>
          <w:sz w:val="16"/>
          <w:szCs w:val="16"/>
          <w:color w:val="auto"/>
        </w:rPr>
        <w:t>The Company has chosen to account for stock-based compensation in accordance with Accounting Principles Board Opinion No. 25. If compensation cost would have been recognized in accordance with SFAS No. 123, net income and earnings per share would have been reduced as follows:</w:t>
      </w:r>
    </w:p>
    <w:p>
      <w:pPr>
        <w:spacing w:after="0" w:line="200" w:lineRule="exact"/>
        <w:rPr>
          <w:sz w:val="20"/>
          <w:szCs w:val="20"/>
          <w:color w:val="auto"/>
        </w:rPr>
      </w:pPr>
    </w:p>
    <w:p>
      <w:pPr>
        <w:spacing w:after="0" w:line="34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784"/>
          </w:cols>
          <w:pgMar w:left="236" w:top="834" w:right="879" w:bottom="828" w:gutter="0" w:footer="0" w:header="0"/>
        </w:sectPr>
      </w:pPr>
    </w:p>
    <w:bookmarkStart w:id="14" w:name="page15"/>
    <w:bookmarkEnd w:id="14"/>
    <w:tbl>
      <w:tblPr>
        <w:tblLayout w:type="fixed"/>
        <w:tblInd w:w="744"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2001</w:t>
            </w:r>
          </w:p>
        </w:tc>
        <w:tc>
          <w:tcPr>
            <w:tcW w:w="36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3660" w:type="dxa"/>
            <w:vAlign w:val="bottom"/>
          </w:tcPr>
          <w:p>
            <w:pPr>
              <w:ind w:left="200"/>
              <w:spacing w:after="0"/>
              <w:rPr>
                <w:sz w:val="20"/>
                <w:szCs w:val="20"/>
                <w:color w:val="auto"/>
              </w:rPr>
            </w:pPr>
            <w:r>
              <w:rPr>
                <w:rFonts w:ascii="Courier New" w:cs="Courier New" w:eastAsia="Courier New" w:hAnsi="Courier New"/>
                <w:sz w:val="16"/>
                <w:szCs w:val="16"/>
                <w:color w:val="auto"/>
              </w:rPr>
              <w:t>As reported</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486,744</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1,034,259</w:t>
            </w:r>
          </w:p>
        </w:tc>
      </w:tr>
      <w:tr>
        <w:trPr>
          <w:trHeight w:val="180"/>
        </w:trPr>
        <w:tc>
          <w:tcPr>
            <w:tcW w:w="3660" w:type="dxa"/>
            <w:vAlign w:val="bottom"/>
          </w:tcPr>
          <w:p>
            <w:pPr>
              <w:spacing w:after="0"/>
              <w:rPr>
                <w:sz w:val="15"/>
                <w:szCs w:val="15"/>
                <w:color w:val="auto"/>
              </w:rPr>
            </w:pP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200"/>
              <w:spacing w:after="0"/>
              <w:rPr>
                <w:sz w:val="20"/>
                <w:szCs w:val="20"/>
                <w:color w:val="auto"/>
              </w:rPr>
            </w:pPr>
            <w:r>
              <w:rPr>
                <w:rFonts w:ascii="Courier New" w:cs="Courier New" w:eastAsia="Courier New" w:hAnsi="Courier New"/>
                <w:sz w:val="16"/>
                <w:szCs w:val="16"/>
                <w:color w:val="auto"/>
              </w:rPr>
              <w:t>Pro forma</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348,399</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721,259</w:t>
            </w:r>
          </w:p>
        </w:tc>
      </w:tr>
      <w:tr>
        <w:trPr>
          <w:trHeight w:val="180"/>
        </w:trPr>
        <w:tc>
          <w:tcPr>
            <w:tcW w:w="3660" w:type="dxa"/>
            <w:vAlign w:val="bottom"/>
          </w:tcPr>
          <w:p>
            <w:pPr>
              <w:spacing w:after="0"/>
              <w:rPr>
                <w:sz w:val="15"/>
                <w:szCs w:val="15"/>
                <w:color w:val="auto"/>
              </w:rPr>
            </w:pP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660" w:type="dxa"/>
            <w:vAlign w:val="bottom"/>
          </w:tcPr>
          <w:p>
            <w:pPr>
              <w:ind w:left="200"/>
              <w:spacing w:after="0"/>
              <w:rPr>
                <w:sz w:val="20"/>
                <w:szCs w:val="20"/>
                <w:color w:val="auto"/>
              </w:rPr>
            </w:pPr>
            <w:r>
              <w:rPr>
                <w:rFonts w:ascii="Courier New" w:cs="Courier New" w:eastAsia="Courier New" w:hAnsi="Courier New"/>
                <w:sz w:val="16"/>
                <w:szCs w:val="16"/>
                <w:color w:val="auto"/>
              </w:rPr>
              <w:t>As reported</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.08</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3660" w:type="dxa"/>
            <w:vAlign w:val="bottom"/>
          </w:tcPr>
          <w:p>
            <w:pPr>
              <w:spacing w:after="0"/>
              <w:rPr>
                <w:sz w:val="15"/>
                <w:szCs w:val="15"/>
                <w:color w:val="auto"/>
              </w:rPr>
            </w:pP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200"/>
              <w:spacing w:after="0"/>
              <w:rPr>
                <w:sz w:val="20"/>
                <w:szCs w:val="20"/>
                <w:color w:val="auto"/>
              </w:rPr>
            </w:pPr>
            <w:r>
              <w:rPr>
                <w:rFonts w:ascii="Courier New" w:cs="Courier New" w:eastAsia="Courier New" w:hAnsi="Courier New"/>
                <w:sz w:val="16"/>
                <w:szCs w:val="16"/>
                <w:color w:val="auto"/>
              </w:rPr>
              <w:t>Pro forma</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.06</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0"/>
        </w:trPr>
        <w:tc>
          <w:tcPr>
            <w:tcW w:w="3660" w:type="dxa"/>
            <w:vAlign w:val="bottom"/>
          </w:tcPr>
          <w:p>
            <w:pPr>
              <w:spacing w:after="0"/>
              <w:rPr>
                <w:sz w:val="15"/>
                <w:szCs w:val="15"/>
                <w:color w:val="auto"/>
              </w:rPr>
            </w:pP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660" w:type="dxa"/>
            <w:vAlign w:val="bottom"/>
          </w:tcPr>
          <w:p>
            <w:pPr>
              <w:ind w:left="200"/>
              <w:spacing w:after="0"/>
              <w:rPr>
                <w:sz w:val="20"/>
                <w:szCs w:val="20"/>
                <w:color w:val="auto"/>
              </w:rPr>
            </w:pPr>
            <w:r>
              <w:rPr>
                <w:rFonts w:ascii="Courier New" w:cs="Courier New" w:eastAsia="Courier New" w:hAnsi="Courier New"/>
                <w:sz w:val="16"/>
                <w:szCs w:val="16"/>
                <w:color w:val="auto"/>
              </w:rPr>
              <w:t>As reported</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.08</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3660" w:type="dxa"/>
            <w:vAlign w:val="bottom"/>
          </w:tcPr>
          <w:p>
            <w:pPr>
              <w:spacing w:after="0"/>
              <w:rPr>
                <w:sz w:val="15"/>
                <w:szCs w:val="15"/>
                <w:color w:val="auto"/>
              </w:rPr>
            </w:pP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200"/>
              <w:spacing w:after="0"/>
              <w:rPr>
                <w:sz w:val="20"/>
                <w:szCs w:val="20"/>
                <w:color w:val="auto"/>
              </w:rPr>
            </w:pPr>
            <w:r>
              <w:rPr>
                <w:rFonts w:ascii="Courier New" w:cs="Courier New" w:eastAsia="Courier New" w:hAnsi="Courier New"/>
                <w:sz w:val="16"/>
                <w:szCs w:val="16"/>
                <w:color w:val="auto"/>
              </w:rPr>
              <w:t>Pro forma</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.06</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3660" w:type="dxa"/>
            <w:vAlign w:val="bottom"/>
          </w:tcPr>
          <w:p>
            <w:pPr>
              <w:spacing w:after="0"/>
              <w:rPr>
                <w:sz w:val="15"/>
                <w:szCs w:val="15"/>
                <w:color w:val="auto"/>
              </w:rPr>
            </w:pP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744" w:right="2719"/>
        <w:spacing w:after="0" w:line="238" w:lineRule="auto"/>
        <w:rPr>
          <w:sz w:val="20"/>
          <w:szCs w:val="20"/>
          <w:color w:val="auto"/>
        </w:rPr>
      </w:pPr>
      <w:r>
        <w:rPr>
          <w:rFonts w:ascii="Courier New" w:cs="Courier New" w:eastAsia="Courier New" w:hAnsi="Courier New"/>
          <w:sz w:val="16"/>
          <w:szCs w:val="16"/>
          <w:color w:val="auto"/>
        </w:rPr>
        <w:t>The weighted average fair value as defined by SFAS No. 123 of options granted in 2001 and 2000 was estimated to be $1.22 and $2.41, respectively, on the date of grant using the Black-Scholes option-pricing model with the following weighted-average assumptions used for grants in 2001 and 2000, respectively: dividend yield of 0% for all years; expected volatility of 114% and 118%; risk-free interest rates of 4.6% and 6.3%, and expected lives from three to 10 years.</w:t>
      </w:r>
    </w:p>
    <w:p>
      <w:pPr>
        <w:spacing w:after="0" w:line="180" w:lineRule="exact"/>
        <w:rPr>
          <w:sz w:val="20"/>
          <w:szCs w:val="20"/>
          <w:color w:val="auto"/>
        </w:rPr>
      </w:pPr>
    </w:p>
    <w:p>
      <w:pPr>
        <w:ind w:left="744" w:hanging="744"/>
        <w:spacing w:after="0"/>
        <w:tabs>
          <w:tab w:leader="none" w:pos="74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79" w:lineRule="exact"/>
        <w:rPr>
          <w:rFonts w:ascii="Courier New" w:cs="Courier New" w:eastAsia="Courier New" w:hAnsi="Courier New"/>
          <w:sz w:val="16"/>
          <w:szCs w:val="16"/>
          <w:color w:val="auto"/>
        </w:rPr>
      </w:pP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expense (benefit) consists of the following components:</w:t>
      </w:r>
    </w:p>
    <w:p>
      <w:pPr>
        <w:spacing w:after="0" w:line="179"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2001</w:t>
            </w:r>
          </w:p>
        </w:tc>
        <w:tc>
          <w:tcPr>
            <w:tcW w:w="32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25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431,000</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106,000</w:t>
            </w:r>
          </w:p>
        </w:tc>
      </w:tr>
      <w:tr>
        <w:trPr>
          <w:trHeight w:val="180"/>
        </w:trPr>
        <w:tc>
          <w:tcPr>
            <w:tcW w:w="250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9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(118,000)</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(162,000)</w:t>
            </w:r>
          </w:p>
        </w:tc>
      </w:tr>
      <w:tr>
        <w:trPr>
          <w:trHeight w:val="180"/>
        </w:trPr>
        <w:tc>
          <w:tcPr>
            <w:tcW w:w="2500" w:type="dxa"/>
            <w:vAlign w:val="bottom"/>
          </w:tcPr>
          <w:p>
            <w:pPr>
              <w:spacing w:after="0"/>
              <w:rPr>
                <w:sz w:val="15"/>
                <w:szCs w:val="15"/>
                <w:color w:val="auto"/>
              </w:rPr>
            </w:pPr>
          </w:p>
        </w:tc>
        <w:tc>
          <w:tcPr>
            <w:tcW w:w="30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500" w:type="dxa"/>
            <w:vAlign w:val="bottom"/>
          </w:tcPr>
          <w:p>
            <w:pPr>
              <w:spacing w:after="0"/>
              <w:rPr>
                <w:sz w:val="15"/>
                <w:szCs w:val="15"/>
                <w:color w:val="auto"/>
              </w:rPr>
            </w:pPr>
          </w:p>
        </w:tc>
        <w:tc>
          <w:tcPr>
            <w:tcW w:w="1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313,000</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(56,000)</w:t>
            </w:r>
          </w:p>
        </w:tc>
      </w:tr>
      <w:tr>
        <w:trPr>
          <w:trHeight w:val="361"/>
        </w:trPr>
        <w:tc>
          <w:tcPr>
            <w:tcW w:w="2500" w:type="dxa"/>
            <w:vAlign w:val="bottom"/>
          </w:tcPr>
          <w:p>
            <w:pPr>
              <w:spacing w:after="0"/>
              <w:rPr>
                <w:sz w:val="24"/>
                <w:szCs w:val="24"/>
                <w:color w:val="auto"/>
              </w:rPr>
            </w:pPr>
          </w:p>
        </w:tc>
        <w:tc>
          <w:tcPr>
            <w:tcW w:w="30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744" w:right="2719"/>
        <w:spacing w:after="0" w:line="237" w:lineRule="auto"/>
        <w:rPr>
          <w:sz w:val="20"/>
          <w:szCs w:val="20"/>
          <w:color w:val="auto"/>
        </w:rPr>
      </w:pPr>
      <w:r>
        <w:rPr>
          <w:rFonts w:ascii="Courier New" w:cs="Courier New" w:eastAsia="Courier New" w:hAnsi="Courier New"/>
          <w:sz w:val="16"/>
          <w:szCs w:val="16"/>
          <w:color w:val="auto"/>
        </w:rPr>
        <w:t>The reconciliation of income taxes computed at the U.S. federal statutory rate to income tax expense (benefit) recorded in the financial statements is as follows:</w:t>
      </w:r>
    </w:p>
    <w:p>
      <w:pPr>
        <w:spacing w:after="0" w:line="180"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2001</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3900" w:type="dxa"/>
            <w:vAlign w:val="bottom"/>
          </w:tcPr>
          <w:p>
            <w:pPr>
              <w:spacing w:after="0"/>
              <w:rPr>
                <w:sz w:val="20"/>
                <w:szCs w:val="20"/>
                <w:color w:val="auto"/>
              </w:rPr>
            </w:pPr>
            <w:r>
              <w:rPr>
                <w:rFonts w:ascii="Courier New" w:cs="Courier New" w:eastAsia="Courier New" w:hAnsi="Courier New"/>
                <w:sz w:val="16"/>
                <w:szCs w:val="16"/>
                <w:color w:val="auto"/>
              </w:rPr>
              <w:t>Federal statutory income tax rate</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35.0%</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Rate differential</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Tax credits</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(6.3)</w:t>
            </w:r>
          </w:p>
        </w:tc>
        <w:tc>
          <w:tcPr>
            <w:tcW w:w="1220" w:type="dxa"/>
            <w:vAlign w:val="bottom"/>
          </w:tcPr>
          <w:p>
            <w:pPr>
              <w:spacing w:after="0"/>
              <w:rPr>
                <w:sz w:val="15"/>
                <w:szCs w:val="15"/>
                <w:color w:val="auto"/>
              </w:rPr>
            </w:pP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State tax rate, net of federal benefit</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6.0</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Permanent differences</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5.4</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Valuation allowance</w:t>
            </w:r>
          </w:p>
        </w:tc>
        <w:tc>
          <w:tcPr>
            <w:tcW w:w="146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(52.4)</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Other items, net</w:t>
            </w:r>
          </w:p>
        </w:tc>
        <w:tc>
          <w:tcPr>
            <w:tcW w:w="146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w:t>
            </w:r>
          </w:p>
        </w:tc>
      </w:tr>
      <w:tr>
        <w:trPr>
          <w:trHeight w:val="180"/>
        </w:trPr>
        <w:tc>
          <w:tcPr>
            <w:tcW w:w="3900" w:type="dxa"/>
            <w:vAlign w:val="bottom"/>
          </w:tcPr>
          <w:p>
            <w:pPr>
              <w:spacing w:after="0"/>
              <w:rPr>
                <w:sz w:val="15"/>
                <w:szCs w:val="15"/>
                <w:color w:val="auto"/>
              </w:rPr>
            </w:pP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80"/>
        </w:trPr>
        <w:tc>
          <w:tcPr>
            <w:tcW w:w="3900" w:type="dxa"/>
            <w:vAlign w:val="bottom"/>
          </w:tcPr>
          <w:p>
            <w:pPr>
              <w:spacing w:after="0"/>
              <w:rPr>
                <w:sz w:val="20"/>
                <w:szCs w:val="20"/>
                <w:color w:val="auto"/>
              </w:rPr>
            </w:pPr>
            <w:r>
              <w:rPr>
                <w:rFonts w:ascii="Courier New" w:cs="Courier New" w:eastAsia="Courier New" w:hAnsi="Courier New"/>
                <w:sz w:val="16"/>
                <w:szCs w:val="16"/>
                <w:color w:val="auto"/>
              </w:rPr>
              <w:t>Effective tax rate</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39.1%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0"/>
        </w:trPr>
        <w:tc>
          <w:tcPr>
            <w:tcW w:w="3900" w:type="dxa"/>
            <w:vAlign w:val="bottom"/>
          </w:tcPr>
          <w:p>
            <w:pPr>
              <w:spacing w:after="0"/>
              <w:rPr>
                <w:sz w:val="15"/>
                <w:szCs w:val="15"/>
                <w:color w:val="auto"/>
              </w:rPr>
            </w:pP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902"/>
        </w:trPr>
        <w:tc>
          <w:tcPr>
            <w:tcW w:w="3900" w:type="dxa"/>
            <w:vAlign w:val="bottom"/>
          </w:tcPr>
          <w:p>
            <w:pPr>
              <w:ind w:left="2920"/>
              <w:spacing w:after="0"/>
              <w:rPr>
                <w:sz w:val="20"/>
                <w:szCs w:val="20"/>
                <w:color w:val="auto"/>
              </w:rPr>
            </w:pPr>
            <w:r>
              <w:rPr>
                <w:rFonts w:ascii="Courier New" w:cs="Courier New" w:eastAsia="Courier New" w:hAnsi="Courier New"/>
                <w:sz w:val="16"/>
                <w:szCs w:val="16"/>
                <w:color w:val="auto"/>
              </w:rPr>
              <w:t>14</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23"/>
          </w:cols>
          <w:pgMar w:left="236" w:top="654" w:right="1440" w:bottom="1440" w:gutter="0" w:footer="0" w:header="0"/>
        </w:sectPr>
      </w:pPr>
    </w:p>
    <w:bookmarkStart w:id="15" w:name="page16"/>
    <w:bookmarkEnd w:id="15"/>
    <w:p>
      <w:pPr>
        <w:ind w:left="744" w:right="3379"/>
        <w:spacing w:after="0" w:line="236" w:lineRule="auto"/>
        <w:rPr>
          <w:sz w:val="20"/>
          <w:szCs w:val="20"/>
          <w:color w:val="auto"/>
        </w:rPr>
      </w:pPr>
      <w:r>
        <w:rPr>
          <w:rFonts w:ascii="Courier New" w:cs="Courier New" w:eastAsia="Courier New" w:hAnsi="Courier New"/>
          <w:sz w:val="16"/>
          <w:szCs w:val="16"/>
          <w:color w:val="auto"/>
        </w:rPr>
        <w:t>The total deferred tax assets and liabilities included in the net deferred tax asset are as follows:</w:t>
      </w:r>
    </w:p>
    <w:p>
      <w:pPr>
        <w:spacing w:after="0" w:line="180"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2001</w:t>
            </w:r>
          </w:p>
        </w:tc>
        <w:tc>
          <w:tcPr>
            <w:tcW w:w="420" w:type="dxa"/>
            <w:vAlign w:val="bottom"/>
          </w:tcPr>
          <w:p>
            <w:pPr>
              <w:spacing w:after="0"/>
              <w:rPr>
                <w:sz w:val="15"/>
                <w:szCs w:val="15"/>
                <w:color w:val="auto"/>
              </w:rPr>
            </w:pPr>
          </w:p>
        </w:tc>
        <w:tc>
          <w:tcPr>
            <w:tcW w:w="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361"/>
        </w:trPr>
        <w:tc>
          <w:tcPr>
            <w:tcW w:w="352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Unearned maintenance contracts</w:t>
            </w: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240,000</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207,000</w:t>
            </w:r>
          </w:p>
        </w:tc>
      </w:tr>
      <w:tr>
        <w:trPr>
          <w:trHeight w:val="180"/>
        </w:trPr>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Inventory valuations</w:t>
            </w:r>
          </w:p>
        </w:tc>
        <w:tc>
          <w:tcPr>
            <w:tcW w:w="76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78,000</w:t>
            </w:r>
          </w:p>
        </w:tc>
        <w:tc>
          <w:tcPr>
            <w:tcW w:w="4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116,000</w:t>
            </w:r>
          </w:p>
        </w:tc>
      </w:tr>
      <w:tr>
        <w:trPr>
          <w:trHeight w:val="180"/>
        </w:trPr>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Bad debt reserves</w:t>
            </w:r>
          </w:p>
        </w:tc>
        <w:tc>
          <w:tcPr>
            <w:tcW w:w="76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60,000</w:t>
            </w:r>
          </w:p>
        </w:tc>
        <w:tc>
          <w:tcPr>
            <w:tcW w:w="4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60,000</w:t>
            </w:r>
          </w:p>
        </w:tc>
      </w:tr>
      <w:tr>
        <w:trPr>
          <w:trHeight w:val="180"/>
        </w:trPr>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Vacation accruals</w:t>
            </w:r>
          </w:p>
        </w:tc>
        <w:tc>
          <w:tcPr>
            <w:tcW w:w="76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36,000</w:t>
            </w:r>
          </w:p>
        </w:tc>
        <w:tc>
          <w:tcPr>
            <w:tcW w:w="4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35,000</w:t>
            </w:r>
          </w:p>
        </w:tc>
      </w:tr>
      <w:tr>
        <w:trPr>
          <w:trHeight w:val="180"/>
        </w:trPr>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76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11,000</w:t>
            </w:r>
          </w:p>
        </w:tc>
        <w:tc>
          <w:tcPr>
            <w:tcW w:w="4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42,000</w:t>
            </w:r>
          </w:p>
        </w:tc>
      </w:tr>
      <w:tr>
        <w:trPr>
          <w:trHeight w:val="180"/>
        </w:trPr>
        <w:tc>
          <w:tcPr>
            <w:tcW w:w="3520" w:type="dxa"/>
            <w:vAlign w:val="bottom"/>
          </w:tcPr>
          <w:p>
            <w:pPr>
              <w:spacing w:after="0"/>
              <w:rPr>
                <w:sz w:val="15"/>
                <w:szCs w:val="15"/>
                <w:color w:val="auto"/>
              </w:rPr>
            </w:pPr>
          </w:p>
        </w:tc>
        <w:tc>
          <w:tcPr>
            <w:tcW w:w="17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425,000</w:t>
            </w:r>
          </w:p>
        </w:tc>
        <w:tc>
          <w:tcPr>
            <w:tcW w:w="42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460,000</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Noncurrent:</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76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33,000</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(78,000)</w:t>
            </w:r>
          </w:p>
        </w:tc>
      </w:tr>
      <w:tr>
        <w:trPr>
          <w:trHeight w:val="180"/>
        </w:trPr>
        <w:tc>
          <w:tcPr>
            <w:tcW w:w="3520" w:type="dxa"/>
            <w:vAlign w:val="bottom"/>
          </w:tcPr>
          <w:p>
            <w:pPr>
              <w:ind w:left="200"/>
              <w:spacing w:after="0"/>
              <w:rPr>
                <w:sz w:val="20"/>
                <w:szCs w:val="20"/>
                <w:color w:val="auto"/>
              </w:rPr>
            </w:pPr>
            <w:r>
              <w:rPr>
                <w:rFonts w:ascii="Courier New" w:cs="Courier New" w:eastAsia="Courier New" w:hAnsi="Courier New"/>
                <w:sz w:val="16"/>
                <w:szCs w:val="16"/>
                <w:color w:val="auto"/>
              </w:rPr>
              <w:t>R&amp;D credit carryforward</w:t>
            </w:r>
          </w:p>
        </w:tc>
        <w:tc>
          <w:tcPr>
            <w:tcW w:w="76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42,000</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520" w:type="dxa"/>
            <w:vAlign w:val="bottom"/>
          </w:tcPr>
          <w:p>
            <w:pPr>
              <w:spacing w:after="0"/>
              <w:rPr>
                <w:sz w:val="15"/>
                <w:szCs w:val="15"/>
                <w:color w:val="auto"/>
              </w:rPr>
            </w:pPr>
          </w:p>
        </w:tc>
        <w:tc>
          <w:tcPr>
            <w:tcW w:w="17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75,000</w:t>
            </w: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(78,000)</w:t>
            </w:r>
          </w:p>
        </w:tc>
      </w:tr>
      <w:tr>
        <w:trPr>
          <w:trHeight w:val="180"/>
        </w:trPr>
        <w:tc>
          <w:tcPr>
            <w:tcW w:w="3520" w:type="dxa"/>
            <w:vAlign w:val="bottom"/>
          </w:tcPr>
          <w:p>
            <w:pPr>
              <w:spacing w:after="0"/>
              <w:rPr>
                <w:sz w:val="15"/>
                <w:szCs w:val="15"/>
                <w:color w:val="auto"/>
              </w:rPr>
            </w:pPr>
          </w:p>
        </w:tc>
        <w:tc>
          <w:tcPr>
            <w:tcW w:w="17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520" w:type="dxa"/>
            <w:vAlign w:val="bottom"/>
          </w:tcPr>
          <w:p>
            <w:pPr>
              <w:spacing w:after="0"/>
              <w:rPr>
                <w:sz w:val="20"/>
                <w:szCs w:val="20"/>
                <w:color w:val="auto"/>
              </w:rPr>
            </w:pPr>
            <w:r>
              <w:rPr>
                <w:rFonts w:ascii="Courier New" w:cs="Courier New" w:eastAsia="Courier New" w:hAnsi="Courier New"/>
                <w:sz w:val="16"/>
                <w:szCs w:val="16"/>
                <w:color w:val="auto"/>
              </w:rPr>
              <w:t>Net deferred tax asset</w:t>
            </w: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500,000</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382,000</w:t>
            </w:r>
          </w:p>
        </w:tc>
      </w:tr>
      <w:tr>
        <w:trPr>
          <w:trHeight w:val="180"/>
        </w:trPr>
        <w:tc>
          <w:tcPr>
            <w:tcW w:w="3520" w:type="dxa"/>
            <w:vAlign w:val="bottom"/>
          </w:tcPr>
          <w:p>
            <w:pPr>
              <w:spacing w:after="0"/>
              <w:rPr>
                <w:sz w:val="15"/>
                <w:szCs w:val="15"/>
                <w:color w:val="auto"/>
              </w:rPr>
            </w:pPr>
          </w:p>
        </w:tc>
        <w:tc>
          <w:tcPr>
            <w:tcW w:w="17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The net decrease in the valuation allowance was $512,000 in 2000.</w:t>
      </w:r>
    </w:p>
    <w:p>
      <w:pPr>
        <w:spacing w:after="0" w:line="179" w:lineRule="exact"/>
        <w:rPr>
          <w:sz w:val="20"/>
          <w:szCs w:val="20"/>
          <w:color w:val="auto"/>
        </w:rPr>
      </w:pPr>
    </w:p>
    <w:p>
      <w:pPr>
        <w:ind w:left="744" w:hanging="744"/>
        <w:spacing w:after="0"/>
        <w:tabs>
          <w:tab w:leader="none" w:pos="7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364" w:lineRule="exact"/>
        <w:rPr>
          <w:rFonts w:ascii="Courier New" w:cs="Courier New" w:eastAsia="Courier New" w:hAnsi="Courier New"/>
          <w:sz w:val="16"/>
          <w:szCs w:val="16"/>
          <w:color w:val="auto"/>
        </w:rPr>
      </w:pPr>
    </w:p>
    <w:p>
      <w:pPr>
        <w:ind w:left="74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2000, the Company executed a three-year employment agreement with an officer totaling approximately $144,000 and $120,000 in 2001 and 2000, respectively.</w:t>
      </w:r>
    </w:p>
    <w:p>
      <w:pPr>
        <w:spacing w:after="0" w:line="184" w:lineRule="exact"/>
        <w:rPr>
          <w:rFonts w:ascii="Courier New" w:cs="Courier New" w:eastAsia="Courier New" w:hAnsi="Courier New"/>
          <w:sz w:val="16"/>
          <w:szCs w:val="16"/>
          <w:color w:val="auto"/>
        </w:rPr>
      </w:pPr>
    </w:p>
    <w:p>
      <w:pPr>
        <w:ind w:left="744"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1999, the Company executed a three-year employment agreement with an officer totaling approximately $135,000 in 2001 and 2000.</w:t>
      </w:r>
    </w:p>
    <w:p>
      <w:pPr>
        <w:spacing w:after="0" w:line="184" w:lineRule="exact"/>
        <w:rPr>
          <w:rFonts w:ascii="Courier New" w:cs="Courier New" w:eastAsia="Courier New" w:hAnsi="Courier New"/>
          <w:sz w:val="16"/>
          <w:szCs w:val="16"/>
          <w:color w:val="auto"/>
        </w:rPr>
      </w:pPr>
    </w:p>
    <w:p>
      <w:pPr>
        <w:ind w:left="744" w:right="27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2001 and 2000, the Company had purchase commitments with suppliers of approximately $523,000 and $426,000, respectively.</w:t>
      </w:r>
    </w:p>
    <w:p>
      <w:pPr>
        <w:spacing w:after="0" w:line="179" w:lineRule="exact"/>
        <w:rPr>
          <w:rFonts w:ascii="Courier New" w:cs="Courier New" w:eastAsia="Courier New" w:hAnsi="Courier New"/>
          <w:sz w:val="16"/>
          <w:szCs w:val="16"/>
          <w:color w:val="auto"/>
        </w:rPr>
      </w:pPr>
    </w:p>
    <w:p>
      <w:pPr>
        <w:ind w:left="744" w:hanging="744"/>
        <w:spacing w:after="0"/>
        <w:tabs>
          <w:tab w:leader="none" w:pos="7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w:t>
      </w:r>
    </w:p>
    <w:p>
      <w:pPr>
        <w:spacing w:after="0" w:line="184" w:lineRule="exact"/>
        <w:rPr>
          <w:rFonts w:ascii="Courier New" w:cs="Courier New" w:eastAsia="Courier New" w:hAnsi="Courier New"/>
          <w:sz w:val="16"/>
          <w:szCs w:val="16"/>
          <w:color w:val="auto"/>
        </w:rPr>
      </w:pPr>
    </w:p>
    <w:p>
      <w:pPr>
        <w:ind w:left="744" w:right="271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October 1, 1998, the Company adopted the E.mergent, Inc. Employee Stock Purchase Plan (the Plan). All full-time employees are eligible to participate in the Plan, effective upon their date of hire. The Plan allows eligible employees to purchase shares of common stock through the open market on a quarterly basis at the lesser of 85% of the fair market value on the beginning or ending dates of the period, with the remaining 15% paid for by the Company. A total of 34,526 and 33,233 shares was purchased by the Plan during 2001 and 2000, respectively.</w:t>
      </w:r>
    </w:p>
    <w:p>
      <w:pPr>
        <w:spacing w:after="0" w:line="173" w:lineRule="exact"/>
        <w:rPr>
          <w:rFonts w:ascii="Courier New" w:cs="Courier New" w:eastAsia="Courier New" w:hAnsi="Courier New"/>
          <w:sz w:val="16"/>
          <w:szCs w:val="16"/>
          <w:color w:val="auto"/>
        </w:rPr>
      </w:pPr>
    </w:p>
    <w:p>
      <w:pPr>
        <w:ind w:left="74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sponsors a discretionary 401(k) profit sharing plan and trust, covering employees who are over 18 years of age and have completed 30 days of service. The Company contributed $0 and $19,156 to the plan in 2001 and 2000, respectively.</w:t>
      </w:r>
    </w:p>
    <w:p>
      <w:pPr>
        <w:spacing w:after="0" w:line="180" w:lineRule="exact"/>
        <w:rPr>
          <w:rFonts w:ascii="Courier New" w:cs="Courier New" w:eastAsia="Courier New" w:hAnsi="Courier New"/>
          <w:sz w:val="16"/>
          <w:szCs w:val="16"/>
          <w:color w:val="auto"/>
        </w:rPr>
      </w:pPr>
    </w:p>
    <w:p>
      <w:pPr>
        <w:ind w:left="744" w:hanging="744"/>
        <w:spacing w:after="0"/>
        <w:tabs>
          <w:tab w:leader="none" w:pos="7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CONCERNING INDUSTRY SEGMENTS AND MAJOR CUSTOMERS</w:t>
      </w:r>
    </w:p>
    <w:p>
      <w:pPr>
        <w:spacing w:after="0" w:line="184" w:lineRule="exact"/>
        <w:rPr>
          <w:rFonts w:ascii="Courier New" w:cs="Courier New" w:eastAsia="Courier New" w:hAnsi="Courier New"/>
          <w:sz w:val="16"/>
          <w:szCs w:val="16"/>
          <w:color w:val="auto"/>
        </w:rPr>
      </w:pPr>
    </w:p>
    <w:p>
      <w:pPr>
        <w:ind w:left="744"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classifies its businesses into two segments: Products Division (VideoLabs), which designs, manufactures, and markets collaboration-based peripherals; and Services Division (Acoustic Communication Systems) which specializes in the design, installation, support, and service of multimedia systems.</w:t>
      </w:r>
    </w:p>
    <w:p>
      <w:pPr>
        <w:spacing w:after="0" w:line="187" w:lineRule="exact"/>
        <w:rPr>
          <w:rFonts w:ascii="Courier New" w:cs="Courier New" w:eastAsia="Courier New" w:hAnsi="Courier New"/>
          <w:sz w:val="16"/>
          <w:szCs w:val="16"/>
          <w:color w:val="auto"/>
        </w:rPr>
      </w:pPr>
    </w:p>
    <w:p>
      <w:pPr>
        <w:ind w:left="744" w:right="28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2001, the Company had four customers who accounted for approximately $767,000 of the outstanding trade accounts receivable balance. At December 31, 2000, the Company had four customers who accounted for approximately $925,000 of the outstanding trade accounts receivable balance.</w:t>
      </w:r>
    </w:p>
    <w:p>
      <w:pPr>
        <w:spacing w:after="0" w:line="200" w:lineRule="exact"/>
        <w:rPr>
          <w:sz w:val="20"/>
          <w:szCs w:val="20"/>
          <w:color w:val="auto"/>
        </w:rPr>
      </w:pPr>
    </w:p>
    <w:p>
      <w:pPr>
        <w:spacing w:after="0" w:line="34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3"/>
          </w:cols>
          <w:pgMar w:left="236" w:top="839" w:right="1440" w:bottom="1440" w:gutter="0" w:footer="0" w:header="0"/>
        </w:sectPr>
      </w:pPr>
    </w:p>
    <w:bookmarkStart w:id="16" w:name="page17"/>
    <w:bookmarkEnd w:id="16"/>
    <w:p>
      <w:pPr>
        <w:ind w:left="744" w:right="3280"/>
        <w:spacing w:after="0" w:line="238" w:lineRule="auto"/>
        <w:rPr>
          <w:sz w:val="20"/>
          <w:szCs w:val="20"/>
          <w:color w:val="auto"/>
        </w:rPr>
      </w:pPr>
      <w:r>
        <w:rPr>
          <w:rFonts w:ascii="Courier New" w:cs="Courier New" w:eastAsia="Courier New" w:hAnsi="Courier New"/>
          <w:sz w:val="16"/>
          <w:szCs w:val="16"/>
          <w:color w:val="auto"/>
        </w:rPr>
        <w:t>During 2001 and 2000, the Company had total sales outside the United States of approximately $2,506,000 and $2,397,000, respectively. Of these amounts, approximately $1,942,000 and $2,047,000, respectively, were sales to customers in Europe; approximately $165,000 and $152,000, respectively, were sales to customers in the Asia/Pacific region; and approximately $399,000 and $199,000, respectively, were sales to customers in South America.</w:t>
      </w:r>
    </w:p>
    <w:p>
      <w:pPr>
        <w:spacing w:after="0" w:line="185" w:lineRule="exact"/>
        <w:rPr>
          <w:sz w:val="20"/>
          <w:szCs w:val="20"/>
          <w:color w:val="auto"/>
        </w:rPr>
      </w:pPr>
    </w:p>
    <w:p>
      <w:pPr>
        <w:ind w:left="744" w:right="3180"/>
        <w:spacing w:after="0" w:line="237" w:lineRule="auto"/>
        <w:rPr>
          <w:sz w:val="20"/>
          <w:szCs w:val="20"/>
          <w:color w:val="auto"/>
        </w:rPr>
      </w:pPr>
      <w:r>
        <w:rPr>
          <w:rFonts w:ascii="Courier New" w:cs="Courier New" w:eastAsia="Courier New" w:hAnsi="Courier New"/>
          <w:sz w:val="16"/>
          <w:szCs w:val="16"/>
          <w:color w:val="auto"/>
        </w:rPr>
        <w:t>In 2001 and 2000, the Company had a supplier from which it made purchases of approximately $3,206,000 and $1,627,000, respectively. Although no long-term supply contract exists, the Company believes there are alternative suppliers of this raw material.</w:t>
      </w:r>
    </w:p>
    <w:p>
      <w:pPr>
        <w:spacing w:after="0" w:line="186" w:lineRule="exact"/>
        <w:rPr>
          <w:sz w:val="20"/>
          <w:szCs w:val="20"/>
          <w:color w:val="auto"/>
        </w:rPr>
      </w:pPr>
    </w:p>
    <w:p>
      <w:pPr>
        <w:ind w:left="744" w:right="3280"/>
        <w:spacing w:after="0" w:line="237" w:lineRule="auto"/>
        <w:rPr>
          <w:sz w:val="20"/>
          <w:szCs w:val="20"/>
          <w:color w:val="auto"/>
        </w:rPr>
      </w:pPr>
      <w:r>
        <w:rPr>
          <w:rFonts w:ascii="Courier New" w:cs="Courier New" w:eastAsia="Courier New" w:hAnsi="Courier New"/>
          <w:sz w:val="16"/>
          <w:szCs w:val="16"/>
          <w:color w:val="auto"/>
        </w:rPr>
        <w:t>Information concerning the Company's operations by segment is presented below. Note that management does not assign asset balances or specific property plant and equipment items to the two segments. Depreciation expense is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744"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Services</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Division</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Products</w:t>
            </w:r>
          </w:p>
        </w:tc>
        <w:tc>
          <w:tcPr>
            <w:tcW w:w="34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(Acoustic</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Division</w:t>
            </w:r>
          </w:p>
        </w:tc>
        <w:tc>
          <w:tcPr>
            <w:tcW w:w="16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Communication</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(VideoLabs)</w:t>
            </w:r>
          </w:p>
        </w:tc>
        <w:tc>
          <w:tcPr>
            <w:tcW w:w="340" w:type="dxa"/>
            <w:vAlign w:val="bottom"/>
          </w:tcPr>
          <w:p>
            <w:pPr>
              <w:spacing w:after="0"/>
              <w:rPr>
                <w:sz w:val="15"/>
                <w:szCs w:val="15"/>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Systems)</w:t>
            </w:r>
          </w:p>
        </w:tc>
        <w:tc>
          <w:tcPr>
            <w:tcW w:w="280" w:type="dxa"/>
            <w:vAlign w:val="bottom"/>
          </w:tcPr>
          <w:p>
            <w:pPr>
              <w:spacing w:after="0"/>
              <w:rPr>
                <w:sz w:val="15"/>
                <w:szCs w:val="15"/>
                <w:color w:val="auto"/>
              </w:rPr>
            </w:pP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Corporate</w:t>
            </w:r>
          </w:p>
        </w:tc>
        <w:tc>
          <w:tcPr>
            <w:tcW w:w="280" w:type="dxa"/>
            <w:vAlign w:val="bottom"/>
          </w:tcPr>
          <w:p>
            <w:pPr>
              <w:spacing w:after="0"/>
              <w:rPr>
                <w:sz w:val="15"/>
                <w:szCs w:val="15"/>
                <w:color w:val="auto"/>
              </w:rPr>
            </w:pP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Consolidated</w:t>
            </w:r>
          </w:p>
        </w:tc>
      </w:tr>
      <w:tr>
        <w:trPr>
          <w:trHeight w:val="180"/>
        </w:trPr>
        <w:tc>
          <w:tcPr>
            <w:tcW w:w="33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3340" w:type="dxa"/>
            <w:vAlign w:val="bottom"/>
          </w:tcPr>
          <w:p>
            <w:pPr>
              <w:spacing w:after="0"/>
              <w:rPr>
                <w:sz w:val="20"/>
                <w:szCs w:val="20"/>
                <w:color w:val="auto"/>
              </w:rPr>
            </w:pPr>
            <w:r>
              <w:rPr>
                <w:rFonts w:ascii="Courier New" w:cs="Courier New" w:eastAsia="Courier New" w:hAnsi="Courier New"/>
                <w:sz w:val="16"/>
                <w:szCs w:val="16"/>
                <w:color w:val="auto"/>
              </w:rPr>
              <w:t>Year Ended December 31, 2001:</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Sales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9,452,885</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12,964,264</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22,417,149</w:t>
            </w: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Cost of sales</w:t>
            </w:r>
          </w:p>
        </w:tc>
        <w:tc>
          <w:tcPr>
            <w:tcW w:w="52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5,816,825</w:t>
            </w:r>
          </w:p>
        </w:tc>
        <w:tc>
          <w:tcPr>
            <w:tcW w:w="34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8,505,595</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14,322,420</w:t>
            </w:r>
          </w:p>
        </w:tc>
      </w:tr>
      <w:tr>
        <w:trPr>
          <w:trHeight w:val="180"/>
        </w:trPr>
        <w:tc>
          <w:tcPr>
            <w:tcW w:w="33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Gross profit</w:t>
            </w:r>
          </w:p>
        </w:tc>
        <w:tc>
          <w:tcPr>
            <w:tcW w:w="52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3,636,060</w:t>
            </w:r>
          </w:p>
        </w:tc>
        <w:tc>
          <w:tcPr>
            <w:tcW w:w="34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4,458,669</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8,094,729</w:t>
            </w: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Operating expenses</w:t>
            </w:r>
          </w:p>
        </w:tc>
        <w:tc>
          <w:tcPr>
            <w:tcW w:w="52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2,334,703</w:t>
            </w:r>
          </w:p>
        </w:tc>
        <w:tc>
          <w:tcPr>
            <w:tcW w:w="34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3,092,223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1,786,856</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7,213,782</w:t>
            </w:r>
          </w:p>
        </w:tc>
      </w:tr>
      <w:tr>
        <w:trPr>
          <w:trHeight w:val="180"/>
        </w:trPr>
        <w:tc>
          <w:tcPr>
            <w:tcW w:w="33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Operating income (loss)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1,301,357</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1,366,446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(1,786,856)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880,947</w:t>
            </w:r>
          </w:p>
        </w:tc>
      </w:tr>
      <w:tr>
        <w:trPr>
          <w:trHeight w:val="180"/>
        </w:trPr>
        <w:tc>
          <w:tcPr>
            <w:tcW w:w="33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28,571</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89,894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471,458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589,923</w:t>
            </w:r>
          </w:p>
        </w:tc>
      </w:tr>
      <w:tr>
        <w:trPr>
          <w:trHeight w:val="180"/>
        </w:trPr>
        <w:tc>
          <w:tcPr>
            <w:tcW w:w="33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340" w:type="dxa"/>
            <w:vAlign w:val="bottom"/>
          </w:tcPr>
          <w:p>
            <w:pPr>
              <w:spacing w:after="0"/>
              <w:rPr>
                <w:sz w:val="20"/>
                <w:szCs w:val="20"/>
                <w:color w:val="auto"/>
              </w:rPr>
            </w:pPr>
            <w:r>
              <w:rPr>
                <w:rFonts w:ascii="Courier New" w:cs="Courier New" w:eastAsia="Courier New" w:hAnsi="Courier New"/>
                <w:sz w:val="16"/>
                <w:szCs w:val="16"/>
                <w:color w:val="auto"/>
              </w:rPr>
              <w:t>Year Ended December 31, 2000:</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Sales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10,636,087</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11,194,285</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21,830,372</w:t>
            </w: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Cost of sales</w:t>
            </w:r>
          </w:p>
        </w:tc>
        <w:tc>
          <w:tcPr>
            <w:tcW w:w="52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6,344,225</w:t>
            </w:r>
          </w:p>
        </w:tc>
        <w:tc>
          <w:tcPr>
            <w:tcW w:w="34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7,423,474</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13,767,699</w:t>
            </w:r>
          </w:p>
        </w:tc>
      </w:tr>
      <w:tr>
        <w:trPr>
          <w:trHeight w:val="180"/>
        </w:trPr>
        <w:tc>
          <w:tcPr>
            <w:tcW w:w="33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Gross profit</w:t>
            </w:r>
          </w:p>
        </w:tc>
        <w:tc>
          <w:tcPr>
            <w:tcW w:w="52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4,291,862</w:t>
            </w:r>
          </w:p>
        </w:tc>
        <w:tc>
          <w:tcPr>
            <w:tcW w:w="34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3,770,811</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8,062,673</w:t>
            </w: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Operating expenses</w:t>
            </w:r>
          </w:p>
        </w:tc>
        <w:tc>
          <w:tcPr>
            <w:tcW w:w="52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2,130,236</w:t>
            </w:r>
          </w:p>
        </w:tc>
        <w:tc>
          <w:tcPr>
            <w:tcW w:w="34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2,802,374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2,000,712</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6,933,322</w:t>
            </w:r>
          </w:p>
        </w:tc>
      </w:tr>
      <w:tr>
        <w:trPr>
          <w:trHeight w:val="180"/>
        </w:trPr>
        <w:tc>
          <w:tcPr>
            <w:tcW w:w="33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Operating income (loss)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2,161,626</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968,437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(2,000,712)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1,129,351</w:t>
            </w:r>
          </w:p>
        </w:tc>
      </w:tr>
      <w:tr>
        <w:trPr>
          <w:trHeight w:val="180"/>
        </w:trPr>
        <w:tc>
          <w:tcPr>
            <w:tcW w:w="33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34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29,340</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73,104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514,291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616,735</w:t>
            </w:r>
          </w:p>
        </w:tc>
      </w:tr>
      <w:tr>
        <w:trPr>
          <w:trHeight w:val="180"/>
        </w:trPr>
        <w:tc>
          <w:tcPr>
            <w:tcW w:w="334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44" w:hanging="744"/>
        <w:spacing w:after="0"/>
        <w:tabs>
          <w:tab w:leader="none" w:pos="74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STANDARDS</w:t>
      </w:r>
    </w:p>
    <w:p>
      <w:pPr>
        <w:spacing w:after="0" w:line="184" w:lineRule="exact"/>
        <w:rPr>
          <w:rFonts w:ascii="Courier New" w:cs="Courier New" w:eastAsia="Courier New" w:hAnsi="Courier New"/>
          <w:sz w:val="16"/>
          <w:szCs w:val="16"/>
          <w:color w:val="auto"/>
        </w:rPr>
      </w:pPr>
    </w:p>
    <w:p>
      <w:pPr>
        <w:ind w:left="744" w:right="3360"/>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2001, the Financial Accounting Standards Board (FASB) issued SFAS No. 141, BUSINESS COMBINATIONS, and SFAS No. 142, GOODWILL AND OTHER INTANGIBLE ASSETS. SFAS No. 141 eliminates the pooling-of-interests method of accounting for business combinations after June 30, 2001. SFAS No. 142 establishes new standards for accounting for goodwill and intangible assets and is effective for the Company on January 1, 2002. Management has not determined the impact that SFAS No. 142 will have upon adoption.</w:t>
      </w:r>
    </w:p>
    <w:p>
      <w:pPr>
        <w:spacing w:after="0" w:line="185" w:lineRule="exact"/>
        <w:rPr>
          <w:rFonts w:ascii="Courier New" w:cs="Courier New" w:eastAsia="Courier New" w:hAnsi="Courier New"/>
          <w:sz w:val="16"/>
          <w:szCs w:val="16"/>
          <w:color w:val="auto"/>
        </w:rPr>
      </w:pPr>
    </w:p>
    <w:p>
      <w:pPr>
        <w:ind w:left="744" w:right="3280"/>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June 2001, the FASB issued SFAS No. 143, ACCOUNTING FOR ASSET RETIREMENT OBLIGATIONS. SFAS No. 143 addresses financial accounting and reporting for obligations associated with the retirement of tangible long-lived assets and the associated asset retirement costs. SFAS No. 143 applies to legal obligations associated with the retirement of long-lived assets that result from the acquisition, construction, development, and/or the normal operation of a long-lived asset, except for certain obligations of lessees. SFAS No. 143 amends SFAS No. 19,</w:t>
      </w:r>
    </w:p>
    <w:p>
      <w:pPr>
        <w:spacing w:after="0" w:line="4" w:lineRule="exact"/>
        <w:rPr>
          <w:rFonts w:ascii="Courier New" w:cs="Courier New" w:eastAsia="Courier New" w:hAnsi="Courier New"/>
          <w:sz w:val="16"/>
          <w:szCs w:val="16"/>
          <w:color w:val="auto"/>
        </w:rPr>
      </w:pPr>
    </w:p>
    <w:p>
      <w:pPr>
        <w:ind w:left="744" w:right="3180"/>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FINANCIAL ACCOUNTING AND REPORTING BY OIL AND GAS PRODUCING COMPANIES. SFAS No. 143 is effective for the Company on January 1, 2003. Management is currently assessing what impact, if any, SFAS No. 143 will have on the Company's financial position or results of operations.</w:t>
      </w:r>
    </w:p>
    <w:p>
      <w:pPr>
        <w:spacing w:after="0" w:line="200" w:lineRule="exact"/>
        <w:rPr>
          <w:sz w:val="20"/>
          <w:szCs w:val="20"/>
          <w:color w:val="auto"/>
        </w:rPr>
      </w:pPr>
    </w:p>
    <w:p>
      <w:pPr>
        <w:spacing w:after="0" w:line="33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684"/>
          </w:cols>
          <w:pgMar w:left="236" w:top="659" w:right="979" w:bottom="107" w:gutter="0" w:footer="0" w:header="0"/>
        </w:sectPr>
      </w:pPr>
    </w:p>
    <w:bookmarkStart w:id="17" w:name="page18"/>
    <w:bookmarkEnd w:id="17"/>
    <w:p>
      <w:pPr>
        <w:ind w:left="744" w:right="2719"/>
        <w:spacing w:after="0" w:line="255" w:lineRule="auto"/>
        <w:rPr>
          <w:sz w:val="20"/>
          <w:szCs w:val="20"/>
          <w:color w:val="auto"/>
        </w:rPr>
      </w:pPr>
      <w:r>
        <w:rPr>
          <w:rFonts w:ascii="Courier New" w:cs="Courier New" w:eastAsia="Courier New" w:hAnsi="Courier New"/>
          <w:sz w:val="15"/>
          <w:szCs w:val="15"/>
          <w:color w:val="auto"/>
        </w:rPr>
        <w:t>In August 2001, the FASB issued SFAS No. 144, ACCOUNTING FOR THE IMPAIRMENT OR DISPOSAL OF LONG-LIVED ASSETS. SFAS No. 144 addresses financial accounting and reporting for the impairment or disposal of long-lived assets and supersedes SFAS No. 121, ACCOUNTING FOR THE IMPAIRMENT OF LONG-LIVED ASSETS AND FOR LONG-LIVED ASSETS TO BE DISPOSED OF, and the accounting and reporting provisions of Accounting Principles Board Opinion No. 30, REPORTING THE RESULTS OF OPERATIONS - REPORTING THE EFFECTS OF DISPOSAL OF A SEGMENT OF A BUSINESS, AND EXTRAORDINARY, UNUSUAL, AND INFREQUENTLY OCCURRING EVENTS AND TRANSACTIONS, for the disposal of a segment of a business (as previously defined in that Opinion). SFAS No. 144 also amends Accounting Research Bulletin No. 51, CONSOLIDATED FINANCIAL STATEMENTS, to eliminate the exception to consolidation for a subsidiary for which control is likely to be temporary. SFAS No. 144 was effective for the Company on January 1, 2002. The Company does not expect SFAS No. 144 to have a material effect on the Company's financial position or results of operations.</w:t>
      </w:r>
    </w:p>
    <w:p>
      <w:pPr>
        <w:spacing w:after="0" w:line="173" w:lineRule="exact"/>
        <w:rPr>
          <w:sz w:val="20"/>
          <w:szCs w:val="20"/>
          <w:color w:val="auto"/>
        </w:rPr>
      </w:pPr>
    </w:p>
    <w:p>
      <w:pPr>
        <w:ind w:left="744" w:hanging="744"/>
        <w:spacing w:after="0"/>
        <w:tabs>
          <w:tab w:leader="none" w:pos="74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w:t>
      </w:r>
    </w:p>
    <w:p>
      <w:pPr>
        <w:spacing w:after="0" w:line="184" w:lineRule="exact"/>
        <w:rPr>
          <w:rFonts w:ascii="Courier New" w:cs="Courier New" w:eastAsia="Courier New" w:hAnsi="Courier New"/>
          <w:sz w:val="16"/>
          <w:szCs w:val="16"/>
          <w:color w:val="auto"/>
        </w:rPr>
      </w:pPr>
    </w:p>
    <w:p>
      <w:pPr>
        <w:ind w:left="744"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On January 21, 2002, the Company signed a merger agreement with ClearOne Communications, Inc. (formerly Gentner Communications Corporation) (ClearOne) for total consideration of $7,300,000 in cash and 873,000 ClearOne shares. In the merger, each share of company common stock will be exchanged for a fraction of a share of ClearOne Common Stock and a fixed amount of cash, calculated at completion of the merger. Under the merger agreement, the Company will become a wholly owned subsidiary of ClearOne. Following regulatory and shareholder approval, the merger is expected to be completed in April 2002.</w:t>
      </w:r>
    </w:p>
    <w:p>
      <w:pPr>
        <w:spacing w:after="0" w:line="200" w:lineRule="exact"/>
        <w:rPr>
          <w:sz w:val="20"/>
          <w:szCs w:val="20"/>
          <w:color w:val="auto"/>
        </w:rPr>
      </w:pPr>
    </w:p>
    <w:p>
      <w:pPr>
        <w:spacing w:after="0" w:line="335"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3"/>
          </w:cols>
          <w:pgMar w:left="236" w:top="659" w:right="1440"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Interim Financial Statements</w:t>
      </w:r>
    </w:p>
    <w:p>
      <w:pPr>
        <w:spacing w:after="0" w:line="18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of E.mergent,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1440" w:right="1440" w:bottom="1440" w:gutter="0" w:footer="0" w:header="0"/>
        </w:sectPr>
      </w:pPr>
    </w:p>
    <w:bookmarkStart w:id="19" w:name="page20"/>
    <w:bookmarkEnd w:id="19"/>
    <w:p>
      <w:pPr>
        <w:ind w:left="3100"/>
        <w:spacing w:after="0"/>
        <w:rPr>
          <w:sz w:val="20"/>
          <w:szCs w:val="20"/>
          <w:color w:val="auto"/>
        </w:rPr>
      </w:pPr>
      <w:r>
        <w:rPr>
          <w:rFonts w:ascii="Courier New" w:cs="Courier New" w:eastAsia="Courier New" w:hAnsi="Courier New"/>
          <w:sz w:val="16"/>
          <w:szCs w:val="16"/>
          <w:color w:val="auto"/>
        </w:rPr>
        <w:t>E.MERGENT, INC.</w:t>
      </w:r>
    </w:p>
    <w:tbl>
      <w:tblPr>
        <w:tblLayout w:type="fixed"/>
        <w:tblInd w:w="0" w:type="dxa"/>
        <w:tblCellMar>
          <w:top w:w="0" w:type="dxa"/>
          <w:left w:w="0" w:type="dxa"/>
          <w:bottom w:w="0" w:type="dxa"/>
          <w:right w:w="0" w:type="dxa"/>
        </w:tblCellMar>
      </w:tblPr>
      <w:tr>
        <w:trPr>
          <w:trHeight w:val="180"/>
        </w:trPr>
        <w:tc>
          <w:tcPr>
            <w:tcW w:w="8160" w:type="dxa"/>
            <w:vAlign w:val="bottom"/>
          </w:tcPr>
          <w:p>
            <w:pPr>
              <w:jc w:val="right"/>
              <w:ind w:right="2262"/>
              <w:spacing w:after="0"/>
              <w:rPr>
                <w:sz w:val="20"/>
                <w:szCs w:val="20"/>
                <w:color w:val="auto"/>
              </w:rPr>
            </w:pPr>
            <w:r>
              <w:rPr>
                <w:rFonts w:ascii="Courier New" w:cs="Courier New" w:eastAsia="Courier New" w:hAnsi="Courier New"/>
                <w:sz w:val="16"/>
                <w:szCs w:val="16"/>
                <w:color w:val="auto"/>
              </w:rPr>
              <w:t>INTERIM CONDENSED BALANCE SHEETS - UNAUDITED</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902"/>
        </w:trPr>
        <w:tc>
          <w:tcPr>
            <w:tcW w:w="8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4"/>
              </w:rPr>
              <w:t>MARCH 31,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5"/>
              </w:rPr>
              <w:t>DECEMBER 31,</w:t>
            </w:r>
          </w:p>
        </w:tc>
      </w:tr>
      <w:tr>
        <w:trPr>
          <w:trHeight w:val="180"/>
        </w:trPr>
        <w:tc>
          <w:tcPr>
            <w:tcW w:w="8160" w:type="dxa"/>
            <w:vAlign w:val="bottom"/>
          </w:tcPr>
          <w:p>
            <w:pPr>
              <w:jc w:val="right"/>
              <w:ind w:right="4702"/>
              <w:spacing w:after="0"/>
              <w:rPr>
                <w:sz w:val="20"/>
                <w:szCs w:val="20"/>
                <w:color w:val="auto"/>
              </w:rPr>
            </w:pPr>
            <w:r>
              <w:rPr>
                <w:rFonts w:ascii="Courier New" w:cs="Courier New" w:eastAsia="Courier New" w:hAnsi="Courier New"/>
                <w:sz w:val="16"/>
                <w:szCs w:val="16"/>
                <w:color w:val="auto"/>
              </w:rPr>
              <w:t>ASSETS</w:t>
            </w:r>
          </w:p>
        </w:tc>
        <w:tc>
          <w:tcPr>
            <w:tcW w:w="38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2002</w:t>
            </w:r>
          </w:p>
        </w:tc>
        <w:tc>
          <w:tcPr>
            <w:tcW w:w="24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2001</w:t>
            </w:r>
          </w:p>
        </w:tc>
      </w:tr>
      <w:tr>
        <w:trPr>
          <w:trHeight w:val="541"/>
        </w:trPr>
        <w:tc>
          <w:tcPr>
            <w:tcW w:w="81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Cash and cash equivalents ........................................................</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1,505,128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807,115</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Accounts receivable, less allowance for doubtful accounts of $150,000 on March 31,</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2002 and $150,000 on December 31, 2001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3,143,675</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3,299,720</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Other receivables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8,538</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7,091</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Inventories (Note 4)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3,605,419</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3,736,517</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Deferred income taxes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425,000</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425,000</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Prepaid expenses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151,469</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128,603</w:t>
            </w:r>
          </w:p>
        </w:tc>
      </w:tr>
      <w:tr>
        <w:trPr>
          <w:trHeight w:val="180"/>
        </w:trPr>
        <w:tc>
          <w:tcPr>
            <w:tcW w:w="8160" w:type="dxa"/>
            <w:vAlign w:val="bottom"/>
          </w:tcPr>
          <w:p>
            <w:pPr>
              <w:spacing w:after="0"/>
              <w:rPr>
                <w:sz w:val="15"/>
                <w:szCs w:val="15"/>
                <w:color w:val="auto"/>
              </w:rPr>
            </w:pP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Total current assets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8,839,229</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8,404,046</w:t>
            </w:r>
          </w:p>
        </w:tc>
      </w:tr>
      <w:tr>
        <w:trPr>
          <w:trHeight w:val="361"/>
        </w:trPr>
        <w:tc>
          <w:tcPr>
            <w:tcW w:w="816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Office and computer equipment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891,079</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881,514</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Machinery and equipment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368,402</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363,408</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Tooling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792,301</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757,441</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Leasehold improvements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64,228</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59,100</w:t>
            </w:r>
          </w:p>
        </w:tc>
      </w:tr>
      <w:tr>
        <w:trPr>
          <w:trHeight w:val="180"/>
        </w:trPr>
        <w:tc>
          <w:tcPr>
            <w:tcW w:w="8160" w:type="dxa"/>
            <w:vAlign w:val="bottom"/>
          </w:tcPr>
          <w:p>
            <w:pPr>
              <w:spacing w:after="0"/>
              <w:rPr>
                <w:sz w:val="15"/>
                <w:szCs w:val="15"/>
                <w:color w:val="auto"/>
              </w:rPr>
            </w:pP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Total equipment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2,116,010</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2,061,463</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Less accumulated depreciation ................................................</w:t>
            </w:r>
          </w:p>
        </w:tc>
        <w:tc>
          <w:tcPr>
            <w:tcW w:w="3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4"/>
              </w:rPr>
              <w:t>(1,672,779)</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(1,587,981)</w:t>
            </w:r>
          </w:p>
        </w:tc>
      </w:tr>
      <w:tr>
        <w:trPr>
          <w:trHeight w:val="180"/>
        </w:trPr>
        <w:tc>
          <w:tcPr>
            <w:tcW w:w="8160" w:type="dxa"/>
            <w:vAlign w:val="bottom"/>
          </w:tcPr>
          <w:p>
            <w:pPr>
              <w:spacing w:after="0"/>
              <w:rPr>
                <w:sz w:val="15"/>
                <w:szCs w:val="15"/>
                <w:color w:val="auto"/>
              </w:rPr>
            </w:pP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Net property and equipment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443,231</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473,482</w:t>
            </w:r>
          </w:p>
        </w:tc>
      </w:tr>
      <w:tr>
        <w:trPr>
          <w:trHeight w:val="361"/>
        </w:trPr>
        <w:tc>
          <w:tcPr>
            <w:tcW w:w="81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Deferred income taxes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75,000</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75,000</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Goodwill, net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999,040</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999,040</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Noncompete, net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583,333</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598,958</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Patents, net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85,714</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92,857</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Notes receivable from Medcam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33,000</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42,000</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Investment in Medcam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150,000</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150,000</w:t>
            </w:r>
          </w:p>
        </w:tc>
      </w:tr>
      <w:tr>
        <w:trPr>
          <w:trHeight w:val="180"/>
        </w:trPr>
        <w:tc>
          <w:tcPr>
            <w:tcW w:w="8160" w:type="dxa"/>
            <w:vAlign w:val="bottom"/>
          </w:tcPr>
          <w:p>
            <w:pPr>
              <w:spacing w:after="0"/>
              <w:rPr>
                <w:sz w:val="15"/>
                <w:szCs w:val="15"/>
                <w:color w:val="auto"/>
              </w:rPr>
            </w:pP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Total other assets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1,926,087</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1,957,855</w:t>
            </w:r>
          </w:p>
        </w:tc>
      </w:tr>
      <w:tr>
        <w:trPr>
          <w:trHeight w:val="361"/>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Total assets .................................................................</w:t>
            </w: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$ 11,208,547</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$ 10,835,383</w:t>
            </w:r>
          </w:p>
        </w:tc>
      </w:tr>
      <w:tr>
        <w:trPr>
          <w:trHeight w:val="180"/>
        </w:trPr>
        <w:tc>
          <w:tcPr>
            <w:tcW w:w="8160" w:type="dxa"/>
            <w:vAlign w:val="bottom"/>
          </w:tcPr>
          <w:p>
            <w:pPr>
              <w:spacing w:after="0"/>
              <w:rPr>
                <w:sz w:val="15"/>
                <w:szCs w:val="15"/>
                <w:color w:val="auto"/>
              </w:rPr>
            </w:pP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8160" w:type="dxa"/>
            <w:vAlign w:val="bottom"/>
          </w:tcPr>
          <w:p>
            <w:pPr>
              <w:jc w:val="right"/>
              <w:ind w:right="2742"/>
              <w:spacing w:after="0"/>
              <w:rPr>
                <w:sz w:val="20"/>
                <w:szCs w:val="20"/>
                <w:color w:val="auto"/>
              </w:rPr>
            </w:pPr>
            <w:r>
              <w:rPr>
                <w:rFonts w:ascii="Courier New" w:cs="Courier New" w:eastAsia="Courier New" w:hAnsi="Courier New"/>
                <w:sz w:val="16"/>
                <w:szCs w:val="16"/>
                <w:color w:val="auto"/>
              </w:rPr>
              <w:t>LIABILITIES AND STOCKHOLDERS' EQUITY</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81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Accounts payable .................................................................</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1,547,912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862,168</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Bank line of credit (Note 3)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Current maturities of unearned maintenance contracts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687,858</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764,072</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Current maturities of long-term debt and capital leases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237,547</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237,547</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Customer deposits and other liabilities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147,936</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150,113</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Accrued compensation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292,156</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203,635</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Income taxes payable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20,531</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188,911</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Other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13,682</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77,061</w:t>
            </w:r>
          </w:p>
        </w:tc>
      </w:tr>
      <w:tr>
        <w:trPr>
          <w:trHeight w:val="180"/>
        </w:trPr>
        <w:tc>
          <w:tcPr>
            <w:tcW w:w="8160" w:type="dxa"/>
            <w:vAlign w:val="bottom"/>
          </w:tcPr>
          <w:p>
            <w:pPr>
              <w:spacing w:after="0"/>
              <w:rPr>
                <w:sz w:val="15"/>
                <w:szCs w:val="15"/>
                <w:color w:val="auto"/>
              </w:rPr>
            </w:pP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Total current liabilities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2,947,622</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2,483,507</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Long-term debt and capital leases, net of current maturities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339,668</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403,245</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Unearned maintenance contracts, net of current maturities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319,063</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300,418</w:t>
            </w:r>
          </w:p>
        </w:tc>
      </w:tr>
      <w:tr>
        <w:trPr>
          <w:trHeight w:val="361"/>
        </w:trPr>
        <w:tc>
          <w:tcPr>
            <w:tcW w:w="81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Common stock, $.01 par value; Authorized 20,000,000 shares issued and outstanding,</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5,931,280 shares at March 31, 2002 and 5,929,280 shares at December 31, 2001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59,313</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59,293</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Additional paid in capital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7,866,750</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7,863,640</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Treasury stock ...................................................................</w:t>
            </w:r>
          </w:p>
        </w:tc>
        <w:tc>
          <w:tcPr>
            <w:tcW w:w="3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(73,386)</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(73,386)</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Note receivable from officer .....................................................</w:t>
            </w:r>
          </w:p>
        </w:tc>
        <w:tc>
          <w:tcPr>
            <w:tcW w:w="3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(121,875)</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(121,875)</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Accumulated deficit ..............................................................</w:t>
            </w:r>
          </w:p>
        </w:tc>
        <w:tc>
          <w:tcPr>
            <w:tcW w:w="38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(128,608)</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(79,459)</w:t>
            </w:r>
          </w:p>
        </w:tc>
      </w:tr>
      <w:tr>
        <w:trPr>
          <w:trHeight w:val="180"/>
        </w:trPr>
        <w:tc>
          <w:tcPr>
            <w:tcW w:w="8160" w:type="dxa"/>
            <w:vAlign w:val="bottom"/>
          </w:tcPr>
          <w:p>
            <w:pPr>
              <w:spacing w:after="0"/>
              <w:rPr>
                <w:sz w:val="15"/>
                <w:szCs w:val="15"/>
                <w:color w:val="auto"/>
              </w:rPr>
            </w:pP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Total stockholders' equity .....................................................</w:t>
            </w:r>
          </w:p>
        </w:tc>
        <w:tc>
          <w:tcPr>
            <w:tcW w:w="38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7,602,194</w:t>
            </w:r>
          </w:p>
        </w:tc>
        <w:tc>
          <w:tcPr>
            <w:tcW w:w="24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7,648,213</w:t>
            </w:r>
          </w:p>
        </w:tc>
      </w:tr>
      <w:tr>
        <w:trPr>
          <w:trHeight w:val="180"/>
        </w:trPr>
        <w:tc>
          <w:tcPr>
            <w:tcW w:w="8160" w:type="dxa"/>
            <w:vAlign w:val="bottom"/>
          </w:tcPr>
          <w:p>
            <w:pPr>
              <w:spacing w:after="0"/>
              <w:rPr>
                <w:sz w:val="15"/>
                <w:szCs w:val="15"/>
                <w:color w:val="auto"/>
              </w:rPr>
            </w:pP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8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Total liabilities and stockholders' equity ...................................</w:t>
            </w: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$ 11,208,547</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$ 10,835,383</w:t>
            </w:r>
          </w:p>
        </w:tc>
      </w:tr>
      <w:tr>
        <w:trPr>
          <w:trHeight w:val="180"/>
        </w:trPr>
        <w:tc>
          <w:tcPr>
            <w:tcW w:w="8160" w:type="dxa"/>
            <w:vAlign w:val="bottom"/>
          </w:tcPr>
          <w:p>
            <w:pPr>
              <w:spacing w:after="0"/>
              <w:rPr>
                <w:sz w:val="15"/>
                <w:szCs w:val="15"/>
                <w:color w:val="auto"/>
              </w:rPr>
            </w:pPr>
          </w:p>
        </w:tc>
        <w:tc>
          <w:tcPr>
            <w:tcW w:w="15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902"/>
        </w:trPr>
        <w:tc>
          <w:tcPr>
            <w:tcW w:w="8160" w:type="dxa"/>
            <w:vAlign w:val="bottom"/>
          </w:tcPr>
          <w:p>
            <w:pPr>
              <w:jc w:val="right"/>
              <w:ind w:right="4242"/>
              <w:spacing w:after="0"/>
              <w:rPr>
                <w:sz w:val="20"/>
                <w:szCs w:val="20"/>
                <w:color w:val="auto"/>
              </w:rPr>
            </w:pPr>
            <w:r>
              <w:rPr>
                <w:rFonts w:ascii="Courier New" w:cs="Courier New" w:eastAsia="Courier New" w:hAnsi="Courier New"/>
                <w:sz w:val="16"/>
                <w:szCs w:val="16"/>
                <w:color w:val="auto"/>
              </w:rPr>
              <w:t>19</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060"/>
          </w:cols>
          <w:pgMar w:left="240" w:top="834" w:right="59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60" w:type="dxa"/>
            <w:vAlign w:val="bottom"/>
            <w:gridSpan w:val="6"/>
          </w:tcPr>
          <w:p>
            <w:pPr>
              <w:jc w:val="center"/>
              <w:ind w:left="962"/>
              <w:spacing w:after="0"/>
              <w:rPr>
                <w:sz w:val="20"/>
                <w:szCs w:val="20"/>
                <w:color w:val="auto"/>
              </w:rPr>
            </w:pPr>
            <w:r>
              <w:rPr>
                <w:rFonts w:ascii="Courier New" w:cs="Courier New" w:eastAsia="Courier New" w:hAnsi="Courier New"/>
                <w:sz w:val="16"/>
                <w:szCs w:val="16"/>
                <w:color w:val="auto"/>
                <w:w w:val="97"/>
              </w:rPr>
              <w:t>INTERIM CONDENSED STATEMENTS OF OPERATIONS - UNAUDITED</w:t>
            </w:r>
          </w:p>
        </w:tc>
        <w:tc>
          <w:tcPr>
            <w:tcW w:w="1040" w:type="dxa"/>
            <w:vAlign w:val="bottom"/>
          </w:tcPr>
          <w:p>
            <w:pPr>
              <w:spacing w:after="0"/>
              <w:rPr>
                <w:sz w:val="15"/>
                <w:szCs w:val="15"/>
                <w:color w:val="auto"/>
              </w:rPr>
            </w:pPr>
          </w:p>
        </w:tc>
      </w:tr>
      <w:tr>
        <w:trPr>
          <w:trHeight w:val="721"/>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THREE</w:t>
            </w:r>
          </w:p>
        </w:tc>
        <w:tc>
          <w:tcPr>
            <w:tcW w:w="13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5"/>
              </w:rPr>
              <w:t>MONTHS ENDED</w:t>
            </w:r>
          </w:p>
        </w:tc>
        <w:tc>
          <w:tcPr>
            <w:tcW w:w="1040" w:type="dxa"/>
            <w:vAlign w:val="bottom"/>
          </w:tcPr>
          <w:p>
            <w:pPr>
              <w:spacing w:after="0"/>
              <w:rPr>
                <w:sz w:val="24"/>
                <w:szCs w:val="24"/>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3"/>
              </w:rPr>
              <w:t>MARCH 31</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70"/>
              </w:rPr>
              <w:t>-----------</w:t>
            </w:r>
          </w:p>
        </w:tc>
        <w:tc>
          <w:tcPr>
            <w:tcW w:w="380" w:type="dxa"/>
            <w:vAlign w:val="bottom"/>
          </w:tcPr>
          <w:p>
            <w:pPr>
              <w:spacing w:after="0"/>
              <w:rPr>
                <w:sz w:val="15"/>
                <w:szCs w:val="15"/>
                <w:color w:val="auto"/>
              </w:rPr>
            </w:pPr>
          </w:p>
        </w:tc>
        <w:tc>
          <w:tcPr>
            <w:tcW w:w="19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Sales ......................................</w:t>
            </w:r>
          </w:p>
        </w:tc>
        <w:tc>
          <w:tcPr>
            <w:tcW w:w="11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$ 5,209,041</w:t>
            </w:r>
          </w:p>
        </w:tc>
        <w:tc>
          <w:tcPr>
            <w:tcW w:w="19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$ 4,923,661</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Cost of goods sold .........................</w:t>
            </w:r>
          </w:p>
        </w:tc>
        <w:tc>
          <w:tcPr>
            <w:tcW w:w="200" w:type="dxa"/>
            <w:vAlign w:val="bottom"/>
          </w:tcPr>
          <w:p>
            <w:pPr>
              <w:spacing w:after="0"/>
              <w:rPr>
                <w:sz w:val="15"/>
                <w:szCs w:val="15"/>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3,375,720</w:t>
            </w:r>
          </w:p>
        </w:tc>
        <w:tc>
          <w:tcPr>
            <w:tcW w:w="460" w:type="dxa"/>
            <w:vAlign w:val="bottom"/>
          </w:tcPr>
          <w:p>
            <w:pPr>
              <w:spacing w:after="0"/>
              <w:rPr>
                <w:sz w:val="15"/>
                <w:szCs w:val="15"/>
                <w:color w:val="auto"/>
              </w:rPr>
            </w:pPr>
          </w:p>
        </w:tc>
        <w:tc>
          <w:tcPr>
            <w:tcW w:w="150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w w:val="94"/>
              </w:rPr>
              <w:t>3,132,874</w:t>
            </w:r>
          </w:p>
        </w:tc>
      </w:tr>
      <w:tr>
        <w:trPr>
          <w:trHeight w:val="180"/>
        </w:trPr>
        <w:tc>
          <w:tcPr>
            <w:tcW w:w="44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70"/>
              </w:rPr>
              <w:t>-----------</w:t>
            </w:r>
          </w:p>
        </w:tc>
        <w:tc>
          <w:tcPr>
            <w:tcW w:w="380" w:type="dxa"/>
            <w:vAlign w:val="bottom"/>
          </w:tcPr>
          <w:p>
            <w:pPr>
              <w:spacing w:after="0"/>
              <w:rPr>
                <w:sz w:val="15"/>
                <w:szCs w:val="15"/>
                <w:color w:val="auto"/>
              </w:rPr>
            </w:pPr>
          </w:p>
        </w:tc>
        <w:tc>
          <w:tcPr>
            <w:tcW w:w="19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Gross profit ...............................</w:t>
            </w:r>
          </w:p>
        </w:tc>
        <w:tc>
          <w:tcPr>
            <w:tcW w:w="200" w:type="dxa"/>
            <w:vAlign w:val="bottom"/>
          </w:tcPr>
          <w:p>
            <w:pPr>
              <w:spacing w:after="0"/>
              <w:rPr>
                <w:sz w:val="15"/>
                <w:szCs w:val="15"/>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1,833,321</w:t>
            </w:r>
          </w:p>
        </w:tc>
        <w:tc>
          <w:tcPr>
            <w:tcW w:w="460" w:type="dxa"/>
            <w:vAlign w:val="bottom"/>
          </w:tcPr>
          <w:p>
            <w:pPr>
              <w:spacing w:after="0"/>
              <w:rPr>
                <w:sz w:val="15"/>
                <w:szCs w:val="15"/>
                <w:color w:val="auto"/>
              </w:rPr>
            </w:pPr>
          </w:p>
        </w:tc>
        <w:tc>
          <w:tcPr>
            <w:tcW w:w="150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w w:val="94"/>
              </w:rPr>
              <w:t>1,790,787</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200" w:type="dxa"/>
            <w:vAlign w:val="bottom"/>
          </w:tcPr>
          <w:p>
            <w:pPr>
              <w:spacing w:after="0"/>
              <w:rPr>
                <w:sz w:val="15"/>
                <w:szCs w:val="15"/>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1,919,061</w:t>
            </w:r>
          </w:p>
        </w:tc>
        <w:tc>
          <w:tcPr>
            <w:tcW w:w="460" w:type="dxa"/>
            <w:vAlign w:val="bottom"/>
          </w:tcPr>
          <w:p>
            <w:pPr>
              <w:spacing w:after="0"/>
              <w:rPr>
                <w:sz w:val="15"/>
                <w:szCs w:val="15"/>
                <w:color w:val="auto"/>
              </w:rPr>
            </w:pPr>
          </w:p>
        </w:tc>
        <w:tc>
          <w:tcPr>
            <w:tcW w:w="150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w w:val="94"/>
              </w:rPr>
              <w:t>1,848,562</w:t>
            </w:r>
          </w:p>
        </w:tc>
      </w:tr>
      <w:tr>
        <w:trPr>
          <w:trHeight w:val="180"/>
        </w:trPr>
        <w:tc>
          <w:tcPr>
            <w:tcW w:w="44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70"/>
              </w:rPr>
              <w:t>-----------</w:t>
            </w:r>
          </w:p>
        </w:tc>
        <w:tc>
          <w:tcPr>
            <w:tcW w:w="380" w:type="dxa"/>
            <w:vAlign w:val="bottom"/>
          </w:tcPr>
          <w:p>
            <w:pPr>
              <w:spacing w:after="0"/>
              <w:rPr>
                <w:sz w:val="15"/>
                <w:szCs w:val="15"/>
                <w:color w:val="auto"/>
              </w:rPr>
            </w:pPr>
          </w:p>
        </w:tc>
        <w:tc>
          <w:tcPr>
            <w:tcW w:w="19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Operating loss .............................</w:t>
            </w: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(85,740)</w:t>
            </w:r>
          </w:p>
        </w:tc>
        <w:tc>
          <w:tcPr>
            <w:tcW w:w="460" w:type="dxa"/>
            <w:vAlign w:val="bottom"/>
          </w:tcPr>
          <w:p>
            <w:pPr>
              <w:spacing w:after="0"/>
              <w:rPr>
                <w:sz w:val="15"/>
                <w:szCs w:val="15"/>
                <w:color w:val="auto"/>
              </w:rPr>
            </w:pPr>
          </w:p>
        </w:tc>
        <w:tc>
          <w:tcPr>
            <w:tcW w:w="15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(57,775)</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Other expense, net .........................</w:t>
            </w: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(3,084)</w:t>
            </w:r>
          </w:p>
        </w:tc>
        <w:tc>
          <w:tcPr>
            <w:tcW w:w="460" w:type="dxa"/>
            <w:vAlign w:val="bottom"/>
          </w:tcPr>
          <w:p>
            <w:pPr>
              <w:spacing w:after="0"/>
              <w:rPr>
                <w:sz w:val="15"/>
                <w:szCs w:val="15"/>
                <w:color w:val="auto"/>
              </w:rPr>
            </w:pPr>
          </w:p>
        </w:tc>
        <w:tc>
          <w:tcPr>
            <w:tcW w:w="15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(42,260)</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tax benefit .........................</w:t>
            </w:r>
          </w:p>
        </w:tc>
        <w:tc>
          <w:tcPr>
            <w:tcW w:w="200" w:type="dxa"/>
            <w:vAlign w:val="bottom"/>
          </w:tcPr>
          <w:p>
            <w:pPr>
              <w:spacing w:after="0"/>
              <w:rPr>
                <w:sz w:val="15"/>
                <w:szCs w:val="15"/>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39,675</w:t>
            </w:r>
          </w:p>
        </w:tc>
        <w:tc>
          <w:tcPr>
            <w:tcW w:w="460" w:type="dxa"/>
            <w:vAlign w:val="bottom"/>
          </w:tcPr>
          <w:p>
            <w:pPr>
              <w:spacing w:after="0"/>
              <w:rPr>
                <w:sz w:val="15"/>
                <w:szCs w:val="15"/>
                <w:color w:val="auto"/>
              </w:rPr>
            </w:pPr>
          </w:p>
        </w:tc>
        <w:tc>
          <w:tcPr>
            <w:tcW w:w="150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40,000</w:t>
            </w:r>
          </w:p>
        </w:tc>
      </w:tr>
      <w:tr>
        <w:trPr>
          <w:trHeight w:val="180"/>
        </w:trPr>
        <w:tc>
          <w:tcPr>
            <w:tcW w:w="44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70"/>
              </w:rPr>
              <w:t>-----------</w:t>
            </w:r>
          </w:p>
        </w:tc>
        <w:tc>
          <w:tcPr>
            <w:tcW w:w="380" w:type="dxa"/>
            <w:vAlign w:val="bottom"/>
          </w:tcPr>
          <w:p>
            <w:pPr>
              <w:spacing w:after="0"/>
              <w:rPr>
                <w:sz w:val="15"/>
                <w:szCs w:val="15"/>
                <w:color w:val="auto"/>
              </w:rPr>
            </w:pPr>
          </w:p>
        </w:tc>
        <w:tc>
          <w:tcPr>
            <w:tcW w:w="19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loss ...................................</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(49,149)</w:t>
            </w:r>
          </w:p>
        </w:tc>
        <w:tc>
          <w:tcPr>
            <w:tcW w:w="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(60,035)</w:t>
            </w:r>
          </w:p>
        </w:tc>
      </w:tr>
      <w:tr>
        <w:trPr>
          <w:trHeight w:val="180"/>
        </w:trPr>
        <w:tc>
          <w:tcPr>
            <w:tcW w:w="4400" w:type="dxa"/>
            <w:vAlign w:val="bottom"/>
          </w:tcPr>
          <w:p>
            <w:pPr>
              <w:spacing w:after="0"/>
              <w:rPr>
                <w:sz w:val="15"/>
                <w:szCs w:val="15"/>
                <w:color w:val="auto"/>
              </w:rPr>
            </w:pPr>
          </w:p>
        </w:tc>
        <w:tc>
          <w:tcPr>
            <w:tcW w:w="11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w:t>
            </w:r>
          </w:p>
        </w:tc>
        <w:tc>
          <w:tcPr>
            <w:tcW w:w="19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Basic loss per common share ................</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24"/>
                <w:szCs w:val="24"/>
                <w:color w:val="auto"/>
              </w:rPr>
            </w:pPr>
          </w:p>
        </w:tc>
        <w:tc>
          <w:tcPr>
            <w:tcW w:w="10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5"/>
              </w:rPr>
              <w:t>0.01)</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 ........</w:t>
            </w:r>
          </w:p>
        </w:tc>
        <w:tc>
          <w:tcPr>
            <w:tcW w:w="200" w:type="dxa"/>
            <w:vAlign w:val="bottom"/>
          </w:tcPr>
          <w:p>
            <w:pPr>
              <w:spacing w:after="0"/>
              <w:rPr>
                <w:sz w:val="24"/>
                <w:szCs w:val="24"/>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5,930,280</w:t>
            </w:r>
          </w:p>
        </w:tc>
        <w:tc>
          <w:tcPr>
            <w:tcW w:w="460" w:type="dxa"/>
            <w:vAlign w:val="bottom"/>
          </w:tcPr>
          <w:p>
            <w:pPr>
              <w:spacing w:after="0"/>
              <w:rPr>
                <w:sz w:val="24"/>
                <w:szCs w:val="24"/>
                <w:color w:val="auto"/>
              </w:rPr>
            </w:pPr>
          </w:p>
        </w:tc>
        <w:tc>
          <w:tcPr>
            <w:tcW w:w="150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w w:val="94"/>
              </w:rPr>
              <w:t>5,774,378</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Diluted loss per common share ..............</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0.01)</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24"/>
                <w:szCs w:val="24"/>
                <w:color w:val="auto"/>
              </w:rPr>
            </w:pPr>
          </w:p>
        </w:tc>
        <w:tc>
          <w:tcPr>
            <w:tcW w:w="10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5"/>
              </w:rPr>
              <w:t>0.01)</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Diluted shares outstanding .................</w:t>
            </w:r>
          </w:p>
        </w:tc>
        <w:tc>
          <w:tcPr>
            <w:tcW w:w="200" w:type="dxa"/>
            <w:vAlign w:val="bottom"/>
          </w:tcPr>
          <w:p>
            <w:pPr>
              <w:spacing w:after="0"/>
              <w:rPr>
                <w:sz w:val="24"/>
                <w:szCs w:val="24"/>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5,930,280</w:t>
            </w:r>
          </w:p>
        </w:tc>
        <w:tc>
          <w:tcPr>
            <w:tcW w:w="460" w:type="dxa"/>
            <w:vAlign w:val="bottom"/>
          </w:tcPr>
          <w:p>
            <w:pPr>
              <w:spacing w:after="0"/>
              <w:rPr>
                <w:sz w:val="24"/>
                <w:szCs w:val="24"/>
                <w:color w:val="auto"/>
              </w:rPr>
            </w:pPr>
          </w:p>
        </w:tc>
        <w:tc>
          <w:tcPr>
            <w:tcW w:w="150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w w:val="94"/>
              </w:rPr>
              <w:t>5,774,378</w:t>
            </w:r>
          </w:p>
        </w:tc>
      </w:tr>
      <w:tr>
        <w:trPr>
          <w:trHeight w:val="902"/>
        </w:trPr>
        <w:tc>
          <w:tcPr>
            <w:tcW w:w="6460" w:type="dxa"/>
            <w:vAlign w:val="bottom"/>
            <w:gridSpan w:val="6"/>
          </w:tcPr>
          <w:p>
            <w:pPr>
              <w:jc w:val="center"/>
              <w:ind w:left="962"/>
              <w:spacing w:after="0"/>
              <w:rPr>
                <w:sz w:val="20"/>
                <w:szCs w:val="20"/>
                <w:color w:val="auto"/>
              </w:rPr>
            </w:pPr>
            <w:r>
              <w:rPr>
                <w:rFonts w:ascii="Courier New" w:cs="Courier New" w:eastAsia="Courier New" w:hAnsi="Courier New"/>
                <w:sz w:val="16"/>
                <w:szCs w:val="16"/>
                <w:color w:val="auto"/>
                <w:w w:val="97"/>
              </w:rPr>
              <w:t>INTERIM CONDENSED STATEMENTS OF CASH FLOWS - UNAUDITED</w:t>
            </w:r>
          </w:p>
        </w:tc>
        <w:tc>
          <w:tcPr>
            <w:tcW w:w="1040" w:type="dxa"/>
            <w:vAlign w:val="bottom"/>
          </w:tcPr>
          <w:p>
            <w:pPr>
              <w:spacing w:after="0"/>
              <w:rPr>
                <w:sz w:val="24"/>
                <w:szCs w:val="24"/>
                <w:color w:val="auto"/>
              </w:rPr>
            </w:pPr>
          </w:p>
        </w:tc>
      </w:tr>
      <w:tr>
        <w:trPr>
          <w:trHeight w:val="721"/>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gridSpan w:val="4"/>
          </w:tcPr>
          <w:p>
            <w:pPr>
              <w:jc w:val="right"/>
              <w:ind w:right="302"/>
              <w:spacing w:after="0"/>
              <w:rPr>
                <w:sz w:val="20"/>
                <w:szCs w:val="20"/>
                <w:color w:val="auto"/>
              </w:rPr>
            </w:pPr>
            <w:r>
              <w:rPr>
                <w:rFonts w:ascii="Courier New" w:cs="Courier New" w:eastAsia="Courier New" w:hAnsi="Courier New"/>
                <w:sz w:val="16"/>
                <w:szCs w:val="16"/>
                <w:color w:val="auto"/>
              </w:rPr>
              <w:t>THREE MONTHS ENDED</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3"/>
          </w:tcPr>
          <w:p>
            <w:pPr>
              <w:jc w:val="right"/>
              <w:ind w:right="862"/>
              <w:spacing w:after="0"/>
              <w:rPr>
                <w:sz w:val="20"/>
                <w:szCs w:val="20"/>
                <w:color w:val="auto"/>
              </w:rPr>
            </w:pPr>
            <w:r>
              <w:rPr>
                <w:rFonts w:ascii="Courier New" w:cs="Courier New" w:eastAsia="Courier New" w:hAnsi="Courier New"/>
                <w:sz w:val="16"/>
                <w:szCs w:val="16"/>
                <w:color w:val="auto"/>
              </w:rPr>
              <w:t>MARCH 31</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2002</w:t>
            </w:r>
          </w:p>
        </w:tc>
        <w:tc>
          <w:tcPr>
            <w:tcW w:w="46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2001</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0"/>
              </w:rPr>
              <w:t>-----------</w:t>
            </w:r>
          </w:p>
        </w:tc>
        <w:tc>
          <w:tcPr>
            <w:tcW w:w="460" w:type="dxa"/>
            <w:vAlign w:val="bottom"/>
          </w:tcPr>
          <w:p>
            <w:pPr>
              <w:spacing w:after="0"/>
              <w:rPr>
                <w:sz w:val="15"/>
                <w:szCs w:val="15"/>
                <w:color w:val="auto"/>
              </w:rPr>
            </w:pPr>
          </w:p>
        </w:tc>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Cash flows from operations: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4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1"/>
              </w:rPr>
              <w:t>Net cash from operations ......................</w:t>
            </w:r>
          </w:p>
        </w:tc>
        <w:tc>
          <w:tcPr>
            <w:tcW w:w="560" w:type="dxa"/>
            <w:vAlign w:val="bottom"/>
          </w:tcPr>
          <w:p>
            <w:pPr>
              <w:ind w:left="360"/>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813,007</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332,508</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Cash flows from investing:</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4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1"/>
              </w:rPr>
              <w:t>Capital expenditures ..........................</w:t>
            </w:r>
          </w:p>
        </w:tc>
        <w:tc>
          <w:tcPr>
            <w:tcW w:w="560" w:type="dxa"/>
            <w:vAlign w:val="bottom"/>
          </w:tcPr>
          <w:p>
            <w:pPr>
              <w:spacing w:after="0"/>
              <w:rPr>
                <w:sz w:val="15"/>
                <w:szCs w:val="15"/>
                <w:color w:val="auto"/>
              </w:rPr>
            </w:pPr>
          </w:p>
        </w:tc>
        <w:tc>
          <w:tcPr>
            <w:tcW w:w="130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(54,547)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(22,610)</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0"/>
              </w:rPr>
              <w:t>-----------</w:t>
            </w:r>
          </w:p>
        </w:tc>
        <w:tc>
          <w:tcPr>
            <w:tcW w:w="460" w:type="dxa"/>
            <w:vAlign w:val="bottom"/>
          </w:tcPr>
          <w:p>
            <w:pPr>
              <w:spacing w:after="0"/>
              <w:rPr>
                <w:sz w:val="15"/>
                <w:szCs w:val="15"/>
                <w:color w:val="auto"/>
              </w:rPr>
            </w:pPr>
          </w:p>
        </w:tc>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1"/>
              </w:rPr>
              <w:t>Net cash used for investing ...................</w:t>
            </w:r>
          </w:p>
        </w:tc>
        <w:tc>
          <w:tcPr>
            <w:tcW w:w="560" w:type="dxa"/>
            <w:vAlign w:val="bottom"/>
          </w:tcPr>
          <w:p>
            <w:pPr>
              <w:spacing w:after="0"/>
              <w:rPr>
                <w:sz w:val="15"/>
                <w:szCs w:val="15"/>
                <w:color w:val="auto"/>
              </w:rPr>
            </w:pPr>
          </w:p>
        </w:tc>
        <w:tc>
          <w:tcPr>
            <w:tcW w:w="130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(54,547)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(22,610)</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Cash flows from financing:</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0"/>
        </w:trPr>
        <w:tc>
          <w:tcPr>
            <w:tcW w:w="4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1"/>
              </w:rPr>
              <w:t>Issuance of common stock and warrants .........</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3,130</w:t>
            </w:r>
          </w:p>
        </w:tc>
        <w:tc>
          <w:tcPr>
            <w:tcW w:w="46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11,500</w:t>
            </w:r>
          </w:p>
        </w:tc>
      </w:tr>
      <w:tr>
        <w:trPr>
          <w:trHeight w:val="180"/>
        </w:trPr>
        <w:tc>
          <w:tcPr>
            <w:tcW w:w="4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1"/>
              </w:rPr>
              <w:t>Borrowings on bank line of credit, net ........</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(270,000)</w:t>
            </w:r>
          </w:p>
        </w:tc>
      </w:tr>
      <w:tr>
        <w:trPr>
          <w:trHeight w:val="180"/>
        </w:trPr>
        <w:tc>
          <w:tcPr>
            <w:tcW w:w="4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Payments on  note payable and capital leases</w:t>
            </w:r>
          </w:p>
        </w:tc>
        <w:tc>
          <w:tcPr>
            <w:tcW w:w="56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(63,577)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(46,128)</w:t>
            </w:r>
          </w:p>
        </w:tc>
      </w:tr>
      <w:tr>
        <w:trPr>
          <w:trHeight w:val="180"/>
        </w:trPr>
        <w:tc>
          <w:tcPr>
            <w:tcW w:w="4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1"/>
              </w:rPr>
              <w:t>Repurchase of common stock and warrants .......</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(6,500)</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0"/>
              </w:rPr>
              <w:t>-----------</w:t>
            </w:r>
          </w:p>
        </w:tc>
        <w:tc>
          <w:tcPr>
            <w:tcW w:w="460" w:type="dxa"/>
            <w:vAlign w:val="bottom"/>
          </w:tcPr>
          <w:p>
            <w:pPr>
              <w:spacing w:after="0"/>
              <w:rPr>
                <w:sz w:val="15"/>
                <w:szCs w:val="15"/>
                <w:color w:val="auto"/>
              </w:rPr>
            </w:pPr>
          </w:p>
        </w:tc>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0"/>
              </w:rPr>
              <w:t>Net cash used for financing .................</w:t>
            </w:r>
          </w:p>
        </w:tc>
        <w:tc>
          <w:tcPr>
            <w:tcW w:w="560" w:type="dxa"/>
            <w:vAlign w:val="bottom"/>
          </w:tcPr>
          <w:p>
            <w:pPr>
              <w:spacing w:after="0"/>
              <w:rPr>
                <w:sz w:val="15"/>
                <w:szCs w:val="15"/>
                <w:color w:val="auto"/>
              </w:rPr>
            </w:pPr>
          </w:p>
        </w:tc>
        <w:tc>
          <w:tcPr>
            <w:tcW w:w="130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(60,447)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(311,128)</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0"/>
              </w:rPr>
              <w:t>-----------</w:t>
            </w:r>
          </w:p>
        </w:tc>
        <w:tc>
          <w:tcPr>
            <w:tcW w:w="460" w:type="dxa"/>
            <w:vAlign w:val="bottom"/>
          </w:tcPr>
          <w:p>
            <w:pPr>
              <w:spacing w:after="0"/>
              <w:rPr>
                <w:sz w:val="15"/>
                <w:szCs w:val="15"/>
                <w:color w:val="auto"/>
              </w:rPr>
            </w:pPr>
          </w:p>
        </w:tc>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160" w:type="dxa"/>
            <w:vAlign w:val="bottom"/>
            <w:gridSpan w:val="3"/>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698,013</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(1,230)</w:t>
            </w:r>
          </w:p>
        </w:tc>
      </w:tr>
      <w:tr>
        <w:trPr>
          <w:trHeight w:val="36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w w:val="99"/>
              </w:rPr>
              <w:t>Cash and cash equivalents at beginning of period</w:t>
            </w:r>
          </w:p>
        </w:tc>
        <w:tc>
          <w:tcPr>
            <w:tcW w:w="560" w:type="dxa"/>
            <w:vAlign w:val="bottom"/>
          </w:tcPr>
          <w:p>
            <w:pPr>
              <w:jc w:val="right"/>
              <w:ind w:right="205"/>
              <w:spacing w:after="0"/>
              <w:rPr>
                <w:sz w:val="20"/>
                <w:szCs w:val="20"/>
                <w:color w:val="auto"/>
              </w:rPr>
            </w:pPr>
            <w:r>
              <w:rPr>
                <w:rFonts w:ascii="Courier New" w:cs="Courier New" w:eastAsia="Courier New" w:hAnsi="Courier New"/>
                <w:sz w:val="16"/>
                <w:szCs w:val="16"/>
                <w:color w:val="auto"/>
                <w:w w:val="90"/>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807,115</w:t>
            </w:r>
          </w:p>
        </w:tc>
        <w:tc>
          <w:tcPr>
            <w:tcW w:w="46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1,230</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0"/>
              </w:rPr>
              <w:t>-----------</w:t>
            </w:r>
          </w:p>
        </w:tc>
        <w:tc>
          <w:tcPr>
            <w:tcW w:w="460" w:type="dxa"/>
            <w:vAlign w:val="bottom"/>
          </w:tcPr>
          <w:p>
            <w:pPr>
              <w:spacing w:after="0"/>
              <w:rPr>
                <w:sz w:val="15"/>
                <w:szCs w:val="15"/>
                <w:color w:val="auto"/>
              </w:rPr>
            </w:pPr>
          </w:p>
        </w:tc>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w w:val="91"/>
              </w:rPr>
              <w:t>Cash and cash equivalents at end of period .........</w:t>
            </w:r>
          </w:p>
        </w:tc>
        <w:tc>
          <w:tcPr>
            <w:tcW w:w="560" w:type="dxa"/>
            <w:vAlign w:val="bottom"/>
          </w:tcPr>
          <w:p>
            <w:pPr>
              <w:ind w:left="360"/>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1,505,128</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902"/>
        </w:trPr>
        <w:tc>
          <w:tcPr>
            <w:tcW w:w="4400" w:type="dxa"/>
            <w:vAlign w:val="bottom"/>
          </w:tcPr>
          <w:p>
            <w:pPr>
              <w:jc w:val="center"/>
              <w:ind w:left="3022"/>
              <w:spacing w:after="0"/>
              <w:rPr>
                <w:sz w:val="20"/>
                <w:szCs w:val="20"/>
                <w:color w:val="auto"/>
              </w:rPr>
            </w:pPr>
            <w:r>
              <w:rPr>
                <w:rFonts w:ascii="Courier New" w:cs="Courier New" w:eastAsia="Courier New" w:hAnsi="Courier New"/>
                <w:sz w:val="16"/>
                <w:szCs w:val="16"/>
                <w:color w:val="auto"/>
                <w:w w:val="93"/>
              </w:rPr>
              <w:t>20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101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FOOTNOTES TO CONDENSED FINANCIAL STATEMENTS</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BASIS OF PRESENTATION</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The condensed balance sheets as of March 31, 2002, the condensed statements of operations and cash flows for the three-month periods ended March 31, 2002 and 2001 have been prepared by E.mergent, Inc. (for the purposes of Notes 1 to 6 below,"are" or the "Company") without audit. In the opinion of management, all adjustments (which include only normal recurring adjustments) necessary to present fairly the financial position, results of operations, and cash flows at March 31, 2002 and 2001 have been made.</w:t>
      </w:r>
    </w:p>
    <w:p>
      <w:pPr>
        <w:spacing w:after="0" w:line="185" w:lineRule="exact"/>
        <w:rPr>
          <w:sz w:val="20"/>
          <w:szCs w:val="20"/>
          <w:color w:val="auto"/>
        </w:rPr>
      </w:pPr>
    </w:p>
    <w:p>
      <w:pPr>
        <w:ind w:right="2899" w:firstLine="844"/>
        <w:spacing w:after="0" w:line="256" w:lineRule="auto"/>
        <w:rPr>
          <w:sz w:val="20"/>
          <w:szCs w:val="20"/>
          <w:color w:val="auto"/>
        </w:rPr>
      </w:pPr>
      <w:r>
        <w:rPr>
          <w:rFonts w:ascii="Courier New" w:cs="Courier New" w:eastAsia="Courier New" w:hAnsi="Courier New"/>
          <w:sz w:val="15"/>
          <w:szCs w:val="15"/>
          <w:color w:val="auto"/>
        </w:rPr>
        <w:t>Certain information and footnote disclosures normally included in financial statements prepared in accordance with generally accepted accounting principles have been condensed or omitted. It is suggested these condensed financial statements be read in conjunction with the financial statements and notes thereto included in the Company's December 31, 2001 Form 10KSB. The results of operations for the periods ended March 31, 2002 and 2001 are not necessarily indicative of the operating results for the entire year.</w:t>
      </w:r>
    </w:p>
    <w:p>
      <w:pPr>
        <w:spacing w:after="0" w:line="16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NEW ACCOUNTING STANDARDS</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 (SFAS) No. 142, GOODWILL AND OTHER INTANGIBLE ASSETS. This statement requires that goodwill and intangible assets deemed to have an indefinite life not be amortized. Instead of amortizing goodwill and intangible assets deemed to have an indefinite life, the statement requires a test for impairment to be performed annually, or immediately if conditions indicate that such an impairment could exist. We adopted the provisions of SFAS No. 142 effective January 1, 2002, and as a result, will no longer record goodwill amortization of approximately $132,000 per year. We are currently in the process of completing the first step of the initial goodwill impairment test required by SFAS No. 142 and will complete this assessment in the second quarter of 2002.</w:t>
      </w:r>
    </w:p>
    <w:p>
      <w:pPr>
        <w:spacing w:after="0" w:line="188" w:lineRule="exact"/>
        <w:rPr>
          <w:sz w:val="20"/>
          <w:szCs w:val="20"/>
          <w:color w:val="auto"/>
        </w:rPr>
      </w:pPr>
    </w:p>
    <w:p>
      <w:pPr>
        <w:ind w:right="2819" w:firstLine="844"/>
        <w:spacing w:after="0" w:line="236" w:lineRule="auto"/>
        <w:rPr>
          <w:sz w:val="20"/>
          <w:szCs w:val="20"/>
          <w:color w:val="auto"/>
        </w:rPr>
      </w:pPr>
      <w:r>
        <w:rPr>
          <w:rFonts w:ascii="Courier New" w:cs="Courier New" w:eastAsia="Courier New" w:hAnsi="Courier New"/>
          <w:sz w:val="16"/>
          <w:szCs w:val="16"/>
          <w:color w:val="auto"/>
        </w:rPr>
        <w:t>The following table provides the comparable effects of the adoption of SFAS No. 142 for the quarters ended March 31, 2002 and March 31, 2001.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w w:val="96"/>
              </w:rPr>
              <w:t>THREE MONTHS ENDING</w:t>
            </w:r>
          </w:p>
        </w:tc>
      </w:tr>
      <w:tr>
        <w:trPr>
          <w:trHeight w:val="180"/>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MARCH 31,</w:t>
            </w:r>
          </w:p>
        </w:tc>
        <w:tc>
          <w:tcPr>
            <w:tcW w:w="800" w:type="dxa"/>
            <w:vAlign w:val="bottom"/>
          </w:tcPr>
          <w:p>
            <w:pPr>
              <w:spacing w:after="0"/>
              <w:rPr>
                <w:sz w:val="15"/>
                <w:szCs w:val="15"/>
                <w:color w:val="auto"/>
              </w:rPr>
            </w:pPr>
          </w:p>
        </w:tc>
      </w:tr>
      <w:tr>
        <w:trPr>
          <w:trHeight w:val="180"/>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2002</w:t>
            </w:r>
          </w:p>
        </w:tc>
        <w:tc>
          <w:tcPr>
            <w:tcW w:w="38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2001</w:t>
            </w:r>
          </w:p>
        </w:tc>
      </w:tr>
      <w:tr>
        <w:trPr>
          <w:trHeight w:val="180"/>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800" w:type="dxa"/>
            <w:vAlign w:val="bottom"/>
          </w:tcPr>
          <w:p>
            <w:pPr>
              <w:spacing w:after="0"/>
              <w:rPr>
                <w:sz w:val="20"/>
                <w:szCs w:val="20"/>
                <w:color w:val="auto"/>
              </w:rPr>
            </w:pPr>
            <w:r>
              <w:rPr>
                <w:rFonts w:ascii="Courier New" w:cs="Courier New" w:eastAsia="Courier New" w:hAnsi="Courier New"/>
                <w:sz w:val="16"/>
                <w:szCs w:val="16"/>
                <w:color w:val="auto"/>
              </w:rPr>
              <w:t>Reported</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net loss</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(49,149)</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(60,035)</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Add back</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goodwill</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amortization............</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33,000</w:t>
            </w:r>
          </w:p>
        </w:tc>
      </w:tr>
      <w:tr>
        <w:trPr>
          <w:trHeight w:val="180"/>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Adjusted</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net loss</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(49,149)</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(27,035)</w:t>
            </w:r>
          </w:p>
        </w:tc>
      </w:tr>
      <w:tr>
        <w:trPr>
          <w:trHeight w:val="180"/>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800" w:type="dxa"/>
            <w:vAlign w:val="bottom"/>
          </w:tcPr>
          <w:p>
            <w:pPr>
              <w:spacing w:after="0"/>
              <w:rPr>
                <w:sz w:val="20"/>
                <w:szCs w:val="20"/>
                <w:color w:val="auto"/>
              </w:rPr>
            </w:pPr>
            <w:r>
              <w:rPr>
                <w:rFonts w:ascii="Courier New" w:cs="Courier New" w:eastAsia="Courier New" w:hAnsi="Courier New"/>
                <w:sz w:val="16"/>
                <w:szCs w:val="16"/>
                <w:color w:val="auto"/>
              </w:rPr>
              <w:t>Reported</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loss per</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share - basic ..........</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(0.01)</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3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amortization</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Adjusted</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net loss</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per share - basic ......</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(0.01)</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0"/>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800" w:type="dxa"/>
            <w:vAlign w:val="bottom"/>
          </w:tcPr>
          <w:p>
            <w:pPr>
              <w:spacing w:after="0"/>
              <w:rPr>
                <w:sz w:val="20"/>
                <w:szCs w:val="20"/>
                <w:color w:val="auto"/>
              </w:rPr>
            </w:pPr>
            <w:r>
              <w:rPr>
                <w:rFonts w:ascii="Courier New" w:cs="Courier New" w:eastAsia="Courier New" w:hAnsi="Courier New"/>
                <w:sz w:val="16"/>
                <w:szCs w:val="16"/>
                <w:color w:val="auto"/>
              </w:rPr>
              <w:t>Reported</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loss per</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share - diluted ........</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(0.01)</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3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amortization</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00" w:type="dxa"/>
            <w:vAlign w:val="bottom"/>
          </w:tcPr>
          <w:p>
            <w:pPr>
              <w:spacing w:after="0"/>
              <w:rPr>
                <w:sz w:val="20"/>
                <w:szCs w:val="20"/>
                <w:color w:val="auto"/>
              </w:rPr>
            </w:pPr>
            <w:r>
              <w:rPr>
                <w:rFonts w:ascii="Courier New" w:cs="Courier New" w:eastAsia="Courier New" w:hAnsi="Courier New"/>
                <w:sz w:val="16"/>
                <w:szCs w:val="16"/>
                <w:color w:val="auto"/>
              </w:rPr>
              <w:t>Adjusted</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net loss</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per share - diluted ....</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(0.01)</w:t>
            </w:r>
          </w:p>
        </w:tc>
        <w:tc>
          <w:tcPr>
            <w:tcW w:w="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0"/>
        </w:trPr>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In June 2001, the FASB issued SFAS No. 143, ACCOUNTING FOR ASSET RETIREMENT OBLIGATIONS. SFAS No. 143 addresses financial accounting and reporting for obligations associated with the retirement of tangible long-lived assets and the associated asset retirement costs. SFAS No. 143 applies to legal obligations associated with the retirement of long-lived assets that result from the acquisition, construction, development, and/or the</w:t>
      </w:r>
    </w:p>
    <w:p>
      <w:pPr>
        <w:spacing w:after="0" w:line="3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834" w:right="1440" w:bottom="1440" w:gutter="0" w:footer="0" w:header="0"/>
        </w:sectPr>
      </w:pPr>
    </w:p>
    <w:bookmarkStart w:id="22" w:name="page23"/>
    <w:bookmarkEnd w:id="22"/>
    <w:p>
      <w:pPr>
        <w:spacing w:after="0" w:line="256" w:lineRule="auto"/>
        <w:rPr>
          <w:sz w:val="20"/>
          <w:szCs w:val="20"/>
          <w:color w:val="auto"/>
        </w:rPr>
      </w:pPr>
      <w:r>
        <w:rPr>
          <w:rFonts w:ascii="Courier New" w:cs="Courier New" w:eastAsia="Courier New" w:hAnsi="Courier New"/>
          <w:sz w:val="15"/>
          <w:szCs w:val="15"/>
          <w:color w:val="auto"/>
        </w:rPr>
        <w:t>normal operation of a long-lived asset, except for certain obligations of lessees. SFAS No. 143 amends SFAS No. 19, FINANCIAL ACCOUNTING AND REPORTING BY OIL AND GAS PRODUCING COMPANIES. SFAS No. 143 is effective for the Company on January 1, 2003. Management is currently assessing what impact, if any, SFAS No. 143 will have on the Company's financial position or results of operations.</w:t>
      </w:r>
    </w:p>
    <w:p>
      <w:pPr>
        <w:spacing w:after="0" w:line="176" w:lineRule="exact"/>
        <w:rPr>
          <w:sz w:val="20"/>
          <w:szCs w:val="20"/>
          <w:color w:val="auto"/>
        </w:rPr>
      </w:pPr>
    </w:p>
    <w:p>
      <w:pPr>
        <w:ind w:firstLine="844"/>
        <w:spacing w:after="0" w:line="256" w:lineRule="auto"/>
        <w:rPr>
          <w:sz w:val="20"/>
          <w:szCs w:val="20"/>
          <w:color w:val="auto"/>
        </w:rPr>
      </w:pPr>
      <w:r>
        <w:rPr>
          <w:rFonts w:ascii="Courier New" w:cs="Courier New" w:eastAsia="Courier New" w:hAnsi="Courier New"/>
          <w:sz w:val="15"/>
          <w:szCs w:val="15"/>
          <w:color w:val="auto"/>
        </w:rPr>
        <w:t>In August 2001, the FASB issued SFAS No. 144, ACCOUNTING FOR THE IMPAIRMENT OR DISPOSAL OF LONG-LIVED ASSETS. SFAS No. 144 addresses financial accounting and reporting for the impairment or disposal of long-lived assets and supersedes SFAS No. 121, ACCOUNTING FOR THE IMPAIRMENT OF LONG-LIVED ASSETS AND FOR LONG-LIVED ASSETS TO BE DISPOSED OF. SFAS No. 144 was effective for the Company on January 1, 2002. The Company does not expect SFAS No. 144 to have a material effect on the Company's financial position or results of operations.</w:t>
      </w:r>
    </w:p>
    <w:p>
      <w:pPr>
        <w:spacing w:after="0" w:line="16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3.</w:t>
      </w:r>
      <w:r>
        <w:rPr>
          <w:sz w:val="20"/>
          <w:szCs w:val="20"/>
          <w:color w:val="auto"/>
        </w:rPr>
        <w:tab/>
      </w:r>
      <w:r>
        <w:rPr>
          <w:rFonts w:ascii="Courier New" w:cs="Courier New" w:eastAsia="Courier New" w:hAnsi="Courier New"/>
          <w:sz w:val="15"/>
          <w:szCs w:val="15"/>
          <w:color w:val="auto"/>
        </w:rPr>
        <w:t>INCOME PER COMMON SHARE</w:t>
      </w:r>
    </w:p>
    <w:p>
      <w:pPr>
        <w:spacing w:after="0" w:line="185" w:lineRule="exact"/>
        <w:rPr>
          <w:sz w:val="20"/>
          <w:szCs w:val="20"/>
          <w:color w:val="auto"/>
        </w:rPr>
      </w:pPr>
    </w:p>
    <w:p>
      <w:pPr>
        <w:ind w:firstLine="844"/>
        <w:spacing w:after="0" w:line="238" w:lineRule="auto"/>
        <w:rPr>
          <w:sz w:val="20"/>
          <w:szCs w:val="20"/>
          <w:color w:val="auto"/>
        </w:rPr>
      </w:pPr>
      <w:r>
        <w:rPr>
          <w:rFonts w:ascii="Courier New" w:cs="Courier New" w:eastAsia="Courier New" w:hAnsi="Courier New"/>
          <w:sz w:val="16"/>
          <w:szCs w:val="16"/>
          <w:color w:val="auto"/>
        </w:rPr>
        <w:t>Basic earnings per share is computed by dividing net income by the weighted average number of shares of common stock outstanding during the year. Diluted earnings per common share is similar to the computation of basic earnings per share, except that the denominator is increased for the assumed exercise of dilutive options using the treasury stock method. Stock options and warrants of 295,350 for 2002 and 222,252 for 2001 were not used in the calculation because their impact would have been anti-dilutive due to the net loss incurred for those periods. The components of the earnings per share are as follows:</w:t>
      </w:r>
    </w:p>
    <w:p>
      <w:pPr>
        <w:spacing w:after="0" w:line="181"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THREE MONTHS ENDING</w:t>
      </w:r>
    </w:p>
    <w:p>
      <w:pPr>
        <w:ind w:left="5720"/>
        <w:spacing w:after="0"/>
        <w:rPr>
          <w:sz w:val="20"/>
          <w:szCs w:val="20"/>
          <w:color w:val="auto"/>
        </w:rPr>
      </w:pPr>
      <w:r>
        <w:rPr>
          <w:rFonts w:ascii="Courier New" w:cs="Courier New" w:eastAsia="Courier New" w:hAnsi="Courier New"/>
          <w:sz w:val="16"/>
          <w:szCs w:val="16"/>
          <w:color w:val="auto"/>
        </w:rPr>
        <w:t>MARCH 31,</w:t>
      </w:r>
    </w:p>
    <w:p>
      <w:pPr>
        <w:ind w:left="5340"/>
        <w:spacing w:after="0" w:line="237" w:lineRule="auto"/>
        <w:tabs>
          <w:tab w:leader="none" w:pos="6640" w:val="left"/>
        </w:tabs>
        <w:rPr>
          <w:sz w:val="20"/>
          <w:szCs w:val="20"/>
          <w:color w:val="auto"/>
        </w:rPr>
      </w:pPr>
      <w:r>
        <w:rPr>
          <w:rFonts w:ascii="Courier New" w:cs="Courier New" w:eastAsia="Courier New" w:hAnsi="Courier New"/>
          <w:sz w:val="16"/>
          <w:szCs w:val="16"/>
          <w:color w:val="auto"/>
        </w:rPr>
        <w:t>2002</w:t>
      </w:r>
      <w:r>
        <w:rPr>
          <w:sz w:val="20"/>
          <w:szCs w:val="20"/>
          <w:color w:val="auto"/>
        </w:rPr>
        <w:tab/>
      </w:r>
      <w:r>
        <w:rPr>
          <w:rFonts w:ascii="Courier New" w:cs="Courier New" w:eastAsia="Courier New" w:hAnsi="Courier New"/>
          <w:sz w:val="16"/>
          <w:szCs w:val="16"/>
          <w:color w:val="auto"/>
        </w:rPr>
        <w:t>2001</w:t>
      </w:r>
    </w:p>
    <w:p>
      <w:pPr>
        <w:ind w:left="5160"/>
        <w:spacing w:after="0"/>
        <w:tabs>
          <w:tab w:leader="none" w:pos="6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common shares outstanding for</w:t>
      </w:r>
    </w:p>
    <w:p>
      <w:pPr>
        <w:ind w:left="560"/>
        <w:spacing w:after="0"/>
        <w:tabs>
          <w:tab w:leader="none" w:pos="5140" w:val="left"/>
          <w:tab w:leader="none" w:pos="6440" w:val="left"/>
        </w:tabs>
        <w:rPr>
          <w:sz w:val="20"/>
          <w:szCs w:val="20"/>
          <w:color w:val="auto"/>
        </w:rPr>
      </w:pPr>
      <w:r>
        <w:rPr>
          <w:rFonts w:ascii="Courier New" w:cs="Courier New" w:eastAsia="Courier New" w:hAnsi="Courier New"/>
          <w:sz w:val="16"/>
          <w:szCs w:val="16"/>
          <w:color w:val="auto"/>
        </w:rPr>
        <w:t>Basic earnings per share</w:t>
      </w:r>
      <w:r>
        <w:rPr>
          <w:sz w:val="20"/>
          <w:szCs w:val="20"/>
          <w:color w:val="auto"/>
        </w:rPr>
        <w:tab/>
      </w:r>
      <w:r>
        <w:rPr>
          <w:rFonts w:ascii="Courier New" w:cs="Courier New" w:eastAsia="Courier New" w:hAnsi="Courier New"/>
          <w:sz w:val="16"/>
          <w:szCs w:val="16"/>
          <w:color w:val="auto"/>
        </w:rPr>
        <w:t>5,930,280</w:t>
      </w:r>
      <w:r>
        <w:rPr>
          <w:sz w:val="20"/>
          <w:szCs w:val="20"/>
          <w:color w:val="auto"/>
        </w:rPr>
        <w:tab/>
      </w:r>
      <w:r>
        <w:rPr>
          <w:rFonts w:ascii="Courier New" w:cs="Courier New" w:eastAsia="Courier New" w:hAnsi="Courier New"/>
          <w:sz w:val="15"/>
          <w:szCs w:val="15"/>
          <w:color w:val="auto"/>
        </w:rPr>
        <w:t>5,774,378</w:t>
      </w:r>
    </w:p>
    <w:p>
      <w:pPr>
        <w:spacing w:after="0" w:line="237" w:lineRule="auto"/>
        <w:rPr>
          <w:sz w:val="20"/>
          <w:szCs w:val="20"/>
          <w:color w:val="auto"/>
        </w:rPr>
      </w:pPr>
      <w:r>
        <w:rPr>
          <w:rFonts w:ascii="Courier New" w:cs="Courier New" w:eastAsia="Courier New" w:hAnsi="Courier New"/>
          <w:sz w:val="16"/>
          <w:szCs w:val="16"/>
          <w:color w:val="auto"/>
        </w:rPr>
        <w:t>Effect of dilutive securities:</w:t>
      </w:r>
    </w:p>
    <w:p>
      <w:pPr>
        <w:ind w:left="560"/>
        <w:spacing w:after="0"/>
        <w:tabs>
          <w:tab w:leader="none" w:pos="5800" w:val="left"/>
          <w:tab w:leader="none" w:pos="7100" w:val="left"/>
        </w:tabs>
        <w:rPr>
          <w:sz w:val="20"/>
          <w:szCs w:val="20"/>
          <w:color w:val="auto"/>
        </w:rPr>
      </w:pPr>
      <w:r>
        <w:rPr>
          <w:rFonts w:ascii="Courier New" w:cs="Courier New" w:eastAsia="Courier New" w:hAnsi="Courier New"/>
          <w:sz w:val="16"/>
          <w:szCs w:val="16"/>
          <w:color w:val="auto"/>
        </w:rPr>
        <w:t>Stock Options and Warrants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5160"/>
        <w:spacing w:after="0" w:line="238" w:lineRule="auto"/>
        <w:tabs>
          <w:tab w:leader="none" w:pos="6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5140" w:val="left"/>
          <w:tab w:leader="none" w:pos="6440" w:val="left"/>
        </w:tabs>
        <w:rPr>
          <w:sz w:val="20"/>
          <w:szCs w:val="20"/>
          <w:color w:val="auto"/>
        </w:rPr>
      </w:pPr>
      <w:r>
        <w:rPr>
          <w:rFonts w:ascii="Courier New" w:cs="Courier New" w:eastAsia="Courier New" w:hAnsi="Courier New"/>
          <w:sz w:val="16"/>
          <w:szCs w:val="16"/>
          <w:color w:val="auto"/>
        </w:rPr>
        <w:t>Shares used in diluted earnings per share</w:t>
      </w:r>
      <w:r>
        <w:rPr>
          <w:sz w:val="20"/>
          <w:szCs w:val="20"/>
          <w:color w:val="auto"/>
        </w:rPr>
        <w:tab/>
      </w:r>
      <w:r>
        <w:rPr>
          <w:rFonts w:ascii="Courier New" w:cs="Courier New" w:eastAsia="Courier New" w:hAnsi="Courier New"/>
          <w:sz w:val="16"/>
          <w:szCs w:val="16"/>
          <w:color w:val="auto"/>
        </w:rPr>
        <w:t>5,930,280</w:t>
      </w:r>
      <w:r>
        <w:rPr>
          <w:sz w:val="20"/>
          <w:szCs w:val="20"/>
          <w:color w:val="auto"/>
        </w:rPr>
        <w:tab/>
      </w:r>
      <w:r>
        <w:rPr>
          <w:rFonts w:ascii="Courier New" w:cs="Courier New" w:eastAsia="Courier New" w:hAnsi="Courier New"/>
          <w:sz w:val="15"/>
          <w:szCs w:val="15"/>
          <w:color w:val="auto"/>
        </w:rPr>
        <w:t>5,774,378</w:t>
      </w:r>
    </w:p>
    <w:p>
      <w:pPr>
        <w:ind w:left="5160"/>
        <w:spacing w:after="0" w:line="238" w:lineRule="auto"/>
        <w:tabs>
          <w:tab w:leader="none" w:pos="6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LINE OF CREDIT</w:t>
      </w:r>
    </w:p>
    <w:p>
      <w:pPr>
        <w:spacing w:after="0" w:line="365" w:lineRule="exact"/>
        <w:rPr>
          <w:sz w:val="20"/>
          <w:szCs w:val="20"/>
          <w:color w:val="auto"/>
        </w:rPr>
      </w:pPr>
    </w:p>
    <w:p>
      <w:pPr>
        <w:ind w:firstLine="844"/>
        <w:spacing w:after="0" w:line="238" w:lineRule="auto"/>
        <w:rPr>
          <w:sz w:val="20"/>
          <w:szCs w:val="20"/>
          <w:color w:val="auto"/>
        </w:rPr>
      </w:pPr>
      <w:r>
        <w:rPr>
          <w:rFonts w:ascii="Courier New" w:cs="Courier New" w:eastAsia="Courier New" w:hAnsi="Courier New"/>
          <w:sz w:val="16"/>
          <w:szCs w:val="16"/>
          <w:color w:val="auto"/>
        </w:rPr>
        <w:t>At March 31, 2002, the Company has available a $2,750,000 bank revolving note, secured by substantially all assets, that expires June 30, 2002. Interest is computed on actual days elapsed, at an annual rate equal to the prime rate as quoted by THE WALL STREET JOURNAL. At March 31, 2002 the interest rate was 4.75%. The note is payable on demand. The terms of the note require the Company to maintain certain financial ratios. The Company was in compliance with all covenants as of March 31, 2002. The Company did not have any borrowings on March 31, 2002.</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5.</w:t>
      </w:r>
      <w:r>
        <w:rPr>
          <w:sz w:val="20"/>
          <w:szCs w:val="20"/>
          <w:color w:val="auto"/>
        </w:rPr>
        <w:tab/>
      </w:r>
      <w:r>
        <w:rPr>
          <w:rFonts w:ascii="Courier New" w:cs="Courier New" w:eastAsia="Courier New" w:hAnsi="Courier New"/>
          <w:sz w:val="15"/>
          <w:szCs w:val="15"/>
          <w:color w:val="auto"/>
        </w:rPr>
        <w:t>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020" w:type="dxa"/>
        <w:tblCellMar>
          <w:top w:w="0" w:type="dxa"/>
          <w:left w:w="0" w:type="dxa"/>
          <w:bottom w:w="0" w:type="dxa"/>
          <w:right w:w="0" w:type="dxa"/>
        </w:tblCellMar>
      </w:tblPr>
      <w:tr>
        <w:trPr>
          <w:trHeight w:val="181"/>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Inventories consisted of the following on:</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MARCH 31, 2002</w:t>
            </w:r>
          </w:p>
        </w:tc>
      </w:tr>
      <w:tr>
        <w:trPr>
          <w:trHeight w:val="541"/>
        </w:trPr>
        <w:tc>
          <w:tcPr>
            <w:tcW w:w="4700" w:type="dxa"/>
            <w:vAlign w:val="bottom"/>
          </w:tcPr>
          <w:p>
            <w:pPr>
              <w:spacing w:after="0"/>
              <w:rPr>
                <w:sz w:val="20"/>
                <w:szCs w:val="20"/>
                <w:color w:val="auto"/>
              </w:rPr>
            </w:pPr>
            <w:r>
              <w:rPr>
                <w:rFonts w:ascii="Courier New" w:cs="Courier New" w:eastAsia="Courier New" w:hAnsi="Courier New"/>
                <w:sz w:val="16"/>
                <w:szCs w:val="16"/>
                <w:color w:val="auto"/>
              </w:rPr>
              <w:t>Materials</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$1,374,548</w:t>
            </w:r>
          </w:p>
        </w:tc>
      </w:tr>
      <w:tr>
        <w:trPr>
          <w:trHeight w:val="180"/>
        </w:trPr>
        <w:tc>
          <w:tcPr>
            <w:tcW w:w="4700" w:type="dxa"/>
            <w:vAlign w:val="bottom"/>
          </w:tcPr>
          <w:p>
            <w:pPr>
              <w:spacing w:after="0"/>
              <w:rPr>
                <w:sz w:val="20"/>
                <w:szCs w:val="20"/>
                <w:color w:val="auto"/>
              </w:rPr>
            </w:pPr>
            <w:r>
              <w:rPr>
                <w:rFonts w:ascii="Courier New" w:cs="Courier New" w:eastAsia="Courier New" w:hAnsi="Courier New"/>
                <w:sz w:val="16"/>
                <w:szCs w:val="16"/>
                <w:color w:val="auto"/>
              </w:rPr>
              <w:t>Work-in-process</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406,308</w:t>
            </w:r>
          </w:p>
        </w:tc>
      </w:tr>
      <w:tr>
        <w:trPr>
          <w:trHeight w:val="180"/>
        </w:trPr>
        <w:tc>
          <w:tcPr>
            <w:tcW w:w="4700" w:type="dxa"/>
            <w:vAlign w:val="bottom"/>
          </w:tcPr>
          <w:p>
            <w:pPr>
              <w:spacing w:after="0"/>
              <w:rPr>
                <w:sz w:val="20"/>
                <w:szCs w:val="20"/>
                <w:color w:val="auto"/>
              </w:rPr>
            </w:pPr>
            <w:r>
              <w:rPr>
                <w:rFonts w:ascii="Courier New" w:cs="Courier New" w:eastAsia="Courier New" w:hAnsi="Courier New"/>
                <w:sz w:val="16"/>
                <w:szCs w:val="16"/>
                <w:color w:val="auto"/>
              </w:rPr>
              <w:t>Finished goods, including demonstration units</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1,824,563</w:t>
            </w:r>
          </w:p>
        </w:tc>
      </w:tr>
      <w:tr>
        <w:trPr>
          <w:trHeight w:val="180"/>
        </w:trPr>
        <w:tc>
          <w:tcPr>
            <w:tcW w:w="4700" w:type="dxa"/>
            <w:vAlign w:val="bottom"/>
          </w:tcPr>
          <w:p>
            <w:pPr>
              <w:spacing w:after="0"/>
              <w:rPr>
                <w:sz w:val="15"/>
                <w:szCs w:val="15"/>
                <w:color w:val="auto"/>
              </w:rPr>
            </w:pP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4700" w:type="dxa"/>
            <w:vAlign w:val="bottom"/>
          </w:tcPr>
          <w:p>
            <w:pPr>
              <w:spacing w:after="0"/>
              <w:rPr>
                <w:sz w:val="15"/>
                <w:szCs w:val="15"/>
                <w:color w:val="auto"/>
              </w:rPr>
            </w:pP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$3,605,419</w:t>
            </w:r>
          </w:p>
        </w:tc>
      </w:tr>
      <w:tr>
        <w:trPr>
          <w:trHeight w:val="180"/>
        </w:trPr>
        <w:tc>
          <w:tcPr>
            <w:tcW w:w="4700" w:type="dxa"/>
            <w:vAlign w:val="bottom"/>
          </w:tcPr>
          <w:p>
            <w:pPr>
              <w:spacing w:after="0"/>
              <w:rPr>
                <w:sz w:val="15"/>
                <w:szCs w:val="15"/>
                <w:color w:val="auto"/>
              </w:rPr>
            </w:pP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5"/>
          <w:szCs w:val="15"/>
          <w:color w:val="auto"/>
        </w:rPr>
        <w:t>DECEMBER 31, 2001</w:t>
      </w:r>
    </w:p>
    <w:p>
      <w:pPr>
        <w:spacing w:after="0" w:line="366" w:lineRule="exact"/>
        <w:rPr>
          <w:sz w:val="20"/>
          <w:szCs w:val="20"/>
          <w:color w:val="auto"/>
        </w:rPr>
      </w:pPr>
    </w:p>
    <w:p>
      <w:pPr>
        <w:jc w:val="right"/>
        <w:ind w:right="939"/>
        <w:spacing w:after="0"/>
        <w:rPr>
          <w:sz w:val="20"/>
          <w:szCs w:val="20"/>
          <w:color w:val="auto"/>
        </w:rPr>
      </w:pPr>
      <w:r>
        <w:rPr>
          <w:rFonts w:ascii="Courier New" w:cs="Courier New" w:eastAsia="Courier New" w:hAnsi="Courier New"/>
          <w:sz w:val="16"/>
          <w:szCs w:val="16"/>
          <w:color w:val="auto"/>
        </w:rPr>
        <w:t>$1,972,910</w:t>
      </w:r>
    </w:p>
    <w:p>
      <w:pPr>
        <w:jc w:val="right"/>
        <w:ind w:right="939"/>
        <w:spacing w:after="0"/>
        <w:rPr>
          <w:sz w:val="20"/>
          <w:szCs w:val="20"/>
          <w:color w:val="auto"/>
        </w:rPr>
      </w:pPr>
      <w:r>
        <w:rPr>
          <w:rFonts w:ascii="Courier New" w:cs="Courier New" w:eastAsia="Courier New" w:hAnsi="Courier New"/>
          <w:sz w:val="16"/>
          <w:szCs w:val="16"/>
          <w:color w:val="auto"/>
        </w:rPr>
        <w:t>481,465</w:t>
      </w:r>
    </w:p>
    <w:p>
      <w:pPr>
        <w:jc w:val="right"/>
        <w:ind w:right="939"/>
        <w:spacing w:after="0" w:line="237" w:lineRule="auto"/>
        <w:rPr>
          <w:sz w:val="20"/>
          <w:szCs w:val="20"/>
          <w:color w:val="auto"/>
        </w:rPr>
      </w:pPr>
      <w:r>
        <w:rPr>
          <w:rFonts w:ascii="Courier New" w:cs="Courier New" w:eastAsia="Courier New" w:hAnsi="Courier New"/>
          <w:sz w:val="16"/>
          <w:szCs w:val="16"/>
          <w:color w:val="auto"/>
        </w:rPr>
        <w:t>1,282,142</w:t>
      </w:r>
    </w:p>
    <w:p>
      <w:pPr>
        <w:ind w:left="280"/>
        <w:spacing w:after="0"/>
        <w:rPr>
          <w:sz w:val="20"/>
          <w:szCs w:val="20"/>
          <w:color w:val="auto"/>
        </w:rPr>
      </w:pPr>
      <w:r>
        <w:rPr>
          <w:rFonts w:ascii="Courier New" w:cs="Courier New" w:eastAsia="Courier New" w:hAnsi="Courier New"/>
          <w:sz w:val="16"/>
          <w:szCs w:val="16"/>
          <w:color w:val="auto"/>
        </w:rPr>
        <w:t>----------</w:t>
      </w:r>
    </w:p>
    <w:p>
      <w:pPr>
        <w:ind w:left="280"/>
        <w:spacing w:after="0" w:line="238" w:lineRule="auto"/>
        <w:rPr>
          <w:sz w:val="20"/>
          <w:szCs w:val="20"/>
          <w:color w:val="auto"/>
        </w:rPr>
      </w:pPr>
      <w:r>
        <w:rPr>
          <w:rFonts w:ascii="Courier New" w:cs="Courier New" w:eastAsia="Courier New" w:hAnsi="Courier New"/>
          <w:sz w:val="16"/>
          <w:szCs w:val="16"/>
          <w:color w:val="auto"/>
        </w:rPr>
        <w:t>$3,736,517</w:t>
      </w:r>
    </w:p>
    <w:p>
      <w:pPr>
        <w:ind w:left="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500" w:space="560"/>
            <w:col w:w="2159"/>
          </w:cols>
          <w:pgMar w:left="240" w:top="839" w:right="1440" w:bottom="1440" w:gutter="0" w:footer="0" w:header="0"/>
        </w:sectPr>
      </w:pPr>
    </w:p>
    <w:bookmarkStart w:id="23" w:name="page24"/>
    <w:bookmarkEnd w:id="23"/>
    <w:p>
      <w:pPr>
        <w:spacing w:after="0"/>
        <w:tabs>
          <w:tab w:leader="none" w:pos="820" w:val="left"/>
        </w:tabs>
        <w:rPr>
          <w:sz w:val="20"/>
          <w:szCs w:val="20"/>
          <w:color w:val="auto"/>
        </w:rPr>
      </w:pPr>
      <w:r>
        <w:rPr>
          <w:rFonts w:ascii="Courier New" w:cs="Courier New" w:eastAsia="Courier New" w:hAnsi="Courier New"/>
          <w:sz w:val="16"/>
          <w:szCs w:val="16"/>
          <w:color w:val="auto"/>
        </w:rPr>
        <w:t>NOTE 6.</w:t>
      </w:r>
      <w:r>
        <w:rPr>
          <w:sz w:val="20"/>
          <w:szCs w:val="20"/>
          <w:color w:val="auto"/>
        </w:rPr>
        <w:tab/>
      </w:r>
      <w:r>
        <w:rPr>
          <w:rFonts w:ascii="Courier New" w:cs="Courier New" w:eastAsia="Courier New" w:hAnsi="Courier New"/>
          <w:sz w:val="15"/>
          <w:szCs w:val="15"/>
          <w:color w:val="auto"/>
        </w:rPr>
        <w:t>SEGMENT INFORMATION</w:t>
      </w:r>
    </w:p>
    <w:p>
      <w:pPr>
        <w:spacing w:after="0" w:line="185" w:lineRule="exact"/>
        <w:rPr>
          <w:sz w:val="20"/>
          <w:szCs w:val="20"/>
          <w:color w:val="auto"/>
        </w:rPr>
      </w:pPr>
    </w:p>
    <w:p>
      <w:pPr>
        <w:ind w:right="3480" w:firstLine="844"/>
        <w:spacing w:after="0" w:line="237" w:lineRule="auto"/>
        <w:rPr>
          <w:sz w:val="20"/>
          <w:szCs w:val="20"/>
          <w:color w:val="auto"/>
        </w:rPr>
      </w:pPr>
      <w:r>
        <w:rPr>
          <w:rFonts w:ascii="Courier New" w:cs="Courier New" w:eastAsia="Courier New" w:hAnsi="Courier New"/>
          <w:sz w:val="16"/>
          <w:szCs w:val="16"/>
          <w:color w:val="auto"/>
        </w:rPr>
        <w:t>The Company classifies its businesses into two segments: Products Division (VideoLabs), which designs, manufactures, and markets collaboration-based peripherals; and Services Division (ACS), which specializes in the design, installation, support, and service of multimedia systems.</w:t>
      </w:r>
    </w:p>
    <w:p>
      <w:pPr>
        <w:spacing w:after="0" w:line="18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Information concerning the Company's operations by segment is presented</w:t>
      </w:r>
    </w:p>
    <w:p>
      <w:pPr>
        <w:spacing w:after="0"/>
        <w:rPr>
          <w:sz w:val="20"/>
          <w:szCs w:val="20"/>
          <w:color w:val="auto"/>
        </w:rPr>
      </w:pPr>
      <w:r>
        <w:rPr>
          <w:rFonts w:ascii="Courier New" w:cs="Courier New" w:eastAsia="Courier New" w:hAnsi="Courier New"/>
          <w:sz w:val="16"/>
          <w:szCs w:val="16"/>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Products</w:t>
            </w:r>
          </w:p>
        </w:tc>
        <w:tc>
          <w:tcPr>
            <w:tcW w:w="380" w:type="dxa"/>
            <w:vAlign w:val="bottom"/>
          </w:tcPr>
          <w:p>
            <w:pPr>
              <w:spacing w:after="0"/>
              <w:rPr>
                <w:sz w:val="15"/>
                <w:szCs w:val="15"/>
                <w:color w:val="auto"/>
              </w:rPr>
            </w:pP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Services</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Division</w:t>
            </w:r>
          </w:p>
        </w:tc>
        <w:tc>
          <w:tcPr>
            <w:tcW w:w="380" w:type="dxa"/>
            <w:vAlign w:val="bottom"/>
          </w:tcPr>
          <w:p>
            <w:pPr>
              <w:spacing w:after="0"/>
              <w:rPr>
                <w:sz w:val="15"/>
                <w:szCs w:val="15"/>
                <w:color w:val="auto"/>
              </w:rPr>
            </w:pP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Division</w:t>
            </w:r>
          </w:p>
        </w:tc>
        <w:tc>
          <w:tcPr>
            <w:tcW w:w="380" w:type="dxa"/>
            <w:vAlign w:val="bottom"/>
          </w:tcPr>
          <w:p>
            <w:pPr>
              <w:spacing w:after="0"/>
              <w:rPr>
                <w:sz w:val="15"/>
                <w:szCs w:val="15"/>
                <w:color w:val="auto"/>
              </w:rPr>
            </w:pP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Corporate</w:t>
            </w:r>
          </w:p>
        </w:tc>
        <w:tc>
          <w:tcPr>
            <w:tcW w:w="280" w:type="dxa"/>
            <w:vAlign w:val="bottom"/>
          </w:tcPr>
          <w:p>
            <w:pPr>
              <w:spacing w:after="0"/>
              <w:rPr>
                <w:sz w:val="15"/>
                <w:szCs w:val="15"/>
                <w:color w:val="auto"/>
              </w:rPr>
            </w:pP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Consolidated</w:t>
            </w:r>
          </w:p>
        </w:tc>
      </w:tr>
      <w:tr>
        <w:trPr>
          <w:trHeight w:val="180"/>
        </w:trPr>
        <w:tc>
          <w:tcPr>
            <w:tcW w:w="3660" w:type="dxa"/>
            <w:vAlign w:val="bottom"/>
          </w:tcPr>
          <w:p>
            <w:pPr>
              <w:spacing w:after="0"/>
              <w:rPr>
                <w:sz w:val="15"/>
                <w:szCs w:val="15"/>
                <w:color w:val="auto"/>
              </w:rPr>
            </w:pPr>
          </w:p>
        </w:tc>
        <w:tc>
          <w:tcPr>
            <w:tcW w:w="22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3660" w:type="dxa"/>
            <w:vAlign w:val="bottom"/>
          </w:tcPr>
          <w:p>
            <w:pPr>
              <w:spacing w:after="0"/>
              <w:rPr>
                <w:sz w:val="20"/>
                <w:szCs w:val="20"/>
                <w:color w:val="auto"/>
              </w:rPr>
            </w:pPr>
            <w:r>
              <w:rPr>
                <w:rFonts w:ascii="Courier New" w:cs="Courier New" w:eastAsia="Courier New" w:hAnsi="Courier New"/>
                <w:sz w:val="16"/>
                <w:szCs w:val="16"/>
                <w:color w:val="auto"/>
              </w:rPr>
              <w:t>THREE MONTHS ENDED MARCH 31, 2002:</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1"/>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Sales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2,879,661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2,329,380</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5,209,041</w:t>
            </w:r>
          </w:p>
        </w:tc>
      </w:tr>
      <w:tr>
        <w:trPr>
          <w:trHeight w:val="180"/>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Cost of sales</w:t>
            </w:r>
          </w:p>
        </w:tc>
        <w:tc>
          <w:tcPr>
            <w:tcW w:w="102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1,802,021</w:t>
            </w:r>
          </w:p>
        </w:tc>
        <w:tc>
          <w:tcPr>
            <w:tcW w:w="38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1,573,699</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3,375,720</w:t>
            </w:r>
          </w:p>
        </w:tc>
      </w:tr>
      <w:tr>
        <w:trPr>
          <w:trHeight w:val="180"/>
        </w:trPr>
        <w:tc>
          <w:tcPr>
            <w:tcW w:w="3660" w:type="dxa"/>
            <w:vAlign w:val="bottom"/>
          </w:tcPr>
          <w:p>
            <w:pPr>
              <w:spacing w:after="0"/>
              <w:rPr>
                <w:sz w:val="15"/>
                <w:szCs w:val="15"/>
                <w:color w:val="auto"/>
              </w:rPr>
            </w:pPr>
          </w:p>
        </w:tc>
        <w:tc>
          <w:tcPr>
            <w:tcW w:w="22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Gross profit</w:t>
            </w:r>
          </w:p>
        </w:tc>
        <w:tc>
          <w:tcPr>
            <w:tcW w:w="102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1,077,640</w:t>
            </w:r>
          </w:p>
        </w:tc>
        <w:tc>
          <w:tcPr>
            <w:tcW w:w="38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755,681</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1,833,321</w:t>
            </w:r>
          </w:p>
        </w:tc>
      </w:tr>
      <w:tr>
        <w:trPr>
          <w:trHeight w:val="180"/>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Operating expenses</w:t>
            </w:r>
          </w:p>
        </w:tc>
        <w:tc>
          <w:tcPr>
            <w:tcW w:w="102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534,959</w:t>
            </w:r>
          </w:p>
        </w:tc>
        <w:tc>
          <w:tcPr>
            <w:tcW w:w="38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712,346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671,756</w:t>
            </w:r>
          </w:p>
        </w:tc>
        <w:tc>
          <w:tcPr>
            <w:tcW w:w="280" w:type="dxa"/>
            <w:vAlign w:val="bottom"/>
          </w:tcPr>
          <w:p>
            <w:pPr>
              <w:spacing w:after="0"/>
              <w:rPr>
                <w:sz w:val="15"/>
                <w:szCs w:val="15"/>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1,919,061</w:t>
            </w:r>
          </w:p>
        </w:tc>
      </w:tr>
      <w:tr>
        <w:trPr>
          <w:trHeight w:val="180"/>
        </w:trPr>
        <w:tc>
          <w:tcPr>
            <w:tcW w:w="3660" w:type="dxa"/>
            <w:vAlign w:val="bottom"/>
          </w:tcPr>
          <w:p>
            <w:pPr>
              <w:spacing w:after="0"/>
              <w:rPr>
                <w:sz w:val="15"/>
                <w:szCs w:val="15"/>
                <w:color w:val="auto"/>
              </w:rPr>
            </w:pPr>
          </w:p>
        </w:tc>
        <w:tc>
          <w:tcPr>
            <w:tcW w:w="22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Operating income (loss)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542,681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43,335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(671,756)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(85,740)</w:t>
            </w:r>
          </w:p>
        </w:tc>
      </w:tr>
      <w:tr>
        <w:trPr>
          <w:trHeight w:val="180"/>
        </w:trPr>
        <w:tc>
          <w:tcPr>
            <w:tcW w:w="3660" w:type="dxa"/>
            <w:vAlign w:val="bottom"/>
          </w:tcPr>
          <w:p>
            <w:pPr>
              <w:spacing w:after="0"/>
              <w:rPr>
                <w:sz w:val="15"/>
                <w:szCs w:val="15"/>
                <w:color w:val="auto"/>
              </w:rPr>
            </w:pPr>
          </w:p>
        </w:tc>
        <w:tc>
          <w:tcPr>
            <w:tcW w:w="22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w w:val="96"/>
              </w:rPr>
              <w:t>Depreciation and amortization</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7,143</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20,911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79,511</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107,565</w:t>
            </w:r>
          </w:p>
        </w:tc>
      </w:tr>
      <w:tr>
        <w:trPr>
          <w:trHeight w:val="180"/>
        </w:trPr>
        <w:tc>
          <w:tcPr>
            <w:tcW w:w="3660" w:type="dxa"/>
            <w:vAlign w:val="bottom"/>
          </w:tcPr>
          <w:p>
            <w:pPr>
              <w:spacing w:after="0"/>
              <w:rPr>
                <w:sz w:val="15"/>
                <w:szCs w:val="15"/>
                <w:color w:val="auto"/>
              </w:rPr>
            </w:pPr>
          </w:p>
        </w:tc>
        <w:tc>
          <w:tcPr>
            <w:tcW w:w="22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THREE MONTHS ENDED MARCH 31, 2001:</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1"/>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Sales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2,197,031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2,726,630</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4,923,661</w:t>
            </w:r>
          </w:p>
        </w:tc>
      </w:tr>
      <w:tr>
        <w:trPr>
          <w:trHeight w:val="180"/>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Cost of sales</w:t>
            </w:r>
          </w:p>
        </w:tc>
        <w:tc>
          <w:tcPr>
            <w:tcW w:w="102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1,426,159</w:t>
            </w:r>
          </w:p>
        </w:tc>
        <w:tc>
          <w:tcPr>
            <w:tcW w:w="38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1,706,715</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3,132,874</w:t>
            </w:r>
          </w:p>
        </w:tc>
      </w:tr>
      <w:tr>
        <w:trPr>
          <w:trHeight w:val="180"/>
        </w:trPr>
        <w:tc>
          <w:tcPr>
            <w:tcW w:w="3660" w:type="dxa"/>
            <w:vAlign w:val="bottom"/>
          </w:tcPr>
          <w:p>
            <w:pPr>
              <w:spacing w:after="0"/>
              <w:rPr>
                <w:sz w:val="15"/>
                <w:szCs w:val="15"/>
                <w:color w:val="auto"/>
              </w:rPr>
            </w:pPr>
          </w:p>
        </w:tc>
        <w:tc>
          <w:tcPr>
            <w:tcW w:w="22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Gross profit</w:t>
            </w:r>
          </w:p>
        </w:tc>
        <w:tc>
          <w:tcPr>
            <w:tcW w:w="102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770,872</w:t>
            </w:r>
          </w:p>
        </w:tc>
        <w:tc>
          <w:tcPr>
            <w:tcW w:w="38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1,019,915</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1,790,787</w:t>
            </w:r>
          </w:p>
        </w:tc>
      </w:tr>
      <w:tr>
        <w:trPr>
          <w:trHeight w:val="180"/>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Operating expenses</w:t>
            </w:r>
          </w:p>
        </w:tc>
        <w:tc>
          <w:tcPr>
            <w:tcW w:w="102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614,551</w:t>
            </w:r>
          </w:p>
        </w:tc>
        <w:tc>
          <w:tcPr>
            <w:tcW w:w="38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785,890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448,121</w:t>
            </w:r>
          </w:p>
        </w:tc>
        <w:tc>
          <w:tcPr>
            <w:tcW w:w="280" w:type="dxa"/>
            <w:vAlign w:val="bottom"/>
          </w:tcPr>
          <w:p>
            <w:pPr>
              <w:spacing w:after="0"/>
              <w:rPr>
                <w:sz w:val="15"/>
                <w:szCs w:val="15"/>
                <w:color w:val="auto"/>
              </w:rPr>
            </w:pP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1,848,562</w:t>
            </w:r>
          </w:p>
        </w:tc>
      </w:tr>
      <w:tr>
        <w:trPr>
          <w:trHeight w:val="180"/>
        </w:trPr>
        <w:tc>
          <w:tcPr>
            <w:tcW w:w="3660" w:type="dxa"/>
            <w:vAlign w:val="bottom"/>
          </w:tcPr>
          <w:p>
            <w:pPr>
              <w:spacing w:after="0"/>
              <w:rPr>
                <w:sz w:val="15"/>
                <w:szCs w:val="15"/>
                <w:color w:val="auto"/>
              </w:rPr>
            </w:pPr>
          </w:p>
        </w:tc>
        <w:tc>
          <w:tcPr>
            <w:tcW w:w="22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rPr>
              <w:t>Operating income (loss)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156,321</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234,025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(448,121)</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(57,775)</w:t>
            </w:r>
          </w:p>
        </w:tc>
      </w:tr>
      <w:tr>
        <w:trPr>
          <w:trHeight w:val="180"/>
        </w:trPr>
        <w:tc>
          <w:tcPr>
            <w:tcW w:w="3660" w:type="dxa"/>
            <w:vAlign w:val="bottom"/>
          </w:tcPr>
          <w:p>
            <w:pPr>
              <w:spacing w:after="0"/>
              <w:rPr>
                <w:sz w:val="15"/>
                <w:szCs w:val="15"/>
                <w:color w:val="auto"/>
              </w:rPr>
            </w:pPr>
          </w:p>
        </w:tc>
        <w:tc>
          <w:tcPr>
            <w:tcW w:w="22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3660" w:type="dxa"/>
            <w:vAlign w:val="bottom"/>
          </w:tcPr>
          <w:p>
            <w:pPr>
              <w:ind w:left="940"/>
              <w:spacing w:after="0"/>
              <w:rPr>
                <w:sz w:val="20"/>
                <w:szCs w:val="20"/>
                <w:color w:val="auto"/>
              </w:rPr>
            </w:pPr>
            <w:r>
              <w:rPr>
                <w:rFonts w:ascii="Courier New" w:cs="Courier New" w:eastAsia="Courier New" w:hAnsi="Courier New"/>
                <w:sz w:val="16"/>
                <w:szCs w:val="16"/>
                <w:color w:val="auto"/>
                <w:w w:val="96"/>
              </w:rPr>
              <w:t>Depreciation and amortization</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7,143</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19,915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121,271</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148,329</w:t>
            </w:r>
          </w:p>
        </w:tc>
      </w:tr>
      <w:tr>
        <w:trPr>
          <w:trHeight w:val="180"/>
        </w:trPr>
        <w:tc>
          <w:tcPr>
            <w:tcW w:w="3660" w:type="dxa"/>
            <w:vAlign w:val="bottom"/>
          </w:tcPr>
          <w:p>
            <w:pPr>
              <w:spacing w:after="0"/>
              <w:rPr>
                <w:sz w:val="15"/>
                <w:szCs w:val="15"/>
                <w:color w:val="auto"/>
              </w:rPr>
            </w:pPr>
          </w:p>
        </w:tc>
        <w:tc>
          <w:tcPr>
            <w:tcW w:w="22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902"/>
        </w:trPr>
        <w:tc>
          <w:tcPr>
            <w:tcW w:w="3660" w:type="dxa"/>
            <w:vAlign w:val="bottom"/>
          </w:tcPr>
          <w:p>
            <w:pPr>
              <w:spacing w:after="0"/>
              <w:rPr>
                <w:sz w:val="24"/>
                <w:szCs w:val="24"/>
                <w:color w:val="auto"/>
              </w:rPr>
            </w:pPr>
          </w:p>
        </w:tc>
        <w:tc>
          <w:tcPr>
            <w:tcW w:w="1020" w:type="dxa"/>
            <w:vAlign w:val="bottom"/>
          </w:tcPr>
          <w:p>
            <w:pPr>
              <w:jc w:val="right"/>
              <w:ind w:right="762"/>
              <w:spacing w:after="0"/>
              <w:rPr>
                <w:sz w:val="20"/>
                <w:szCs w:val="20"/>
                <w:color w:val="auto"/>
              </w:rPr>
            </w:pPr>
            <w:r>
              <w:rPr>
                <w:rFonts w:ascii="Courier New" w:cs="Courier New" w:eastAsia="Courier New" w:hAnsi="Courier New"/>
                <w:sz w:val="16"/>
                <w:szCs w:val="16"/>
                <w:color w:val="auto"/>
                <w:w w:val="83"/>
              </w:rPr>
              <w:t>23</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880"/>
          </w:cols>
          <w:pgMar w:left="240" w:top="834" w:right="779" w:bottom="1440" w:gutter="0" w:footer="0" w:header="0"/>
        </w:sectPr>
      </w:pPr>
    </w:p>
    <w:bookmarkStart w:id="24" w:name="page25"/>
    <w:bookmarkEnd w:id="24"/>
    <w:p>
      <w:pPr>
        <w:ind w:left="380"/>
        <w:spacing w:after="0"/>
        <w:rPr>
          <w:sz w:val="20"/>
          <w:szCs w:val="20"/>
          <w:color w:val="auto"/>
        </w:rPr>
      </w:pPr>
      <w:r>
        <w:rPr>
          <w:rFonts w:ascii="Courier New" w:cs="Courier New" w:eastAsia="Courier New" w:hAnsi="Courier New"/>
          <w:sz w:val="16"/>
          <w:szCs w:val="16"/>
          <w:color w:val="auto"/>
        </w:rPr>
        <w:t>UNAUDITED PRO FORMA CONDENSED COMBINED FINANCIAL INFORMATION OF CLEARONE</w:t>
      </w:r>
    </w:p>
    <w:p>
      <w:pPr>
        <w:spacing w:after="0" w:line="185" w:lineRule="exact"/>
        <w:rPr>
          <w:sz w:val="20"/>
          <w:szCs w:val="20"/>
          <w:color w:val="auto"/>
        </w:rPr>
      </w:pPr>
    </w:p>
    <w:p>
      <w:pPr>
        <w:ind w:right="2719" w:firstLine="750"/>
        <w:spacing w:after="0" w:line="254" w:lineRule="auto"/>
        <w:rPr>
          <w:sz w:val="20"/>
          <w:szCs w:val="20"/>
          <w:color w:val="auto"/>
        </w:rPr>
      </w:pPr>
      <w:r>
        <w:rPr>
          <w:rFonts w:ascii="Courier New" w:cs="Courier New" w:eastAsia="Courier New" w:hAnsi="Courier New"/>
          <w:sz w:val="15"/>
          <w:szCs w:val="15"/>
          <w:color w:val="auto"/>
        </w:rPr>
        <w:t>The following unaudited pro forma condensed combined financial information gives effect to the acquisitions of Ivron Systems, Ltd. and E.mergent by ClearOne and the December 2001 private placement of ClearOne common stock. Effective October 3, 2001, ClearOne, through a wholly owned subsidiary, acquired the shares of Ivron Systems for a combination of cash and stock. An amendment to the share purchase agreement dated October 3, 2001 was finalized April 8, 2002. Because the terms of the amendment had been negotiated as of March 31, 2002, the effects of such amendment were included in ClearOne's financial statements as of March 31, 2002. Effective December 11, 2001, ClearOne issued 1,500,000 shares of common stock under a private placement that were subsequently registered on Form S-3 with the Securities and Exchange Commission. The only impact of this stock offering on the pro forma statements of operations is the inclusion of 1,500,000 shares in the calculation of the weighted average shares outstanding. On January 21, 2002, ClearOne entered into a definitive agreement to acquire the stock of E.mergent for a combination of cash and stock. The E.mergent acquisition was completed on May 31, 2002. Both the Ivron Systems and E.mergent acquisitions have been accounted for under the purchase method of accounting. The unaudited pro forma condensed combined statements of operations for the year ended June 30, 2001 and the nine months ended March 31, 2002 have been prepared as if each transaction occurred on July 1, 2000. The pro forma condensed combined balance sheet as of March 31, 2002 has been prepared as if the E.mergent acquisition occurred on March 31, 2002. Because the financial results of Ivron Systems and the private placement are included in ClearOne's historical financial statements as of March 31, 2002, no adjustments have been made to the pro forma balance sheet related to these transactions. Please see the notes to these pro forma combined condensed statements regarding certain assumptions utilized in the preparation of these statements. ClearOne's fiscal year ends on June 30 while the fiscal years of Ivron Systems and E.mergent historically ended on December 31. Accordingly, ClearOne has combined its historical results from continuing operations for the year ended June 30, 2001 with the unaudited financial results of Ivron Systems and E.mergent for the twelve months ended June 30, 2001, comprising the last six months of operations of Ivron Systems and E.mergent for the year ended December 31, 2000 and the first six months of operations of Ivron Systems and E.mergent for the year ended December 31, 2001. The unaudited pro forma condensed combined statement of operations presented for the nine months ended March 31, 2002 includes the historical unaudited financial results from continuing operations of ClearOne and E.mergent for the nine months ended March 31, 2002. The historical unaudited financial results from continuing operations of Ivron Systems are included from July 1, 2000 to October 2, 2001, with the results from October 3, 2001 to March 31, 2002 already consolidated in ClearOne's operating results.</w:t>
      </w:r>
    </w:p>
    <w:p>
      <w:pPr>
        <w:spacing w:after="0" w:line="382" w:lineRule="exact"/>
        <w:rPr>
          <w:sz w:val="20"/>
          <w:szCs w:val="20"/>
          <w:color w:val="auto"/>
        </w:rPr>
      </w:pPr>
    </w:p>
    <w:p>
      <w:pPr>
        <w:ind w:right="2899" w:firstLine="750"/>
        <w:spacing w:after="0" w:line="238" w:lineRule="auto"/>
        <w:rPr>
          <w:sz w:val="20"/>
          <w:szCs w:val="20"/>
          <w:color w:val="auto"/>
        </w:rPr>
      </w:pPr>
      <w:r>
        <w:rPr>
          <w:rFonts w:ascii="Courier New" w:cs="Courier New" w:eastAsia="Courier New" w:hAnsi="Courier New"/>
          <w:sz w:val="16"/>
          <w:szCs w:val="16"/>
          <w:color w:val="auto"/>
        </w:rPr>
        <w:t>Unaudited pro forma condensed combined financial information is presented for illustrative purposes only and is not necessarily indicative of the financial position or results of operations that would have actually been reported had the transactions occurred on the dates indicated above, nor is it necessarily indicative of future financial position or results of operations. These unaudited pro forma condensed combined financial statements are based on the respective historical financial statements of ClearOne, Ivron Systems and E.mergent and do not incorporate, nor do they assume, any benefits from cost savings or synergies of operations of the combined company. The unaudited pro forma condensed combined financial information should be read together with ClearOne's historical financial statements and those of Ivron Systems and E.mergent, including the related notes, and "Management's Discussion and Analysis of Financial Condition and Results of Operations" of ClearOne, all of which are included in filings that have been previously filed with the Securities and Exchange Commission.</w:t>
      </w:r>
    </w:p>
    <w:p>
      <w:pPr>
        <w:spacing w:after="0" w:line="190"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The pro forma financial statements include adjustments, which are based upon the final determination of the identifiable intangible assets acquired from E.mergent and certain other management estimates, to reflect the allocation of the purchase consideration to the acquired assets and liabilities of E.mergent. Management does not expect that further adjustments to the purchase price allocation, if any, will be material.</w:t>
      </w:r>
    </w:p>
    <w:p>
      <w:pPr>
        <w:spacing w:after="0" w:line="200" w:lineRule="exact"/>
        <w:rPr>
          <w:sz w:val="20"/>
          <w:szCs w:val="20"/>
          <w:color w:val="auto"/>
        </w:rPr>
      </w:pPr>
    </w:p>
    <w:p>
      <w:pPr>
        <w:spacing w:after="0" w:line="34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4"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1"/>
        </w:trPr>
        <w:tc>
          <w:tcPr>
            <w:tcW w:w="5900" w:type="dxa"/>
            <w:vAlign w:val="bottom"/>
            <w:gridSpan w:val="4"/>
          </w:tcPr>
          <w:p>
            <w:pPr>
              <w:ind w:left="1780"/>
              <w:spacing w:after="0"/>
              <w:rPr>
                <w:sz w:val="20"/>
                <w:szCs w:val="20"/>
                <w:color w:val="auto"/>
              </w:rPr>
            </w:pPr>
            <w:r>
              <w:rPr>
                <w:rFonts w:ascii="Courier New" w:cs="Courier New" w:eastAsia="Courier New" w:hAnsi="Courier New"/>
                <w:sz w:val="16"/>
                <w:szCs w:val="16"/>
                <w:color w:val="auto"/>
              </w:rPr>
              <w:t>Unaudited Pro Forma Financial Information</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900" w:type="dxa"/>
            <w:vAlign w:val="bottom"/>
            <w:gridSpan w:val="4"/>
          </w:tcPr>
          <w:p>
            <w:pPr>
              <w:jc w:val="center"/>
              <w:ind w:left="1322"/>
              <w:spacing w:after="0"/>
              <w:rPr>
                <w:sz w:val="20"/>
                <w:szCs w:val="20"/>
                <w:color w:val="auto"/>
              </w:rPr>
            </w:pPr>
            <w:r>
              <w:rPr>
                <w:rFonts w:ascii="Courier New" w:cs="Courier New" w:eastAsia="Courier New" w:hAnsi="Courier New"/>
                <w:sz w:val="16"/>
                <w:szCs w:val="16"/>
                <w:color w:val="auto"/>
                <w:w w:val="97"/>
              </w:rPr>
              <w:t>Pro Forma Condensed Combined Balance Sheet</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4680" w:type="dxa"/>
            <w:vAlign w:val="bottom"/>
            <w:gridSpan w:val="2"/>
          </w:tcPr>
          <w:p>
            <w:pPr>
              <w:jc w:val="center"/>
              <w:ind w:left="2542"/>
              <w:spacing w:after="0"/>
              <w:rPr>
                <w:sz w:val="20"/>
                <w:szCs w:val="20"/>
                <w:color w:val="auto"/>
              </w:rPr>
            </w:pPr>
            <w:r>
              <w:rPr>
                <w:rFonts w:ascii="Courier New" w:cs="Courier New" w:eastAsia="Courier New" w:hAnsi="Courier New"/>
                <w:sz w:val="16"/>
                <w:szCs w:val="16"/>
                <w:color w:val="auto"/>
                <w:w w:val="96"/>
              </w:rPr>
              <w:t>As of March 31, 2002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1500" w:type="dxa"/>
            <w:vAlign w:val="bottom"/>
          </w:tcPr>
          <w:p>
            <w:pPr>
              <w:jc w:val="center"/>
              <w:ind w:right="487"/>
              <w:spacing w:after="0"/>
              <w:rPr>
                <w:sz w:val="20"/>
                <w:szCs w:val="20"/>
                <w:color w:val="auto"/>
              </w:rPr>
            </w:pPr>
            <w:r>
              <w:rPr>
                <w:rFonts w:ascii="Courier New" w:cs="Courier New" w:eastAsia="Courier New" w:hAnsi="Courier New"/>
                <w:sz w:val="16"/>
                <w:szCs w:val="16"/>
                <w:color w:val="auto"/>
                <w:w w:val="97"/>
              </w:rPr>
              <w:t>(in 000's)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721"/>
        </w:trPr>
        <w:tc>
          <w:tcPr>
            <w:tcW w:w="3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4"/>
              </w:rPr>
              <w:t>Pro Forma</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3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Adjustments</w:t>
            </w: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1500" w:type="dxa"/>
            <w:vAlign w:val="bottom"/>
          </w:tcPr>
          <w:p>
            <w:pPr>
              <w:jc w:val="right"/>
              <w:ind w:right="307"/>
              <w:spacing w:after="0"/>
              <w:rPr>
                <w:sz w:val="20"/>
                <w:szCs w:val="20"/>
                <w:color w:val="auto"/>
              </w:rPr>
            </w:pPr>
            <w:r>
              <w:rPr>
                <w:rFonts w:ascii="Courier New" w:cs="Courier New" w:eastAsia="Courier New" w:hAnsi="Courier New"/>
                <w:sz w:val="16"/>
                <w:szCs w:val="16"/>
                <w:color w:val="auto"/>
              </w:rPr>
              <w:t>ClearOne</w:t>
            </w:r>
          </w:p>
        </w:tc>
        <w:tc>
          <w:tcPr>
            <w:tcW w:w="18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E.mergent</w:t>
            </w:r>
          </w:p>
        </w:tc>
        <w:tc>
          <w:tcPr>
            <w:tcW w:w="15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for E.mergent</w:t>
            </w:r>
          </w:p>
        </w:tc>
        <w:tc>
          <w:tcPr>
            <w:tcW w:w="34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3180" w:type="dxa"/>
            <w:vAlign w:val="bottom"/>
          </w:tcPr>
          <w:p>
            <w:pPr>
              <w:spacing w:after="0"/>
              <w:rPr>
                <w:sz w:val="15"/>
                <w:szCs w:val="15"/>
                <w:color w:val="auto"/>
              </w:rPr>
            </w:pPr>
          </w:p>
        </w:tc>
        <w:tc>
          <w:tcPr>
            <w:tcW w:w="272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(Historical) (Historical)</w:t>
            </w:r>
          </w:p>
        </w:tc>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Acquisition</w:t>
            </w:r>
          </w:p>
        </w:tc>
        <w:tc>
          <w:tcPr>
            <w:tcW w:w="34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3180" w:type="dxa"/>
            <w:vAlign w:val="bottom"/>
          </w:tcPr>
          <w:p>
            <w:pPr>
              <w:spacing w:after="0"/>
              <w:rPr>
                <w:sz w:val="15"/>
                <w:szCs w:val="15"/>
                <w:color w:val="auto"/>
              </w:rPr>
            </w:pPr>
          </w:p>
        </w:tc>
        <w:tc>
          <w:tcPr>
            <w:tcW w:w="60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$23,168</w:t>
            </w:r>
          </w:p>
        </w:tc>
        <w:tc>
          <w:tcPr>
            <w:tcW w:w="180" w:type="dxa"/>
            <w:vAlign w:val="bottom"/>
          </w:tcPr>
          <w:p>
            <w:pPr>
              <w:jc w:val="right"/>
              <w:ind w:right="2"/>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1,505</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5"/>
              </w:rPr>
              <w:t>(9,297)</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D</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$15,376</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14,025</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3,144</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17,169</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Note receivable - current portion</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167</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167</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5,792</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3,605</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9,397</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Deferred taxes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247</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425</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672</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420</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160</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580</w:t>
            </w:r>
          </w:p>
        </w:tc>
      </w:tr>
      <w:tr>
        <w:trPr>
          <w:trHeight w:val="180"/>
        </w:trPr>
        <w:tc>
          <w:tcPr>
            <w:tcW w:w="31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43,819</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8,839</w:t>
            </w:r>
          </w:p>
        </w:tc>
        <w:tc>
          <w:tcPr>
            <w:tcW w:w="28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5"/>
              </w:rPr>
              <w:t>(9,297)</w:t>
            </w: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43,361</w:t>
            </w: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3,993</w:t>
            </w:r>
          </w:p>
        </w:tc>
        <w:tc>
          <w:tcPr>
            <w:tcW w:w="180" w:type="dxa"/>
            <w:vAlign w:val="bottom"/>
          </w:tcPr>
          <w:p>
            <w:pPr>
              <w:spacing w:after="0"/>
              <w:rPr>
                <w:sz w:val="24"/>
                <w:szCs w:val="24"/>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443</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4,436</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2,898</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999</w:t>
            </w:r>
          </w:p>
        </w:tc>
        <w:tc>
          <w:tcPr>
            <w:tcW w:w="28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(999)</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3"/>
              </w:rPr>
              <w:t>16,897</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E</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19,795</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w w:val="96"/>
              </w:rPr>
              <w:t>Note receivable, long-term portion</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1,549</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33</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1,582</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Other intangible assets, net</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5,517</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669</w:t>
            </w:r>
          </w:p>
        </w:tc>
        <w:tc>
          <w:tcPr>
            <w:tcW w:w="28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(669)</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1,667</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E</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7,184</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Deposits and other assets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73</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225</w:t>
            </w:r>
          </w:p>
        </w:tc>
        <w:tc>
          <w:tcPr>
            <w:tcW w:w="28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(150)</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F</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148</w:t>
            </w:r>
          </w:p>
        </w:tc>
      </w:tr>
      <w:tr>
        <w:trPr>
          <w:trHeight w:val="180"/>
        </w:trPr>
        <w:tc>
          <w:tcPr>
            <w:tcW w:w="31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$57,849</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7"/>
              </w:rPr>
              <w:t>11,208</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7,449</w:t>
            </w: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$76,506</w:t>
            </w:r>
          </w:p>
        </w:tc>
      </w:tr>
      <w:tr>
        <w:trPr>
          <w:trHeight w:val="180"/>
        </w:trPr>
        <w:tc>
          <w:tcPr>
            <w:tcW w:w="3180" w:type="dxa"/>
            <w:vAlign w:val="bottom"/>
          </w:tcPr>
          <w:p>
            <w:pPr>
              <w:spacing w:after="0"/>
              <w:rPr>
                <w:sz w:val="15"/>
                <w:szCs w:val="15"/>
                <w:color w:val="auto"/>
              </w:rPr>
            </w:pPr>
          </w:p>
        </w:tc>
        <w:tc>
          <w:tcPr>
            <w:tcW w:w="4260" w:type="dxa"/>
            <w:vAlign w:val="bottom"/>
            <w:gridSpan w:val="5"/>
          </w:tcPr>
          <w:p>
            <w:pPr>
              <w:ind w:left="280"/>
              <w:spacing w:after="0"/>
              <w:rPr>
                <w:sz w:val="20"/>
                <w:szCs w:val="20"/>
                <w:color w:val="auto"/>
              </w:rPr>
            </w:pPr>
            <w:r>
              <w:rPr>
                <w:rFonts w:ascii="Courier New" w:cs="Courier New" w:eastAsia="Courier New" w:hAnsi="Courier New"/>
                <w:sz w:val="16"/>
                <w:szCs w:val="16"/>
                <w:color w:val="auto"/>
                <w:w w:val="98"/>
              </w:rPr>
              <w: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SHAREHOLDERS'EQUITY</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$ 1,579</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1,548</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$3,127</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Accrued expenses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1,791</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473</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2,264</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Current portion of unearned</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80" w:type="dxa"/>
            <w:vAlign w:val="bottom"/>
          </w:tcPr>
          <w:p>
            <w:pPr>
              <w:ind w:left="80"/>
              <w:spacing w:after="0"/>
              <w:rPr>
                <w:sz w:val="20"/>
                <w:szCs w:val="20"/>
                <w:color w:val="auto"/>
              </w:rPr>
            </w:pPr>
            <w:r>
              <w:rPr>
                <w:rFonts w:ascii="Courier New" w:cs="Courier New" w:eastAsia="Courier New" w:hAnsi="Courier New"/>
                <w:sz w:val="16"/>
                <w:szCs w:val="16"/>
                <w:color w:val="auto"/>
              </w:rPr>
              <w:t>maintenance contracts</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688</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688</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Current portion of capital lease</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and long-term debt obligations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61</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238</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299</w:t>
            </w:r>
          </w:p>
        </w:tc>
      </w:tr>
      <w:tr>
        <w:trPr>
          <w:trHeight w:val="180"/>
        </w:trPr>
        <w:tc>
          <w:tcPr>
            <w:tcW w:w="31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3,431</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2,947</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6,378</w:t>
            </w: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rPr>
              <w:t>Unearned maintenance contracts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319</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319</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80" w:type="dxa"/>
            <w:vAlign w:val="bottom"/>
          </w:tcPr>
          <w:p>
            <w:pPr>
              <w:ind w:left="80"/>
              <w:spacing w:after="0"/>
              <w:rPr>
                <w:sz w:val="20"/>
                <w:szCs w:val="20"/>
                <w:color w:val="auto"/>
              </w:rPr>
            </w:pPr>
            <w:r>
              <w:rPr>
                <w:rFonts w:ascii="Courier New" w:cs="Courier New" w:eastAsia="Courier New" w:hAnsi="Courier New"/>
                <w:sz w:val="16"/>
                <w:szCs w:val="16"/>
                <w:color w:val="auto"/>
              </w:rPr>
              <w:t>obligations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16</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340</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356</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Deferred tax liability</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746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625</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M</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1,371</w:t>
            </w:r>
          </w:p>
        </w:tc>
      </w:tr>
      <w:tr>
        <w:trPr>
          <w:trHeight w:val="180"/>
        </w:trPr>
        <w:tc>
          <w:tcPr>
            <w:tcW w:w="31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4,193</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3,606</w:t>
            </w: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625</w:t>
            </w: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8,424</w:t>
            </w: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10</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59</w:t>
            </w:r>
          </w:p>
        </w:tc>
        <w:tc>
          <w:tcPr>
            <w:tcW w:w="28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(59)</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H</w:t>
            </w: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9</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J</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Additional paid in capital</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33,141</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7,867</w:t>
            </w:r>
          </w:p>
        </w:tc>
        <w:tc>
          <w:tcPr>
            <w:tcW w:w="28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5"/>
              </w:rPr>
              <w:t>(7,867)</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H</w:t>
            </w: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3"/>
              </w:rPr>
              <w:t>14,370</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J</w:t>
            </w: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47</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G</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47,558</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Treasury stock</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(73)</w:t>
            </w: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73</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I</w:t>
            </w: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Note receivable from shareholder</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(122)</w:t>
            </w: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122</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L</w:t>
            </w:r>
          </w:p>
        </w:tc>
        <w:tc>
          <w:tcPr>
            <w:tcW w:w="140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Retained earnings (accumulated</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80" w:type="dxa"/>
            <w:vAlign w:val="bottom"/>
          </w:tcPr>
          <w:p>
            <w:pPr>
              <w:ind w:left="80"/>
              <w:spacing w:after="0"/>
              <w:rPr>
                <w:sz w:val="20"/>
                <w:szCs w:val="20"/>
                <w:color w:val="auto"/>
              </w:rPr>
            </w:pPr>
            <w:r>
              <w:rPr>
                <w:rFonts w:ascii="Courier New" w:cs="Courier New" w:eastAsia="Courier New" w:hAnsi="Courier New"/>
                <w:sz w:val="16"/>
                <w:szCs w:val="16"/>
                <w:color w:val="auto"/>
              </w:rPr>
              <w:t>deficit)</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20,505</w:t>
            </w:r>
          </w:p>
        </w:tc>
        <w:tc>
          <w:tcPr>
            <w:tcW w:w="1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(129)</w:t>
            </w: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129</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H</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20,505</w:t>
            </w:r>
          </w:p>
        </w:tc>
      </w:tr>
      <w:tr>
        <w:trPr>
          <w:trHeight w:val="180"/>
        </w:trPr>
        <w:tc>
          <w:tcPr>
            <w:tcW w:w="31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Total shareholders' equity</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53,656</w:t>
            </w:r>
          </w:p>
        </w:tc>
        <w:tc>
          <w:tcPr>
            <w:tcW w:w="180" w:type="dxa"/>
            <w:vAlign w:val="bottom"/>
          </w:tcPr>
          <w:p>
            <w:pPr>
              <w:spacing w:after="0"/>
              <w:rPr>
                <w:sz w:val="15"/>
                <w:szCs w:val="15"/>
                <w:color w:val="auto"/>
              </w:rPr>
            </w:pP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7,602</w:t>
            </w:r>
          </w:p>
        </w:tc>
        <w:tc>
          <w:tcPr>
            <w:tcW w:w="280" w:type="dxa"/>
            <w:vAlign w:val="bottom"/>
          </w:tcPr>
          <w:p>
            <w:pPr>
              <w:spacing w:after="0"/>
              <w:rPr>
                <w:sz w:val="15"/>
                <w:szCs w:val="15"/>
                <w:color w:val="auto"/>
              </w:rPr>
            </w:pP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6,824</w:t>
            </w: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68,082</w:t>
            </w:r>
          </w:p>
        </w:tc>
      </w:tr>
      <w:tr>
        <w:trPr>
          <w:trHeight w:val="180"/>
        </w:trPr>
        <w:tc>
          <w:tcPr>
            <w:tcW w:w="31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Total liabilities and</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80" w:type="dxa"/>
            <w:vAlign w:val="bottom"/>
          </w:tcPr>
          <w:p>
            <w:pPr>
              <w:ind w:left="80"/>
              <w:spacing w:after="0"/>
              <w:rPr>
                <w:sz w:val="20"/>
                <w:szCs w:val="20"/>
                <w:color w:val="auto"/>
              </w:rPr>
            </w:pPr>
            <w:r>
              <w:rPr>
                <w:rFonts w:ascii="Courier New" w:cs="Courier New" w:eastAsia="Courier New" w:hAnsi="Courier New"/>
                <w:sz w:val="16"/>
                <w:szCs w:val="16"/>
                <w:color w:val="auto"/>
              </w:rPr>
              <w:t>shareholders' equity</w:t>
            </w:r>
          </w:p>
        </w:tc>
        <w:tc>
          <w:tcPr>
            <w:tcW w:w="1500" w:type="dxa"/>
            <w:vAlign w:val="bottom"/>
          </w:tcPr>
          <w:p>
            <w:pPr>
              <w:jc w:val="right"/>
              <w:ind w:right="387"/>
              <w:spacing w:after="0"/>
              <w:rPr>
                <w:sz w:val="20"/>
                <w:szCs w:val="20"/>
                <w:color w:val="auto"/>
              </w:rPr>
            </w:pPr>
            <w:r>
              <w:rPr>
                <w:rFonts w:ascii="Courier New" w:cs="Courier New" w:eastAsia="Courier New" w:hAnsi="Courier New"/>
                <w:sz w:val="16"/>
                <w:szCs w:val="16"/>
                <w:color w:val="auto"/>
              </w:rPr>
              <w:t>$57,849</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7"/>
              </w:rPr>
              <w:t>11,208</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7,449</w:t>
            </w:r>
          </w:p>
        </w:tc>
        <w:tc>
          <w:tcPr>
            <w:tcW w:w="34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$76,506</w:t>
            </w:r>
          </w:p>
        </w:tc>
      </w:tr>
      <w:tr>
        <w:trPr>
          <w:trHeight w:val="180"/>
        </w:trPr>
        <w:tc>
          <w:tcPr>
            <w:tcW w:w="3180" w:type="dxa"/>
            <w:vAlign w:val="bottom"/>
          </w:tcPr>
          <w:p>
            <w:pPr>
              <w:spacing w:after="0"/>
              <w:rPr>
                <w:sz w:val="15"/>
                <w:szCs w:val="15"/>
                <w:color w:val="auto"/>
              </w:rPr>
            </w:pPr>
          </w:p>
        </w:tc>
        <w:tc>
          <w:tcPr>
            <w:tcW w:w="4260" w:type="dxa"/>
            <w:vAlign w:val="bottom"/>
            <w:gridSpan w:val="5"/>
          </w:tcPr>
          <w:p>
            <w:pPr>
              <w:ind w:left="280"/>
              <w:spacing w:after="0"/>
              <w:rPr>
                <w:sz w:val="20"/>
                <w:szCs w:val="20"/>
                <w:color w:val="auto"/>
              </w:rPr>
            </w:pPr>
            <w:r>
              <w:rPr>
                <w:rFonts w:ascii="Courier New" w:cs="Courier New" w:eastAsia="Courier New" w:hAnsi="Courier New"/>
                <w:sz w:val="16"/>
                <w:szCs w:val="16"/>
                <w:color w:val="auto"/>
                <w:w w:val="98"/>
              </w:rPr>
              <w:t>==========================================</w:t>
            </w: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See accompanying notes to unaudited pro forma</w:t>
      </w:r>
    </w:p>
    <w:p>
      <w:pPr>
        <w:ind w:left="1780"/>
        <w:spacing w:after="0"/>
        <w:rPr>
          <w:sz w:val="20"/>
          <w:szCs w:val="20"/>
          <w:color w:val="auto"/>
        </w:rPr>
      </w:pPr>
      <w:r>
        <w:rPr>
          <w:rFonts w:ascii="Courier New" w:cs="Courier New" w:eastAsia="Courier New" w:hAnsi="Courier New"/>
          <w:sz w:val="16"/>
          <w:szCs w:val="16"/>
          <w:color w:val="auto"/>
        </w:rPr>
        <w:t>condensed combined financial statements.</w:t>
      </w:r>
    </w:p>
    <w:p>
      <w:pPr>
        <w:spacing w:after="0" w:line="200" w:lineRule="exact"/>
        <w:rPr>
          <w:sz w:val="20"/>
          <w:szCs w:val="20"/>
          <w:color w:val="auto"/>
        </w:rPr>
      </w:pPr>
    </w:p>
    <w:p>
      <w:pPr>
        <w:spacing w:after="0" w:line="33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119"/>
          </w:cols>
          <w:pgMar w:left="340" w:top="834"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Unaudited Pro Forma</w:t>
            </w:r>
          </w:p>
        </w:tc>
        <w:tc>
          <w:tcPr>
            <w:tcW w:w="4360" w:type="dxa"/>
            <w:vAlign w:val="bottom"/>
            <w:gridSpan w:val="6"/>
          </w:tcPr>
          <w:p>
            <w:pPr>
              <w:jc w:val="right"/>
              <w:ind w:right="202"/>
              <w:spacing w:after="0"/>
              <w:rPr>
                <w:sz w:val="20"/>
                <w:szCs w:val="20"/>
                <w:color w:val="auto"/>
              </w:rPr>
            </w:pPr>
            <w:r>
              <w:rPr>
                <w:rFonts w:ascii="Courier New" w:cs="Courier New" w:eastAsia="Courier New" w:hAnsi="Courier New"/>
                <w:sz w:val="16"/>
                <w:szCs w:val="16"/>
                <w:color w:val="auto"/>
                <w:w w:val="98"/>
              </w:rPr>
              <w:t>Condensed Combined Statements of Operations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6100" w:type="dxa"/>
            <w:vAlign w:val="bottom"/>
            <w:gridSpan w:val="7"/>
          </w:tcPr>
          <w:p>
            <w:pPr>
              <w:ind w:left="1880"/>
              <w:spacing w:after="0"/>
              <w:rPr>
                <w:sz w:val="20"/>
                <w:szCs w:val="20"/>
                <w:color w:val="auto"/>
              </w:rPr>
            </w:pPr>
            <w:r>
              <w:rPr>
                <w:rFonts w:ascii="Courier New" w:cs="Courier New" w:eastAsia="Courier New" w:hAnsi="Courier New"/>
                <w:sz w:val="16"/>
                <w:szCs w:val="16"/>
                <w:color w:val="auto"/>
              </w:rPr>
              <w:t>For the nine months ended March 31, 2002</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w w:val="99"/>
              </w:rPr>
              <w:t>(in 000's)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21"/>
        </w:trPr>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9"/>
              </w:rPr>
              <w:t>Pro Forma</w:t>
            </w:r>
          </w:p>
        </w:tc>
        <w:tc>
          <w:tcPr>
            <w:tcW w:w="460" w:type="dxa"/>
            <w:vAlign w:val="bottom"/>
          </w:tcPr>
          <w:p>
            <w:pPr>
              <w:spacing w:after="0"/>
              <w:rPr>
                <w:sz w:val="15"/>
                <w:szCs w:val="15"/>
                <w:color w:val="auto"/>
              </w:rPr>
            </w:pPr>
          </w:p>
        </w:tc>
        <w:tc>
          <w:tcPr>
            <w:tcW w:w="104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Pro Forma</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Pro Forma</w:t>
            </w:r>
          </w:p>
        </w:tc>
        <w:tc>
          <w:tcPr>
            <w:tcW w:w="144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Adjustments</w:t>
            </w: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Combined</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Adjustments</w:t>
            </w:r>
          </w:p>
        </w:tc>
        <w:tc>
          <w:tcPr>
            <w:tcW w:w="144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for Ivron</w:t>
            </w: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9"/>
              </w:rPr>
              <w:t>for Ivron</w:t>
            </w:r>
          </w:p>
        </w:tc>
        <w:tc>
          <w:tcPr>
            <w:tcW w:w="460" w:type="dxa"/>
            <w:vAlign w:val="bottom"/>
          </w:tcPr>
          <w:p>
            <w:pPr>
              <w:spacing w:after="0"/>
              <w:rPr>
                <w:sz w:val="15"/>
                <w:szCs w:val="15"/>
                <w:color w:val="auto"/>
              </w:rPr>
            </w:pPr>
          </w:p>
        </w:tc>
        <w:tc>
          <w:tcPr>
            <w:tcW w:w="104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for Ivron</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for</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Systems and</w:t>
            </w:r>
          </w:p>
        </w:tc>
      </w:tr>
      <w:tr>
        <w:trPr>
          <w:trHeight w:val="180"/>
        </w:trPr>
        <w:tc>
          <w:tcPr>
            <w:tcW w:w="22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ClearOne</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Ivron Systems</w:t>
            </w: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8"/>
              </w:rPr>
              <w:t>Systems</w:t>
            </w:r>
          </w:p>
        </w:tc>
        <w:tc>
          <w:tcPr>
            <w:tcW w:w="46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Systems</w:t>
            </w:r>
          </w:p>
        </w:tc>
        <w:tc>
          <w:tcPr>
            <w:tcW w:w="11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E.mergent</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E.mergent</w:t>
            </w:r>
          </w:p>
        </w:tc>
        <w:tc>
          <w:tcPr>
            <w:tcW w:w="144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E.mergent</w:t>
            </w:r>
          </w:p>
        </w:tc>
      </w:tr>
      <w:tr>
        <w:trPr>
          <w:trHeight w:val="180"/>
        </w:trPr>
        <w:tc>
          <w:tcPr>
            <w:tcW w:w="2200" w:type="dxa"/>
            <w:vAlign w:val="bottom"/>
          </w:tcPr>
          <w:p>
            <w:pPr>
              <w:spacing w:after="0"/>
              <w:rPr>
                <w:sz w:val="15"/>
                <w:szCs w:val="15"/>
                <w:color w:val="auto"/>
              </w:rPr>
            </w:pPr>
          </w:p>
        </w:tc>
        <w:tc>
          <w:tcPr>
            <w:tcW w:w="254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w w:val="99"/>
              </w:rPr>
              <w:t>(Historical) (Historical)</w:t>
            </w: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Acquisition</w:t>
            </w:r>
          </w:p>
        </w:tc>
        <w:tc>
          <w:tcPr>
            <w:tcW w:w="1500" w:type="dxa"/>
            <w:vAlign w:val="bottom"/>
            <w:gridSpan w:val="2"/>
          </w:tcPr>
          <w:p>
            <w:pPr>
              <w:jc w:val="center"/>
              <w:ind w:left="182"/>
              <w:spacing w:after="0"/>
              <w:rPr>
                <w:sz w:val="20"/>
                <w:szCs w:val="20"/>
                <w:color w:val="auto"/>
              </w:rPr>
            </w:pPr>
            <w:r>
              <w:rPr>
                <w:rFonts w:ascii="Courier New" w:cs="Courier New" w:eastAsia="Courier New" w:hAnsi="Courier New"/>
                <w:sz w:val="16"/>
                <w:szCs w:val="16"/>
                <w:color w:val="auto"/>
                <w:w w:val="98"/>
              </w:rPr>
              <w:t>Acquisition</w:t>
            </w:r>
          </w:p>
        </w:tc>
        <w:tc>
          <w:tcPr>
            <w:tcW w:w="248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(Historical) Acquisition</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Acquisitions</w:t>
            </w:r>
          </w:p>
        </w:tc>
      </w:tr>
      <w:tr>
        <w:trPr>
          <w:trHeight w:val="180"/>
        </w:trPr>
        <w:tc>
          <w:tcPr>
            <w:tcW w:w="2200" w:type="dxa"/>
            <w:vAlign w:val="bottom"/>
          </w:tcPr>
          <w:p>
            <w:pPr>
              <w:spacing w:after="0"/>
              <w:rPr>
                <w:sz w:val="15"/>
                <w:szCs w:val="15"/>
                <w:color w:val="auto"/>
              </w:rPr>
            </w:pPr>
          </w:p>
        </w:tc>
        <w:tc>
          <w:tcPr>
            <w:tcW w:w="9320" w:type="dxa"/>
            <w:vAlign w:val="bottom"/>
            <w:gridSpan w:val="14"/>
          </w:tcPr>
          <w:p>
            <w:pPr>
              <w:ind w:left="40"/>
              <w:spacing w:after="0"/>
              <w:rPr>
                <w:sz w:val="20"/>
                <w:szCs w:val="20"/>
                <w:color w:val="auto"/>
              </w:rPr>
            </w:pPr>
            <w:r>
              <w:rPr>
                <w:rFonts w:ascii="Courier New" w:cs="Courier New" w:eastAsia="Courier New" w:hAnsi="Courier New"/>
                <w:sz w:val="16"/>
                <w:szCs w:val="16"/>
                <w:color w:val="auto"/>
                <w:w w:val="97"/>
              </w:rPr>
              <w:t>---------------------------------------------------------------------------------------------------</w:t>
            </w:r>
          </w:p>
        </w:tc>
      </w:tr>
      <w:tr>
        <w:trPr>
          <w:trHeight w:val="541"/>
        </w:trPr>
        <w:tc>
          <w:tcPr>
            <w:tcW w:w="22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$37,974</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47</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38,021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17,055</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55,076</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15,226</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343</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15,569</w:t>
            </w:r>
          </w:p>
        </w:tc>
        <w:tc>
          <w:tcPr>
            <w:tcW w:w="360" w:type="dxa"/>
            <w:vAlign w:val="bottom"/>
          </w:tcPr>
          <w:p>
            <w:pPr>
              <w:spacing w:after="0"/>
              <w:rPr>
                <w:sz w:val="15"/>
                <w:szCs w:val="15"/>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10,963</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26,532</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9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Gross profit (loss)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22,748</w:t>
            </w:r>
          </w:p>
        </w:tc>
        <w:tc>
          <w:tcPr>
            <w:tcW w:w="50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(296)</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22,452</w:t>
            </w:r>
          </w:p>
        </w:tc>
        <w:tc>
          <w:tcPr>
            <w:tcW w:w="360" w:type="dxa"/>
            <w:vAlign w:val="bottom"/>
          </w:tcPr>
          <w:p>
            <w:pPr>
              <w:spacing w:after="0"/>
              <w:rPr>
                <w:sz w:val="15"/>
                <w:szCs w:val="15"/>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6,092</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28,544</w:t>
            </w: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Marketing and selling</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7,996</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304</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8,300</w:t>
            </w:r>
          </w:p>
        </w:tc>
        <w:tc>
          <w:tcPr>
            <w:tcW w:w="360" w:type="dxa"/>
            <w:vAlign w:val="bottom"/>
          </w:tcPr>
          <w:p>
            <w:pPr>
              <w:spacing w:after="0"/>
              <w:rPr>
                <w:sz w:val="15"/>
                <w:szCs w:val="15"/>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2,376</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10,676</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General and</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administrative</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4,102</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695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A</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4,751</w:t>
            </w:r>
          </w:p>
        </w:tc>
        <w:tc>
          <w:tcPr>
            <w:tcW w:w="360" w:type="dxa"/>
            <w:vAlign w:val="bottom"/>
          </w:tcPr>
          <w:p>
            <w:pPr>
              <w:spacing w:after="0"/>
              <w:rPr>
                <w:sz w:val="15"/>
                <w:szCs w:val="15"/>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2,490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(112)</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980" w:type="dxa"/>
            <w:vAlign w:val="bottom"/>
          </w:tcPr>
          <w:p>
            <w:pPr>
              <w:spacing w:after="0"/>
              <w:rPr>
                <w:sz w:val="15"/>
                <w:szCs w:val="15"/>
                <w:color w:val="auto"/>
              </w:rPr>
            </w:pP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303</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7,432</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Research and product</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development</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3,044</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116</w:t>
            </w:r>
          </w:p>
        </w:tc>
        <w:tc>
          <w:tcPr>
            <w:tcW w:w="14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139</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B</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3,299</w:t>
            </w:r>
          </w:p>
        </w:tc>
        <w:tc>
          <w:tcPr>
            <w:tcW w:w="360" w:type="dxa"/>
            <w:vAlign w:val="bottom"/>
          </w:tcPr>
          <w:p>
            <w:pPr>
              <w:spacing w:after="0"/>
              <w:rPr>
                <w:sz w:val="15"/>
                <w:szCs w:val="15"/>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504</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3,803</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9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Total operating</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expenses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15,142</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1,115</w:t>
            </w:r>
          </w:p>
        </w:tc>
        <w:tc>
          <w:tcPr>
            <w:tcW w:w="14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93</w:t>
            </w: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16,350</w:t>
            </w:r>
          </w:p>
        </w:tc>
        <w:tc>
          <w:tcPr>
            <w:tcW w:w="360" w:type="dxa"/>
            <w:vAlign w:val="bottom"/>
          </w:tcPr>
          <w:p>
            <w:pPr>
              <w:spacing w:after="0"/>
              <w:rPr>
                <w:sz w:val="15"/>
                <w:szCs w:val="15"/>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5,370</w:t>
            </w:r>
          </w:p>
        </w:tc>
        <w:tc>
          <w:tcPr>
            <w:tcW w:w="240" w:type="dxa"/>
            <w:vAlign w:val="bottom"/>
          </w:tcPr>
          <w:p>
            <w:pPr>
              <w:spacing w:after="0"/>
              <w:rPr>
                <w:sz w:val="15"/>
                <w:szCs w:val="15"/>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191</w:t>
            </w:r>
          </w:p>
        </w:tc>
        <w:tc>
          <w:tcPr>
            <w:tcW w:w="46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21,911</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9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(loss)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7,606</w:t>
            </w:r>
          </w:p>
        </w:tc>
        <w:tc>
          <w:tcPr>
            <w:tcW w:w="50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(1,411)</w:t>
            </w:r>
          </w:p>
        </w:tc>
        <w:tc>
          <w:tcPr>
            <w:tcW w:w="1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(93)</w:t>
            </w: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6,102</w:t>
            </w:r>
          </w:p>
        </w:tc>
        <w:tc>
          <w:tcPr>
            <w:tcW w:w="360" w:type="dxa"/>
            <w:vAlign w:val="bottom"/>
          </w:tcPr>
          <w:p>
            <w:pPr>
              <w:spacing w:after="0"/>
              <w:rPr>
                <w:sz w:val="15"/>
                <w:szCs w:val="15"/>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722</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(191)</w:t>
            </w:r>
          </w:p>
        </w:tc>
        <w:tc>
          <w:tcPr>
            <w:tcW w:w="46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6,633</w:t>
            </w: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c>
          <w:tcPr>
            <w:tcW w:w="500" w:type="dxa"/>
            <w:vAlign w:val="bottom"/>
          </w:tcPr>
          <w:p>
            <w:pPr>
              <w:spacing w:after="0"/>
              <w:rPr>
                <w:sz w:val="24"/>
                <w:szCs w:val="24"/>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(126)</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w:t>
            </w:r>
          </w:p>
        </w:tc>
        <w:tc>
          <w:tcPr>
            <w:tcW w:w="36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(8)</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9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continuing</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operations before</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income taxes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7,745</w:t>
            </w:r>
          </w:p>
        </w:tc>
        <w:tc>
          <w:tcPr>
            <w:tcW w:w="50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(1,537)</w:t>
            </w:r>
          </w:p>
        </w:tc>
        <w:tc>
          <w:tcPr>
            <w:tcW w:w="1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(93)</w:t>
            </w: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6,115</w:t>
            </w:r>
          </w:p>
        </w:tc>
        <w:tc>
          <w:tcPr>
            <w:tcW w:w="360" w:type="dxa"/>
            <w:vAlign w:val="bottom"/>
          </w:tcPr>
          <w:p>
            <w:pPr>
              <w:spacing w:after="0"/>
              <w:rPr>
                <w:sz w:val="15"/>
                <w:szCs w:val="15"/>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701</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(191)</w:t>
            </w:r>
          </w:p>
        </w:tc>
        <w:tc>
          <w:tcPr>
            <w:tcW w:w="46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6,625</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Provision (benefit)</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for income taxes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2,771</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C</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2,736</w:t>
            </w:r>
          </w:p>
        </w:tc>
        <w:tc>
          <w:tcPr>
            <w:tcW w:w="360" w:type="dxa"/>
            <w:vAlign w:val="bottom"/>
          </w:tcPr>
          <w:p>
            <w:pPr>
              <w:spacing w:after="0"/>
              <w:rPr>
                <w:sz w:val="15"/>
                <w:szCs w:val="15"/>
                <w:color w:val="auto"/>
              </w:rPr>
            </w:pP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269</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(71)</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C</w:t>
            </w: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2,934</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9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w w:val="99"/>
              </w:rPr>
              <w:t>continuing operations</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$ 4,974</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(1,537)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(58)</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3,379</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(120)</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3,691</w:t>
            </w:r>
          </w:p>
        </w:tc>
      </w:tr>
      <w:tr>
        <w:trPr>
          <w:trHeight w:val="180"/>
        </w:trPr>
        <w:tc>
          <w:tcPr>
            <w:tcW w:w="2200" w:type="dxa"/>
            <w:vAlign w:val="bottom"/>
          </w:tcPr>
          <w:p>
            <w:pPr>
              <w:spacing w:after="0"/>
              <w:rPr>
                <w:sz w:val="15"/>
                <w:szCs w:val="15"/>
                <w:color w:val="auto"/>
              </w:rPr>
            </w:pPr>
          </w:p>
        </w:tc>
        <w:tc>
          <w:tcPr>
            <w:tcW w:w="3900" w:type="dxa"/>
            <w:vAlign w:val="bottom"/>
            <w:gridSpan w:val="6"/>
          </w:tcPr>
          <w:p>
            <w:pPr>
              <w:ind w:left="40"/>
              <w:spacing w:after="0"/>
              <w:rPr>
                <w:sz w:val="20"/>
                <w:szCs w:val="20"/>
                <w:color w:val="auto"/>
              </w:rPr>
            </w:pPr>
            <w:r>
              <w:rPr>
                <w:rFonts w:ascii="Courier New" w:cs="Courier New" w:eastAsia="Courier New" w:hAnsi="Courier New"/>
                <w:sz w:val="16"/>
                <w:szCs w:val="16"/>
                <w:color w:val="auto"/>
                <w:w w:val="99"/>
              </w:rPr>
              <w:t>========================================</w:t>
            </w:r>
          </w:p>
        </w:tc>
        <w:tc>
          <w:tcPr>
            <w:tcW w:w="39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4"/>
              </w:rPr>
              <w:t>=============</w:t>
            </w: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Basic earnings per</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common share</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0.54</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0.34</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Diluted earnings per</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common share</w:t>
            </w:r>
          </w:p>
        </w:tc>
        <w:tc>
          <w:tcPr>
            <w:tcW w:w="420" w:type="dxa"/>
            <w:vAlign w:val="bottom"/>
          </w:tcPr>
          <w:p>
            <w:pPr>
              <w:ind w:left="32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0.51</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0.32</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w w:val="98"/>
              </w:rPr>
              <w:t>Weighted average shares</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outstanding:</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200" w:type="dxa"/>
            <w:vAlign w:val="bottom"/>
          </w:tcPr>
          <w:p>
            <w:pPr>
              <w:ind w:left="280"/>
              <w:spacing w:after="0"/>
              <w:rPr>
                <w:sz w:val="20"/>
                <w:szCs w:val="20"/>
                <w:color w:val="auto"/>
              </w:rPr>
            </w:pPr>
            <w:r>
              <w:rPr>
                <w:rFonts w:ascii="Courier New" w:cs="Courier New" w:eastAsia="Courier New" w:hAnsi="Courier New"/>
                <w:sz w:val="16"/>
                <w:szCs w:val="16"/>
                <w:color w:val="auto"/>
              </w:rPr>
              <w:t>Basic</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9,247</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11,005</w:t>
            </w:r>
          </w:p>
        </w:tc>
      </w:tr>
      <w:tr>
        <w:trPr>
          <w:trHeight w:val="180"/>
        </w:trPr>
        <w:tc>
          <w:tcPr>
            <w:tcW w:w="2200" w:type="dxa"/>
            <w:vAlign w:val="bottom"/>
          </w:tcPr>
          <w:p>
            <w:pPr>
              <w:ind w:left="280"/>
              <w:spacing w:after="0"/>
              <w:rPr>
                <w:sz w:val="20"/>
                <w:szCs w:val="20"/>
                <w:color w:val="auto"/>
              </w:rPr>
            </w:pPr>
            <w:r>
              <w:rPr>
                <w:rFonts w:ascii="Courier New" w:cs="Courier New" w:eastAsia="Courier New" w:hAnsi="Courier New"/>
                <w:sz w:val="16"/>
                <w:szCs w:val="16"/>
                <w:color w:val="auto"/>
              </w:rPr>
              <w:t>Diluted</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9,756</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11,462</w:t>
            </w:r>
          </w:p>
        </w:tc>
      </w:tr>
    </w:tbl>
    <w:p>
      <w:pPr>
        <w:spacing w:after="0" w:line="200" w:lineRule="exact"/>
        <w:rPr>
          <w:sz w:val="20"/>
          <w:szCs w:val="20"/>
          <w:color w:val="auto"/>
        </w:rPr>
      </w:pPr>
    </w:p>
    <w:p>
      <w:pPr>
        <w:spacing w:after="0" w:line="34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See accompanying notes to unaudited pro forma</w:t>
      </w:r>
    </w:p>
    <w:p>
      <w:pPr>
        <w:ind w:left="1880"/>
        <w:spacing w:after="0"/>
        <w:rPr>
          <w:sz w:val="20"/>
          <w:szCs w:val="20"/>
          <w:color w:val="auto"/>
        </w:rPr>
      </w:pPr>
      <w:r>
        <w:rPr>
          <w:rFonts w:ascii="Courier New" w:cs="Courier New" w:eastAsia="Courier New" w:hAnsi="Courier New"/>
          <w:sz w:val="16"/>
          <w:szCs w:val="16"/>
          <w:color w:val="auto"/>
        </w:rPr>
        <w:t>condensed combined financial statements.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1520"/>
          </w:cols>
          <w:pgMar w:left="240" w:top="834" w:right="1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1"/>
        </w:trPr>
        <w:tc>
          <w:tcPr>
            <w:tcW w:w="3240" w:type="dxa"/>
            <w:vAlign w:val="bottom"/>
            <w:gridSpan w:val="3"/>
          </w:tcPr>
          <w:p>
            <w:pPr>
              <w:ind w:left="1400"/>
              <w:spacing w:after="0"/>
              <w:rPr>
                <w:sz w:val="20"/>
                <w:szCs w:val="20"/>
                <w:color w:val="auto"/>
              </w:rPr>
            </w:pPr>
            <w:r>
              <w:rPr>
                <w:rFonts w:ascii="Courier New" w:cs="Courier New" w:eastAsia="Courier New" w:hAnsi="Courier New"/>
                <w:sz w:val="16"/>
                <w:szCs w:val="16"/>
                <w:color w:val="auto"/>
                <w:w w:val="99"/>
              </w:rPr>
              <w:t>Unaudited Pro Forma</w:t>
            </w:r>
          </w:p>
        </w:tc>
        <w:tc>
          <w:tcPr>
            <w:tcW w:w="4360" w:type="dxa"/>
            <w:vAlign w:val="bottom"/>
            <w:gridSpan w:val="6"/>
          </w:tcPr>
          <w:p>
            <w:pPr>
              <w:jc w:val="right"/>
              <w:ind w:right="202"/>
              <w:spacing w:after="0"/>
              <w:rPr>
                <w:sz w:val="20"/>
                <w:szCs w:val="20"/>
                <w:color w:val="auto"/>
              </w:rPr>
            </w:pPr>
            <w:r>
              <w:rPr>
                <w:rFonts w:ascii="Courier New" w:cs="Courier New" w:eastAsia="Courier New" w:hAnsi="Courier New"/>
                <w:sz w:val="16"/>
                <w:szCs w:val="16"/>
                <w:color w:val="auto"/>
                <w:w w:val="98"/>
              </w:rPr>
              <w:t>Condensed Combined Statements of Operations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6100" w:type="dxa"/>
            <w:vAlign w:val="bottom"/>
            <w:gridSpan w:val="7"/>
          </w:tcPr>
          <w:p>
            <w:pPr>
              <w:ind w:left="1960"/>
              <w:spacing w:after="0"/>
              <w:rPr>
                <w:sz w:val="20"/>
                <w:szCs w:val="20"/>
                <w:color w:val="auto"/>
              </w:rPr>
            </w:pPr>
            <w:r>
              <w:rPr>
                <w:rFonts w:ascii="Courier New" w:cs="Courier New" w:eastAsia="Courier New" w:hAnsi="Courier New"/>
                <w:sz w:val="16"/>
                <w:szCs w:val="16"/>
                <w:color w:val="auto"/>
              </w:rPr>
              <w:t>For the fiscal year ended June 30, 2001</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w w:val="99"/>
              </w:rPr>
              <w:t>(in `000s)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41"/>
        </w:trPr>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9"/>
              </w:rPr>
              <w:t>Pro Forma</w:t>
            </w:r>
          </w:p>
        </w:tc>
        <w:tc>
          <w:tcPr>
            <w:tcW w:w="460" w:type="dxa"/>
            <w:vAlign w:val="bottom"/>
          </w:tcPr>
          <w:p>
            <w:pPr>
              <w:spacing w:after="0"/>
              <w:rPr>
                <w:sz w:val="15"/>
                <w:szCs w:val="15"/>
                <w:color w:val="auto"/>
              </w:rPr>
            </w:pPr>
          </w:p>
        </w:tc>
        <w:tc>
          <w:tcPr>
            <w:tcW w:w="104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Pro Forma</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Pro Forma</w:t>
            </w:r>
          </w:p>
        </w:tc>
        <w:tc>
          <w:tcPr>
            <w:tcW w:w="1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Adjustments</w:t>
            </w: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Combined</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Adjustments</w:t>
            </w:r>
          </w:p>
        </w:tc>
        <w:tc>
          <w:tcPr>
            <w:tcW w:w="1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for Ivron</w:t>
            </w: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9"/>
              </w:rPr>
              <w:t>for Ivron</w:t>
            </w:r>
          </w:p>
        </w:tc>
        <w:tc>
          <w:tcPr>
            <w:tcW w:w="460" w:type="dxa"/>
            <w:vAlign w:val="bottom"/>
          </w:tcPr>
          <w:p>
            <w:pPr>
              <w:spacing w:after="0"/>
              <w:rPr>
                <w:sz w:val="15"/>
                <w:szCs w:val="15"/>
                <w:color w:val="auto"/>
              </w:rPr>
            </w:pPr>
          </w:p>
        </w:tc>
        <w:tc>
          <w:tcPr>
            <w:tcW w:w="104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for Ivron</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for</w:t>
            </w:r>
          </w:p>
        </w:tc>
        <w:tc>
          <w:tcPr>
            <w:tcW w:w="1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Systems and</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ClearOne</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Ivron Systems</w:t>
            </w: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8"/>
              </w:rPr>
              <w:t>Systems</w:t>
            </w:r>
          </w:p>
        </w:tc>
        <w:tc>
          <w:tcPr>
            <w:tcW w:w="46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8"/>
              </w:rPr>
              <w:t>Systems</w:t>
            </w:r>
          </w:p>
        </w:tc>
        <w:tc>
          <w:tcPr>
            <w:tcW w:w="11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E.mergent</w:t>
            </w:r>
          </w:p>
        </w:tc>
        <w:tc>
          <w:tcPr>
            <w:tcW w:w="2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E.mergent</w:t>
            </w:r>
          </w:p>
        </w:tc>
        <w:tc>
          <w:tcPr>
            <w:tcW w:w="1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E.mergent</w:t>
            </w:r>
          </w:p>
        </w:tc>
      </w:tr>
      <w:tr>
        <w:trPr>
          <w:trHeight w:val="180"/>
        </w:trPr>
        <w:tc>
          <w:tcPr>
            <w:tcW w:w="2200" w:type="dxa"/>
            <w:vAlign w:val="bottom"/>
          </w:tcPr>
          <w:p>
            <w:pPr>
              <w:spacing w:after="0"/>
              <w:rPr>
                <w:sz w:val="15"/>
                <w:szCs w:val="15"/>
                <w:color w:val="auto"/>
              </w:rPr>
            </w:pPr>
          </w:p>
        </w:tc>
        <w:tc>
          <w:tcPr>
            <w:tcW w:w="254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w w:val="99"/>
              </w:rPr>
              <w:t>(Historical) (Historical)</w:t>
            </w:r>
          </w:p>
        </w:tc>
        <w:tc>
          <w:tcPr>
            <w:tcW w:w="140" w:type="dxa"/>
            <w:vAlign w:val="bottom"/>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Acquisition</w:t>
            </w:r>
          </w:p>
        </w:tc>
        <w:tc>
          <w:tcPr>
            <w:tcW w:w="1500" w:type="dxa"/>
            <w:vAlign w:val="bottom"/>
            <w:gridSpan w:val="2"/>
          </w:tcPr>
          <w:p>
            <w:pPr>
              <w:jc w:val="center"/>
              <w:ind w:left="182"/>
              <w:spacing w:after="0"/>
              <w:rPr>
                <w:sz w:val="20"/>
                <w:szCs w:val="20"/>
                <w:color w:val="auto"/>
              </w:rPr>
            </w:pPr>
            <w:r>
              <w:rPr>
                <w:rFonts w:ascii="Courier New" w:cs="Courier New" w:eastAsia="Courier New" w:hAnsi="Courier New"/>
                <w:sz w:val="16"/>
                <w:szCs w:val="16"/>
                <w:color w:val="auto"/>
                <w:w w:val="98"/>
              </w:rPr>
              <w:t>Acquisition</w:t>
            </w:r>
          </w:p>
        </w:tc>
        <w:tc>
          <w:tcPr>
            <w:tcW w:w="252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rPr>
              <w:t>(Historical) Acquisition</w:t>
            </w:r>
          </w:p>
        </w:tc>
        <w:tc>
          <w:tcPr>
            <w:tcW w:w="1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Acquisitions</w:t>
            </w:r>
          </w:p>
        </w:tc>
      </w:tr>
      <w:tr>
        <w:trPr>
          <w:trHeight w:val="180"/>
        </w:trPr>
        <w:tc>
          <w:tcPr>
            <w:tcW w:w="2200" w:type="dxa"/>
            <w:vAlign w:val="bottom"/>
          </w:tcPr>
          <w:p>
            <w:pPr>
              <w:spacing w:after="0"/>
              <w:rPr>
                <w:sz w:val="15"/>
                <w:szCs w:val="15"/>
                <w:color w:val="auto"/>
              </w:rPr>
            </w:pPr>
          </w:p>
        </w:tc>
        <w:tc>
          <w:tcPr>
            <w:tcW w:w="9320" w:type="dxa"/>
            <w:vAlign w:val="bottom"/>
            <w:gridSpan w:val="14"/>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541"/>
        </w:trPr>
        <w:tc>
          <w:tcPr>
            <w:tcW w:w="22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$ 39,878</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608</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40,486</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22,503</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(188)</w:t>
            </w:r>
          </w:p>
        </w:tc>
        <w:tc>
          <w:tcPr>
            <w:tcW w:w="1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K $ 62,801</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16,503</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798</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17,301</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14,270</w:t>
            </w:r>
          </w:p>
        </w:tc>
        <w:tc>
          <w:tcPr>
            <w:tcW w:w="2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(188)</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K</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31,383</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2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Gross profit (loss)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23,375</w:t>
            </w:r>
          </w:p>
        </w:tc>
        <w:tc>
          <w:tcPr>
            <w:tcW w:w="50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(190)</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23,185</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8,233</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31,418</w:t>
            </w: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Marketing and selling</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7,753</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1,588</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9,341</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3,449</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12,790</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General and</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administrative</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4,649</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555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(182)</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A</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5,022</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3,276</w:t>
            </w:r>
          </w:p>
        </w:tc>
        <w:tc>
          <w:tcPr>
            <w:tcW w:w="2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(224)</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A</w:t>
            </w:r>
          </w:p>
        </w:tc>
        <w:tc>
          <w:tcPr>
            <w:tcW w:w="920" w:type="dxa"/>
            <w:vAlign w:val="bottom"/>
          </w:tcPr>
          <w:p>
            <w:pPr>
              <w:spacing w:after="0"/>
              <w:rPr>
                <w:sz w:val="15"/>
                <w:szCs w:val="15"/>
                <w:color w:val="auto"/>
              </w:rPr>
            </w:pPr>
          </w:p>
        </w:tc>
      </w:tr>
      <w:tr>
        <w:trPr>
          <w:trHeight w:val="180"/>
        </w:trPr>
        <w:tc>
          <w:tcPr>
            <w:tcW w:w="2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404</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B</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8,478</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Research and product</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development</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2,502</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732</w:t>
            </w:r>
          </w:p>
        </w:tc>
        <w:tc>
          <w:tcPr>
            <w:tcW w:w="14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555</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B</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3,789</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689</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4,478</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2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Total operating</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expenses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14,904</w:t>
            </w:r>
          </w:p>
        </w:tc>
        <w:tc>
          <w:tcPr>
            <w:tcW w:w="500" w:type="dxa"/>
            <w:vAlign w:val="bottom"/>
          </w:tcPr>
          <w:p>
            <w:pPr>
              <w:spacing w:after="0"/>
              <w:rPr>
                <w:sz w:val="15"/>
                <w:szCs w:val="15"/>
                <w:color w:val="auto"/>
              </w:rPr>
            </w:pP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2,875</w:t>
            </w:r>
          </w:p>
        </w:tc>
        <w:tc>
          <w:tcPr>
            <w:tcW w:w="14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373</w:t>
            </w: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18,152</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7,414</w:t>
            </w:r>
          </w:p>
        </w:tc>
        <w:tc>
          <w:tcPr>
            <w:tcW w:w="24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180</w:t>
            </w:r>
          </w:p>
        </w:tc>
        <w:tc>
          <w:tcPr>
            <w:tcW w:w="48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25,746</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2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(loss)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8,471</w:t>
            </w:r>
          </w:p>
        </w:tc>
        <w:tc>
          <w:tcPr>
            <w:tcW w:w="50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(3,065)</w:t>
            </w:r>
          </w:p>
        </w:tc>
        <w:tc>
          <w:tcPr>
            <w:tcW w:w="1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(373)</w:t>
            </w: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5,033</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819</w:t>
            </w:r>
          </w:p>
        </w:tc>
        <w:tc>
          <w:tcPr>
            <w:tcW w:w="2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(180)</w:t>
            </w:r>
          </w:p>
        </w:tc>
        <w:tc>
          <w:tcPr>
            <w:tcW w:w="48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5,672</w:t>
            </w: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373</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373</w:t>
            </w:r>
          </w:p>
        </w:tc>
        <w:tc>
          <w:tcPr>
            <w:tcW w:w="32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222</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2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w w:val="99"/>
              </w:rPr>
              <w:t>continuing operations</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before income taxes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8,844</w:t>
            </w:r>
          </w:p>
        </w:tc>
        <w:tc>
          <w:tcPr>
            <w:tcW w:w="50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(3,065)</w:t>
            </w:r>
          </w:p>
        </w:tc>
        <w:tc>
          <w:tcPr>
            <w:tcW w:w="1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(373)</w:t>
            </w:r>
          </w:p>
        </w:tc>
        <w:tc>
          <w:tcPr>
            <w:tcW w:w="4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5,406</w:t>
            </w:r>
          </w:p>
        </w:tc>
        <w:tc>
          <w:tcPr>
            <w:tcW w:w="320" w:type="dxa"/>
            <w:vAlign w:val="bottom"/>
          </w:tcPr>
          <w:p>
            <w:pPr>
              <w:spacing w:after="0"/>
              <w:rPr>
                <w:sz w:val="15"/>
                <w:szCs w:val="15"/>
                <w:color w:val="auto"/>
              </w:rPr>
            </w:pP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668</w:t>
            </w:r>
          </w:p>
        </w:tc>
        <w:tc>
          <w:tcPr>
            <w:tcW w:w="2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(180)</w:t>
            </w:r>
          </w:p>
        </w:tc>
        <w:tc>
          <w:tcPr>
            <w:tcW w:w="48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5,894</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Provision (benefit)</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for income taxes</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3,319</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(139)</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C</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3,180</w:t>
            </w:r>
          </w:p>
        </w:tc>
        <w:tc>
          <w:tcPr>
            <w:tcW w:w="32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(70)</w:t>
            </w:r>
          </w:p>
        </w:tc>
        <w:tc>
          <w:tcPr>
            <w:tcW w:w="2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(67)</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C</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3,043</w:t>
            </w:r>
          </w:p>
        </w:tc>
      </w:tr>
      <w:tr>
        <w:trPr>
          <w:trHeight w:val="180"/>
        </w:trPr>
        <w:tc>
          <w:tcPr>
            <w:tcW w:w="22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4"/>
                <w:szCs w:val="4"/>
                <w:color w:val="auto"/>
              </w:rPr>
              <w:t>----------------------------------------</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2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w w:val="99"/>
              </w:rPr>
              <w:t>continuing operations</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5,525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(3,065)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(234)</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2,226</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738</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(113)</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2,851</w:t>
            </w:r>
          </w:p>
        </w:tc>
      </w:tr>
      <w:tr>
        <w:trPr>
          <w:trHeight w:val="180"/>
        </w:trPr>
        <w:tc>
          <w:tcPr>
            <w:tcW w:w="2200" w:type="dxa"/>
            <w:vAlign w:val="bottom"/>
          </w:tcPr>
          <w:p>
            <w:pPr>
              <w:spacing w:after="0"/>
              <w:rPr>
                <w:sz w:val="15"/>
                <w:szCs w:val="15"/>
                <w:color w:val="auto"/>
              </w:rPr>
            </w:pPr>
          </w:p>
        </w:tc>
        <w:tc>
          <w:tcPr>
            <w:tcW w:w="3900" w:type="dxa"/>
            <w:vAlign w:val="bottom"/>
            <w:gridSpan w:val="6"/>
          </w:tcPr>
          <w:p>
            <w:pPr>
              <w:ind w:left="40"/>
              <w:spacing w:after="0"/>
              <w:rPr>
                <w:sz w:val="20"/>
                <w:szCs w:val="20"/>
                <w:color w:val="auto"/>
              </w:rPr>
            </w:pPr>
            <w:r>
              <w:rPr>
                <w:rFonts w:ascii="Courier New" w:cs="Courier New" w:eastAsia="Courier New" w:hAnsi="Courier New"/>
                <w:sz w:val="16"/>
                <w:szCs w:val="16"/>
                <w:color w:val="auto"/>
                <w:w w:val="99"/>
              </w:rPr>
              <w:t>========================================</w:t>
            </w:r>
          </w:p>
        </w:tc>
        <w:tc>
          <w:tcPr>
            <w:tcW w:w="4020" w:type="dxa"/>
            <w:vAlign w:val="bottom"/>
            <w:gridSpan w:val="6"/>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200" w:type="dxa"/>
            <w:vAlign w:val="bottom"/>
          </w:tcPr>
          <w:p>
            <w:pPr>
              <w:spacing w:after="0"/>
              <w:rPr>
                <w:sz w:val="20"/>
                <w:szCs w:val="20"/>
                <w:color w:val="auto"/>
              </w:rPr>
            </w:pPr>
            <w:r>
              <w:rPr>
                <w:rFonts w:ascii="Courier New" w:cs="Courier New" w:eastAsia="Courier New" w:hAnsi="Courier New"/>
                <w:sz w:val="16"/>
                <w:szCs w:val="16"/>
                <w:color w:val="auto"/>
              </w:rPr>
              <w:t>Basic earnings per</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common share</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0.64</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0.26</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Diluted earnings per</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common share</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0.61</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0.25</w:t>
            </w:r>
          </w:p>
        </w:tc>
      </w:t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w w:val="98"/>
              </w:rPr>
              <w:t>Weighted average shares</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180"/>
              <w:spacing w:after="0"/>
              <w:rPr>
                <w:sz w:val="20"/>
                <w:szCs w:val="20"/>
                <w:color w:val="auto"/>
              </w:rPr>
            </w:pPr>
            <w:r>
              <w:rPr>
                <w:rFonts w:ascii="Courier New" w:cs="Courier New" w:eastAsia="Courier New" w:hAnsi="Courier New"/>
                <w:sz w:val="16"/>
                <w:szCs w:val="16"/>
                <w:color w:val="auto"/>
              </w:rPr>
              <w:t>outstanding:</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2200" w:type="dxa"/>
            <w:vAlign w:val="bottom"/>
          </w:tcPr>
          <w:p>
            <w:pPr>
              <w:ind w:left="560"/>
              <w:spacing w:after="0"/>
              <w:rPr>
                <w:sz w:val="20"/>
                <w:szCs w:val="20"/>
                <w:color w:val="auto"/>
              </w:rPr>
            </w:pPr>
            <w:r>
              <w:rPr>
                <w:rFonts w:ascii="Courier New" w:cs="Courier New" w:eastAsia="Courier New" w:hAnsi="Courier New"/>
                <w:sz w:val="16"/>
                <w:szCs w:val="16"/>
                <w:color w:val="auto"/>
              </w:rPr>
              <w:t>Basic</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8,594</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10,960</w:t>
            </w:r>
          </w:p>
        </w:tc>
      </w:tr>
      <w:tr>
        <w:trPr>
          <w:trHeight w:val="180"/>
        </w:trPr>
        <w:tc>
          <w:tcPr>
            <w:tcW w:w="2200" w:type="dxa"/>
            <w:vAlign w:val="bottom"/>
          </w:tcPr>
          <w:p>
            <w:pPr>
              <w:ind w:left="560"/>
              <w:spacing w:after="0"/>
              <w:rPr>
                <w:sz w:val="20"/>
                <w:szCs w:val="20"/>
                <w:color w:val="auto"/>
              </w:rPr>
            </w:pPr>
            <w:r>
              <w:rPr>
                <w:rFonts w:ascii="Courier New" w:cs="Courier New" w:eastAsia="Courier New" w:hAnsi="Courier New"/>
                <w:sz w:val="16"/>
                <w:szCs w:val="16"/>
                <w:color w:val="auto"/>
              </w:rPr>
              <w:t>Diluted</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9,016</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11,383</w:t>
            </w:r>
          </w:p>
        </w:tc>
      </w:tr>
    </w:tbl>
    <w:p>
      <w:pPr>
        <w:spacing w:after="0" w:line="200" w:lineRule="exact"/>
        <w:rPr>
          <w:sz w:val="20"/>
          <w:szCs w:val="20"/>
          <w:color w:val="auto"/>
        </w:rPr>
      </w:pPr>
    </w:p>
    <w:p>
      <w:pPr>
        <w:spacing w:after="0" w:line="34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See accompanying notes to unaudited pro forma</w:t>
      </w:r>
    </w:p>
    <w:p>
      <w:pPr>
        <w:ind w:left="1880"/>
        <w:spacing w:after="0"/>
        <w:rPr>
          <w:sz w:val="20"/>
          <w:szCs w:val="20"/>
          <w:color w:val="auto"/>
        </w:rPr>
      </w:pPr>
      <w:r>
        <w:rPr>
          <w:rFonts w:ascii="Courier New" w:cs="Courier New" w:eastAsia="Courier New" w:hAnsi="Courier New"/>
          <w:sz w:val="16"/>
          <w:szCs w:val="16"/>
          <w:color w:val="auto"/>
        </w:rPr>
        <w:t>condensed combined financial statements.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1520"/>
          </w:cols>
          <w:pgMar w:left="240" w:top="1014" w:right="139" w:bottom="1440" w:gutter="0" w:footer="0" w:header="0"/>
        </w:sectPr>
      </w:pPr>
    </w:p>
    <w:bookmarkStart w:id="28" w:name="page29"/>
    <w:bookmarkEnd w:id="28"/>
    <w:p>
      <w:pPr>
        <w:ind w:left="560"/>
        <w:spacing w:after="0"/>
        <w:rPr>
          <w:sz w:val="20"/>
          <w:szCs w:val="20"/>
          <w:color w:val="auto"/>
        </w:rPr>
      </w:pPr>
      <w:r>
        <w:rPr>
          <w:rFonts w:ascii="Courier New" w:cs="Courier New" w:eastAsia="Courier New" w:hAnsi="Courier New"/>
          <w:sz w:val="16"/>
          <w:szCs w:val="16"/>
          <w:color w:val="auto"/>
        </w:rPr>
        <w:t>Notes to Unaudited Pro Forma Condensed Combined Financial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w:t>
      </w:r>
    </w:p>
    <w:p>
      <w:pPr>
        <w:spacing w:after="0" w:line="36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On October 3, 2001, ClearOne executed a share purchase agreement, as amended on April 8, 2002, with the shareholders of Ivron Systems. ClearOne paid cash of $6,000,000 for all of the issued and outstanding shares of Ivron Systems, cash of $650,000 for all outstanding options to purchase common shares of Ivron Systems, and incurred acquisition costs of $274,000 in the transaction. Additional consideration may be issued to Ivron Systems' shareholders if certain contingencies related to future earnings targets as defined in the share purchase agreement are met. The following is a summary of the purchase price allocation using the October 3, 2001 balance sheet of Ivron Systems (in 000's):</w:t>
      </w:r>
    </w:p>
    <w:p>
      <w:pPr>
        <w:spacing w:after="0" w:line="354" w:lineRule="exact"/>
        <w:rPr>
          <w:sz w:val="20"/>
          <w:szCs w:val="20"/>
          <w:color w:val="auto"/>
        </w:rPr>
      </w:pPr>
    </w:p>
    <w:tbl>
      <w:tblPr>
        <w:tblLayout w:type="fixed"/>
        <w:tblInd w:w="740" w:type="dxa"/>
        <w:tblCellMar>
          <w:top w:w="0" w:type="dxa"/>
          <w:left w:w="0" w:type="dxa"/>
          <w:bottom w:w="0" w:type="dxa"/>
          <w:right w:w="0" w:type="dxa"/>
        </w:tblCellMar>
      </w:tblP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7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460</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17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132</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17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608</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Fixed assets</w:t>
            </w:r>
          </w:p>
        </w:tc>
        <w:tc>
          <w:tcPr>
            <w:tcW w:w="17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 assets</w:t>
            </w:r>
          </w:p>
        </w:tc>
        <w:tc>
          <w:tcPr>
            <w:tcW w:w="17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6,144</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(175)</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Accrued expenses</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(266)</w:t>
            </w:r>
          </w:p>
        </w:tc>
      </w:tr>
      <w:tr>
        <w:trPr>
          <w:trHeight w:val="180"/>
        </w:trPr>
        <w:tc>
          <w:tcPr>
            <w:tcW w:w="39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940" w:type="dxa"/>
            <w:vAlign w:val="bottom"/>
          </w:tcPr>
          <w:p>
            <w:pPr>
              <w:ind w:left="660"/>
              <w:spacing w:after="0"/>
              <w:rPr>
                <w:sz w:val="20"/>
                <w:szCs w:val="20"/>
                <w:color w:val="auto"/>
              </w:rPr>
            </w:pPr>
            <w:r>
              <w:rPr>
                <w:rFonts w:ascii="Courier New" w:cs="Courier New" w:eastAsia="Courier New" w:hAnsi="Courier New"/>
                <w:sz w:val="16"/>
                <w:szCs w:val="16"/>
                <w:color w:val="auto"/>
              </w:rPr>
              <w:t>Total</w:t>
            </w:r>
          </w:p>
        </w:tc>
        <w:tc>
          <w:tcPr>
            <w:tcW w:w="17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$6,924</w:t>
            </w:r>
          </w:p>
        </w:tc>
      </w:tr>
      <w:tr>
        <w:trPr>
          <w:trHeight w:val="180"/>
        </w:trPr>
        <w:tc>
          <w:tcPr>
            <w:tcW w:w="39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right="2819" w:firstLine="750"/>
        <w:spacing w:after="0" w:line="238" w:lineRule="auto"/>
        <w:rPr>
          <w:sz w:val="20"/>
          <w:szCs w:val="20"/>
          <w:color w:val="auto"/>
        </w:rPr>
      </w:pPr>
      <w:r>
        <w:rPr>
          <w:rFonts w:ascii="Courier New" w:cs="Courier New" w:eastAsia="Courier New" w:hAnsi="Courier New"/>
          <w:sz w:val="16"/>
          <w:szCs w:val="16"/>
          <w:color w:val="auto"/>
        </w:rPr>
        <w:t>On January 21, 2002, ClearOne entered into a definitive agreement to acquire E.mergent. This acquisition was completed on May 31, 2002. Under the terms of the agreement, ClearOne acquired all of the issued and outstanding stock of E.mergent; thereby acquiring title to all assets and assuming all liabilities of E.mergent. As consideration in the transaction, ClearOne paid cash of $7,300,000 and issued 873,000 shares of its common stock, less the aggregate number of shares of common stock allocated to E.mergent's outstanding stock options assumed by ClearOne in the merger because, in accordance with the agreement and plan of merger, the 873,000 shares of ClearOne common stock were allocated first to E.mergent stock options being assumed by ClearOne. Outstanding E.mergent stock options were converted to options to purchase 4,158 shares of ClearOne's common stock at the ratio specified in the agreement and plan of merger. The value of the stock consideration paid to E.mergent shareholders used in determining the purchase price for accounting purposes was based on ClearOne's average closing price two days prior to and two days subsequent to January 21, 2002 (the announcement date for the acquisition) of $16.55. Additionally, ClearOne incurred transaction costs of approximately $1,071,000 in connection with the acquisition. This includes approximately $418,000 for severance payments to terminating E.mergent executives and approximately $51,000 of anticipated severance payments to other terminating E.mergent employees, as well as approximately $602,000 related to professional advisory, legal and accounting fees. E.mergent incurred transaction related costs of approximately $926,000. These costs have been reflected as a reduction of E.mergent's cash balance as of March 31, 2002. The following is a summary of the purchase price allocation using the March 31, 2002 balance sheet of E.mergent (in 000's):</w:t>
      </w:r>
    </w:p>
    <w:p>
      <w:pPr>
        <w:spacing w:after="0" w:line="372"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454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579</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2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3,144</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2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3,605</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Fixed assets</w:t>
            </w:r>
          </w:p>
        </w:tc>
        <w:tc>
          <w:tcPr>
            <w:tcW w:w="2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443</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693</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2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16,897</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Other intangible assets</w:t>
            </w:r>
          </w:p>
        </w:tc>
        <w:tc>
          <w:tcPr>
            <w:tcW w:w="2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1,667</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280" w:type="dxa"/>
            <w:vAlign w:val="bottom"/>
          </w:tcPr>
          <w:p>
            <w:pPr>
              <w:spacing w:after="0"/>
              <w:rPr>
                <w:sz w:val="15"/>
                <w:szCs w:val="15"/>
                <w:color w:val="auto"/>
              </w:rPr>
            </w:pP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(1,548)</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Accrued expenses and customer deposits</w:t>
            </w:r>
          </w:p>
        </w:tc>
        <w:tc>
          <w:tcPr>
            <w:tcW w:w="280" w:type="dxa"/>
            <w:vAlign w:val="bottom"/>
          </w:tcPr>
          <w:p>
            <w:pPr>
              <w:spacing w:after="0"/>
              <w:rPr>
                <w:sz w:val="15"/>
                <w:szCs w:val="15"/>
                <w:color w:val="auto"/>
              </w:rPr>
            </w:pP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(473)</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Unearned maintenance contracts</w:t>
            </w:r>
          </w:p>
        </w:tc>
        <w:tc>
          <w:tcPr>
            <w:tcW w:w="280" w:type="dxa"/>
            <w:vAlign w:val="bottom"/>
          </w:tcPr>
          <w:p>
            <w:pPr>
              <w:spacing w:after="0"/>
              <w:rPr>
                <w:sz w:val="15"/>
                <w:szCs w:val="15"/>
                <w:color w:val="auto"/>
              </w:rPr>
            </w:pP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(1,007)</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280" w:type="dxa"/>
            <w:vAlign w:val="bottom"/>
          </w:tcPr>
          <w:p>
            <w:pPr>
              <w:spacing w:after="0"/>
              <w:rPr>
                <w:sz w:val="15"/>
                <w:szCs w:val="15"/>
                <w:color w:val="auto"/>
              </w:rPr>
            </w:pP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(625)</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Capital leases and long-term debt</w:t>
            </w:r>
          </w:p>
        </w:tc>
        <w:tc>
          <w:tcPr>
            <w:tcW w:w="280" w:type="dxa"/>
            <w:vAlign w:val="bottom"/>
          </w:tcPr>
          <w:p>
            <w:pPr>
              <w:spacing w:after="0"/>
              <w:rPr>
                <w:sz w:val="15"/>
                <w:szCs w:val="15"/>
                <w:color w:val="auto"/>
              </w:rPr>
            </w:pP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(578)</w:t>
            </w:r>
          </w:p>
        </w:tc>
      </w:tr>
      <w:tr>
        <w:trPr>
          <w:trHeight w:val="180"/>
        </w:trPr>
        <w:tc>
          <w:tcPr>
            <w:tcW w:w="45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540" w:type="dxa"/>
            <w:vAlign w:val="bottom"/>
          </w:tcPr>
          <w:p>
            <w:pPr>
              <w:ind w:left="460"/>
              <w:spacing w:after="0"/>
              <w:rPr>
                <w:sz w:val="20"/>
                <w:szCs w:val="20"/>
                <w:color w:val="auto"/>
              </w:rPr>
            </w:pPr>
            <w:r>
              <w:rPr>
                <w:rFonts w:ascii="Courier New" w:cs="Courier New" w:eastAsia="Courier New" w:hAnsi="Courier New"/>
                <w:sz w:val="16"/>
                <w:szCs w:val="16"/>
                <w:color w:val="auto"/>
              </w:rPr>
              <w:t>Total</w:t>
            </w:r>
          </w:p>
        </w:tc>
        <w:tc>
          <w:tcPr>
            <w:tcW w:w="12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$ 22,797</w:t>
            </w:r>
          </w:p>
        </w:tc>
      </w:tr>
      <w:tr>
        <w:trPr>
          <w:trHeight w:val="180"/>
        </w:trPr>
        <w:tc>
          <w:tcPr>
            <w:tcW w:w="45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The purchase price was determined as follows: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41"/>
        </w:trPr>
        <w:tc>
          <w:tcPr>
            <w:tcW w:w="4540" w:type="dxa"/>
            <w:vAlign w:val="bottom"/>
          </w:tcPr>
          <w:p>
            <w:pPr>
              <w:spacing w:after="0"/>
              <w:rPr>
                <w:sz w:val="20"/>
                <w:szCs w:val="20"/>
                <w:color w:val="auto"/>
              </w:rPr>
            </w:pPr>
            <w:r>
              <w:rPr>
                <w:rFonts w:ascii="Courier New" w:cs="Courier New" w:eastAsia="Courier New" w:hAnsi="Courier New"/>
                <w:sz w:val="16"/>
                <w:szCs w:val="16"/>
                <w:color w:val="auto"/>
              </w:rPr>
              <w:t>Cash paid to E.mergent shareholders</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7,300</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Value of ClearOne common stock issued to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E.mergent shareholders  (868,842</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shares x $16.55)</w:t>
            </w:r>
          </w:p>
        </w:tc>
        <w:tc>
          <w:tcPr>
            <w:tcW w:w="2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14,379</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Fair value of ClearOne options issued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to E.mergent option holders,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determined using the Black-Scholes model</w:t>
            </w:r>
          </w:p>
        </w:tc>
        <w:tc>
          <w:tcPr>
            <w:tcW w:w="2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47</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Acquisition costs to be paid by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ClearOne</w:t>
            </w:r>
          </w:p>
        </w:tc>
        <w:tc>
          <w:tcPr>
            <w:tcW w:w="2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1,071</w:t>
            </w:r>
          </w:p>
        </w:tc>
      </w:tr>
      <w:tr>
        <w:trPr>
          <w:trHeight w:val="180"/>
        </w:trPr>
        <w:tc>
          <w:tcPr>
            <w:tcW w:w="45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540" w:type="dxa"/>
            <w:vAlign w:val="bottom"/>
          </w:tcPr>
          <w:p>
            <w:pPr>
              <w:ind w:left="460"/>
              <w:spacing w:after="0"/>
              <w:rPr>
                <w:sz w:val="20"/>
                <w:szCs w:val="20"/>
                <w:color w:val="auto"/>
              </w:rPr>
            </w:pPr>
            <w:r>
              <w:rPr>
                <w:rFonts w:ascii="Courier New" w:cs="Courier New" w:eastAsia="Courier New" w:hAnsi="Courier New"/>
                <w:sz w:val="16"/>
                <w:szCs w:val="16"/>
                <w:color w:val="auto"/>
              </w:rPr>
              <w:t>Total purchase price</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22,797</w:t>
            </w:r>
          </w:p>
        </w:tc>
      </w:tr>
      <w:tr>
        <w:trPr>
          <w:trHeight w:val="180"/>
        </w:trPr>
        <w:tc>
          <w:tcPr>
            <w:tcW w:w="454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w:t>
      </w:r>
    </w:p>
    <w:p>
      <w:pPr>
        <w:sectPr>
          <w:pgSz w:w="11900" w:h="16838" w:orient="portrait"/>
          <w:cols w:equalWidth="0" w:num="1">
            <w:col w:w="10219"/>
          </w:cols>
          <w:pgMar w:left="240" w:top="654" w:right="1440" w:bottom="0" w:gutter="0" w:footer="0" w:header="0"/>
        </w:sectPr>
      </w:pPr>
    </w:p>
    <w:bookmarkStart w:id="29" w:name="page30"/>
    <w:bookmarkEnd w:id="29"/>
    <w:p>
      <w:pPr>
        <w:ind w:right="2719" w:firstLine="750"/>
        <w:spacing w:after="0" w:line="238" w:lineRule="auto"/>
        <w:rPr>
          <w:sz w:val="20"/>
          <w:szCs w:val="20"/>
          <w:color w:val="auto"/>
        </w:rPr>
      </w:pPr>
      <w:r>
        <w:rPr>
          <w:rFonts w:ascii="Courier New" w:cs="Courier New" w:eastAsia="Courier New" w:hAnsi="Courier New"/>
          <w:sz w:val="16"/>
          <w:szCs w:val="16"/>
          <w:color w:val="auto"/>
        </w:rPr>
        <w:t>The unaudited pro forma condensed combined balance sheet includes the adjustments necessary to give effect to the E.mergent acquisition as if it had occurred on March 31, 2002 as noted above. The unaudited pro forma condensed combined statements of operations include the adjustments necessary to give effect to the Ivron Systems and E.mergent acquisitions and the private placement as if they had occurred on July 1, 2000. Adjustments included in the pro forma condensed combined financial statements are summarized as follows: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22" w:right="1440" w:bottom="1440" w:gutter="0" w:footer="0" w:header="0"/>
        </w:sectPr>
      </w:pPr>
    </w:p>
    <w:bookmarkStart w:id="30" w:name="page31"/>
    <w:bookmarkEnd w:id="30"/>
    <w:p>
      <w:pPr>
        <w:spacing w:after="0" w:line="63" w:lineRule="exact"/>
        <w:rPr>
          <w:sz w:val="20"/>
          <w:szCs w:val="20"/>
          <w:color w:val="auto"/>
        </w:rPr>
      </w:pPr>
    </w:p>
    <w:p>
      <w:pPr>
        <w:jc w:val="both"/>
        <w:ind w:left="464" w:right="2719" w:hanging="464"/>
        <w:spacing w:after="0" w:line="237" w:lineRule="auto"/>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E.mergent and Ivron historical goodwill and other intangibles (and the related amortization) that were revalued as part of the purchase price allocation.</w:t>
      </w:r>
    </w:p>
    <w:p>
      <w:pPr>
        <w:spacing w:after="0" w:line="364" w:lineRule="exact"/>
        <w:rPr>
          <w:rFonts w:ascii="Courier New" w:cs="Courier New" w:eastAsia="Courier New" w:hAnsi="Courier New"/>
          <w:sz w:val="16"/>
          <w:szCs w:val="16"/>
          <w:color w:val="auto"/>
        </w:rPr>
      </w:pPr>
    </w:p>
    <w:p>
      <w:pPr>
        <w:jc w:val="both"/>
        <w:ind w:left="464" w:right="2719" w:hanging="464"/>
        <w:spacing w:after="0" w:line="237" w:lineRule="auto"/>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Values were assigned to intangible assets related to the Ivron Systems acquisition as follows: developed technology - $5,780,000; goodwill - $439,000. These allocations are based upon a final report from an independent financial consulting firm. The developed technology was determined to have useful lives as follows, with the resulting impact on amortization expense:</w:t>
      </w:r>
    </w:p>
    <w:p>
      <w:pPr>
        <w:spacing w:after="0" w:line="364" w:lineRule="exact"/>
        <w:rPr>
          <w:sz w:val="20"/>
          <w:szCs w:val="20"/>
          <w:color w:val="auto"/>
        </w:rPr>
      </w:pPr>
    </w:p>
    <w:p>
      <w:pPr>
        <w:ind w:left="4404"/>
        <w:spacing w:after="0"/>
        <w:rPr>
          <w:sz w:val="20"/>
          <w:szCs w:val="20"/>
          <w:color w:val="auto"/>
        </w:rPr>
      </w:pPr>
      <w:r>
        <w:rPr>
          <w:rFonts w:ascii="Courier New" w:cs="Courier New" w:eastAsia="Courier New" w:hAnsi="Courier New"/>
          <w:sz w:val="16"/>
          <w:szCs w:val="16"/>
          <w:color w:val="auto"/>
        </w:rPr>
        <w:t>Amortization for the</w:t>
      </w:r>
    </w:p>
    <w:p>
      <w:pPr>
        <w:ind w:left="1124"/>
        <w:spacing w:after="0"/>
        <w:tabs>
          <w:tab w:leader="none" w:pos="2703" w:val="left"/>
          <w:tab w:leader="none" w:pos="3723" w:val="left"/>
          <w:tab w:leader="none" w:pos="5603" w:val="left"/>
        </w:tabs>
        <w:rPr>
          <w:sz w:val="20"/>
          <w:szCs w:val="20"/>
          <w:color w:val="auto"/>
        </w:rPr>
      </w:pPr>
      <w:r>
        <w:rPr>
          <w:rFonts w:ascii="Courier New" w:cs="Courier New" w:eastAsia="Courier New" w:hAnsi="Courier New"/>
          <w:sz w:val="16"/>
          <w:szCs w:val="16"/>
          <w:color w:val="auto"/>
        </w:rPr>
        <w:t>Value of</w:t>
      </w:r>
      <w:r>
        <w:rPr>
          <w:sz w:val="20"/>
          <w:szCs w:val="20"/>
          <w:color w:val="auto"/>
        </w:rPr>
        <w:tab/>
      </w:r>
      <w:r>
        <w:rPr>
          <w:rFonts w:ascii="Courier New" w:cs="Courier New" w:eastAsia="Courier New" w:hAnsi="Courier New"/>
          <w:sz w:val="16"/>
          <w:szCs w:val="16"/>
          <w:color w:val="auto"/>
        </w:rPr>
        <w:t>Useful</w:t>
      </w:r>
      <w:r>
        <w:rPr>
          <w:sz w:val="20"/>
          <w:szCs w:val="20"/>
          <w:color w:val="auto"/>
        </w:rPr>
        <w:tab/>
      </w:r>
      <w:r>
        <w:rPr>
          <w:rFonts w:ascii="Courier New" w:cs="Courier New" w:eastAsia="Courier New" w:hAnsi="Courier New"/>
          <w:sz w:val="16"/>
          <w:szCs w:val="16"/>
          <w:color w:val="auto"/>
        </w:rPr>
        <w:t>Nine months ended</w:t>
      </w:r>
      <w:r>
        <w:rPr>
          <w:sz w:val="20"/>
          <w:szCs w:val="20"/>
          <w:color w:val="auto"/>
        </w:rPr>
        <w:tab/>
      </w:r>
      <w:r>
        <w:rPr>
          <w:rFonts w:ascii="Courier New" w:cs="Courier New" w:eastAsia="Courier New" w:hAnsi="Courier New"/>
          <w:sz w:val="15"/>
          <w:szCs w:val="15"/>
          <w:color w:val="auto"/>
        </w:rPr>
        <w:t>Fiscal Year ended</w:t>
      </w:r>
    </w:p>
    <w:p>
      <w:pPr>
        <w:ind w:left="1024"/>
        <w:spacing w:after="0"/>
        <w:tabs>
          <w:tab w:leader="none" w:pos="2803" w:val="left"/>
          <w:tab w:leader="none" w:pos="3823" w:val="left"/>
          <w:tab w:leader="none" w:pos="4483" w:val="left"/>
          <w:tab w:leader="none" w:pos="5703" w:val="left"/>
        </w:tabs>
        <w:rPr>
          <w:sz w:val="20"/>
          <w:szCs w:val="20"/>
          <w:color w:val="auto"/>
        </w:rPr>
      </w:pPr>
      <w:r>
        <w:rPr>
          <w:rFonts w:ascii="Courier New" w:cs="Courier New" w:eastAsia="Courier New" w:hAnsi="Courier New"/>
          <w:sz w:val="16"/>
          <w:szCs w:val="16"/>
          <w:color w:val="auto"/>
        </w:rPr>
        <w:t>Technology</w:t>
      </w:r>
      <w:r>
        <w:rPr>
          <w:sz w:val="20"/>
          <w:szCs w:val="20"/>
          <w:color w:val="auto"/>
        </w:rPr>
        <w:tab/>
      </w:r>
      <w:r>
        <w:rPr>
          <w:rFonts w:ascii="Courier New" w:cs="Courier New" w:eastAsia="Courier New" w:hAnsi="Courier New"/>
          <w:sz w:val="16"/>
          <w:szCs w:val="16"/>
          <w:color w:val="auto"/>
        </w:rPr>
        <w:t>Life</w:t>
      </w:r>
      <w:r>
        <w:rPr>
          <w:sz w:val="20"/>
          <w:szCs w:val="20"/>
          <w:color w:val="auto"/>
        </w:rPr>
        <w:tab/>
      </w:r>
      <w:r>
        <w:rPr>
          <w:rFonts w:ascii="Courier New" w:cs="Courier New" w:eastAsia="Courier New" w:hAnsi="Courier New"/>
          <w:sz w:val="16"/>
          <w:szCs w:val="16"/>
          <w:color w:val="auto"/>
        </w:rPr>
        <w:t>March</w:t>
        <w:tab/>
        <w:t>31, 2002</w:t>
      </w:r>
      <w:r>
        <w:rPr>
          <w:sz w:val="20"/>
          <w:szCs w:val="20"/>
          <w:color w:val="auto"/>
        </w:rPr>
        <w:tab/>
      </w:r>
      <w:r>
        <w:rPr>
          <w:rFonts w:ascii="Courier New" w:cs="Courier New" w:eastAsia="Courier New" w:hAnsi="Courier New"/>
          <w:sz w:val="15"/>
          <w:szCs w:val="15"/>
          <w:color w:val="auto"/>
        </w:rPr>
        <w:t>June 30, 2001</w:t>
      </w:r>
    </w:p>
    <w:p>
      <w:pPr>
        <w:ind w:left="664"/>
        <w:spacing w:after="0"/>
        <w:rPr>
          <w:sz w:val="20"/>
          <w:szCs w:val="20"/>
          <w:color w:val="auto"/>
        </w:rPr>
      </w:pPr>
      <w:r>
        <w:rPr>
          <w:rFonts w:ascii="Courier New" w:cs="Courier New" w:eastAsia="Courier New" w:hAnsi="Courier New"/>
          <w:sz w:val="16"/>
          <w:szCs w:val="16"/>
          <w:color w:val="auto"/>
        </w:rPr>
        <w:t>----------------------------------------------------------------------</w:t>
      </w:r>
    </w:p>
    <w:tbl>
      <w:tblPr>
        <w:tblLayout w:type="fixed"/>
        <w:tblInd w:w="664" w:type="dxa"/>
        <w:tblCellMar>
          <w:top w:w="0" w:type="dxa"/>
          <w:left w:w="0" w:type="dxa"/>
          <w:bottom w:w="0" w:type="dxa"/>
          <w:right w:w="0" w:type="dxa"/>
        </w:tblCellMar>
      </w:tblPr>
      <w:tr>
        <w:trPr>
          <w:trHeight w:val="180"/>
        </w:trPr>
        <w:tc>
          <w:tcPr>
            <w:tcW w:w="360" w:type="dxa"/>
            <w:vAlign w:val="bottom"/>
          </w:tcPr>
          <w:p>
            <w:pPr>
              <w:jc w:val="right"/>
              <w:spacing w:after="0" w:line="180" w:lineRule="exact"/>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82"/>
              <w:spacing w:after="0" w:line="180" w:lineRule="exact"/>
              <w:rPr>
                <w:sz w:val="20"/>
                <w:szCs w:val="20"/>
                <w:color w:val="auto"/>
              </w:rPr>
            </w:pPr>
            <w:r>
              <w:rPr>
                <w:rFonts w:ascii="Courier New" w:cs="Courier New" w:eastAsia="Courier New" w:hAnsi="Courier New"/>
                <w:sz w:val="16"/>
                <w:szCs w:val="16"/>
                <w:color w:val="auto"/>
              </w:rPr>
              <w:t>135,000</w:t>
            </w:r>
          </w:p>
        </w:tc>
        <w:tc>
          <w:tcPr>
            <w:tcW w:w="700" w:type="dxa"/>
            <w:vAlign w:val="bottom"/>
          </w:tcPr>
          <w:p>
            <w:pPr>
              <w:jc w:val="right"/>
              <w:ind w:right="162"/>
              <w:spacing w:after="0" w:line="180" w:lineRule="exact"/>
              <w:rPr>
                <w:sz w:val="20"/>
                <w:szCs w:val="20"/>
                <w:color w:val="auto"/>
              </w:rPr>
            </w:pPr>
            <w:r>
              <w:rPr>
                <w:rFonts w:ascii="Courier New" w:cs="Courier New" w:eastAsia="Courier New" w:hAnsi="Courier New"/>
                <w:sz w:val="16"/>
                <w:szCs w:val="16"/>
                <w:color w:val="auto"/>
              </w:rPr>
              <w:t>3</w:t>
            </w:r>
          </w:p>
        </w:tc>
        <w:tc>
          <w:tcPr>
            <w:tcW w:w="2200" w:type="dxa"/>
            <w:vAlign w:val="bottom"/>
          </w:tcPr>
          <w:p>
            <w:pPr>
              <w:jc w:val="right"/>
              <w:ind w:right="482"/>
              <w:spacing w:after="0" w:line="180" w:lineRule="exact"/>
              <w:rPr>
                <w:sz w:val="20"/>
                <w:szCs w:val="20"/>
                <w:color w:val="auto"/>
              </w:rPr>
            </w:pPr>
            <w:r>
              <w:rPr>
                <w:rFonts w:ascii="Courier New" w:cs="Courier New" w:eastAsia="Courier New" w:hAnsi="Courier New"/>
                <w:sz w:val="16"/>
                <w:szCs w:val="16"/>
                <w:color w:val="auto"/>
              </w:rPr>
              <w:t>$  11,250</w:t>
            </w:r>
          </w:p>
        </w:tc>
        <w:tc>
          <w:tcPr>
            <w:tcW w:w="1600" w:type="dxa"/>
            <w:vAlign w:val="bottom"/>
          </w:tcPr>
          <w:p>
            <w:pPr>
              <w:jc w:val="right"/>
              <w:ind w:right="302"/>
              <w:spacing w:after="0" w:line="180" w:lineRule="exact"/>
              <w:rPr>
                <w:sz w:val="20"/>
                <w:szCs w:val="20"/>
                <w:color w:val="auto"/>
              </w:rPr>
            </w:pPr>
            <w:r>
              <w:rPr>
                <w:rFonts w:ascii="Courier New" w:cs="Courier New" w:eastAsia="Courier New" w:hAnsi="Courier New"/>
                <w:sz w:val="16"/>
                <w:szCs w:val="16"/>
                <w:color w:val="auto"/>
              </w:rPr>
              <w:t>$   45,000</w:t>
            </w:r>
          </w:p>
        </w:tc>
      </w:tr>
      <w:tr>
        <w:trPr>
          <w:trHeight w:val="180"/>
        </w:trPr>
        <w:tc>
          <w:tcPr>
            <w:tcW w:w="360" w:type="dxa"/>
            <w:vAlign w:val="bottom"/>
          </w:tcPr>
          <w:p>
            <w:pPr>
              <w:spacing w:after="0"/>
              <w:rPr>
                <w:sz w:val="15"/>
                <w:szCs w:val="15"/>
                <w:color w:val="auto"/>
              </w:rPr>
            </w:pPr>
          </w:p>
        </w:tc>
        <w:tc>
          <w:tcPr>
            <w:tcW w:w="17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1,002,000</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w:t>
            </w:r>
          </w:p>
        </w:tc>
        <w:tc>
          <w:tcPr>
            <w:tcW w:w="2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50,100</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200,400</w:t>
            </w:r>
          </w:p>
        </w:tc>
      </w:tr>
      <w:tr>
        <w:trPr>
          <w:trHeight w:val="180"/>
        </w:trPr>
        <w:tc>
          <w:tcPr>
            <w:tcW w:w="360" w:type="dxa"/>
            <w:vAlign w:val="bottom"/>
          </w:tcPr>
          <w:p>
            <w:pPr>
              <w:spacing w:after="0"/>
              <w:rPr>
                <w:sz w:val="15"/>
                <w:szCs w:val="15"/>
                <w:color w:val="auto"/>
              </w:rPr>
            </w:pPr>
          </w:p>
        </w:tc>
        <w:tc>
          <w:tcPr>
            <w:tcW w:w="17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4,643,000</w:t>
            </w: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w:t>
            </w:r>
          </w:p>
        </w:tc>
        <w:tc>
          <w:tcPr>
            <w:tcW w:w="2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77,383</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309,533</w:t>
            </w:r>
          </w:p>
        </w:tc>
      </w:tr>
      <w:tr>
        <w:trPr>
          <w:trHeight w:val="180"/>
        </w:trPr>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6"/>
              </w:rPr>
              <w:t>-------------------</w:t>
            </w:r>
          </w:p>
        </w:tc>
        <w:tc>
          <w:tcPr>
            <w:tcW w:w="700" w:type="dxa"/>
            <w:vAlign w:val="bottom"/>
          </w:tcPr>
          <w:p>
            <w:pPr>
              <w:spacing w:after="0"/>
              <w:rPr>
                <w:sz w:val="15"/>
                <w:szCs w:val="15"/>
                <w:color w:val="auto"/>
              </w:rPr>
            </w:pPr>
          </w:p>
        </w:tc>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60" w:type="dxa"/>
            <w:vAlign w:val="bottom"/>
          </w:tcPr>
          <w:p>
            <w:pPr>
              <w:spacing w:after="0"/>
              <w:rPr>
                <w:sz w:val="15"/>
                <w:szCs w:val="15"/>
                <w:color w:val="auto"/>
              </w:rPr>
            </w:pPr>
          </w:p>
        </w:tc>
        <w:tc>
          <w:tcPr>
            <w:tcW w:w="170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6"/>
              </w:rPr>
              <w:t>$ 5,780,000</w:t>
            </w:r>
          </w:p>
        </w:tc>
        <w:tc>
          <w:tcPr>
            <w:tcW w:w="700" w:type="dxa"/>
            <w:vAlign w:val="bottom"/>
          </w:tcPr>
          <w:p>
            <w:pPr>
              <w:spacing w:after="0"/>
              <w:rPr>
                <w:sz w:val="15"/>
                <w:szCs w:val="15"/>
                <w:color w:val="auto"/>
              </w:rPr>
            </w:pPr>
          </w:p>
        </w:tc>
        <w:tc>
          <w:tcPr>
            <w:tcW w:w="2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$138,733(i)</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$ 554,933</w:t>
            </w:r>
          </w:p>
        </w:tc>
      </w:tr>
      <w:tr>
        <w:trPr>
          <w:trHeight w:val="180"/>
        </w:trPr>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6"/>
              </w:rPr>
              <w:t>===================</w:t>
            </w:r>
          </w:p>
        </w:tc>
        <w:tc>
          <w:tcPr>
            <w:tcW w:w="700" w:type="dxa"/>
            <w:vAlign w:val="bottom"/>
          </w:tcPr>
          <w:p>
            <w:pPr>
              <w:spacing w:after="0"/>
              <w:rPr>
                <w:sz w:val="15"/>
                <w:szCs w:val="15"/>
                <w:color w:val="auto"/>
              </w:rPr>
            </w:pPr>
          </w:p>
        </w:tc>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744" w:right="2719" w:firstLine="663"/>
        <w:spacing w:after="0" w:line="237" w:lineRule="auto"/>
        <w:tabs>
          <w:tab w:leader="none" w:pos="177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the amortization expense from July 1, 2001 to October 2, 2001, the period prior to the acquisition of Ivron Systems by ClearOne.</w:t>
      </w:r>
    </w:p>
    <w:p>
      <w:pPr>
        <w:spacing w:after="0" w:line="36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Values were assigned to intangible assets related to the E.mergent acquisition as follows: customer contracts, non-compete agreements and patents - $1,667,000; goodwill (based upon E.mergent's March 31, 2002 balance sheet) - $16,897,000. These allocations are based upon a final report from an independent financial consulting firm. The contracts, non-compete agreements and patents were determined to have useful lives as follows, with the resulting impact on amortization expense:</w:t>
      </w:r>
    </w:p>
    <w:p>
      <w:pPr>
        <w:spacing w:after="0" w:line="360" w:lineRule="exact"/>
        <w:rPr>
          <w:sz w:val="20"/>
          <w:szCs w:val="20"/>
          <w:color w:val="auto"/>
        </w:rPr>
      </w:pPr>
    </w:p>
    <w:p>
      <w:pPr>
        <w:ind w:left="4964"/>
        <w:spacing w:after="0"/>
        <w:rPr>
          <w:sz w:val="20"/>
          <w:szCs w:val="20"/>
          <w:color w:val="auto"/>
        </w:rPr>
      </w:pPr>
      <w:r>
        <w:rPr>
          <w:rFonts w:ascii="Courier New" w:cs="Courier New" w:eastAsia="Courier New" w:hAnsi="Courier New"/>
          <w:sz w:val="16"/>
          <w:szCs w:val="16"/>
          <w:color w:val="auto"/>
        </w:rPr>
        <w:t>Amortization for the</w:t>
      </w:r>
    </w:p>
    <w:p>
      <w:pPr>
        <w:ind w:left="4684"/>
        <w:spacing w:after="0"/>
        <w:tabs>
          <w:tab w:leader="none" w:pos="6163" w:val="left"/>
        </w:tabs>
        <w:rPr>
          <w:sz w:val="20"/>
          <w:szCs w:val="20"/>
          <w:color w:val="auto"/>
        </w:rPr>
      </w:pPr>
      <w:r>
        <w:rPr>
          <w:rFonts w:ascii="Courier New" w:cs="Courier New" w:eastAsia="Courier New" w:hAnsi="Courier New"/>
          <w:sz w:val="16"/>
          <w:szCs w:val="16"/>
          <w:color w:val="auto"/>
        </w:rPr>
        <w:t>Nine months</w:t>
      </w:r>
      <w:r>
        <w:rPr>
          <w:sz w:val="20"/>
          <w:szCs w:val="20"/>
          <w:color w:val="auto"/>
        </w:rPr>
        <w:tab/>
      </w:r>
      <w:r>
        <w:rPr>
          <w:rFonts w:ascii="Courier New" w:cs="Courier New" w:eastAsia="Courier New" w:hAnsi="Courier New"/>
          <w:sz w:val="15"/>
          <w:szCs w:val="15"/>
          <w:color w:val="auto"/>
        </w:rPr>
        <w:t>Fiscal Year</w:t>
      </w:r>
    </w:p>
    <w:p>
      <w:pPr>
        <w:ind w:left="3664"/>
        <w:spacing w:after="0" w:line="237" w:lineRule="auto"/>
        <w:tabs>
          <w:tab w:leader="none" w:pos="4943" w:val="left"/>
          <w:tab w:leader="none" w:pos="6443" w:val="left"/>
        </w:tabs>
        <w:rPr>
          <w:sz w:val="20"/>
          <w:szCs w:val="20"/>
          <w:color w:val="auto"/>
        </w:rPr>
      </w:pPr>
      <w:r>
        <w:rPr>
          <w:rFonts w:ascii="Courier New" w:cs="Courier New" w:eastAsia="Courier New" w:hAnsi="Courier New"/>
          <w:sz w:val="16"/>
          <w:szCs w:val="16"/>
          <w:color w:val="auto"/>
        </w:rPr>
        <w:t>Useful</w:t>
      </w:r>
      <w:r>
        <w:rPr>
          <w:sz w:val="20"/>
          <w:szCs w:val="20"/>
          <w:color w:val="auto"/>
        </w:rPr>
        <w:tab/>
      </w:r>
      <w:r>
        <w:rPr>
          <w:rFonts w:ascii="Courier New" w:cs="Courier New" w:eastAsia="Courier New" w:hAnsi="Courier New"/>
          <w:sz w:val="16"/>
          <w:szCs w:val="16"/>
          <w:color w:val="auto"/>
        </w:rPr>
        <w:t>ended</w:t>
      </w:r>
      <w:r>
        <w:rPr>
          <w:sz w:val="20"/>
          <w:szCs w:val="20"/>
          <w:color w:val="auto"/>
        </w:rPr>
        <w:tab/>
      </w:r>
      <w:r>
        <w:rPr>
          <w:rFonts w:ascii="Courier New" w:cs="Courier New" w:eastAsia="Courier New" w:hAnsi="Courier New"/>
          <w:sz w:val="16"/>
          <w:szCs w:val="16"/>
          <w:color w:val="auto"/>
        </w:rPr>
        <w:t>ended</w:t>
      </w:r>
    </w:p>
    <w:p>
      <w:pPr>
        <w:ind w:left="664"/>
        <w:spacing w:after="0"/>
        <w:tabs>
          <w:tab w:leader="none" w:pos="2423" w:val="left"/>
          <w:tab w:leader="none" w:pos="3723" w:val="left"/>
          <w:tab w:leader="none" w:pos="4583" w:val="left"/>
          <w:tab w:leader="none" w:pos="6083" w:val="left"/>
        </w:tabs>
        <w:rPr>
          <w:sz w:val="20"/>
          <w:szCs w:val="20"/>
          <w:color w:val="auto"/>
        </w:rPr>
      </w:pPr>
      <w:r>
        <w:rPr>
          <w:rFonts w:ascii="Courier New" w:cs="Courier New" w:eastAsia="Courier New" w:hAnsi="Courier New"/>
          <w:sz w:val="16"/>
          <w:szCs w:val="16"/>
          <w:color w:val="auto"/>
        </w:rPr>
        <w:t>Intangibles</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Life</w:t>
      </w:r>
      <w:r>
        <w:rPr>
          <w:sz w:val="20"/>
          <w:szCs w:val="20"/>
          <w:color w:val="auto"/>
        </w:rPr>
        <w:tab/>
      </w:r>
      <w:r>
        <w:rPr>
          <w:rFonts w:ascii="Courier New" w:cs="Courier New" w:eastAsia="Courier New" w:hAnsi="Courier New"/>
          <w:sz w:val="16"/>
          <w:szCs w:val="16"/>
          <w:color w:val="auto"/>
        </w:rPr>
        <w:t>March 31, 2002</w:t>
      </w:r>
      <w:r>
        <w:rPr>
          <w:sz w:val="20"/>
          <w:szCs w:val="20"/>
          <w:color w:val="auto"/>
        </w:rPr>
        <w:tab/>
      </w:r>
      <w:r>
        <w:rPr>
          <w:rFonts w:ascii="Courier New" w:cs="Courier New" w:eastAsia="Courier New" w:hAnsi="Courier New"/>
          <w:sz w:val="15"/>
          <w:szCs w:val="15"/>
          <w:color w:val="auto"/>
        </w:rPr>
        <w:t>June 30, 2001</w:t>
      </w:r>
    </w:p>
    <w:p>
      <w:pPr>
        <w:spacing w:after="0" w:line="4" w:lineRule="exact"/>
        <w:rPr>
          <w:sz w:val="20"/>
          <w:szCs w:val="20"/>
          <w:color w:val="auto"/>
        </w:rPr>
      </w:pPr>
    </w:p>
    <w:p>
      <w:pPr>
        <w:ind w:left="66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Courier New" w:cs="Courier New" w:eastAsia="Courier New" w:hAnsi="Courier New"/>
                <w:sz w:val="16"/>
                <w:szCs w:val="16"/>
                <w:color w:val="auto"/>
              </w:rPr>
              <w:t>Contracts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392,000</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196,000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261,333</w:t>
            </w:r>
          </w:p>
        </w:tc>
      </w:tr>
      <w:tr>
        <w:trPr>
          <w:trHeight w:val="180"/>
        </w:trPr>
        <w:tc>
          <w:tcPr>
            <w:tcW w:w="1160" w:type="dxa"/>
            <w:vAlign w:val="bottom"/>
          </w:tcPr>
          <w:p>
            <w:pPr>
              <w:spacing w:after="0"/>
              <w:rPr>
                <w:sz w:val="20"/>
                <w:szCs w:val="20"/>
                <w:color w:val="auto"/>
              </w:rPr>
            </w:pPr>
            <w:r>
              <w:rPr>
                <w:rFonts w:ascii="Courier New" w:cs="Courier New" w:eastAsia="Courier New" w:hAnsi="Courier New"/>
                <w:sz w:val="16"/>
                <w:szCs w:val="16"/>
                <w:color w:val="auto"/>
              </w:rPr>
              <w:t>Non-compete</w:t>
            </w:r>
          </w:p>
        </w:tc>
        <w:tc>
          <w:tcPr>
            <w:tcW w:w="520" w:type="dxa"/>
            <w:vAlign w:val="bottom"/>
          </w:tcPr>
          <w:p>
            <w:pPr>
              <w:spacing w:after="0"/>
              <w:rPr>
                <w:sz w:val="15"/>
                <w:szCs w:val="15"/>
                <w:color w:val="auto"/>
              </w:rPr>
            </w:pP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215,000</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w:t>
            </w:r>
          </w:p>
        </w:tc>
        <w:tc>
          <w:tcPr>
            <w:tcW w:w="84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53,750</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71,667</w:t>
            </w:r>
          </w:p>
        </w:tc>
      </w:tr>
      <w:tr>
        <w:trPr>
          <w:trHeight w:val="180"/>
        </w:trPr>
        <w:tc>
          <w:tcPr>
            <w:tcW w:w="1160" w:type="dxa"/>
            <w:vAlign w:val="bottom"/>
          </w:tcPr>
          <w:p>
            <w:pPr>
              <w:spacing w:after="0"/>
              <w:rPr>
                <w:sz w:val="20"/>
                <w:szCs w:val="20"/>
                <w:color w:val="auto"/>
              </w:rPr>
            </w:pPr>
            <w:r>
              <w:rPr>
                <w:rFonts w:ascii="Courier New" w:cs="Courier New" w:eastAsia="Courier New" w:hAnsi="Courier New"/>
                <w:sz w:val="16"/>
                <w:szCs w:val="16"/>
                <w:color w:val="auto"/>
              </w:rPr>
              <w:t>Patents</w:t>
            </w:r>
          </w:p>
        </w:tc>
        <w:tc>
          <w:tcPr>
            <w:tcW w:w="520" w:type="dxa"/>
            <w:vAlign w:val="bottom"/>
          </w:tcPr>
          <w:p>
            <w:pPr>
              <w:spacing w:after="0"/>
              <w:rPr>
                <w:sz w:val="15"/>
                <w:szCs w:val="15"/>
                <w:color w:val="auto"/>
              </w:rPr>
            </w:pP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1,060,000</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w:t>
            </w:r>
          </w:p>
        </w:tc>
        <w:tc>
          <w:tcPr>
            <w:tcW w:w="84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53,000</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70,667</w:t>
            </w:r>
          </w:p>
        </w:tc>
      </w:tr>
      <w:tr>
        <w:trPr>
          <w:trHeight w:val="180"/>
        </w:trPr>
        <w:tc>
          <w:tcPr>
            <w:tcW w:w="1160" w:type="dxa"/>
            <w:vAlign w:val="bottom"/>
          </w:tcPr>
          <w:p>
            <w:pPr>
              <w:spacing w:after="0"/>
              <w:rPr>
                <w:sz w:val="15"/>
                <w:szCs w:val="15"/>
                <w:color w:val="auto"/>
              </w:rPr>
            </w:pP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$ 1,667,000</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302,750</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$ 403,667</w:t>
            </w:r>
          </w:p>
        </w:tc>
      </w:tr>
      <w:tr>
        <w:trPr>
          <w:trHeight w:val="180"/>
        </w:trPr>
        <w:tc>
          <w:tcPr>
            <w:tcW w:w="1160" w:type="dxa"/>
            <w:vAlign w:val="bottom"/>
          </w:tcPr>
          <w:p>
            <w:pPr>
              <w:spacing w:after="0"/>
              <w:rPr>
                <w:sz w:val="15"/>
                <w:szCs w:val="15"/>
                <w:color w:val="auto"/>
              </w:rPr>
            </w:pPr>
          </w:p>
        </w:tc>
        <w:tc>
          <w:tcPr>
            <w:tcW w:w="1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464" w:right="2719" w:hanging="464"/>
        <w:spacing w:after="0" w:line="236" w:lineRule="auto"/>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impact of tax-deductible amortization adjustments, as calculated using ClearOne's blended statutory rate of 37.3%.</w:t>
      </w:r>
    </w:p>
    <w:p>
      <w:pPr>
        <w:spacing w:after="0" w:line="365"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consideration to be paid to former E.mergent shareholders of $7,300,000 plus ClearOne and E.mergent transaction costs of $1,997,000.</w:t>
      </w:r>
    </w:p>
    <w:p>
      <w:pPr>
        <w:spacing w:after="0" w:line="365" w:lineRule="exact"/>
        <w:rPr>
          <w:rFonts w:ascii="Courier New" w:cs="Courier New" w:eastAsia="Courier New" w:hAnsi="Courier New"/>
          <w:sz w:val="16"/>
          <w:szCs w:val="16"/>
          <w:color w:val="auto"/>
        </w:rPr>
      </w:pPr>
    </w:p>
    <w:p>
      <w:pPr>
        <w:jc w:val="both"/>
        <w:ind w:left="464" w:right="2719" w:hanging="464"/>
        <w:spacing w:after="0" w:line="237" w:lineRule="auto"/>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represents goodwill of $16,897,000 including capitalized acquisition costs of approximately $1,071,000 and identifiable intangible assets of $1,667,000. Such allocations were based upon a report issued to the Company by an independent financial consulting firm.</w:t>
      </w:r>
    </w:p>
    <w:p>
      <w:pPr>
        <w:spacing w:after="0" w:line="366"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an investment that was deemed to have no future value to ClearOne.</w:t>
      </w:r>
    </w:p>
    <w:p>
      <w:pPr>
        <w:spacing w:after="0" w:line="365" w:lineRule="exact"/>
        <w:rPr>
          <w:rFonts w:ascii="Courier New" w:cs="Courier New" w:eastAsia="Courier New" w:hAnsi="Courier New"/>
          <w:sz w:val="16"/>
          <w:szCs w:val="16"/>
          <w:color w:val="auto"/>
        </w:rPr>
      </w:pPr>
    </w:p>
    <w:p>
      <w:pPr>
        <w:jc w:val="both"/>
        <w:ind w:left="464" w:right="2719" w:hanging="464"/>
        <w:spacing w:after="0" w:line="238" w:lineRule="auto"/>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fair value, as determined in accordance with FASB Interpretation No. 44, Accounting for Certain Transactions Involving Stock Compensation--An Interpretation of APB Opinion 25, of the vested options to purchase ClearOne common stock that were issued in exchange for vested options to purchase E.mergent common stock in conjunction with the agreement and plan of merger. The weighted average fair value of the ClearOne options is approximately $11.36, using the Black-Scholes method, as determined using the following assumptions: volatility of 62%, weighted average expected life of the options of approximately 2 years, dividend yield of 0%, and risk-free interest rate of 4.38%.</w:t>
      </w:r>
    </w:p>
    <w:p>
      <w:pPr>
        <w:spacing w:after="0" w:line="362"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E.mergent's historical equity.</w:t>
      </w:r>
    </w:p>
    <w:p>
      <w:pPr>
        <w:spacing w:after="0" w:line="364" w:lineRule="exact"/>
        <w:rPr>
          <w:rFonts w:ascii="Courier New" w:cs="Courier New" w:eastAsia="Courier New" w:hAnsi="Courier New"/>
          <w:sz w:val="16"/>
          <w:szCs w:val="16"/>
          <w:color w:val="auto"/>
        </w:rPr>
      </w:pPr>
    </w:p>
    <w:p>
      <w:pPr>
        <w:jc w:val="both"/>
        <w:ind w:left="464" w:right="2719" w:hanging="464"/>
        <w:spacing w:after="0" w:line="237" w:lineRule="auto"/>
        <w:tabs>
          <w:tab w:leader="none" w:pos="46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agreement and plan of merger, the treasury stock held by E.mergent, which consisted of 50,317 shares, was distributed to E.mergent employees immediately prior to the consummation of the merger.</w:t>
      </w:r>
    </w:p>
    <w:p>
      <w:pPr>
        <w:spacing w:after="0" w:line="364" w:lineRule="exact"/>
        <w:rPr>
          <w:rFonts w:ascii="Courier New" w:cs="Courier New" w:eastAsia="Courier New" w:hAnsi="Courier New"/>
          <w:sz w:val="16"/>
          <w:szCs w:val="16"/>
          <w:color w:val="auto"/>
        </w:rPr>
      </w:pPr>
    </w:p>
    <w:p>
      <w:pPr>
        <w:ind w:left="464" w:hanging="464"/>
        <w:spacing w:after="0"/>
        <w:tabs>
          <w:tab w:leader="none" w:pos="46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value of the shares of ClearOne common stock issued to holders</w:t>
      </w:r>
    </w:p>
    <w:p>
      <w:pPr>
        <w:sectPr>
          <w:pgSz w:w="11900" w:h="16902" w:orient="portrait"/>
          <w:cols w:equalWidth="0" w:num="1">
            <w:col w:w="10223"/>
          </w:cols>
          <w:pgMar w:left="236" w:top="659" w:right="1440" w:bottom="0" w:gutter="0" w:footer="0" w:header="0"/>
        </w:sectPr>
      </w:pPr>
    </w:p>
    <w:bookmarkStart w:id="31" w:name="page32"/>
    <w:bookmarkEnd w:id="31"/>
    <w:p>
      <w:pPr>
        <w:jc w:val="both"/>
        <w:ind w:left="464" w:right="2719"/>
        <w:spacing w:after="0" w:line="237" w:lineRule="auto"/>
        <w:rPr>
          <w:sz w:val="20"/>
          <w:szCs w:val="20"/>
          <w:color w:val="auto"/>
        </w:rPr>
      </w:pPr>
      <w:r>
        <w:rPr>
          <w:rFonts w:ascii="Courier New" w:cs="Courier New" w:eastAsia="Courier New" w:hAnsi="Courier New"/>
          <w:sz w:val="16"/>
          <w:szCs w:val="16"/>
          <w:color w:val="auto"/>
        </w:rPr>
        <w:t>of E.mergent common stock as follows: (868,842 shares x $16.55 per share). The per share price is based on ClearOne's average closing price two days prior to and two days subsequent to January 21, 2002 (the announcement date for the acquisition).</w:t>
      </w:r>
    </w:p>
    <w:p>
      <w:pPr>
        <w:spacing w:after="0" w:line="366" w:lineRule="exact"/>
        <w:rPr>
          <w:sz w:val="20"/>
          <w:szCs w:val="20"/>
          <w:color w:val="auto"/>
        </w:rPr>
      </w:pPr>
    </w:p>
    <w:p>
      <w:pPr>
        <w:ind w:left="464" w:right="2719" w:hanging="464"/>
        <w:spacing w:after="0" w:line="236" w:lineRule="auto"/>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sales and related cost of sales between ClearOne and E.mergent.</w:t>
      </w:r>
    </w:p>
    <w:p>
      <w:pPr>
        <w:spacing w:after="0" w:line="365"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a shareholder note from a former E.mergent executive that was repaid upon consummation of the merger.</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3"/>
          </w:cols>
          <w:pgMar w:left="236" w:top="142" w:right="1440" w:bottom="1440" w:gutter="0" w:footer="0" w:header="0"/>
        </w:sectPr>
      </w:pPr>
    </w:p>
    <w:bookmarkStart w:id="32" w:name="page33"/>
    <w:bookmarkEnd w:id="32"/>
    <w:p>
      <w:pPr>
        <w:ind w:left="464" w:right="2719" w:hanging="464"/>
        <w:spacing w:after="0" w:line="236" w:lineRule="auto"/>
        <w:tabs>
          <w:tab w:leader="none" w:pos="4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record deferred tax liabilities on the recorded value of E.mergent's identifiable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3"/>
          </w:cols>
          <w:pgMar w:left="236" w:top="65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719" w:firstLine="750"/>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654" w:right="1440" w:bottom="1440" w:gutter="0" w:footer="0" w:header="0"/>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14, 2002</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200" w:lineRule="exact"/>
        <w:rPr>
          <w:sz w:val="20"/>
          <w:szCs w:val="20"/>
          <w:color w:val="auto"/>
        </w:rPr>
      </w:pPr>
    </w:p>
    <w:p>
      <w:pPr>
        <w:sectPr>
          <w:pgSz w:w="11900" w:h="16838" w:orient="portrait"/>
          <w:cols w:equalWidth="0" w:num="2">
            <w:col w:w="3220" w:space="720"/>
            <w:col w:w="6279"/>
          </w:cols>
          <w:pgMar w:left="240" w:top="654" w:right="1440" w:bottom="1440" w:gutter="0" w:footer="0" w:header="0"/>
          <w:type w:val="continuous"/>
        </w:sectPr>
      </w:pPr>
    </w:p>
    <w:p>
      <w:pPr>
        <w:spacing w:after="0" w:line="171"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 /s/ RANDALL J. WICHINSKI</w:t>
      </w:r>
    </w:p>
    <w:p>
      <w:pPr>
        <w:spacing w:after="0" w:line="10"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Randall J. Wichinski</w:t>
      </w:r>
    </w:p>
    <w:p>
      <w:pPr>
        <w:ind w:left="432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6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31</w:t>
      </w:r>
    </w:p>
    <w:sectPr>
      <w:pgSz w:w="11900" w:h="16838" w:orient="portrait"/>
      <w:cols w:equalWidth="0" w:num="1">
        <w:col w:w="10219"/>
      </w:cols>
      <w:pgMar w:left="240" w:top="65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801"/>
    </w:lvl>
  </w:abstractNum>
  <w:abstractNum w:abstractNumId="1">
    <w:nsid w:val="12200854"/>
    <w:multiLevelType w:val="hybridMultilevel"/>
    <w:lvl w:ilvl="0">
      <w:lvlJc w:val="left"/>
      <w:lvlText w:val="(%1)"/>
      <w:numFmt w:val="lowerLetter"/>
      <w:start w:val="1"/>
    </w:lvl>
    <w:lvl w:ilvl="1">
      <w:lvlJc w:val="left"/>
      <w:lvlText w:val="(%2)"/>
      <w:numFmt w:val="lowerRoman"/>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7"/>
    </w:lvl>
  </w:abstractNum>
  <w:abstractNum w:abstractNumId="6">
    <w:nsid w:val="66EF438D"/>
    <w:multiLevelType w:val="hybridMultilevel"/>
    <w:lvl w:ilvl="0">
      <w:lvlJc w:val="left"/>
      <w:lvlText w:val="%1."/>
      <w:numFmt w:val="decimal"/>
      <w:start w:val="8"/>
    </w:lvl>
  </w:abstractNum>
  <w:abstractNum w:abstractNumId="7">
    <w:nsid w:val="140E0F76"/>
    <w:multiLevelType w:val="hybridMultilevel"/>
    <w:lvl w:ilvl="0">
      <w:lvlJc w:val="left"/>
      <w:lvlText w:val="%1."/>
      <w:numFmt w:val="decimal"/>
      <w:start w:val="9"/>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4"/>
    </w:lvl>
  </w:abstractNum>
  <w:abstractNum w:abstractNumId="11">
    <w:nsid w:val="7FDCC233"/>
    <w:multiLevelType w:val="hybridMultilevel"/>
    <w:lvl w:ilvl="0">
      <w:lvlJc w:val="left"/>
      <w:lvlText w:val="%1."/>
      <w:numFmt w:val="decimal"/>
      <w:start w:val="15"/>
    </w:lvl>
  </w:abstractNum>
  <w:abstractNum w:abstractNumId="12">
    <w:nsid w:val="1BEFD79F"/>
    <w:multiLevelType w:val="hybridMultilevel"/>
    <w:lvl w:ilvl="0">
      <w:lvlJc w:val="left"/>
      <w:lvlText w:val="(%1)"/>
      <w:numFmt w:val="upperLetter"/>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upperLetter"/>
      <w:start w:val="3"/>
    </w:lvl>
  </w:abstractNum>
  <w:abstractNum w:abstractNumId="15">
    <w:nsid w:val="4E6AFB66"/>
    <w:multiLevelType w:val="hybridMultilevel"/>
    <w:lvl w:ilvl="0">
      <w:lvlJc w:val="left"/>
      <w:lvlText w:val="(%1)"/>
      <w:numFmt w:val="upperLetter"/>
      <w:start w:val="11"/>
    </w:lvl>
  </w:abstractNum>
  <w:abstractNum w:abstractNumId="16">
    <w:nsid w:val="25E45D32"/>
    <w:multiLevelType w:val="hybridMultilevel"/>
    <w:lvl w:ilvl="0">
      <w:lvlJc w:val="left"/>
      <w:lvlText w:val="(%1)"/>
      <w:numFmt w:val="upp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2019-12-13T18:12:28Z</dcterms:created>
  <dcterms:modified xsi:type="dcterms:W3CDTF">2019-12-13T18:12:28Z</dcterms:modified>
</cp:coreProperties>
</file>