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2013</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11"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8,983,407 shares issued and outstanding as of November 7, 2013.</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ind w:right="-379"/>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QUARTERLY REPORT ON FORM 10-Q FOR THE QUARTER ENDED SEPTEMBER 30, 2013</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INDEX</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60" w:type="dxa"/>
            <w:vAlign w:val="bottom"/>
            <w:gridSpan w:val="7"/>
          </w:tcPr>
          <w:p>
            <w:pPr>
              <w:jc w:val="center"/>
              <w:ind w:right="2100"/>
              <w:spacing w:after="0"/>
              <w:rPr>
                <w:sz w:val="20"/>
                <w:szCs w:val="20"/>
                <w:color w:val="auto"/>
              </w:rPr>
            </w:pPr>
            <w:r>
              <w:rPr>
                <w:rFonts w:ascii="Arial" w:cs="Arial" w:eastAsia="Arial" w:hAnsi="Arial"/>
                <w:sz w:val="18"/>
                <w:szCs w:val="18"/>
                <w:b w:val="1"/>
                <w:bCs w:val="1"/>
                <w:color w:val="auto"/>
              </w:rPr>
              <w:t>PART I – FINANCIAL INFORMATION</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8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860" w:type="dxa"/>
            <w:vAlign w:val="bottom"/>
            <w:gridSpan w:val="3"/>
          </w:tcPr>
          <w:p>
            <w:pPr>
              <w:jc w:val="center"/>
              <w:ind w:left="5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September 30, 2013 (Unaudited) and December 31, 2012</w:t>
              </w:r>
            </w:hyperlink>
          </w:p>
        </w:tc>
        <w:tc>
          <w:tcPr>
            <w:tcW w:w="860" w:type="dxa"/>
            <w:vAlign w:val="bottom"/>
            <w:gridSpan w:val="3"/>
          </w:tcPr>
          <w:p>
            <w:pPr>
              <w:jc w:val="center"/>
              <w:ind w:left="5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Income and Comprehensive Income for the three and nine months ended September 30,</w:t>
              </w:r>
            </w:hyperlink>
          </w:p>
        </w:tc>
        <w:tc>
          <w:tcPr>
            <w:tcW w:w="860" w:type="dxa"/>
            <w:vAlign w:val="bottom"/>
            <w:gridSpan w:val="3"/>
          </w:tcPr>
          <w:p>
            <w:pPr>
              <w:jc w:val="center"/>
              <w:ind w:left="5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2013 and 2012 (Unaudited)</w:t>
              </w:r>
            </w:hyperlink>
          </w:p>
        </w:tc>
        <w:tc>
          <w:tcPr>
            <w:tcW w:w="7200" w:type="dxa"/>
            <w:vAlign w:val="bottom"/>
            <w:tcBorders>
              <w:top w:val="single" w:sz="8" w:color="0000FF"/>
            </w:tcBorders>
            <w:gridSpan w:val="8"/>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180" w:type="dxa"/>
            <w:vAlign w:val="bottom"/>
            <w:gridSpan w:val="14"/>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Condensed Consolidated Statements of Cash Flows for the nine months ended September 30, 2013 and 2012 (Unaudited)</w:t>
              </w:r>
            </w:hyperlink>
          </w:p>
        </w:tc>
        <w:tc>
          <w:tcPr>
            <w:tcW w:w="860" w:type="dxa"/>
            <w:vAlign w:val="bottom"/>
            <w:gridSpan w:val="3"/>
          </w:tcPr>
          <w:p>
            <w:pPr>
              <w:jc w:val="center"/>
              <w:ind w:left="59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40" w:type="dxa"/>
            <w:vAlign w:val="bottom"/>
            <w:tcBorders>
              <w:top w:val="single" w:sz="8" w:color="0000FF"/>
            </w:tcBorders>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 (Unaudited)</w:t>
              </w:r>
            </w:hyperlink>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4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Management’s Discussion and Analysis of Financial Condition and Results of Operations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tcBorders>
              <w:bottom w:val="single" w:sz="8" w:color="0000FF"/>
            </w:tcBorders>
            <w:gridSpan w:val="2"/>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3.</w:t>
              </w:r>
            </w:hyperlink>
          </w:p>
        </w:tc>
        <w:tc>
          <w:tcPr>
            <w:tcW w:w="280" w:type="dxa"/>
            <w:vAlign w:val="bottom"/>
          </w:tcPr>
          <w:p>
            <w:pPr>
              <w:spacing w:after="0"/>
              <w:rPr>
                <w:sz w:val="24"/>
                <w:szCs w:val="24"/>
                <w:color w:val="auto"/>
              </w:rPr>
            </w:pPr>
          </w:p>
        </w:tc>
        <w:tc>
          <w:tcPr>
            <w:tcW w:w="436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21">
              <w:r>
                <w:rPr>
                  <w:rFonts w:ascii="Arial" w:cs="Arial" w:eastAsia="Arial" w:hAnsi="Arial"/>
                  <w:sz w:val="18"/>
                  <w:szCs w:val="18"/>
                  <w:color w:val="0000FF"/>
                  <w:w w:val="92"/>
                </w:rPr>
                <w:t>Quantitative and Qualitative Disclosures About Market Risk</w:t>
              </w:r>
            </w:hyperlink>
          </w:p>
        </w:tc>
        <w:tc>
          <w:tcPr>
            <w:tcW w:w="2060" w:type="dxa"/>
            <w:vAlign w:val="bottom"/>
            <w:gridSpan w:val="2"/>
          </w:tcPr>
          <w:p>
            <w:pPr>
              <w:spacing w:after="0"/>
              <w:rPr>
                <w:sz w:val="24"/>
                <w:szCs w:val="24"/>
                <w:color w:val="auto"/>
              </w:rPr>
            </w:pPr>
          </w:p>
        </w:tc>
        <w:tc>
          <w:tcPr>
            <w:tcW w:w="2760" w:type="dxa"/>
            <w:vAlign w:val="bottom"/>
            <w:gridSpan w:val="3"/>
          </w:tcPr>
          <w:p>
            <w:pPr>
              <w:spacing w:after="0"/>
              <w:rPr>
                <w:sz w:val="24"/>
                <w:szCs w:val="24"/>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20</w:t>
              </w:r>
            </w:hyperlink>
          </w:p>
        </w:tc>
      </w:tr>
      <w:tr>
        <w:trPr>
          <w:trHeight w:val="439"/>
        </w:trPr>
        <w:tc>
          <w:tcPr>
            <w:tcW w:w="92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4.</w:t>
              </w:r>
            </w:hyperlink>
          </w:p>
        </w:tc>
        <w:tc>
          <w:tcPr>
            <w:tcW w:w="918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48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7"/>
          </w:tcPr>
          <w:p>
            <w:pPr>
              <w:jc w:val="center"/>
              <w:ind w:right="2100"/>
              <w:spacing w:after="0"/>
              <w:rPr>
                <w:sz w:val="20"/>
                <w:szCs w:val="20"/>
                <w:color w:val="auto"/>
              </w:rPr>
            </w:pPr>
            <w:r>
              <w:rPr>
                <w:rFonts w:ascii="Arial" w:cs="Arial" w:eastAsia="Arial" w:hAnsi="Arial"/>
                <w:sz w:val="18"/>
                <w:szCs w:val="18"/>
                <w:b w:val="1"/>
                <w:bCs w:val="1"/>
                <w:color w:val="auto"/>
              </w:rPr>
              <w:t>PART II – OTHER INFORMATION</w:t>
            </w: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r>
      <w:tr>
        <w:trPr>
          <w:trHeight w:val="230"/>
        </w:trPr>
        <w:tc>
          <w:tcPr>
            <w:tcW w:w="92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1.</w:t>
              </w:r>
            </w:hyperlink>
          </w:p>
        </w:tc>
        <w:tc>
          <w:tcPr>
            <w:tcW w:w="918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w w:val="92"/>
              </w:rPr>
            </w:pPr>
            <w:hyperlink w:anchor="page22">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Risk Factors</w:t>
              </w:r>
            </w:hyperlink>
          </w:p>
        </w:tc>
        <w:tc>
          <w:tcPr>
            <w:tcW w:w="8280" w:type="dxa"/>
            <w:vAlign w:val="bottom"/>
            <w:gridSpan w:val="12"/>
          </w:tcPr>
          <w:p>
            <w:pPr>
              <w:spacing w:after="0"/>
              <w:rPr>
                <w:sz w:val="24"/>
                <w:szCs w:val="24"/>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180" w:type="dxa"/>
            <w:vAlign w:val="bottom"/>
            <w:gridSpan w:val="1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Unregistered Sales of Equity Securities and Use of Proceeds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tcBorders>
              <w:bottom w:val="single" w:sz="8" w:color="0000FF"/>
            </w:tcBorders>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w:t>
              </w:r>
            </w:hyperlink>
          </w:p>
        </w:tc>
        <w:tc>
          <w:tcPr>
            <w:tcW w:w="23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Defaults Upon Senior Securities</w:t>
              </w:r>
            </w:hyperlink>
          </w:p>
        </w:tc>
        <w:tc>
          <w:tcPr>
            <w:tcW w:w="6860" w:type="dxa"/>
            <w:vAlign w:val="bottom"/>
            <w:gridSpan w:val="7"/>
          </w:tcPr>
          <w:p>
            <w:pPr>
              <w:spacing w:after="0"/>
              <w:rPr>
                <w:sz w:val="24"/>
                <w:szCs w:val="24"/>
                <w:color w:val="auto"/>
              </w:rPr>
            </w:pPr>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918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420" w:type="dxa"/>
            <w:vAlign w:val="bottom"/>
            <w:gridSpan w:val="9"/>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5.</w:t>
              </w:r>
            </w:hyperlink>
          </w:p>
        </w:tc>
        <w:tc>
          <w:tcPr>
            <w:tcW w:w="918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80" w:type="dxa"/>
            <w:vAlign w:val="bottom"/>
            <w:gridSpan w:val="11"/>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439"/>
        </w:trPr>
        <w:tc>
          <w:tcPr>
            <w:tcW w:w="92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6.</w:t>
              </w:r>
            </w:hyperlink>
          </w:p>
        </w:tc>
        <w:tc>
          <w:tcPr>
            <w:tcW w:w="918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Exhibits</w:t>
              </w:r>
            </w:hyperlink>
          </w:p>
        </w:tc>
        <w:tc>
          <w:tcPr>
            <w:tcW w:w="860" w:type="dxa"/>
            <w:vAlign w:val="bottom"/>
            <w:gridSpan w:val="3"/>
          </w:tcPr>
          <w:p>
            <w:pPr>
              <w:jc w:val="center"/>
              <w:ind w:left="59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ectPr>
          <w:pgSz w:w="11900" w:h="16838" w:orient="portrait"/>
          <w:cols w:equalWidth="0" w:num="1">
            <w:col w:w="10960"/>
          </w:cols>
          <w:pgMar w:left="280" w:top="364"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September 30, 2013</w:t>
            </w:r>
          </w:p>
        </w:tc>
        <w:tc>
          <w:tcPr>
            <w:tcW w:w="260" w:type="dxa"/>
            <w:vAlign w:val="bottom"/>
          </w:tcPr>
          <w:p>
            <w:pPr>
              <w:spacing w:after="0"/>
              <w:rPr>
                <w:sz w:val="18"/>
                <w:szCs w:val="18"/>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2012</w:t>
            </w:r>
          </w:p>
        </w:tc>
      </w:tr>
      <w:tr>
        <w:trPr>
          <w:trHeight w:val="270"/>
        </w:trPr>
        <w:tc>
          <w:tcPr>
            <w:tcW w:w="7200" w:type="dxa"/>
            <w:vAlign w:val="bottom"/>
          </w:tcPr>
          <w:p>
            <w:pPr>
              <w:ind w:left="33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18,190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55,509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Receivables, net of allowance for doubtful accounts of $94 and $60, respectively</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8,442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8,388</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3,148</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45,912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79,287</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inventories, net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1,955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4,258</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1,195</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97"/>
        </w:trPr>
        <w:tc>
          <w:tcPr>
            <w:tcW w:w="7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80,995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91,939</w:t>
            </w:r>
          </w:p>
        </w:tc>
      </w:tr>
      <w:tr>
        <w:trPr>
          <w:trHeight w:val="237"/>
        </w:trPr>
        <w:tc>
          <w:tcPr>
            <w:tcW w:w="720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2,143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product revenue</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3,593</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25,271</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1"/>
              </w:rPr>
              <w:t>Common stock, par value $0.001, 50,000,000 shares authorized, 9,004,901 and 9,163,462 shares</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26,229</w:t>
            </w:r>
          </w:p>
        </w:tc>
      </w:tr>
      <w:tr>
        <w:trPr>
          <w:trHeight w:val="237"/>
        </w:trPr>
        <w:tc>
          <w:tcPr>
            <w:tcW w:w="72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66,668</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80,995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91,939</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290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6"/>
                <w:szCs w:val="16"/>
                <w:b w:val="1"/>
                <w:bCs w:val="1"/>
                <w:color w:val="auto"/>
              </w:rPr>
              <w:t>2012</w:t>
            </w:r>
          </w:p>
        </w:tc>
      </w:tr>
      <w:tr>
        <w:trPr>
          <w:trHeight w:val="33"/>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33,382</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4,856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14,054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13,464</w:t>
            </w: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19,918</w:t>
            </w:r>
          </w:p>
        </w:tc>
      </w:tr>
      <w:tr>
        <w:trPr>
          <w:trHeight w:val="291"/>
        </w:trPr>
        <w:tc>
          <w:tcPr>
            <w:tcW w:w="4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6,209</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5,996</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1,470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4,561</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litigation, net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40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16,439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16,516</w:t>
            </w: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91"/>
        </w:trPr>
        <w:tc>
          <w:tcPr>
            <w:tcW w:w="4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3,402</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37"/>
        </w:trPr>
        <w:tc>
          <w:tcPr>
            <w:tcW w:w="402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1,496</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3,442</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1,310</w:t>
            </w:r>
          </w:p>
        </w:tc>
      </w:tr>
      <w:tr>
        <w:trPr>
          <w:trHeight w:val="297"/>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2,132</w:t>
            </w:r>
          </w:p>
        </w:tc>
      </w:tr>
      <w:tr>
        <w:trPr>
          <w:trHeight w:val="284"/>
        </w:trPr>
        <w:tc>
          <w:tcPr>
            <w:tcW w:w="4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30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0.23</w:t>
            </w:r>
          </w:p>
        </w:tc>
      </w:tr>
      <w:tr>
        <w:trPr>
          <w:trHeight w:val="25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4"/>
        </w:trPr>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9,027,764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9,113,713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9,090,903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9,106,455</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9,406,941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9,193,574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9,485,808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9,219,161</w:t>
            </w: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r>
      <w:tr>
        <w:trPr>
          <w:trHeight w:val="189"/>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60"/>
              <w:spacing w:after="0"/>
              <w:rPr>
                <w:sz w:val="20"/>
                <w:szCs w:val="20"/>
                <w:color w:val="auto"/>
              </w:rPr>
            </w:pPr>
            <w:r>
              <w:rPr>
                <w:rFonts w:ascii="Arial" w:cs="Arial" w:eastAsia="Arial" w:hAnsi="Arial"/>
                <w:sz w:val="18"/>
                <w:szCs w:val="18"/>
                <w:color w:val="auto"/>
                <w:w w:val="90"/>
              </w:rPr>
              <w:t>Unrealized gain (loss) on available-for-sale securities</w:t>
            </w:r>
          </w:p>
        </w:tc>
        <w:tc>
          <w:tcPr>
            <w:tcW w:w="3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4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64"/>
        </w:trPr>
        <w:tc>
          <w:tcPr>
            <w:tcW w:w="402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2,132</w:t>
            </w: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9"/>
        </w:trPr>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i w:val="1"/>
                <w:iCs w:val="1"/>
                <w:color w:val="auto"/>
                <w:w w:val="95"/>
              </w:rPr>
              <w:t>See accompanying notes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9"/>
        </w:trPr>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140"/>
          </w:cols>
          <w:pgMar w:left="240" w:top="122" w:right="51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47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14"/>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2,132</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provided by operations: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rent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(recoveries of) doubtful accounts, net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Inventory valuation reserve adjustments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Tax benefit from the exercise of stock options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(14,782)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Deferred product revenue</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2,624</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45"/>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property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(25,409)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Payment towards business acquisitions</w:t>
            </w: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(26,132)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(4,892)</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45"/>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7900" w:type="dxa"/>
            <w:vAlign w:val="bottom"/>
          </w:tcPr>
          <w:p>
            <w:pPr>
              <w:ind w:left="220"/>
              <w:spacing w:after="0"/>
              <w:rPr>
                <w:sz w:val="20"/>
                <w:szCs w:val="20"/>
                <w:color w:val="auto"/>
              </w:rPr>
            </w:pPr>
            <w:r>
              <w:rPr>
                <w:rFonts w:ascii="Arial" w:cs="Arial" w:eastAsia="Arial" w:hAnsi="Arial"/>
                <w:sz w:val="18"/>
                <w:szCs w:val="18"/>
                <w:color w:val="auto"/>
              </w:rPr>
              <w:t>Tax benefit from the exercise of stock options</w:t>
            </w:r>
          </w:p>
        </w:tc>
        <w:tc>
          <w:tcPr>
            <w:tcW w:w="10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Treasury stock purchased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45"/>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(37,319)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(2,351)</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55,509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16,683</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104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18,190</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14,332</w:t>
            </w:r>
          </w:p>
        </w:tc>
      </w:tr>
      <w:tr>
        <w:trPr>
          <w:trHeight w:val="284"/>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04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16,987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w:t>
            </w:r>
          </w:p>
        </w:tc>
      </w:tr>
      <w:tr>
        <w:trPr>
          <w:trHeight w:val="230"/>
        </w:trPr>
        <w:tc>
          <w:tcPr>
            <w:tcW w:w="7900" w:type="dxa"/>
            <w:vAlign w:val="bottom"/>
          </w:tcPr>
          <w:p>
            <w:pPr>
              <w:ind w:left="4820"/>
              <w:spacing w:after="0"/>
              <w:rPr>
                <w:sz w:val="20"/>
                <w:szCs w:val="20"/>
                <w:color w:val="auto"/>
              </w:rPr>
            </w:pPr>
            <w:r>
              <w:rPr>
                <w:rFonts w:ascii="Arial" w:cs="Arial" w:eastAsia="Arial" w:hAnsi="Arial"/>
                <w:sz w:val="18"/>
                <w:szCs w:val="18"/>
                <w:i w:val="1"/>
                <w:iCs w:val="1"/>
                <w:color w:val="auto"/>
              </w:rPr>
              <w:t>See accompanying notes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700" w:type="dxa"/>
            <w:vAlign w:val="bottom"/>
            <w:gridSpan w:val="5"/>
          </w:tcPr>
          <w:p>
            <w:pPr>
              <w:jc w:val="right"/>
              <w:ind w:right="7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6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r>
      <w:tr>
        <w:trPr>
          <w:trHeight w:val="33"/>
        </w:trPr>
        <w:tc>
          <w:tcPr>
            <w:tcW w:w="6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disclosure of non-cash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Acquisition of property and equipment through accounts payable</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755"/>
        </w:trPr>
        <w:tc>
          <w:tcPr>
            <w:tcW w:w="6500" w:type="dxa"/>
            <w:vAlign w:val="bottom"/>
          </w:tcPr>
          <w:p>
            <w:pPr>
              <w:ind w:left="20"/>
              <w:spacing w:after="0"/>
              <w:rPr>
                <w:sz w:val="20"/>
                <w:szCs w:val="20"/>
                <w:color w:val="auto"/>
              </w:rPr>
            </w:pPr>
            <w:r>
              <w:rPr>
                <w:rFonts w:ascii="Arial" w:cs="Arial" w:eastAsia="Arial" w:hAnsi="Arial"/>
                <w:sz w:val="18"/>
                <w:szCs w:val="18"/>
                <w:color w:val="auto"/>
                <w:w w:val="96"/>
              </w:rPr>
              <w:t>The Company acquired the business of VCON Video Conferencing, Ltd. in February</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2012 and recorded the following assets and liabilities:</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8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w:t>
            </w:r>
          </w:p>
        </w:tc>
      </w:tr>
      <w:tr>
        <w:trPr>
          <w:trHeight w:val="27"/>
        </w:trPr>
        <w:tc>
          <w:tcPr>
            <w:tcW w:w="6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warranty liability</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Proprietary software</w:t>
            </w:r>
          </w:p>
        </w:tc>
        <w:tc>
          <w:tcPr>
            <w:tcW w:w="8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2,247</w:t>
            </w:r>
          </w:p>
        </w:tc>
      </w:tr>
      <w:tr>
        <w:trPr>
          <w:trHeight w:val="27"/>
        </w:trPr>
        <w:tc>
          <w:tcPr>
            <w:tcW w:w="6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2,319</w:t>
            </w:r>
          </w:p>
        </w:tc>
      </w:tr>
      <w:tr>
        <w:trPr>
          <w:trHeight w:val="257"/>
        </w:trPr>
        <w:tc>
          <w:tcPr>
            <w:tcW w:w="6500" w:type="dxa"/>
            <w:vAlign w:val="bottom"/>
          </w:tcPr>
          <w:p>
            <w:pPr>
              <w:ind w:left="160"/>
              <w:spacing w:after="0"/>
              <w:rPr>
                <w:sz w:val="20"/>
                <w:szCs w:val="20"/>
                <w:color w:val="auto"/>
              </w:rPr>
            </w:pPr>
            <w:r>
              <w:rPr>
                <w:rFonts w:ascii="Arial" w:cs="Arial" w:eastAsia="Arial" w:hAnsi="Arial"/>
                <w:sz w:val="18"/>
                <w:szCs w:val="18"/>
                <w:color w:val="auto"/>
              </w:rPr>
              <w:t>Total VCON acquisition cash paid:</w:t>
            </w: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4,632</w:t>
            </w: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20"/>
          </w:cols>
          <w:pgMar w:left="240" w:top="121" w:right="1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company that designs, develops and sells conferencing, collaboration, streaming and digital signage solutions for audio and visual communications. The performance and simplicity of its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60"/>
        <w:spacing w:after="0" w:line="216"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25"/>
          <w:szCs w:val="25"/>
          <w:color w:val="auto"/>
          <w:vertAlign w:val="superscript"/>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20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These accompanying interim condensed consolidated financial statements for the three and nine months ended September 30, 2013 and 2012,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the Company's financial position as</w:t>
      </w:r>
    </w:p>
    <w:p>
      <w:pPr>
        <w:spacing w:after="0" w:line="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of September 30, 2013 and December 31, 2012, the results of operations for the three and nine months ended September 30, 2013 and 2012, and the statements of cash flows for the nine months ended September 30, 2013 and 2012. The results of operations for the three and nine months ended September 30, 2013 and 2012 are not necessarily indicative of the results for a full-year period. These interim condensed consolidated financial statements should be read in conjunction with the financial statements included in the Company's Annual Report on Form 10-K for the year ended December 31, 2012 filed with the SEC on March 25, 2013, as amended on April 30,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significant accounting policies were described in Note 2 to the audited consolidated financial statements included in the Company’s Annual Report on Form 10-K for the year ended December 31, 2012. There have been no changes to these policies during the nine months ended September 30, 2013 that are of significance or potential significance to the Company.</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4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 2013</w:t>
            </w:r>
          </w:p>
        </w:tc>
        <w:tc>
          <w:tcPr>
            <w:tcW w:w="380" w:type="dxa"/>
            <w:vAlign w:val="bottom"/>
          </w:tcPr>
          <w:p>
            <w:pPr>
              <w:spacing w:after="0"/>
              <w:rPr>
                <w:sz w:val="18"/>
                <w:szCs w:val="18"/>
                <w:color w:val="auto"/>
              </w:rPr>
            </w:pPr>
          </w:p>
        </w:tc>
        <w:tc>
          <w:tcPr>
            <w:tcW w:w="2000" w:type="dxa"/>
            <w:vAlign w:val="bottom"/>
          </w:tcPr>
          <w:p>
            <w:pPr>
              <w:jc w:val="right"/>
              <w:ind w:right="452"/>
              <w:spacing w:after="0"/>
              <w:rPr>
                <w:sz w:val="20"/>
                <w:szCs w:val="20"/>
                <w:color w:val="auto"/>
              </w:rPr>
            </w:pPr>
            <w:r>
              <w:rPr>
                <w:rFonts w:ascii="Arial" w:cs="Arial" w:eastAsia="Arial" w:hAnsi="Arial"/>
                <w:sz w:val="16"/>
                <w:szCs w:val="16"/>
                <w:b w:val="1"/>
                <w:bCs w:val="1"/>
                <w:color w:val="auto"/>
                <w:w w:val="99"/>
              </w:rPr>
              <w:t>December 31, 2012</w:t>
            </w:r>
          </w:p>
        </w:tc>
      </w:tr>
      <w:tr>
        <w:trPr>
          <w:trHeight w:val="33"/>
        </w:trPr>
        <w:tc>
          <w:tcPr>
            <w:tcW w:w="6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Balance at the beginning of year</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467</w:t>
            </w:r>
          </w:p>
        </w:tc>
      </w:tr>
      <w:tr>
        <w:trPr>
          <w:trHeight w:val="27"/>
        </w:trPr>
        <w:tc>
          <w:tcPr>
            <w:tcW w:w="6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Warranty accruals/additions</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r>
      <w:tr>
        <w:trPr>
          <w:trHeight w:val="243"/>
        </w:trPr>
        <w:tc>
          <w:tcPr>
            <w:tcW w:w="6680" w:type="dxa"/>
            <w:vAlign w:val="bottom"/>
          </w:tcPr>
          <w:p>
            <w:pPr>
              <w:ind w:left="220"/>
              <w:spacing w:after="0"/>
              <w:rPr>
                <w:sz w:val="20"/>
                <w:szCs w:val="20"/>
                <w:color w:val="auto"/>
              </w:rPr>
            </w:pPr>
            <w:r>
              <w:rPr>
                <w:rFonts w:ascii="Arial" w:cs="Arial" w:eastAsia="Arial" w:hAnsi="Arial"/>
                <w:sz w:val="18"/>
                <w:szCs w:val="18"/>
                <w:color w:val="auto"/>
              </w:rPr>
              <w:t>Warranty usage</w:t>
            </w: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6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r>
      <w:tr>
        <w:trPr>
          <w:trHeight w:val="20"/>
        </w:trPr>
        <w:tc>
          <w:tcPr>
            <w:tcW w:w="6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0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70"/>
        </w:trPr>
        <w:tc>
          <w:tcPr>
            <w:tcW w:w="4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jc w:val="right"/>
              <w:ind w:right="57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jc w:val="right"/>
              <w:ind w:right="57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2012</w:t>
            </w:r>
          </w:p>
        </w:tc>
      </w:tr>
      <w:tr>
        <w:trPr>
          <w:trHeight w:val="33"/>
        </w:trPr>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2,132</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9,027,764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9,113,713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9,090,903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9,106,455</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Dilutive common stock equivalents using treasury stock</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method</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379,177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394,905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112,706</w:t>
            </w:r>
          </w:p>
        </w:tc>
      </w:tr>
      <w:tr>
        <w:trPr>
          <w:trHeight w:val="297"/>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9,406,941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9,193,574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9,485,808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9,219,161</w:t>
            </w:r>
          </w:p>
        </w:tc>
      </w:tr>
      <w:tr>
        <w:trPr>
          <w:trHeight w:val="311"/>
        </w:trPr>
        <w:tc>
          <w:tcPr>
            <w:tcW w:w="4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0.23</w:t>
            </w: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324"/>
        </w:trPr>
        <w:tc>
          <w:tcPr>
            <w:tcW w:w="4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options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1,143,283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1,215,747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1,131,575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1,195,599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167,845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799,203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157,197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799,203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310"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income/loss in stockholders' equity until realized. Gains and losses on marketable security transactions are reported on the specific-identification method. Dividend and interest income are recognized when earned.</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September 30, 2013 and December 31, 2012 were as follows:</w:t>
      </w:r>
    </w:p>
    <w:p>
      <w:pPr>
        <w:spacing w:after="0" w:line="306"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Gross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left="176"/>
              <w:spacing w:after="0"/>
              <w:rPr>
                <w:sz w:val="20"/>
                <w:szCs w:val="20"/>
                <w:color w:val="auto"/>
              </w:rPr>
            </w:pPr>
            <w:r>
              <w:rPr>
                <w:rFonts w:ascii="Arial" w:cs="Arial" w:eastAsia="Arial" w:hAnsi="Arial"/>
                <w:sz w:val="16"/>
                <w:szCs w:val="16"/>
                <w:b w:val="1"/>
                <w:bCs w:val="1"/>
                <w:color w:val="auto"/>
                <w:w w:val="90"/>
              </w:rPr>
              <w:t>unrealized</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5"/>
          </w:tcPr>
          <w:p>
            <w:pPr>
              <w:ind w:left="300"/>
              <w:spacing w:after="0"/>
              <w:rPr>
                <w:sz w:val="20"/>
                <w:szCs w:val="20"/>
                <w:color w:val="auto"/>
              </w:rPr>
            </w:pPr>
            <w:r>
              <w:rPr>
                <w:rFonts w:ascii="Arial" w:cs="Arial" w:eastAsia="Arial" w:hAnsi="Arial"/>
                <w:sz w:val="16"/>
                <w:szCs w:val="16"/>
                <w:b w:val="1"/>
                <w:bCs w:val="1"/>
                <w:color w:val="auto"/>
              </w:rPr>
              <w:t>unrealized</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Amortized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left="176"/>
              <w:spacing w:after="0"/>
              <w:rPr>
                <w:sz w:val="20"/>
                <w:szCs w:val="20"/>
                <w:color w:val="auto"/>
              </w:rPr>
            </w:pPr>
            <w:r>
              <w:rPr>
                <w:rFonts w:ascii="Arial" w:cs="Arial" w:eastAsia="Arial" w:hAnsi="Arial"/>
                <w:sz w:val="16"/>
                <w:szCs w:val="16"/>
                <w:b w:val="1"/>
                <w:bCs w:val="1"/>
                <w:color w:val="auto"/>
                <w:w w:val="89"/>
              </w:rPr>
              <w:t>holding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ind w:left="400"/>
              <w:spacing w:after="0"/>
              <w:rPr>
                <w:sz w:val="20"/>
                <w:szCs w:val="20"/>
                <w:color w:val="auto"/>
              </w:rPr>
            </w:pPr>
            <w:r>
              <w:rPr>
                <w:rFonts w:ascii="Arial" w:cs="Arial" w:eastAsia="Arial" w:hAnsi="Arial"/>
                <w:sz w:val="16"/>
                <w:szCs w:val="16"/>
                <w:b w:val="1"/>
                <w:bCs w:val="1"/>
                <w:color w:val="auto"/>
                <w:w w:val="89"/>
              </w:rPr>
              <w:t>holding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234"/>
              <w:spacing w:after="0"/>
              <w:rPr>
                <w:sz w:val="20"/>
                <w:szCs w:val="20"/>
                <w:color w:val="auto"/>
              </w:rPr>
            </w:pPr>
            <w:r>
              <w:rPr>
                <w:rFonts w:ascii="Arial" w:cs="Arial" w:eastAsia="Arial" w:hAnsi="Arial"/>
                <w:sz w:val="16"/>
                <w:szCs w:val="16"/>
                <w:b w:val="1"/>
                <w:bCs w:val="1"/>
                <w:color w:val="auto"/>
                <w:w w:val="81"/>
              </w:rPr>
              <w:t>Estimated</w:t>
            </w:r>
          </w:p>
        </w:tc>
        <w:tc>
          <w:tcPr>
            <w:tcW w:w="0" w:type="dxa"/>
            <w:vAlign w:val="bottom"/>
          </w:tcPr>
          <w:p>
            <w:pPr>
              <w:spacing w:after="0"/>
              <w:rPr>
                <w:sz w:val="1"/>
                <w:szCs w:val="1"/>
                <w:color w:val="auto"/>
              </w:rPr>
            </w:pPr>
          </w:p>
        </w:tc>
      </w:tr>
      <w:tr>
        <w:trPr>
          <w:trHeight w:val="216"/>
        </w:trPr>
        <w:tc>
          <w:tcPr>
            <w:tcW w:w="37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gains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254"/>
              <w:spacing w:after="0"/>
              <w:rPr>
                <w:sz w:val="20"/>
                <w:szCs w:val="20"/>
                <w:color w:val="auto"/>
              </w:rPr>
            </w:pPr>
            <w:r>
              <w:rPr>
                <w:rFonts w:ascii="Arial" w:cs="Arial" w:eastAsia="Arial" w:hAnsi="Arial"/>
                <w:sz w:val="16"/>
                <w:szCs w:val="16"/>
                <w:b w:val="1"/>
                <w:bCs w:val="1"/>
                <w:color w:val="auto"/>
                <w:w w:val="85"/>
              </w:rPr>
              <w:t>fair value</w:t>
            </w:r>
          </w:p>
        </w:tc>
        <w:tc>
          <w:tcPr>
            <w:tcW w:w="0" w:type="dxa"/>
            <w:vAlign w:val="bottom"/>
          </w:tcPr>
          <w:p>
            <w:pPr>
              <w:spacing w:after="0"/>
              <w:rPr>
                <w:sz w:val="1"/>
                <w:szCs w:val="1"/>
                <w:color w:val="auto"/>
              </w:rPr>
            </w:pPr>
          </w:p>
        </w:tc>
      </w:tr>
      <w:tr>
        <w:trPr>
          <w:trHeight w:val="27"/>
        </w:trPr>
        <w:tc>
          <w:tcPr>
            <w:tcW w:w="9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2013</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3"/>
          </w:tcPr>
          <w:p>
            <w:pPr>
              <w:ind w:left="6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Corporate bonds and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center"/>
              <w:ind w:right="19"/>
              <w:spacing w:after="0"/>
              <w:rPr>
                <w:sz w:val="20"/>
                <w:szCs w:val="20"/>
                <w:color w:val="auto"/>
              </w:rPr>
            </w:pPr>
            <w:r>
              <w:rPr>
                <w:rFonts w:ascii="Arial" w:cs="Arial" w:eastAsia="Arial" w:hAnsi="Arial"/>
                <w:sz w:val="18"/>
                <w:szCs w:val="18"/>
                <w:color w:val="auto"/>
                <w:w w:val="89"/>
              </w:rPr>
              <w:t>34</w:t>
            </w:r>
          </w:p>
        </w:tc>
        <w:tc>
          <w:tcPr>
            <w:tcW w:w="780" w:type="dxa"/>
            <w:vAlign w:val="bottom"/>
            <w:tcBorders>
              <w:bottom w:val="single" w:sz="8" w:color="CCEEFF"/>
            </w:tcBorders>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right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40" w:type="dxa"/>
            <w:vAlign w:val="bottom"/>
            <w:gridSpan w:val="3"/>
          </w:tcPr>
          <w:p>
            <w:pPr>
              <w:ind w:left="64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25,409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2"/>
                <w:szCs w:val="22"/>
                <w:color w:val="auto"/>
              </w:rPr>
            </w:pPr>
          </w:p>
        </w:tc>
        <w:tc>
          <w:tcPr>
            <w:tcW w:w="280" w:type="dxa"/>
            <w:vAlign w:val="bottom"/>
            <w:gridSpan w:val="2"/>
          </w:tcPr>
          <w:p>
            <w:pPr>
              <w:jc w:val="center"/>
              <w:ind w:right="19"/>
              <w:spacing w:after="0"/>
              <w:rPr>
                <w:sz w:val="20"/>
                <w:szCs w:val="20"/>
                <w:color w:val="auto"/>
              </w:rPr>
            </w:pPr>
            <w:r>
              <w:rPr>
                <w:rFonts w:ascii="Arial" w:cs="Arial" w:eastAsia="Arial" w:hAnsi="Arial"/>
                <w:sz w:val="18"/>
                <w:szCs w:val="18"/>
                <w:color w:val="auto"/>
                <w:w w:val="89"/>
              </w:rPr>
              <w:t>47</w:t>
            </w:r>
          </w:p>
        </w:tc>
        <w:tc>
          <w:tcPr>
            <w:tcW w:w="780" w:type="dxa"/>
            <w:vAlign w:val="bottom"/>
            <w:gridSpan w:val="2"/>
          </w:tcPr>
          <w:p>
            <w:pPr>
              <w:jc w:val="right"/>
              <w:ind w:right="4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unrealized</w:t>
            </w:r>
          </w:p>
        </w:tc>
        <w:tc>
          <w:tcPr>
            <w:tcW w:w="20" w:type="dxa"/>
            <w:vAlign w:val="bottom"/>
          </w:tcPr>
          <w:p>
            <w:pPr>
              <w:spacing w:after="0"/>
              <w:rPr>
                <w:sz w:val="17"/>
                <w:szCs w:val="17"/>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unrealized</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278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Amortized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holding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holding</w:t>
            </w:r>
          </w:p>
        </w:tc>
        <w:tc>
          <w:tcPr>
            <w:tcW w:w="102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rPr>
              <w:t>Estimated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gains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76"/>
              </w:rPr>
              <w:t>losses</w:t>
            </w:r>
          </w:p>
        </w:tc>
        <w:tc>
          <w:tcPr>
            <w:tcW w:w="180" w:type="dxa"/>
            <w:vAlign w:val="bottom"/>
          </w:tcPr>
          <w:p>
            <w:pPr>
              <w:spacing w:after="0"/>
              <w:rPr>
                <w:sz w:val="18"/>
                <w:szCs w:val="18"/>
                <w:color w:val="auto"/>
              </w:rPr>
            </w:pPr>
          </w:p>
        </w:tc>
        <w:tc>
          <w:tcPr>
            <w:tcW w:w="84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w w:val="91"/>
              </w:rPr>
              <w:t>fair value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4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w w:val="88"/>
              </w:rPr>
              <w:t>Corporate bonds and notes</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center"/>
              <w:ind w:right="1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84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2940" w:type="dxa"/>
            <w:vAlign w:val="bottom"/>
            <w:gridSpan w:val="3"/>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right w:val="single" w:sz="8" w:color="CCEEFF"/>
            </w:tcBorders>
            <w:shd w:val="clear" w:color="auto" w:fill="CCEEFF"/>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3040" w:type="dxa"/>
            <w:vAlign w:val="bottom"/>
            <w:gridSpan w:val="4"/>
          </w:tcPr>
          <w:p>
            <w:pPr>
              <w:jc w:val="right"/>
              <w:spacing w:after="0"/>
              <w:rPr>
                <w:sz w:val="20"/>
                <w:szCs w:val="20"/>
                <w:color w:val="auto"/>
              </w:rPr>
            </w:pPr>
            <w:r>
              <w:rPr>
                <w:rFonts w:ascii="Arial" w:cs="Arial" w:eastAsia="Arial" w:hAnsi="Arial"/>
                <w:sz w:val="18"/>
                <w:szCs w:val="18"/>
                <w:color w:val="auto"/>
              </w:rPr>
              <w:t>Total available-for-sale securities  $</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center"/>
              <w:ind w:right="1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September 30, 2013:</w:t>
      </w:r>
    </w:p>
    <w:p>
      <w:pPr>
        <w:spacing w:after="0" w:line="200" w:lineRule="exact"/>
        <w:rPr>
          <w:sz w:val="20"/>
          <w:szCs w:val="20"/>
          <w:color w:val="auto"/>
        </w:rPr>
      </w:pPr>
    </w:p>
    <w:p>
      <w:pPr>
        <w:spacing w:after="0" w:line="350"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4"/>
              </w:rPr>
              <w:t>Amortized</w:t>
            </w:r>
          </w:p>
        </w:tc>
        <w:tc>
          <w:tcPr>
            <w:tcW w:w="320" w:type="dxa"/>
            <w:vAlign w:val="bottom"/>
          </w:tcPr>
          <w:p>
            <w:pPr>
              <w:spacing w:after="0"/>
              <w:rPr>
                <w:sz w:val="17"/>
                <w:szCs w:val="17"/>
                <w:color w:val="auto"/>
              </w:rPr>
            </w:pPr>
          </w:p>
        </w:tc>
        <w:tc>
          <w:tcPr>
            <w:tcW w:w="1460" w:type="dxa"/>
            <w:vAlign w:val="bottom"/>
          </w:tcPr>
          <w:p>
            <w:pPr>
              <w:jc w:val="right"/>
              <w:ind w:right="453"/>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490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320" w:type="dxa"/>
            <w:vAlign w:val="bottom"/>
          </w:tcPr>
          <w:p>
            <w:pPr>
              <w:spacing w:after="0"/>
              <w:rPr>
                <w:sz w:val="20"/>
                <w:szCs w:val="20"/>
                <w:color w:val="auto"/>
              </w:rPr>
            </w:pPr>
          </w:p>
        </w:tc>
        <w:tc>
          <w:tcPr>
            <w:tcW w:w="182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84"/>
              </w:rPr>
              <w:t>cost</w:t>
            </w:r>
          </w:p>
        </w:tc>
        <w:tc>
          <w:tcPr>
            <w:tcW w:w="320" w:type="dxa"/>
            <w:vAlign w:val="bottom"/>
          </w:tcPr>
          <w:p>
            <w:pPr>
              <w:spacing w:after="0"/>
              <w:rPr>
                <w:sz w:val="20"/>
                <w:szCs w:val="20"/>
                <w:color w:val="auto"/>
              </w:rPr>
            </w:pPr>
          </w:p>
        </w:tc>
        <w:tc>
          <w:tcPr>
            <w:tcW w:w="1460" w:type="dxa"/>
            <w:vAlign w:val="bottom"/>
          </w:tcPr>
          <w:p>
            <w:pPr>
              <w:jc w:val="right"/>
              <w:ind w:right="473"/>
              <w:spacing w:after="0"/>
              <w:rPr>
                <w:sz w:val="20"/>
                <w:szCs w:val="20"/>
                <w:color w:val="auto"/>
              </w:rPr>
            </w:pPr>
            <w:r>
              <w:rPr>
                <w:rFonts w:ascii="Arial" w:cs="Arial" w:eastAsia="Arial" w:hAnsi="Arial"/>
                <w:sz w:val="16"/>
                <w:szCs w:val="16"/>
                <w:b w:val="1"/>
                <w:bCs w:val="1"/>
                <w:color w:val="auto"/>
              </w:rPr>
              <w:t>fair value</w:t>
            </w:r>
          </w:p>
        </w:tc>
      </w:tr>
      <w:tr>
        <w:trPr>
          <w:trHeight w:val="162"/>
        </w:trPr>
        <w:tc>
          <w:tcPr>
            <w:tcW w:w="4900" w:type="dxa"/>
            <w:vAlign w:val="bottom"/>
            <w:tcBorders>
              <w:top w:val="single" w:sz="8" w:color="B6DDE8"/>
            </w:tcBorders>
            <w:shd w:val="clear" w:color="auto" w:fill="B6DDE8"/>
          </w:tcPr>
          <w:p>
            <w:pPr>
              <w:spacing w:after="0"/>
              <w:rPr>
                <w:sz w:val="14"/>
                <w:szCs w:val="14"/>
                <w:color w:val="auto"/>
              </w:rPr>
            </w:pPr>
          </w:p>
        </w:tc>
        <w:tc>
          <w:tcPr>
            <w:tcW w:w="320" w:type="dxa"/>
            <w:vAlign w:val="bottom"/>
            <w:tcBorders>
              <w:top w:val="single" w:sz="8" w:color="auto"/>
            </w:tcBorders>
            <w:shd w:val="clear" w:color="auto" w:fill="B6DDE8"/>
          </w:tcPr>
          <w:p>
            <w:pPr>
              <w:spacing w:after="0"/>
              <w:rPr>
                <w:sz w:val="14"/>
                <w:szCs w:val="14"/>
                <w:color w:val="auto"/>
              </w:rPr>
            </w:pPr>
          </w:p>
        </w:tc>
        <w:tc>
          <w:tcPr>
            <w:tcW w:w="1460" w:type="dxa"/>
            <w:vAlign w:val="bottom"/>
            <w:tcBorders>
              <w:top w:val="single" w:sz="8" w:color="auto"/>
            </w:tcBorders>
            <w:shd w:val="clear" w:color="auto" w:fill="B6DDE8"/>
          </w:tcPr>
          <w:p>
            <w:pPr>
              <w:spacing w:after="0"/>
              <w:rPr>
                <w:sz w:val="14"/>
                <w:szCs w:val="14"/>
                <w:color w:val="auto"/>
              </w:rPr>
            </w:pPr>
          </w:p>
        </w:tc>
        <w:tc>
          <w:tcPr>
            <w:tcW w:w="360" w:type="dxa"/>
            <w:vAlign w:val="bottom"/>
            <w:tcBorders>
              <w:top w:val="single" w:sz="8" w:color="B6DDE8"/>
            </w:tcBorders>
            <w:shd w:val="clear" w:color="auto" w:fill="B6DDE8"/>
          </w:tcPr>
          <w:p>
            <w:pPr>
              <w:spacing w:after="0"/>
              <w:rPr>
                <w:sz w:val="14"/>
                <w:szCs w:val="14"/>
                <w:color w:val="auto"/>
              </w:rPr>
            </w:pPr>
          </w:p>
        </w:tc>
        <w:tc>
          <w:tcPr>
            <w:tcW w:w="320" w:type="dxa"/>
            <w:vAlign w:val="bottom"/>
            <w:tcBorders>
              <w:top w:val="single" w:sz="8" w:color="auto"/>
            </w:tcBorders>
            <w:shd w:val="clear" w:color="auto" w:fill="B6DDE8"/>
          </w:tcPr>
          <w:p>
            <w:pPr>
              <w:spacing w:after="0"/>
              <w:rPr>
                <w:sz w:val="14"/>
                <w:szCs w:val="14"/>
                <w:color w:val="auto"/>
              </w:rPr>
            </w:pPr>
          </w:p>
        </w:tc>
        <w:tc>
          <w:tcPr>
            <w:tcW w:w="1460" w:type="dxa"/>
            <w:vAlign w:val="bottom"/>
            <w:tcBorders>
              <w:top w:val="single" w:sz="8" w:color="auto"/>
            </w:tcBorders>
            <w:shd w:val="clear" w:color="auto" w:fill="B6DDE8"/>
          </w:tcPr>
          <w:p>
            <w:pPr>
              <w:spacing w:after="0"/>
              <w:rPr>
                <w:sz w:val="14"/>
                <w:szCs w:val="14"/>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8"/>
                <w:szCs w:val="18"/>
                <w:color w:val="auto"/>
              </w:rPr>
              <w:t>Due within one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7"/>
        </w:trPr>
        <w:tc>
          <w:tcPr>
            <w:tcW w:w="4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00" w:type="dxa"/>
            <w:vAlign w:val="bottom"/>
            <w:tcBorders>
              <w:bottom w:val="single" w:sz="8" w:color="B6DDE8"/>
            </w:tcBorders>
            <w:shd w:val="clear" w:color="auto" w:fill="B6DDE8"/>
          </w:tcPr>
          <w:p>
            <w:pPr>
              <w:ind w:left="540"/>
              <w:spacing w:after="0"/>
              <w:rPr>
                <w:sz w:val="20"/>
                <w:szCs w:val="20"/>
                <w:color w:val="auto"/>
              </w:rPr>
            </w:pPr>
            <w:r>
              <w:rPr>
                <w:rFonts w:ascii="Arial" w:cs="Arial" w:eastAsia="Arial" w:hAnsi="Arial"/>
                <w:sz w:val="18"/>
                <w:szCs w:val="18"/>
                <w:color w:val="auto"/>
              </w:rPr>
              <w:t>Due after one year through five years</w:t>
            </w:r>
          </w:p>
        </w:tc>
        <w:tc>
          <w:tcPr>
            <w:tcW w:w="320" w:type="dxa"/>
            <w:vAlign w:val="bottom"/>
            <w:tcBorders>
              <w:bottom w:val="single" w:sz="8" w:color="B6DDE8"/>
            </w:tcBorders>
            <w:shd w:val="clear" w:color="auto" w:fill="B6DDE8"/>
          </w:tcPr>
          <w:p>
            <w:pPr>
              <w:spacing w:after="0"/>
              <w:rPr>
                <w:sz w:val="21"/>
                <w:szCs w:val="21"/>
                <w:color w:val="auto"/>
              </w:rPr>
            </w:pPr>
          </w:p>
        </w:tc>
        <w:tc>
          <w:tcPr>
            <w:tcW w:w="1460" w:type="dxa"/>
            <w:vAlign w:val="bottom"/>
            <w:tcBorders>
              <w:bottom w:val="single" w:sz="8" w:color="B6DDE8"/>
            </w:tcBorders>
            <w:shd w:val="clear" w:color="auto" w:fill="B6DDE8"/>
          </w:tcPr>
          <w:p>
            <w:pPr>
              <w:jc w:val="right"/>
              <w:spacing w:after="0"/>
              <w:rPr>
                <w:sz w:val="20"/>
                <w:szCs w:val="20"/>
                <w:color w:val="auto"/>
              </w:rPr>
            </w:pPr>
            <w:r>
              <w:rPr>
                <w:rFonts w:ascii="Arial" w:cs="Arial" w:eastAsia="Arial" w:hAnsi="Arial"/>
                <w:sz w:val="18"/>
                <w:szCs w:val="18"/>
                <w:color w:val="auto"/>
              </w:rPr>
              <w:t>21,344</w:t>
            </w:r>
          </w:p>
        </w:tc>
        <w:tc>
          <w:tcPr>
            <w:tcW w:w="360" w:type="dxa"/>
            <w:vAlign w:val="bottom"/>
            <w:tcBorders>
              <w:bottom w:val="single" w:sz="8" w:color="B6DDE8"/>
            </w:tcBorders>
            <w:shd w:val="clear" w:color="auto" w:fill="B6DDE8"/>
          </w:tcPr>
          <w:p>
            <w:pPr>
              <w:spacing w:after="0"/>
              <w:rPr>
                <w:sz w:val="21"/>
                <w:szCs w:val="21"/>
                <w:color w:val="auto"/>
              </w:rPr>
            </w:pPr>
          </w:p>
        </w:tc>
        <w:tc>
          <w:tcPr>
            <w:tcW w:w="320" w:type="dxa"/>
            <w:vAlign w:val="bottom"/>
            <w:tcBorders>
              <w:bottom w:val="single" w:sz="8" w:color="B6DDE8"/>
            </w:tcBorders>
            <w:shd w:val="clear" w:color="auto" w:fill="B6DDE8"/>
          </w:tcPr>
          <w:p>
            <w:pPr>
              <w:spacing w:after="0"/>
              <w:rPr>
                <w:sz w:val="21"/>
                <w:szCs w:val="21"/>
                <w:color w:val="auto"/>
              </w:rPr>
            </w:pPr>
          </w:p>
        </w:tc>
        <w:tc>
          <w:tcPr>
            <w:tcW w:w="1460" w:type="dxa"/>
            <w:vAlign w:val="bottom"/>
            <w:tcBorders>
              <w:bottom w:val="single" w:sz="8" w:color="B6DDE8"/>
            </w:tcBorders>
            <w:shd w:val="clear" w:color="auto" w:fill="B6DDE8"/>
          </w:tcPr>
          <w:p>
            <w:pPr>
              <w:jc w:val="right"/>
              <w:spacing w:after="0"/>
              <w:rPr>
                <w:sz w:val="20"/>
                <w:szCs w:val="20"/>
                <w:color w:val="auto"/>
              </w:rPr>
            </w:pPr>
            <w:r>
              <w:rPr>
                <w:rFonts w:ascii="Arial" w:cs="Arial" w:eastAsia="Arial" w:hAnsi="Arial"/>
                <w:sz w:val="18"/>
                <w:szCs w:val="18"/>
                <w:color w:val="auto"/>
              </w:rPr>
              <w:t>21,327</w:t>
            </w:r>
          </w:p>
        </w:tc>
      </w:tr>
      <w:tr>
        <w:trPr>
          <w:trHeight w:val="243"/>
        </w:trPr>
        <w:tc>
          <w:tcPr>
            <w:tcW w:w="4900" w:type="dxa"/>
            <w:vAlign w:val="bottom"/>
          </w:tcPr>
          <w:p>
            <w:pPr>
              <w:ind w:left="540"/>
              <w:spacing w:after="0"/>
              <w:rPr>
                <w:sz w:val="20"/>
                <w:szCs w:val="20"/>
                <w:color w:val="auto"/>
              </w:rPr>
            </w:pPr>
            <w:r>
              <w:rPr>
                <w:rFonts w:ascii="Arial" w:cs="Arial" w:eastAsia="Arial" w:hAnsi="Arial"/>
                <w:sz w:val="18"/>
                <w:szCs w:val="18"/>
                <w:color w:val="auto"/>
              </w:rPr>
              <w:t>Due after five years through ten years</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2,043</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7"/>
        </w:trPr>
        <w:tc>
          <w:tcPr>
            <w:tcW w:w="4900" w:type="dxa"/>
            <w:vAlign w:val="bottom"/>
            <w:tcBorders>
              <w:bottom w:val="single" w:sz="8" w:color="B6DD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B6DD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B6DDE8"/>
          </w:tcPr>
          <w:p>
            <w:pPr>
              <w:spacing w:after="0"/>
              <w:rPr>
                <w:sz w:val="21"/>
                <w:szCs w:val="21"/>
                <w:color w:val="auto"/>
              </w:rPr>
            </w:pPr>
          </w:p>
        </w:tc>
        <w:tc>
          <w:tcPr>
            <w:tcW w:w="320" w:type="dxa"/>
            <w:vAlign w:val="bottom"/>
            <w:shd w:val="clear" w:color="auto" w:fill="B6DDE8"/>
          </w:tcPr>
          <w:p>
            <w:pPr>
              <w:spacing w:after="0"/>
              <w:rPr>
                <w:sz w:val="21"/>
                <w:szCs w:val="21"/>
                <w:color w:val="auto"/>
              </w:rPr>
            </w:pPr>
          </w:p>
        </w:tc>
        <w:tc>
          <w:tcPr>
            <w:tcW w:w="1460" w:type="dxa"/>
            <w:vAlign w:val="bottom"/>
            <w:shd w:val="clear" w:color="auto" w:fill="B6DDE8"/>
          </w:tcPr>
          <w:p>
            <w:pPr>
              <w:spacing w:after="0"/>
              <w:rPr>
                <w:sz w:val="21"/>
                <w:szCs w:val="21"/>
                <w:color w:val="auto"/>
              </w:rPr>
            </w:pPr>
          </w:p>
        </w:tc>
        <w:tc>
          <w:tcPr>
            <w:tcW w:w="360" w:type="dxa"/>
            <w:vAlign w:val="bottom"/>
            <w:shd w:val="clear" w:color="auto" w:fill="B6DDE8"/>
          </w:tcPr>
          <w:p>
            <w:pPr>
              <w:spacing w:after="0"/>
              <w:rPr>
                <w:sz w:val="21"/>
                <w:szCs w:val="21"/>
                <w:color w:val="auto"/>
              </w:rPr>
            </w:pPr>
          </w:p>
        </w:tc>
        <w:tc>
          <w:tcPr>
            <w:tcW w:w="320" w:type="dxa"/>
            <w:vAlign w:val="bottom"/>
            <w:shd w:val="clear" w:color="auto" w:fill="B6DDE8"/>
          </w:tcPr>
          <w:p>
            <w:pPr>
              <w:spacing w:after="0"/>
              <w:rPr>
                <w:sz w:val="21"/>
                <w:szCs w:val="21"/>
                <w:color w:val="auto"/>
              </w:rPr>
            </w:pPr>
          </w:p>
        </w:tc>
        <w:tc>
          <w:tcPr>
            <w:tcW w:w="1460" w:type="dxa"/>
            <w:vAlign w:val="bottom"/>
            <w:shd w:val="clear" w:color="auto" w:fill="B6DDE8"/>
          </w:tcPr>
          <w:p>
            <w:pPr>
              <w:spacing w:after="0"/>
              <w:rPr>
                <w:sz w:val="21"/>
                <w:szCs w:val="21"/>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25,409</w:t>
            </w:r>
          </w:p>
        </w:tc>
        <w:tc>
          <w:tcPr>
            <w:tcW w:w="36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2013 and December 31, 2012 consisted of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8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lives</w:t>
            </w:r>
          </w:p>
        </w:tc>
        <w:tc>
          <w:tcPr>
            <w:tcW w:w="2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September 30, 2013</w:t>
            </w:r>
          </w:p>
        </w:tc>
        <w:tc>
          <w:tcPr>
            <w:tcW w:w="17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December 31, 2012</w:t>
            </w:r>
          </w:p>
        </w:tc>
      </w:tr>
      <w:tr>
        <w:trPr>
          <w:trHeight w:val="33"/>
        </w:trPr>
        <w:tc>
          <w:tcPr>
            <w:tcW w:w="58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Tradename</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 years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Patents and technological know-how</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10 years</w:t>
            </w:r>
          </w:p>
        </w:tc>
        <w:tc>
          <w:tcPr>
            <w:tcW w:w="2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2,070</w:t>
            </w:r>
          </w:p>
        </w:tc>
      </w:tr>
      <w:tr>
        <w:trPr>
          <w:trHeight w:val="27"/>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15 years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5 years</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37"/>
        </w:trPr>
        <w:tc>
          <w:tcPr>
            <w:tcW w:w="5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5,674</w:t>
            </w:r>
          </w:p>
        </w:tc>
      </w:tr>
      <w:tr>
        <w:trPr>
          <w:trHeight w:val="27"/>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7"/>
        </w:trPr>
        <w:tc>
          <w:tcPr>
            <w:tcW w:w="5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4,258</w:t>
            </w:r>
          </w:p>
        </w:tc>
      </w:tr>
      <w:tr>
        <w:trPr>
          <w:trHeight w:val="27"/>
        </w:trPr>
        <w:tc>
          <w:tcPr>
            <w:tcW w:w="5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intangibles with finite lives for the three and nine months ended September 30, 2013 and 2012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440" w:type="dxa"/>
            <w:vAlign w:val="bottom"/>
          </w:tcPr>
          <w:p>
            <w:pPr>
              <w:spacing w:after="0"/>
              <w:rPr>
                <w:sz w:val="18"/>
                <w:szCs w:val="18"/>
                <w:color w:val="auto"/>
              </w:rPr>
            </w:pPr>
          </w:p>
        </w:tc>
        <w:tc>
          <w:tcPr>
            <w:tcW w:w="3200" w:type="dxa"/>
            <w:vAlign w:val="bottom"/>
            <w:gridSpan w:val="4"/>
          </w:tcPr>
          <w:p>
            <w:pPr>
              <w:jc w:val="right"/>
              <w:ind w:right="534"/>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70"/>
        </w:trPr>
        <w:tc>
          <w:tcPr>
            <w:tcW w:w="4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ind w:right="6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jc w:val="right"/>
              <w:ind w:right="63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ind w:right="636"/>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jc w:val="right"/>
              <w:ind w:right="634"/>
              <w:spacing w:after="0"/>
              <w:rPr>
                <w:sz w:val="20"/>
                <w:szCs w:val="20"/>
                <w:color w:val="auto"/>
              </w:rPr>
            </w:pPr>
            <w:r>
              <w:rPr>
                <w:rFonts w:ascii="Arial" w:cs="Arial" w:eastAsia="Arial" w:hAnsi="Arial"/>
                <w:sz w:val="16"/>
                <w:szCs w:val="16"/>
                <w:b w:val="1"/>
                <w:bCs w:val="1"/>
                <w:color w:val="auto"/>
              </w:rPr>
              <w:t>2012</w:t>
            </w:r>
          </w:p>
        </w:tc>
      </w:tr>
      <w:tr>
        <w:trPr>
          <w:trHeight w:val="33"/>
        </w:trPr>
        <w:tc>
          <w:tcPr>
            <w:tcW w:w="4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 with finite lives</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r>
      <w:tr>
        <w:trPr>
          <w:trHeight w:val="459"/>
        </w:trPr>
        <w:tc>
          <w:tcPr>
            <w:tcW w:w="4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34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5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2013 (remainder)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2014</w:t>
            </w:r>
          </w:p>
        </w:tc>
        <w:tc>
          <w:tcPr>
            <w:tcW w:w="5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5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73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4"/>
          </w:tcPr>
          <w:p>
            <w:pPr>
              <w:spacing w:after="0"/>
              <w:rPr>
                <w:sz w:val="20"/>
                <w:szCs w:val="20"/>
                <w:color w:val="auto"/>
              </w:rPr>
            </w:pPr>
            <w:r>
              <w:rPr>
                <w:rFonts w:ascii="Arial" w:cs="Arial" w:eastAsia="Arial" w:hAnsi="Arial"/>
                <w:sz w:val="18"/>
                <w:szCs w:val="18"/>
                <w:color w:val="auto"/>
                <w:w w:val="90"/>
              </w:rPr>
              <w:t>Inventories, net of reserves, as of September 30, 2013 and December 31, 2012 consisted of the following:</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6"/>
                <w:szCs w:val="16"/>
                <w:b w:val="1"/>
                <w:bCs w:val="1"/>
                <w:color w:val="auto"/>
              </w:rPr>
              <w:t>September 30, 2013</w:t>
            </w:r>
          </w:p>
        </w:tc>
        <w:tc>
          <w:tcPr>
            <w:tcW w:w="2040" w:type="dxa"/>
            <w:vAlign w:val="bottom"/>
            <w:gridSpan w:val="3"/>
          </w:tcPr>
          <w:p>
            <w:pPr>
              <w:jc w:val="right"/>
              <w:ind w:right="270"/>
              <w:spacing w:after="0"/>
              <w:rPr>
                <w:sz w:val="20"/>
                <w:szCs w:val="20"/>
                <w:color w:val="auto"/>
              </w:rPr>
            </w:pPr>
            <w:r>
              <w:rPr>
                <w:rFonts w:ascii="Arial" w:cs="Arial" w:eastAsia="Arial" w:hAnsi="Arial"/>
                <w:sz w:val="16"/>
                <w:szCs w:val="16"/>
                <w:b w:val="1"/>
                <w:bCs w:val="1"/>
                <w:color w:val="auto"/>
              </w:rPr>
              <w:t>December 31, 2012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4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5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0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4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Long-term inventory represents inventory held in excess of our current (next 12 months) requirements based on our recent sales and forecasted level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sell the above inventory, net of reserves, at or above the stated cost and believe that no loss will be incurred on its sale.</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$1,486 and $1,289 as of September 30, 2013 and December 31, 2012,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nine months ended September 30, 2013 and 2012,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080" w:type="dxa"/>
            <w:vAlign w:val="bottom"/>
            <w:gridSpan w:val="3"/>
          </w:tcPr>
          <w:p>
            <w:pPr>
              <w:jc w:val="right"/>
              <w:ind w:right="434"/>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3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576"/>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596"/>
              <w:spacing w:after="0"/>
              <w:rPr>
                <w:sz w:val="20"/>
                <w:szCs w:val="20"/>
                <w:color w:val="auto"/>
              </w:rPr>
            </w:pPr>
            <w:r>
              <w:rPr>
                <w:rFonts w:ascii="Arial" w:cs="Arial" w:eastAsia="Arial" w:hAnsi="Arial"/>
                <w:sz w:val="16"/>
                <w:szCs w:val="16"/>
                <w:b w:val="1"/>
                <w:bCs w:val="1"/>
                <w:color w:val="auto"/>
              </w:rPr>
              <w:t>2013</w:t>
            </w:r>
          </w:p>
        </w:tc>
        <w:tc>
          <w:tcPr>
            <w:tcW w:w="480" w:type="dxa"/>
            <w:vAlign w:val="bottom"/>
          </w:tcPr>
          <w:p>
            <w:pPr>
              <w:spacing w:after="0"/>
              <w:rPr>
                <w:sz w:val="20"/>
                <w:szCs w:val="20"/>
                <w:color w:val="auto"/>
              </w:rPr>
            </w:pPr>
          </w:p>
        </w:tc>
        <w:tc>
          <w:tcPr>
            <w:tcW w:w="126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r>
      <w:tr>
        <w:trPr>
          <w:trHeight w:val="33"/>
        </w:trPr>
        <w:tc>
          <w:tcPr>
            <w:tcW w:w="3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incurred on valuation of inventory and</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 of obsolete 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r>
      <w:tr>
        <w:trPr>
          <w:trHeight w:val="675"/>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ind w:right="-21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for the three and nine months ended September 30, 2013 and 2012 has been recorded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29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70"/>
        </w:trPr>
        <w:tc>
          <w:tcPr>
            <w:tcW w:w="3880" w:type="dxa"/>
            <w:vAlign w:val="bottom"/>
          </w:tcPr>
          <w:p>
            <w:pPr>
              <w:spacing w:after="0"/>
              <w:rPr>
                <w:sz w:val="23"/>
                <w:szCs w:val="23"/>
                <w:color w:val="auto"/>
              </w:rPr>
            </w:pPr>
          </w:p>
        </w:tc>
        <w:tc>
          <w:tcPr>
            <w:tcW w:w="1140" w:type="dxa"/>
            <w:vAlign w:val="bottom"/>
          </w:tcPr>
          <w:p>
            <w:pPr>
              <w:jc w:val="right"/>
              <w:ind w:right="94"/>
              <w:spacing w:after="0"/>
              <w:rPr>
                <w:sz w:val="20"/>
                <w:szCs w:val="20"/>
                <w:color w:val="auto"/>
              </w:rPr>
            </w:pPr>
            <w:r>
              <w:rPr>
                <w:rFonts w:ascii="Arial" w:cs="Arial" w:eastAsia="Arial" w:hAnsi="Arial"/>
                <w:sz w:val="16"/>
                <w:szCs w:val="16"/>
                <w:b w:val="1"/>
                <w:bCs w:val="1"/>
                <w:color w:val="auto"/>
              </w:rPr>
              <w:t>2013</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193"/>
              <w:spacing w:after="0"/>
              <w:rPr>
                <w:sz w:val="20"/>
                <w:szCs w:val="20"/>
                <w:color w:val="auto"/>
              </w:rPr>
            </w:pPr>
            <w:r>
              <w:rPr>
                <w:rFonts w:ascii="Arial" w:cs="Arial" w:eastAsia="Arial" w:hAnsi="Arial"/>
                <w:sz w:val="16"/>
                <w:szCs w:val="16"/>
                <w:b w:val="1"/>
                <w:bCs w:val="1"/>
                <w:color w:val="auto"/>
              </w:rPr>
              <w:t>2012</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2012</w:t>
            </w:r>
          </w:p>
        </w:tc>
      </w:tr>
      <w:tr>
        <w:trPr>
          <w:trHeight w:val="3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2013, the total remaining unrecognized compensation cost related to non-vested stock options, net of forfeitures, was approximately $894, which will be recognized over a weighted average period of 2.76 years.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three and nine months ended September 30, 2013, we granted 70,000 and 127,500 stock options, respectively. During the three and nine months ended September 30, 2012, we granted 92,000 and 187,000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4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3120" w:type="dxa"/>
            <w:vAlign w:val="bottom"/>
            <w:gridSpan w:val="2"/>
          </w:tcPr>
          <w:p>
            <w:pPr>
              <w:ind w:left="380"/>
              <w:spacing w:after="0"/>
              <w:rPr>
                <w:sz w:val="20"/>
                <w:szCs w:val="20"/>
                <w:color w:val="auto"/>
              </w:rPr>
            </w:pPr>
            <w:r>
              <w:rPr>
                <w:rFonts w:ascii="Arial" w:cs="Arial" w:eastAsia="Arial" w:hAnsi="Arial"/>
                <w:sz w:val="16"/>
                <w:szCs w:val="16"/>
                <w:b w:val="1"/>
                <w:bCs w:val="1"/>
                <w:color w:val="auto"/>
              </w:rPr>
              <w:t>Nine months ended September 30,</w:t>
            </w:r>
          </w:p>
        </w:tc>
      </w:tr>
      <w:tr>
        <w:trPr>
          <w:trHeight w:val="270"/>
        </w:trPr>
        <w:tc>
          <w:tcPr>
            <w:tcW w:w="4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r>
      <w:tr>
        <w:trPr>
          <w:trHeight w:val="33"/>
        </w:trPr>
        <w:tc>
          <w:tcPr>
            <w:tcW w:w="43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average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640" w:type="dxa"/>
            <w:vAlign w:val="bottom"/>
            <w:gridSpan w:val="2"/>
          </w:tcPr>
          <w:p>
            <w:pPr>
              <w:ind w:left="420"/>
              <w:spacing w:after="0"/>
              <w:rPr>
                <w:sz w:val="20"/>
                <w:szCs w:val="20"/>
                <w:color w:val="auto"/>
              </w:rPr>
            </w:pPr>
            <w:r>
              <w:rPr>
                <w:rFonts w:ascii="Arial" w:cs="Arial" w:eastAsia="Arial" w:hAnsi="Arial"/>
                <w:sz w:val="18"/>
                <w:szCs w:val="18"/>
                <w:color w:val="auto"/>
              </w:rPr>
              <w:t>6.7 years</w:t>
            </w:r>
          </w:p>
        </w:tc>
        <w:tc>
          <w:tcPr>
            <w:tcW w:w="1760" w:type="dxa"/>
            <w:vAlign w:val="bottom"/>
            <w:gridSpan w:val="2"/>
          </w:tcPr>
          <w:p>
            <w:pPr>
              <w:ind w:left="440"/>
              <w:spacing w:after="0"/>
              <w:rPr>
                <w:sz w:val="20"/>
                <w:szCs w:val="20"/>
                <w:color w:val="auto"/>
              </w:rPr>
            </w:pPr>
            <w:r>
              <w:rPr>
                <w:rFonts w:ascii="Arial" w:cs="Arial" w:eastAsia="Arial" w:hAnsi="Arial"/>
                <w:sz w:val="18"/>
                <w:szCs w:val="18"/>
                <w:color w:val="auto"/>
              </w:rPr>
              <w:t>7.3 years</w:t>
            </w:r>
          </w:p>
        </w:tc>
        <w:tc>
          <w:tcPr>
            <w:tcW w:w="1560" w:type="dxa"/>
            <w:vAlign w:val="bottom"/>
          </w:tcPr>
          <w:p>
            <w:pPr>
              <w:ind w:left="420"/>
              <w:spacing w:after="0"/>
              <w:rPr>
                <w:sz w:val="20"/>
                <w:szCs w:val="20"/>
                <w:color w:val="auto"/>
              </w:rPr>
            </w:pPr>
            <w:r>
              <w:rPr>
                <w:rFonts w:ascii="Arial" w:cs="Arial" w:eastAsia="Arial" w:hAnsi="Arial"/>
                <w:sz w:val="18"/>
                <w:szCs w:val="18"/>
                <w:color w:val="auto"/>
              </w:rPr>
              <w:t>6.8 years</w:t>
            </w:r>
          </w:p>
        </w:tc>
        <w:tc>
          <w:tcPr>
            <w:tcW w:w="1560" w:type="dxa"/>
            <w:vAlign w:val="bottom"/>
          </w:tcPr>
          <w:p>
            <w:pPr>
              <w:ind w:left="480"/>
              <w:spacing w:after="0"/>
              <w:rPr>
                <w:sz w:val="20"/>
                <w:szCs w:val="20"/>
                <w:color w:val="auto"/>
              </w:rPr>
            </w:pPr>
            <w:r>
              <w:rPr>
                <w:rFonts w:ascii="Arial" w:cs="Arial" w:eastAsia="Arial" w:hAnsi="Arial"/>
                <w:sz w:val="18"/>
                <w:szCs w:val="18"/>
                <w:color w:val="auto"/>
              </w:rPr>
              <w:t>7.2 years</w:t>
            </w:r>
          </w:p>
        </w:tc>
      </w:tr>
      <w:tr>
        <w:trPr>
          <w:trHeight w:val="27"/>
        </w:trPr>
        <w:tc>
          <w:tcPr>
            <w:tcW w:w="4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price volatility, average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51.1%</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49.8%</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51.4%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Weighted average per share fair value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$4.28</w:t>
            </w:r>
          </w:p>
        </w:tc>
        <w:tc>
          <w:tcPr>
            <w:tcW w:w="1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$2.13</w:t>
            </w:r>
          </w:p>
        </w:tc>
        <w:tc>
          <w:tcPr>
            <w:tcW w:w="24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$4.38</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$2.19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shareholders’ equity during the three and nine months ended September 30, 2013 and 2012, respectively: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366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90"/>
              </w:rPr>
              <w:t>Three months ended September 30,</w:t>
            </w:r>
          </w:p>
        </w:tc>
        <w:tc>
          <w:tcPr>
            <w:tcW w:w="380" w:type="dxa"/>
            <w:vAlign w:val="bottom"/>
          </w:tcPr>
          <w:p>
            <w:pPr>
              <w:spacing w:after="0"/>
              <w:rPr>
                <w:sz w:val="18"/>
                <w:szCs w:val="18"/>
                <w:color w:val="auto"/>
              </w:rPr>
            </w:pPr>
          </w:p>
        </w:tc>
        <w:tc>
          <w:tcPr>
            <w:tcW w:w="298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ind w:right="571"/>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55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ind w:right="57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period</w:t>
            </w:r>
          </w:p>
        </w:tc>
        <w:tc>
          <w:tcPr>
            <w:tcW w:w="10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67,655</w:t>
            </w:r>
          </w:p>
        </w:tc>
        <w:tc>
          <w:tcPr>
            <w:tcW w:w="5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40,892</w:t>
            </w: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39,664</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 stock option exercises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or loss in investments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00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68,598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41,889</w:t>
            </w:r>
          </w:p>
        </w:tc>
        <w:tc>
          <w:tcPr>
            <w:tcW w:w="3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68,598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41,889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9</w:t>
            </w: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121" w:right="4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39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198" w:lineRule="exact"/>
        <w:rPr>
          <w:sz w:val="20"/>
          <w:szCs w:val="20"/>
          <w:color w:val="auto"/>
        </w:rPr>
      </w:pPr>
    </w:p>
    <w:p>
      <w:pPr>
        <w:ind w:left="660" w:right="60"/>
        <w:spacing w:after="0" w:line="279"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 The Company's marketable securities primarily utilize broker quotes in a non-active market for valuation of these securities.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Level 2 securities, the Company uses a third-party pricing service which provides documentation on an ongoing basis that includes, among other things, pricing information with respect to reference data, methodology, inputs summarized by asset class, pricing application and corroborative information. The Company reviews, tests and validates this information. The following table sets forth the fair value of the financial instruments re-measured by the Company as of September 30, 2013 and December 31, 2012:</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62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2013</w:t>
            </w: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18,692</w:t>
            </w:r>
          </w:p>
        </w:tc>
        <w:tc>
          <w:tcPr>
            <w:tcW w:w="300" w:type="dxa"/>
            <w:vAlign w:val="bottom"/>
          </w:tcPr>
          <w:p>
            <w:pPr>
              <w:spacing w:after="0"/>
              <w:rPr>
                <w:sz w:val="21"/>
                <w:szCs w:val="21"/>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6,684</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70"/>
        </w:trPr>
        <w:tc>
          <w:tcPr>
            <w:tcW w:w="362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25,376</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86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60" w:type="dxa"/>
            <w:vAlign w:val="bottom"/>
            <w:vMerge w:val="continue"/>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2012</w:t>
            </w: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6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forecasted effective tax rate at September 30, 2013 was 32.9%, a (4.5)% decrease from the 37.4% effective tax rate recorded at December 31, 2012. The forecasted effective tax rate of 32.9% excludes jurisdictions for which no benefit from forecasted current year losses is anticipated. Including losses from such jurisdictions results in a forecasted effective tax rate of 37.8%. Our forecasted effective tax rate could fluctuate significantly on a quarterly basis and could change to the extent that earnings, in countries with tax rates that differ from that of the U.S., differ from amounts anticipated at September 30, 2013.</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discrete benefit of $417, the effective tax rate for the nine months ended September 30, 2013 was 31.0%. The discrete benefit is primarily attributable to the recognition in 2013 of U.S. research and development credit pertaining to 2012.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nine months ended September 30, 2013 for subsequent events through the date the financial statements were issued. The Company is not aware of any subsequent event which would require recognition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2"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2012.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are a global company that designs, develops and sells conferencing, collaboration, streaming and digital signage solutions for audio and visual communications. The performance and simplicity of our advanced comprehensive solutions enhance the quality of life and offer unprecedented levels of functionality, reliability and scalability.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design, develop, market, and service a comprehensive line of high-quality conferencing products for personal use, as well as traditional tabletop, mid-tier premium and higher-end professional products for both large and small businesses. We occupy the number one global market share position, with a nearly 50% market share in the professional audio conferencing market for our products used by large businesses and organizations such as enterprise, healthcare, education and distance learning, government, legal and finance. Our solutions save organizations time and money by creating a natural environment for collaboration and communication.</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an established history of product innovation and plan to continue to apply our expertise in audio, video and network engineering to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primarily through a global network of independent distributors who, in turn, sell our products to dealers, systems integrators and other value-added resellers.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February 16, 2012, we completed the acquisition of the video conferencing business of Israel-based VCON Video Conferencing, Ltd. (“VCON”). VCON was a pioneer in software-based video conferencing solutions with product offerings that included group video conferencing endpoints, desktop video conferencing endpoints, video conferencing infrastructure solutions and software development kits. This acquisition and the combination of our streaming and digital signage technologies has provided us with complementary technology opportunities allowing us to enter new growth markets. Pursuant to the asset purchase agreement, ClearOne paid $4.6 million in cash to VCON in consideration for all VCON's assets, including intellectual property, fixed assets and inventory, and assumed no debt.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audio conferencing products for large businesses and organizations;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video conferencing, streaming and digital signage technologies we recently acquired to enter new growth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Capitalize on the growing adoption of unified communications and introduce new products through emerging information technology channels;</w:t>
      </w:r>
    </w:p>
    <w:p>
      <w:pPr>
        <w:spacing w:after="0" w:line="32" w:lineRule="exact"/>
        <w:rPr>
          <w:rFonts w:ascii="Arial" w:cs="Arial" w:eastAsia="Arial" w:hAnsi="Arial"/>
          <w:sz w:val="16"/>
          <w:szCs w:val="16"/>
          <w:color w:val="auto"/>
        </w:rPr>
      </w:pPr>
    </w:p>
    <w:p>
      <w:pPr>
        <w:ind w:left="660" w:right="5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revenues were $12.4 million and $11.6 million during the three months ended September 30, 2013 and 2012, respectively. The increased revenues from our new professional products introduced in the last 18 months was offset by decline in revenue from other products. Our gross profit increased by $728,000 during the three months ended September 30, 2013 compared to the three months ended September 30, 2012. Net income increased by $659,000 during the three months ended September 30, 2013 compared to the three months ended September 30, 2012, primarily due to higher gross profit arising out of higher revenue and higher gross profit margin.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revenues were $35.4 million and $33.4 million during the nine months ended September 30, 2013 and 2012, respectively. The increase in revenue was primarily due to our new professional products introduced in the last 18 months and from our video products. Our gross profit increased by $1.4 million during the nine months ended September 30, 2013 compared to the nine months ended September 30, 2012. Net income increased by $1.3 million during the nine months ended September 30, 2013 compared to the nine months ended September 30, 2012, primarily due to higher gross profits arising out of higher revenue.</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expect overall growth in revenue from our products, especially video products and new professional products introduced in the last 18 months. However, the prospects and extent of growth in both revenues and profits in the near future will depend on the strength of the global economy and the penetration level of our new products, including products added through acquisitions. We continue to closely monitor the economic situation caused by the U.S. government's budget cuts and global economic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nine months ended September 30, 2013 and 2012</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following table sets forth certain items from our unaudited condensed consolidated statements of operations (dollars in thousands) for the three and nine months ended September 30, 2013 and 2012, respectively, together with the percentage of total revenue which each such item represents: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920" w:type="dxa"/>
            <w:vAlign w:val="bottom"/>
          </w:tcPr>
          <w:p>
            <w:pPr>
              <w:jc w:val="right"/>
              <w:ind w:right="26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6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114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6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2013</w:t>
            </w:r>
          </w:p>
        </w:tc>
        <w:tc>
          <w:tcPr>
            <w:tcW w:w="11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13"/>
                <w:szCs w:val="13"/>
                <w:color w:val="auto"/>
              </w:rPr>
            </w:pPr>
          </w:p>
        </w:tc>
        <w:tc>
          <w:tcPr>
            <w:tcW w:w="74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12,366</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11,573</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8"/>
              </w:rPr>
              <w:t>35,362</w:t>
            </w:r>
          </w:p>
        </w:tc>
        <w:tc>
          <w:tcPr>
            <w:tcW w:w="11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100 %</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33,382</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20"/>
                <w:szCs w:val="20"/>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4,921</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40 %</w:t>
            </w:r>
          </w:p>
        </w:tc>
        <w:tc>
          <w:tcPr>
            <w:tcW w:w="260" w:type="dxa"/>
            <w:vAlign w:val="bottom"/>
          </w:tcPr>
          <w:p>
            <w:pPr>
              <w:spacing w:after="0"/>
              <w:rPr>
                <w:sz w:val="20"/>
                <w:szCs w:val="20"/>
                <w:color w:val="auto"/>
              </w:rPr>
            </w:pPr>
          </w:p>
        </w:tc>
        <w:tc>
          <w:tcPr>
            <w:tcW w:w="860" w:type="dxa"/>
            <w:vAlign w:val="bottom"/>
          </w:tcPr>
          <w:p>
            <w:pPr>
              <w:jc w:val="right"/>
              <w:ind w:right="220"/>
              <w:spacing w:after="0"/>
              <w:rPr>
                <w:sz w:val="20"/>
                <w:szCs w:val="20"/>
                <w:color w:val="auto"/>
              </w:rPr>
            </w:pPr>
            <w:r>
              <w:rPr>
                <w:rFonts w:ascii="Arial" w:cs="Arial" w:eastAsia="Arial" w:hAnsi="Arial"/>
                <w:sz w:val="16"/>
                <w:szCs w:val="16"/>
                <w:color w:val="auto"/>
              </w:rPr>
              <w:t>4,856</w:t>
            </w:r>
          </w:p>
        </w:tc>
        <w:tc>
          <w:tcPr>
            <w:tcW w:w="740" w:type="dxa"/>
            <w:vAlign w:val="bottom"/>
          </w:tcPr>
          <w:p>
            <w:pPr>
              <w:jc w:val="right"/>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w w:val="98"/>
              </w:rPr>
              <w:t>14,054</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40 %</w:t>
            </w:r>
          </w:p>
        </w:tc>
        <w:tc>
          <w:tcPr>
            <w:tcW w:w="24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13,464</w:t>
            </w:r>
          </w:p>
        </w:tc>
        <w:tc>
          <w:tcPr>
            <w:tcW w:w="102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7,445</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6,717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8"/>
              </w:rPr>
              <w:t>21,308</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60 %</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20"/>
                <w:szCs w:val="20"/>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2,220</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18 %</w:t>
            </w:r>
          </w:p>
        </w:tc>
        <w:tc>
          <w:tcPr>
            <w:tcW w:w="260" w:type="dxa"/>
            <w:vAlign w:val="bottom"/>
          </w:tcPr>
          <w:p>
            <w:pPr>
              <w:spacing w:after="0"/>
              <w:rPr>
                <w:sz w:val="20"/>
                <w:szCs w:val="20"/>
                <w:color w:val="auto"/>
              </w:rPr>
            </w:pPr>
          </w:p>
        </w:tc>
        <w:tc>
          <w:tcPr>
            <w:tcW w:w="860" w:type="dxa"/>
            <w:vAlign w:val="bottom"/>
          </w:tcPr>
          <w:p>
            <w:pPr>
              <w:jc w:val="right"/>
              <w:ind w:right="220"/>
              <w:spacing w:after="0"/>
              <w:rPr>
                <w:sz w:val="20"/>
                <w:szCs w:val="20"/>
                <w:color w:val="auto"/>
              </w:rPr>
            </w:pPr>
            <w:r>
              <w:rPr>
                <w:rFonts w:ascii="Arial" w:cs="Arial" w:eastAsia="Arial" w:hAnsi="Arial"/>
                <w:sz w:val="16"/>
                <w:szCs w:val="16"/>
                <w:color w:val="auto"/>
              </w:rPr>
              <w:t>1,821</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6,575</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19 %</w:t>
            </w:r>
          </w:p>
        </w:tc>
        <w:tc>
          <w:tcPr>
            <w:tcW w:w="24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6,209</w:t>
            </w:r>
          </w:p>
        </w:tc>
        <w:tc>
          <w:tcPr>
            <w:tcW w:w="102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product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1,788</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1,959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5,497</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16 %</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5,996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1,405</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11 %</w:t>
            </w:r>
          </w:p>
        </w:tc>
        <w:tc>
          <w:tcPr>
            <w:tcW w:w="260" w:type="dxa"/>
            <w:vAlign w:val="bottom"/>
          </w:tcPr>
          <w:p>
            <w:pPr>
              <w:spacing w:after="0"/>
              <w:rPr>
                <w:sz w:val="20"/>
                <w:szCs w:val="20"/>
                <w:color w:val="auto"/>
              </w:rPr>
            </w:pPr>
          </w:p>
        </w:tc>
        <w:tc>
          <w:tcPr>
            <w:tcW w:w="860" w:type="dxa"/>
            <w:vAlign w:val="bottom"/>
          </w:tcPr>
          <w:p>
            <w:pPr>
              <w:jc w:val="right"/>
              <w:ind w:right="220"/>
              <w:spacing w:after="0"/>
              <w:rPr>
                <w:sz w:val="20"/>
                <w:szCs w:val="20"/>
                <w:color w:val="auto"/>
              </w:rPr>
            </w:pPr>
            <w:r>
              <w:rPr>
                <w:rFonts w:ascii="Arial" w:cs="Arial" w:eastAsia="Arial" w:hAnsi="Arial"/>
                <w:sz w:val="16"/>
                <w:szCs w:val="16"/>
                <w:color w:val="auto"/>
              </w:rPr>
              <w:t>1,470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4,639</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13 %</w:t>
            </w:r>
          </w:p>
        </w:tc>
        <w:tc>
          <w:tcPr>
            <w:tcW w:w="24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4,561</w:t>
            </w:r>
          </w:p>
        </w:tc>
        <w:tc>
          <w:tcPr>
            <w:tcW w:w="102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litigation</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(272)</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296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2,304</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19 %</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20"/>
              <w:spacing w:after="0"/>
              <w:rPr>
                <w:sz w:val="20"/>
                <w:szCs w:val="20"/>
                <w:color w:val="auto"/>
              </w:rPr>
            </w:pPr>
            <w:r>
              <w:rPr>
                <w:rFonts w:ascii="Arial" w:cs="Arial" w:eastAsia="Arial" w:hAnsi="Arial"/>
                <w:sz w:val="16"/>
                <w:szCs w:val="16"/>
                <w:color w:val="auto"/>
              </w:rPr>
              <w:t>1,467</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4,869</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14 %</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3,402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85</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1 %</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0 %</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231"/>
        </w:trPr>
        <w:tc>
          <w:tcPr>
            <w:tcW w:w="2960" w:type="dxa"/>
            <w:vAlign w:val="bottom"/>
          </w:tcPr>
          <w:p>
            <w:pPr>
              <w:ind w:left="20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2,389</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19 %</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20"/>
              <w:spacing w:after="0"/>
              <w:rPr>
                <w:sz w:val="20"/>
                <w:szCs w:val="20"/>
                <w:color w:val="auto"/>
              </w:rPr>
            </w:pPr>
            <w:r>
              <w:rPr>
                <w:rFonts w:ascii="Arial" w:cs="Arial" w:eastAsia="Arial" w:hAnsi="Arial"/>
                <w:sz w:val="16"/>
                <w:szCs w:val="16"/>
                <w:color w:val="auto"/>
              </w:rPr>
              <w:t>1,496</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4,986</w:t>
            </w: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14 %</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3,442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726</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6 %</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492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1,548</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1,310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257"/>
        </w:trPr>
        <w:tc>
          <w:tcPr>
            <w:tcW w:w="29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1,663</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13 %</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color w:val="auto"/>
              </w:rPr>
              <w:t>1,004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3,438</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10 %</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2,132</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Revenue for the three months ended September 30, 2013 ("2013 Q3") increased by approximately 7% compared to revenue for the three months ended September 30, 2012 ("2012 Q3"). The increased revenue from new products introduced in the last 18 months was offset by a decline in revenue from other products. An overall increase in demand for our products in North America and Asia Pacific was offset by a decline in demand in Europe.</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Revenue for the nine months ended September 30, 2013 increased by approximately 6% over the nine months ended September 30, 2012. The revenue primarily increased primarily due to the increased revenue from video products and new products introduced in the last 18 months. An overall increase in demand for our products in North America and Asia Pacific was offset by a decline in demand in Europe.</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net change in deferred revenue during the three months ended September 30, 2013 and 2012 was a net decrease of deferred revenue of $195,000 and a net increase of $94,000, respectively. The net change in deferred revenue during the nine months ended September 30, 2013 and 2012 was a net increase of deferred revenue of $512,000 and a net increase of $141,000, respectively. See “Critical Accounting Policies and Estimates” under “Revenue and Associated Allowance for Revenue Adjustments and Doubtful Accounts” below for a detailed discussion of deferred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60% and 58% for the quarters ended September 30, 2013 and September 30, 2012, respectively. The change in gross margin was due to favorable changes in our product mix. Our GPM was 60% and 60% for the nine months ended September 30, 2013 and 2012,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Operating expenses, after excluding litigation proceeds for the quarter ended September 30, 2013, were approximately $5.4 million compared to $5.3 million for the quarter ended September 30, 2012. Operating expenses, after excluding litigation proceeds for the nine months ended September 30, 2013, were approximately $16.7 million compared to $16.8 million for the nine months ended September 30, 2012.</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sales, customer service, and marketing expenses, such as employee-related costs, allocations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overhead expenses, trade shows, and other advertising and sales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S&amp;M expenses during the quarter ended September 30, 2013 increased $399,000, or 22%, when compared to the quarter ended September 30, 2012 due to increased commissions to sales persons and independent representatives. S&amp;M expenses for the nine months ended September 30, 2013 increased $366,000, or 6%, when compared to the nine months ended September 30, 2012 primarily due to increased commissions to sales persons and independent representatives.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R&amp;D expenses during the quarter ended September 30, 2013 decreased by $171,000, or 9%, compared to R&amp;D expenses during the quarter ended September 30, 2012. The decrease was mainly due to reduced employee costs and consulting fees. R&amp;D expenses for the nine months ended September 30, 2013 decreased by $499,000, or 8%, compared to R&amp;D expenses during the nine months ended September 30, 2012. The decrease was mainly due to reduced employee costs, consulting fees and depreciation charge, partially offset by increased R&amp;D project costs.</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General and Administrative (“G&amp;A”) Expenses. </w:t>
      </w:r>
      <w:r>
        <w:rPr>
          <w:rFonts w:ascii="Arial" w:cs="Arial" w:eastAsia="Arial" w:hAnsi="Arial"/>
          <w:sz w:val="17"/>
          <w:szCs w:val="17"/>
          <w:color w:val="auto"/>
        </w:rPr>
        <w:t>G&amp;A expenses include employee-related costs, professional service fees, allocations of overhead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litigation costs, and corporate administrative costs, including finance, information technology and human resources costs.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G&amp;A expenses during the quarter ended September 30, 2013 decreased by $65,000, or 4%, compared to G&amp;A expenses during the quarter ended September 30, 2012. The decrease was mainly due to reduced legal fees and employee costs. G&amp;A expenses during the nine months ended September 30, 2013 increased by $78,000, or 2%, compared to G&amp;A expenses during the nine months ended September 30, 2012. The increase was mainly due to increased accounting and auditing expenses, bad debts allowance and recruitment expenses partially offset by the reduced legal expenses.</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nine months ended September 30, 2013, we continued to incur high legal expenses due to various legal proceedings explained in detail in our Form 10-K for the year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Proceeds from Litigation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litigation proceeds of $272,000 received during the nine months ended September 30, 2013 represent the recovery of money held in escrow related to the VCON acquisition completed in February 2012. The litigation proceeds received during the nine months ended September 30, 2012 represent settlement of amounts due from a defendant in our litigation related to the “Theft of Intellectual Property and Related Cases” described in detail in Note 8 – Commitments and Contingencies of the Notes to the Consolidated Financial Statements in our Form 10-K for the year ended December 31,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quarter ended September 30, 2013, we accrued income taxes at the expected annualized rate of 32.9% as compared to an annualized rate of 37.4% used for the accrual made for the quarter ended September 30, 2012. The change in the expected annualized rate was primarily due to earnings anticipated in countries that have lower statutory tax rates. In addition, a discrete tax benefit of $417,000 related to the research and development credit was recognized during the nine months ended September 30,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September 30, 2013, our cash, cash equivalents, and marketable securities were approximately $43.6 million, a decrease of $11.9 million compared to cash and cash equivalents of approximately $55.5 million as of December 31, 2012.</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cash used in operating activities was $9.5 million during the nine months ended September 30, 2013, a decrease of approximately $12.2 million compared to $2.6 million in cash provided by operating activities during the nine months ended September 30, 2012. The decrease in cash flow was primarily due to the payment of income taxes associated with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arbitration settlement proceeds received in 2012, a reduction in collections from receivables, an increase in inventories and an increase in prepaid expenses, partially offset by a reduction in payments for accounts payable.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investing activities during the nine months ended September 30, 2013 was approximately $26.1 million, which consisted of purchases of marketable securities of $25.4 million and purchases of equipment of $723,000. Net cash used in investing activities during the nine months ended September 30, 2012 was approximately $4.9 million, which consisted of the acquisition of the business of VCON for $4.6 million and $260,000 towards purchases of equipment.</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used in financing activities during the nine months ended September 30, 2013 was approximately $1.7 million, which consisted of the acquisition of outstanding stock totaling $2.2 million, offset by $456,000 in proceeds received through exercise of stock options and $76,000 in tax benefits from the exercise of stock options. During the nine months ended September 30, 2012, net cash used in financing activities was $83,000, which consisted of the acquisition of outstanding stock totaling $384,000, offset by $301,000 in proceeds received through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our working capital was $35.9 million as compared to $56.5 million as of December 31, 2012.</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that our current cash balance, future income from operations and effective management of working capital will provide the liquidity needed to meet our short-term and long-term operating requirements and finance our growth plans. We also believe that our strong financial position and sound business structure will enable us to raise additional capital when needed to meet our short and long-term financing needs. In addition to capital expenditures, we may use cash in the near future for selective infusions of technology, sales &amp; marketing, infrastructure, and other investments to fuel our growth, as well as acquisitions that may strategically fit our business and are accretive to our performance. We may also use cash to finance the repurchase of our outstanding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accordance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2012 and Note 1 to the Condensed Consolidated Financial Statements set forth in Part I, Item I herein.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18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provide a right of return on product sales to major distributors under a product rotation program. Under this seldom-used program, once a quarter, a distributor is allowed to return products purchased during the prior quarter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the deferral analysis described below. In a small number of cases, the distributors are also permitted to return the products for other business reasons.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until it can be determined with reasonable certainty that the return privilege has expired, which approximates when the product is sold-through to customers of our distributors (dealers, system integrators, value-added resellers, and end-users), rather than when the product is initially shipped to a distributor. At each quarter-end, we evaluate the inventory in the distribution channel through information provided by our distributors. The level of inventory in the channel will fluctuate up or down each quarter based upon our distributors’ individual operations. Accordingly, each quarter-end deferral of revenue and associated cost of goods sold are calculated and recorded based upon the actual channel inventory reported at quarter-end. Further, with respect to distributors and other channel partners not reporting the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accuracy of the deferred revenue and costs depend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as of September 30, 2013 and December 31, 2012:</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of September 30, 2013</w:t>
            </w:r>
          </w:p>
        </w:tc>
        <w:tc>
          <w:tcPr>
            <w:tcW w:w="240" w:type="dxa"/>
            <w:vAlign w:val="bottom"/>
          </w:tcPr>
          <w:p>
            <w:pPr>
              <w:spacing w:after="0"/>
              <w:rPr>
                <w:sz w:val="18"/>
                <w:szCs w:val="18"/>
                <w:color w:val="auto"/>
              </w:rPr>
            </w:pPr>
          </w:p>
        </w:tc>
        <w:tc>
          <w:tcPr>
            <w:tcW w:w="218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As of December 31, 2012</w:t>
            </w:r>
          </w:p>
        </w:tc>
      </w:tr>
      <w:tr>
        <w:trPr>
          <w:trHeight w:val="33"/>
        </w:trPr>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32"/>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2"/>
              <w:spacing w:after="0"/>
              <w:rPr>
                <w:sz w:val="20"/>
                <w:szCs w:val="20"/>
                <w:color w:val="auto"/>
              </w:rPr>
            </w:pPr>
            <w:r>
              <w:rPr>
                <w:rFonts w:ascii="Arial" w:cs="Arial" w:eastAsia="Arial" w:hAnsi="Arial"/>
                <w:sz w:val="18"/>
                <w:szCs w:val="18"/>
                <w:color w:val="auto"/>
              </w:rPr>
              <w:t>3,593</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220" w:type="dxa"/>
            <w:vAlign w:val="bottom"/>
          </w:tcPr>
          <w:p>
            <w:pPr>
              <w:spacing w:after="0"/>
              <w:rPr>
                <w:sz w:val="23"/>
                <w:szCs w:val="23"/>
                <w:color w:val="auto"/>
              </w:rPr>
            </w:pPr>
          </w:p>
        </w:tc>
        <w:tc>
          <w:tcPr>
            <w:tcW w:w="2200" w:type="dxa"/>
            <w:vAlign w:val="bottom"/>
          </w:tcPr>
          <w:p>
            <w:pPr>
              <w:jc w:val="right"/>
              <w:ind w:right="32"/>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80" w:type="dxa"/>
            <w:vAlign w:val="bottom"/>
          </w:tcPr>
          <w:p>
            <w:pPr>
              <w:jc w:val="right"/>
              <w:ind w:right="12"/>
              <w:spacing w:after="0"/>
              <w:rPr>
                <w:sz w:val="20"/>
                <w:szCs w:val="20"/>
                <w:color w:val="auto"/>
              </w:rPr>
            </w:pPr>
            <w:r>
              <w:rPr>
                <w:rFonts w:ascii="Arial" w:cs="Arial" w:eastAsia="Arial" w:hAnsi="Arial"/>
                <w:sz w:val="18"/>
                <w:szCs w:val="18"/>
                <w:color w:val="auto"/>
              </w:rPr>
              <w:t>1,289</w:t>
            </w:r>
          </w:p>
        </w:tc>
      </w:tr>
      <w:tr>
        <w:trPr>
          <w:trHeight w:val="27"/>
        </w:trPr>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5980" w:type="dxa"/>
            <w:vAlign w:val="bottom"/>
          </w:tcPr>
          <w:p>
            <w:pPr>
              <w:spacing w:after="0"/>
              <w:rPr>
                <w:sz w:val="20"/>
                <w:szCs w:val="20"/>
                <w:color w:val="auto"/>
              </w:rPr>
            </w:pPr>
            <w:r>
              <w:rPr>
                <w:rFonts w:ascii="Arial" w:cs="Arial" w:eastAsia="Arial" w:hAnsi="Arial"/>
                <w:sz w:val="18"/>
                <w:szCs w:val="18"/>
                <w:color w:val="auto"/>
              </w:rPr>
              <w:t>Deferred gross profit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2,304</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allocated the purchase price for the acquisitions of NetStreams in 2009, MagicBox in 2011 and VCON in 2012 on the basis of well-established valuation techniques performed by qualified experts. Goodwill is measured as the excess of the cost of acquisition over the sum of the amounts assigned to tangible and identifiable intangible assets acquired less liabilities assumed. We perform impairment tests of goodwill and intangible assets with indefinite useful lives on an annual basis in the fourth fiscal quarter, or sooner if a triggering event occurs suggesting possible impairment of the values of these assets. In connection with the acquisition of NetStreams, $726,000 and $400,000 were recorded as goodwill and intangible assets, respectively, with indefinite useful lives. With respect to the MagicBox acquisition, $427,000 and $159,000 were recorded as goodwill and intangible assets, respectively, with indefinite useful lives. The intangible assets pertaining to the acquisition have since been designated as finite-lived assets and are being amortized over their remaining useful lives. Goodwill of $2.3 million was recorded in connection with the VCON acquisition. There were no impairments recorded in 2013 or 2012 as no impairment indicators existed. However, due to uncertainty in the industrial, technological, and competitive environments in which we operate, we might be required to exit or dispose of the assets acquired through the NetStreams, MagicBox or VCON acquisitions, which could result in an impairment of goodwill and intangible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income taxes in both the United States and in certain foreign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2012 and determined that, based upon available evidence, it is more likely than not that certain of our deferred tax assets related to capital loss carryovers and state research and development credits will not be realized and, accordingly, we recorded a valuation allowance against these deferred tax assets in the amount of $270,000 at December 31, 2012. However, based on the utilization of state research and development credits on the 2012 state tax returns, which were filed in 2013 Q3, we reduced the valuation allowance to $21,000.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 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 The reserve against slow-moving or obsolete inventory is increased or reduced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allowances and our gross profit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2004, the FASB issued guidelines now contained under FASB ASC Topic 718, "Compensation – Stock Compensation". ASC Topic 718 establishes standards of accounting for transactions in which an entity exchanges its equity instruments for goods or services. Primarily, ASC Topic 718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services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share-based compensation cost ultimately recorded under the guidelines of ASC Topic 718 may differ significantly from what was recorded in the current period.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2013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September 30, 2013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2013 that materially affected, or that we believe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There were no material updates to the legal proceedings and commitments and contingencies reported in our Form 10-K for the year ended December 31, 2012 under Part I, Item 3. Legal Proceedings and Note 8 - Commitments and Contingencies of the Notes to Consolidated Financial Statements (Part II, Item 8), as updated in our Forms 10-Q for the periods ended March 31, 2013 and June 30, 2013 under Part II, Item I, Legal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September 30,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Dollar Value of</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0" w:type="dxa"/>
            <w:vAlign w:val="bottom"/>
          </w:tcPr>
          <w:p>
            <w:pPr>
              <w:spacing w:after="0"/>
              <w:rPr>
                <w:sz w:val="12"/>
                <w:szCs w:val="12"/>
                <w:color w:val="auto"/>
              </w:rPr>
            </w:pPr>
          </w:p>
        </w:tc>
        <w:tc>
          <w:tcPr>
            <w:tcW w:w="14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0" w:type="dxa"/>
            <w:vAlign w:val="bottom"/>
          </w:tcPr>
          <w:p>
            <w:pPr>
              <w:spacing w:after="0"/>
              <w:rPr>
                <w:sz w:val="12"/>
                <w:szCs w:val="12"/>
                <w:color w:val="auto"/>
              </w:rPr>
            </w:pPr>
          </w:p>
        </w:tc>
        <w:tc>
          <w:tcPr>
            <w:tcW w:w="14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Plans or Program (in</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Shares Purchased (1)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Share (2)</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July 1, 2013 through July 31, 2013</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36,476</w:t>
            </w:r>
          </w:p>
        </w:tc>
        <w:tc>
          <w:tcPr>
            <w:tcW w:w="1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298,932.85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8,326,189</w:t>
            </w:r>
          </w:p>
        </w:tc>
        <w:tc>
          <w:tcPr>
            <w:tcW w:w="0" w:type="dxa"/>
            <w:vAlign w:val="bottom"/>
          </w:tcPr>
          <w:p>
            <w:pPr>
              <w:spacing w:after="0"/>
              <w:rPr>
                <w:sz w:val="1"/>
                <w:szCs w:val="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August 1, 2013 through August 31, 2013</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53,039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3"/>
                <w:szCs w:val="23"/>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449,366.61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7,876,822</w:t>
            </w:r>
          </w:p>
        </w:tc>
        <w:tc>
          <w:tcPr>
            <w:tcW w:w="0" w:type="dxa"/>
            <w:vAlign w:val="bottom"/>
          </w:tcPr>
          <w:p>
            <w:pPr>
              <w:spacing w:after="0"/>
              <w:rPr>
                <w:sz w:val="1"/>
                <w:szCs w:val="1"/>
                <w:color w:val="auto"/>
              </w:rPr>
            </w:pPr>
          </w:p>
        </w:tc>
      </w:tr>
      <w:tr>
        <w:trPr>
          <w:trHeight w:val="27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September 1, 2013 through September 30, 2013</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54,514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451,636.01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7,425,186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ind w:left="220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jc w:val="right"/>
              <w:ind w:right="35"/>
              <w:spacing w:after="0"/>
              <w:rPr>
                <w:sz w:val="20"/>
                <w:szCs w:val="20"/>
                <w:color w:val="auto"/>
              </w:rPr>
            </w:pPr>
            <w:r>
              <w:rPr>
                <w:rFonts w:ascii="Arial" w:cs="Arial" w:eastAsia="Arial" w:hAnsi="Arial"/>
                <w:sz w:val="18"/>
                <w:szCs w:val="18"/>
                <w:b w:val="1"/>
                <w:bCs w:val="1"/>
                <w:color w:val="auto"/>
              </w:rPr>
              <w:t>144,029</w:t>
            </w:r>
          </w:p>
        </w:tc>
        <w:tc>
          <w:tcPr>
            <w:tcW w:w="12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8.33</w:t>
            </w:r>
          </w:p>
        </w:tc>
        <w:tc>
          <w:tcPr>
            <w:tcW w:w="100" w:type="dxa"/>
            <w:vAlign w:val="bottom"/>
          </w:tcPr>
          <w:p>
            <w:pPr>
              <w:spacing w:after="0"/>
              <w:rPr>
                <w:sz w:val="20"/>
                <w:szCs w:val="20"/>
                <w:color w:val="auto"/>
              </w:rPr>
            </w:pPr>
          </w:p>
        </w:tc>
        <w:tc>
          <w:tcPr>
            <w:tcW w:w="1580" w:type="dxa"/>
            <w:vAlign w:val="bottom"/>
          </w:tcPr>
          <w:p>
            <w:pPr>
              <w:jc w:val="right"/>
              <w:ind w:right="20"/>
              <w:spacing w:after="0"/>
              <w:rPr>
                <w:sz w:val="20"/>
                <w:szCs w:val="20"/>
                <w:color w:val="auto"/>
              </w:rPr>
            </w:pPr>
            <w:r>
              <w:rPr>
                <w:rFonts w:ascii="Arial" w:cs="Arial" w:eastAsia="Arial" w:hAnsi="Arial"/>
                <w:sz w:val="18"/>
                <w:szCs w:val="18"/>
                <w:b w:val="1"/>
                <w:bCs w:val="1"/>
                <w:color w:val="auto"/>
              </w:rPr>
              <w:t>1,199,935.47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7,425,186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53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INC.</w:t>
      </w:r>
    </w:p>
    <w:p>
      <w:pPr>
        <w:spacing w:after="0" w:line="236" w:lineRule="exact"/>
        <w:rPr>
          <w:sz w:val="20"/>
          <w:szCs w:val="20"/>
          <w:color w:val="auto"/>
        </w:rPr>
      </w:pPr>
    </w:p>
    <w:p>
      <w:pPr>
        <w:ind w:left="340" w:hanging="332"/>
        <w:spacing w:after="0" w:line="271"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May 2012, our Board of Directors authorized a stock repurchase program. Under the program, we were originally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 On February 20, 2013, the Board of Directors increased the repurchase amount to $10 million from $3 million.</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7"/>
                <w:szCs w:val="17"/>
                <w:color w:val="auto"/>
              </w:rPr>
            </w:pPr>
          </w:p>
        </w:tc>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302</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7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0"/>
              </w:rPr>
              <w:t>Section 906</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Definitions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4"/>
                <w:szCs w:val="24"/>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November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November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240" w:top="121" w:right="10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November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820" w:right="380" w:hanging="488"/>
        <w:spacing w:after="0" w:line="26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right="300" w:hanging="488"/>
        <w:spacing w:after="0" w:line="277"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380" w:val="left"/>
          <w:tab w:leader="none" w:pos="5000" w:val="left"/>
        </w:tabs>
        <w:rPr>
          <w:sz w:val="20"/>
          <w:szCs w:val="20"/>
          <w:color w:val="auto"/>
        </w:rPr>
      </w:pPr>
      <w:r>
        <w:rPr>
          <w:rFonts w:ascii="Arial" w:cs="Arial" w:eastAsia="Arial" w:hAnsi="Arial"/>
          <w:sz w:val="18"/>
          <w:szCs w:val="18"/>
          <w:color w:val="auto"/>
        </w:rPr>
        <w:t>November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100330</wp:posOffset>
            </wp:positionV>
            <wp:extent cx="341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September 30, 2013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November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September 30, 2013,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4420" w:val="left"/>
          <w:tab w:leader="none" w:pos="5020" w:val="left"/>
        </w:tabs>
        <w:rPr>
          <w:sz w:val="20"/>
          <w:szCs w:val="20"/>
          <w:color w:val="auto"/>
        </w:rPr>
      </w:pPr>
      <w:r>
        <w:rPr>
          <w:rFonts w:ascii="Arial" w:cs="Arial" w:eastAsia="Arial" w:hAnsi="Arial"/>
          <w:sz w:val="18"/>
          <w:szCs w:val="18"/>
          <w:color w:val="auto"/>
        </w:rPr>
        <w:t>November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100330</wp:posOffset>
            </wp:positionV>
            <wp:extent cx="3164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6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2019-12-06T03:44:15Z</dcterms:created>
  <dcterms:modified xsi:type="dcterms:W3CDTF">2019-12-06T03:44:15Z</dcterms:modified>
</cp:coreProperties>
</file>