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BAGLEY EDWARD D</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0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CLEARONE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CLRO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2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ind w:left="18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05/17/2021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2350 OAK HILL LANE</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20" w:type="dxa"/>
            <w:vAlign w:val="bottom"/>
            <w:gridSpan w:val="8"/>
            <w:vMerge w:val="continue"/>
          </w:tcPr>
          <w:p>
            <w:pPr>
              <w:spacing w:after="0"/>
              <w:rPr>
                <w:sz w:val="11"/>
                <w:szCs w:val="11"/>
                <w:color w:val="auto"/>
              </w:rPr>
            </w:pPr>
          </w:p>
        </w:tc>
        <w:tc>
          <w:tcPr>
            <w:tcW w:w="240" w:type="dxa"/>
            <w:vAlign w:val="bottom"/>
          </w:tcPr>
          <w:p>
            <w:pPr>
              <w:spacing w:after="0"/>
              <w:rPr>
                <w:sz w:val="11"/>
                <w:szCs w:val="11"/>
                <w:color w:val="auto"/>
              </w:rPr>
            </w:pPr>
          </w:p>
        </w:tc>
        <w:tc>
          <w:tcPr>
            <w:tcW w:w="34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SALT LAKE</w:t>
            </w:r>
          </w:p>
        </w:tc>
        <w:tc>
          <w:tcPr>
            <w:tcW w:w="1220" w:type="dxa"/>
            <w:vAlign w:val="bottom"/>
            <w:gridSpan w:val="3"/>
            <w:vMerge w:val="restart"/>
          </w:tcPr>
          <w:p>
            <w:pPr>
              <w:spacing w:after="0"/>
              <w:rPr>
                <w:sz w:val="20"/>
                <w:szCs w:val="20"/>
                <w:color w:val="auto"/>
              </w:rPr>
            </w:pPr>
            <w:r>
              <w:rPr>
                <w:rFonts w:ascii="Arial" w:cs="Arial" w:eastAsia="Arial" w:hAnsi="Arial"/>
                <w:sz w:val="17"/>
                <w:szCs w:val="17"/>
                <w:color w:val="0000FF"/>
              </w:rPr>
              <w:t>UT</w:t>
            </w:r>
          </w:p>
        </w:tc>
        <w:tc>
          <w:tcPr>
            <w:tcW w:w="1100" w:type="dxa"/>
            <w:vAlign w:val="bottom"/>
            <w:vMerge w:val="restart"/>
          </w:tcPr>
          <w:p>
            <w:pPr>
              <w:spacing w:after="0"/>
              <w:rPr>
                <w:sz w:val="20"/>
                <w:szCs w:val="20"/>
                <w:color w:val="auto"/>
              </w:rPr>
            </w:pPr>
            <w:r>
              <w:rPr>
                <w:rFonts w:ascii="Arial" w:cs="Arial" w:eastAsia="Arial" w:hAnsi="Arial"/>
                <w:sz w:val="17"/>
                <w:szCs w:val="17"/>
                <w:color w:val="0000FF"/>
              </w:rPr>
              <w:t>84121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CITY</w:t>
            </w:r>
          </w:p>
        </w:tc>
        <w:tc>
          <w:tcPr>
            <w:tcW w:w="6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40" w:type="dxa"/>
            <w:vAlign w:val="bottom"/>
            <w:tcBorders>
              <w:top w:val="single" w:sz="8" w:color="2C2C2C"/>
            </w:tcBorders>
            <w:gridSpan w:val="18"/>
          </w:tcPr>
          <w:p>
            <w:pPr>
              <w:ind w:left="2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40" w:type="dxa"/>
            <w:vAlign w:val="bottom"/>
            <w:tcBorders>
              <w:top w:val="single" w:sz="8" w:color="2C2C2C"/>
            </w:tcBorders>
            <w:gridSpan w:val="18"/>
          </w:tcPr>
          <w:p>
            <w:pPr>
              <w:ind w:lef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05/17/2021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05/17/2027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10,000</w:t>
            </w:r>
          </w:p>
        </w:tc>
        <w:tc>
          <w:tcPr>
            <w:tcW w:w="320" w:type="dxa"/>
            <w:vAlign w:val="bottom"/>
          </w:tcPr>
          <w:p>
            <w:pPr>
              <w:spacing w:after="0"/>
              <w:rPr>
                <w:sz w:val="16"/>
                <w:szCs w:val="16"/>
                <w:color w:val="auto"/>
              </w:rPr>
            </w:pPr>
          </w:p>
        </w:tc>
        <w:tc>
          <w:tcPr>
            <w:tcW w:w="620" w:type="dxa"/>
            <w:vAlign w:val="bottom"/>
          </w:tcPr>
          <w:p>
            <w:pPr>
              <w:ind w:left="28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One-third of the options granted will vest on the first anniversary of the date of grant, which is May 17, 2022. The remaining options will vest in equal monthly increments over the subsequent 24-month period.</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Edward D. Bagley</w:t>
            </w:r>
          </w:p>
        </w:tc>
        <w:tc>
          <w:tcPr>
            <w:tcW w:w="7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05/19/2021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897911"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2021-05-19T16:00:42Z</dcterms:created>
  <dcterms:modified xsi:type="dcterms:W3CDTF">2021-05-19T16:00:42Z</dcterms:modified>
</cp:coreProperties>
</file>