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27, 2014</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4"/>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Arial" w:cs="Arial" w:eastAsia="Arial" w:hAnsi="Arial"/>
                <w:sz w:val="18"/>
                <w:szCs w:val="18"/>
                <w:b w:val="1"/>
                <w:bCs w:val="1"/>
                <w:color w:val="auto"/>
                <w:w w:val="90"/>
              </w:rPr>
              <w:t>(801) 975-7200</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4214"/>
        <w:spacing w:after="0" w:line="277" w:lineRule="auto"/>
        <w:rPr>
          <w:sz w:val="20"/>
          <w:szCs w:val="20"/>
          <w:color w:val="auto"/>
        </w:rPr>
      </w:pPr>
      <w:r>
        <w:rPr>
          <w:rFonts w:ascii="Arial" w:cs="Arial" w:eastAsia="Arial" w:hAnsi="Arial"/>
          <w:sz w:val="18"/>
          <w:szCs w:val="18"/>
          <w:color w:val="auto"/>
        </w:rPr>
        <w:t>On February 27, 2014, ClearOne, Inc. issued a press release announcing its financial results for the year ended December 31, 2013. The full corrected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31"/>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February 27, 2014 titled “ClearOne Reports Record Fourth Quarter Revenue”.</w:t>
            </w:r>
          </w:p>
        </w:tc>
      </w:tr>
      <w:tr>
        <w:trPr>
          <w:trHeight w:val="45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March 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Brent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brent.johnson@clearone.com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Record Fourth Quarter Revenue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February 27, 2014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2013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revenue of $14.2 million.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increased by 9%.</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increased by 49%.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2013 Highlights</w:t>
      </w:r>
    </w:p>
    <w:p>
      <w:pPr>
        <w:spacing w:after="0" w:line="256"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revenue of $49.6 million.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by 7%</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increased by 44%.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33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5"/>
              </w:rPr>
              <w:t>Fourth Quarter</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Full Year</w:t>
            </w:r>
          </w:p>
        </w:tc>
        <w:tc>
          <w:tcPr>
            <w:tcW w:w="720" w:type="dxa"/>
            <w:vAlign w:val="bottom"/>
            <w:tcBorders>
              <w:bottom w:val="single" w:sz="8" w:color="auto"/>
            </w:tcBorders>
          </w:tcPr>
          <w:p>
            <w:pPr>
              <w:spacing w:after="0"/>
              <w:rPr>
                <w:sz w:val="20"/>
                <w:szCs w:val="20"/>
                <w:color w:val="auto"/>
              </w:rPr>
            </w:pPr>
          </w:p>
        </w:tc>
      </w:tr>
      <w:tr>
        <w:trPr>
          <w:trHeight w:val="237"/>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71"/>
              <w:spacing w:after="0"/>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580" w:type="dxa"/>
            <w:vAlign w:val="bottom"/>
          </w:tcPr>
          <w:p>
            <w:pPr>
              <w:jc w:val="right"/>
              <w:ind w:right="11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Change</w:t>
            </w:r>
          </w:p>
        </w:tc>
      </w:tr>
      <w:tr>
        <w:trPr>
          <w:trHeight w:val="33"/>
        </w:trPr>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14,230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13,036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49,592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46,417</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29,857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27,328</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2,881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26%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6,792</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Non-GAAP Net Income</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44%</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w w:val="98"/>
              </w:rPr>
              <w:t>Non-GAAP Adjusted EBITDA (see Note 1)</w:t>
            </w: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16%</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Non-GAAP Diluted EPS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46%</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40%</w:t>
            </w:r>
          </w:p>
        </w:tc>
      </w:tr>
    </w:tbl>
    <w:p>
      <w:pPr>
        <w:spacing w:after="0" w:line="200" w:lineRule="exact"/>
        <w:rPr>
          <w:sz w:val="20"/>
          <w:szCs w:val="20"/>
          <w:color w:val="auto"/>
        </w:rPr>
      </w:pPr>
    </w:p>
    <w:p>
      <w:pPr>
        <w:spacing w:after="0" w:line="245" w:lineRule="exact"/>
        <w:rPr>
          <w:sz w:val="20"/>
          <w:szCs w:val="20"/>
          <w:color w:val="auto"/>
        </w:rPr>
      </w:pPr>
    </w:p>
    <w:p>
      <w:pPr>
        <w:ind w:right="180"/>
        <w:spacing w:after="0" w:line="424" w:lineRule="auto"/>
        <w:rPr>
          <w:sz w:val="20"/>
          <w:szCs w:val="20"/>
          <w:color w:val="auto"/>
        </w:rPr>
      </w:pPr>
      <w:r>
        <w:rPr>
          <w:rFonts w:ascii="Arial" w:cs="Arial" w:eastAsia="Arial" w:hAnsi="Arial"/>
          <w:sz w:val="17"/>
          <w:szCs w:val="17"/>
          <w:color w:val="auto"/>
        </w:rPr>
        <w:t>ClearOne (NASDAQ: CLRO), a global provider of audio and visual communication solutions, today reported financial results for the fourth quarter and the year ended December 31, 2013. Results reflect continuing growth from a strategically-built portfolio of innovative and profitable products.</w:t>
      </w:r>
    </w:p>
    <w:p>
      <w:pPr>
        <w:spacing w:after="0" w:line="174" w:lineRule="exact"/>
        <w:rPr>
          <w:sz w:val="20"/>
          <w:szCs w:val="20"/>
          <w:color w:val="auto"/>
        </w:rPr>
      </w:pPr>
    </w:p>
    <w:p>
      <w:pPr>
        <w:ind w:right="80"/>
        <w:spacing w:after="0" w:line="392" w:lineRule="auto"/>
        <w:rPr>
          <w:sz w:val="20"/>
          <w:szCs w:val="20"/>
          <w:color w:val="auto"/>
        </w:rPr>
      </w:pPr>
      <w:r>
        <w:rPr>
          <w:rFonts w:ascii="Arial" w:cs="Arial" w:eastAsia="Arial" w:hAnsi="Arial"/>
          <w:sz w:val="17"/>
          <w:szCs w:val="17"/>
          <w:color w:val="auto"/>
        </w:rPr>
        <w:t>For the 2013 fourth quarter, revenue increased by 9% to $14.2 million, compared with $13.0 million for the fourth quarter of 2012. Gross profit for the quarter was $8.5 million, or 60% of revenue, compared with $7.4 million, or 57% of revenue, for the fourth quarter of 2012. Non-GAAP operating income increased by 26% to $2.9 million from $2.3 million for the 2012 fourth quarter. Non-GAAP net income increased 49% to $1.8 million, or $0.19 per diluted share, from $1.2 million, or $0.13 per diluted share, for the fourth quarter of 2012. Non-GAAP adjusted EBITDA for the 2013 fourth quarter increased 9% to $3.1 million, or $0.33 per diluted share, from $2.9 million, or $0.31 per diluted share, a year ago. (see Note 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For the year ended December 31, 2013, revenue increased 7% to $49.6 million from $46.4 million for the year ended December 31, 2012. Gross profit was</w:t>
      </w:r>
    </w:p>
    <w:p>
      <w:pPr>
        <w:spacing w:after="0" w:line="127" w:lineRule="exact"/>
        <w:rPr>
          <w:sz w:val="20"/>
          <w:szCs w:val="20"/>
          <w:color w:val="auto"/>
        </w:rPr>
      </w:pPr>
    </w:p>
    <w:p>
      <w:pPr>
        <w:ind w:right="60"/>
        <w:spacing w:after="0" w:line="366" w:lineRule="auto"/>
        <w:rPr>
          <w:sz w:val="20"/>
          <w:szCs w:val="20"/>
          <w:color w:val="auto"/>
        </w:rPr>
      </w:pPr>
      <w:r>
        <w:rPr>
          <w:rFonts w:ascii="Arial" w:cs="Arial" w:eastAsia="Arial" w:hAnsi="Arial"/>
          <w:sz w:val="18"/>
          <w:szCs w:val="18"/>
          <w:color w:val="auto"/>
        </w:rPr>
        <w:t>$29.9 million, or 60% of revenue, compared with $27.3 million, or 59% of revenue, for the year ended December 31, 2012. Non-GAAP operating income for the year ended December 31, 2013 increased by 24% to $8.4 million from $6.8 million for the year ended December 31, 2012. Non-GAAP net income for year ended December 31, 2013 increased 44% to $5.7 million, or $0.60 per diluted share, from $4.0 million, or $0.43 per diluted share, for the year ended December 31, 2012. Non-GAAP adjusted EBITDA increased 16% to $9.3 million, or $0.99 per diluted share, from $8.0 million, or $0.87 per diluted share, for the year ended December 31, 2012. (see Note 2)</w:t>
      </w:r>
    </w:p>
    <w:p>
      <w:pPr>
        <w:spacing w:after="0" w:line="299" w:lineRule="exact"/>
        <w:rPr>
          <w:sz w:val="20"/>
          <w:szCs w:val="20"/>
          <w:color w:val="auto"/>
        </w:rPr>
      </w:pPr>
    </w:p>
    <w:p>
      <w:pPr>
        <w:spacing w:after="0" w:line="395" w:lineRule="auto"/>
        <w:rPr>
          <w:sz w:val="20"/>
          <w:szCs w:val="20"/>
          <w:color w:val="auto"/>
        </w:rPr>
      </w:pPr>
      <w:r>
        <w:rPr>
          <w:rFonts w:ascii="Arial" w:cs="Arial" w:eastAsia="Arial" w:hAnsi="Arial"/>
          <w:sz w:val="17"/>
          <w:szCs w:val="17"/>
          <w:color w:val="auto"/>
        </w:rPr>
        <w:t>Cash, cash equivalents and investments totaled $42.7 million at December 31, 2013, down from $55.5 million on December 31, 2012. These balances include the final net amount retained from the December 2012, $45 million favorable settlement relating to auction-rate securities, after paying $13.8 million of associated income taxes and $6.75 million in attorneys' fees. The cash balance also includes $364,000, net of legal expenses received during the fourth quarter of 2013 as final settlement from escrow monies earlier deposited on account of our dispute with a former officer of the company.</w:t>
      </w:r>
    </w:p>
    <w:p>
      <w:pPr>
        <w:spacing w:after="0" w:line="280"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ClearOne continued its stock repurchase plan in the fourth quarter, bringing the total repurchase amount to approximately $2.8 million against an allocation of $10 million.</w:t>
      </w:r>
    </w:p>
    <w:p>
      <w:pPr>
        <w:spacing w:after="0" w:line="278" w:lineRule="exact"/>
        <w:rPr>
          <w:sz w:val="20"/>
          <w:szCs w:val="20"/>
          <w:color w:val="auto"/>
        </w:rPr>
      </w:pPr>
    </w:p>
    <w:p>
      <w:pPr>
        <w:jc w:val="both"/>
        <w:ind w:right="340"/>
        <w:spacing w:after="0" w:line="373" w:lineRule="auto"/>
        <w:rPr>
          <w:sz w:val="20"/>
          <w:szCs w:val="20"/>
          <w:color w:val="auto"/>
        </w:rPr>
      </w:pPr>
      <w:r>
        <w:rPr>
          <w:rFonts w:ascii="Arial" w:cs="Arial" w:eastAsia="Arial" w:hAnsi="Arial"/>
          <w:sz w:val="18"/>
          <w:szCs w:val="18"/>
          <w:color w:val="auto"/>
        </w:rPr>
        <w:t>"We are pleased to report record revenue for the last quarter of 2013 and our fourth consecutive year of revenue growth, combined with high margins and consistent profitability," said Zee Hakimoglu, President, Chief Executive Officer and Chairman of ClearOne. "Strong demand, generated by our large and well-developed partner ecosystem in North America and EMEA, drove our revenue growth."</w:t>
      </w:r>
    </w:p>
    <w:p>
      <w:pPr>
        <w:spacing w:after="0" w:line="291" w:lineRule="exact"/>
        <w:rPr>
          <w:sz w:val="20"/>
          <w:szCs w:val="20"/>
          <w:color w:val="auto"/>
        </w:rPr>
      </w:pPr>
    </w:p>
    <w:p>
      <w:pPr>
        <w:ind w:right="40"/>
        <w:spacing w:after="0" w:line="392" w:lineRule="auto"/>
        <w:rPr>
          <w:sz w:val="20"/>
          <w:szCs w:val="20"/>
          <w:color w:val="auto"/>
        </w:rPr>
      </w:pPr>
      <w:r>
        <w:rPr>
          <w:rFonts w:ascii="Arial" w:cs="Arial" w:eastAsia="Arial" w:hAnsi="Arial"/>
          <w:sz w:val="17"/>
          <w:szCs w:val="17"/>
          <w:color w:val="auto"/>
        </w:rPr>
        <w:t>"The recently announced strategic acquisition of Spontania completes our exceptional portfolio of technologies needed for a strong video solutions model. As the market transitions to software and services, ClearOne is the only company to offer an entirely software-based and standards-based video conferencing product line that provides on-premise and cloud-based Software-as-a-Service (SaaS) and Platform-as-a-Service (PaaS) solutions," added Hakimoglu. "We look forward to gaining significant market share and establishing ClearOne as a recognized leader in on-premise and cloud-based visual communication solutions in the rapidly growing desktop and mobile visual communications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spacing w:after="0" w:line="411" w:lineRule="auto"/>
        <w:rPr>
          <w:sz w:val="20"/>
          <w:szCs w:val="20"/>
          <w:color w:val="auto"/>
        </w:rPr>
      </w:pPr>
      <w:r>
        <w:rPr>
          <w:rFonts w:ascii="Arial" w:cs="Arial" w:eastAsia="Arial" w:hAnsi="Arial"/>
          <w:sz w:val="16"/>
          <w:szCs w:val="16"/>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news release.</w:t>
      </w:r>
    </w:p>
    <w:p>
      <w:pPr>
        <w:sectPr>
          <w:pgSz w:w="11900" w:h="16838" w:orient="portrait"/>
          <w:cols w:equalWidth="0" w:num="1">
            <w:col w:w="11420"/>
          </w:cols>
          <w:pgMar w:left="240" w:top="80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ClearOne</w:t>
      </w:r>
    </w:p>
    <w:p>
      <w:pPr>
        <w:spacing w:after="0" w:line="283" w:lineRule="exact"/>
        <w:rPr>
          <w:sz w:val="20"/>
          <w:szCs w:val="20"/>
          <w:color w:val="auto"/>
        </w:rPr>
      </w:pPr>
    </w:p>
    <w:p>
      <w:pPr>
        <w:jc w:val="both"/>
        <w:ind w:right="50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34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6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color w:val="auto"/>
        </w:rPr>
        <w:t>: The 2013 fourth quarter Non-GAAP Adjusted EBITDA and the corresponding change percentage were listed as $3,157 and 11%, respectively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press release in error. The table in this document corrects the error.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w:t>
      </w:r>
      <w:r>
        <w:rPr>
          <w:rFonts w:ascii="Arial" w:cs="Arial" w:eastAsia="Arial" w:hAnsi="Arial"/>
          <w:sz w:val="18"/>
          <w:szCs w:val="18"/>
          <w:color w:val="auto"/>
        </w:rPr>
        <w:t>: The 2013 Non-GAAP adjusted EBITDA increase was reported as 17% in the press release in error. This document corrects the error.</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380"/>
          </w:cols>
          <w:pgMar w:left="240" w:top="796" w:right="27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of December 31,</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of December 31,</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640" w:type="dxa"/>
            <w:vAlign w:val="bottom"/>
            <w:vMerge w:val="restart"/>
          </w:tcPr>
          <w:p>
            <w:pPr>
              <w:ind w:left="34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17,192</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55,509</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$129 and $60, respectively</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9,378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8,388</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9,584</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48,066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79,287</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22,326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Intangibles, net</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vMerge w:val="continue"/>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81,061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91,939</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2,730</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14,782</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25,271</w:t>
            </w:r>
          </w:p>
        </w:tc>
        <w:tc>
          <w:tcPr>
            <w:tcW w:w="0" w:type="dxa"/>
            <w:vAlign w:val="bottom"/>
          </w:tcPr>
          <w:p>
            <w:pPr>
              <w:spacing w:after="0"/>
              <w:rPr>
                <w:sz w:val="1"/>
                <w:szCs w:val="1"/>
                <w:color w:val="auto"/>
              </w:rPr>
            </w:pPr>
          </w:p>
        </w:tc>
      </w:tr>
      <w:tr>
        <w:trPr>
          <w:trHeight w:val="27"/>
        </w:trPr>
        <w:tc>
          <w:tcPr>
            <w:tcW w:w="764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8"/>
                <w:szCs w:val="18"/>
                <w:color w:val="auto"/>
                <w:w w:val="90"/>
              </w:rPr>
              <w:t>Common stock, par value $0.001, 50,000,000 shares authorized, 8,986,080 and 9,163,462 shares issued</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and outstanding</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41,311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40,430</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28,992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26,229</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66,668</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vMerge w:val="continue"/>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81,061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91,939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80"/>
          </w:cols>
          <w:pgMar w:left="580" w:top="580" w:right="5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12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8"/>
                <w:szCs w:val="18"/>
                <w:color w:val="auto"/>
              </w:rPr>
            </w:pPr>
          </w:p>
        </w:tc>
        <w:tc>
          <w:tcPr>
            <w:tcW w:w="24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14,230</w:t>
            </w:r>
          </w:p>
        </w:tc>
        <w:tc>
          <w:tcPr>
            <w:tcW w:w="12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49,592</w:t>
            </w:r>
          </w:p>
        </w:tc>
        <w:tc>
          <w:tcPr>
            <w:tcW w:w="10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46,417</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19,735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19,089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29,857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27,328</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Proceeds from litigation, net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22,235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(15,193)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39,119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42,521</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39,112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42,555</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24,514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1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540"/>
        </w:trPr>
        <w:tc>
          <w:tcPr>
            <w:tcW w:w="51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8,985,518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9,109,552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9,064,340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9,107,234</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9,340,741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9,192,714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9,455,518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9,214,685</w:t>
            </w:r>
          </w:p>
        </w:tc>
        <w:tc>
          <w:tcPr>
            <w:tcW w:w="0" w:type="dxa"/>
            <w:vAlign w:val="bottom"/>
          </w:tcPr>
          <w:p>
            <w:pPr>
              <w:spacing w:after="0"/>
              <w:rPr>
                <w:sz w:val="1"/>
                <w:szCs w:val="1"/>
                <w:color w:val="auto"/>
              </w:rPr>
            </w:pPr>
          </w:p>
        </w:tc>
      </w:tr>
      <w:tr>
        <w:trPr>
          <w:trHeight w:val="567"/>
        </w:trPr>
        <w:tc>
          <w:tcPr>
            <w:tcW w:w="512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24,514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Unrealized gain on available-for-sale securities, net of tax</w:t>
            </w:r>
          </w:p>
        </w:tc>
        <w:tc>
          <w:tcPr>
            <w:tcW w:w="2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24,514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26,647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80"/>
          </w:cols>
          <w:pgMar w:left="580" w:top="580" w:right="5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ind w:left="180"/>
              <w:spacing w:after="0"/>
              <w:rPr>
                <w:sz w:val="20"/>
                <w:szCs w:val="20"/>
                <w:color w:val="auto"/>
              </w:rPr>
            </w:pPr>
            <w:r>
              <w:rPr>
                <w:rFonts w:ascii="Arial" w:cs="Arial" w:eastAsia="Arial" w:hAnsi="Arial"/>
                <w:sz w:val="16"/>
                <w:szCs w:val="16"/>
                <w:b w:val="1"/>
                <w:bCs w:val="1"/>
                <w:color w:val="auto"/>
              </w:rPr>
              <w:t>Quarter ended December 31,</w:t>
            </w:r>
          </w:p>
        </w:tc>
        <w:tc>
          <w:tcPr>
            <w:tcW w:w="360" w:type="dxa"/>
            <w:vAlign w:val="bottom"/>
          </w:tcPr>
          <w:p>
            <w:pPr>
              <w:spacing w:after="0"/>
              <w:rPr>
                <w:sz w:val="18"/>
                <w:szCs w:val="18"/>
                <w:color w:val="auto"/>
              </w:rPr>
            </w:pPr>
          </w:p>
        </w:tc>
        <w:tc>
          <w:tcPr>
            <w:tcW w:w="26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14,230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13,036</w:t>
            </w:r>
          </w:p>
        </w:tc>
        <w:tc>
          <w:tcPr>
            <w:tcW w:w="100" w:type="dxa"/>
            <w:vAlign w:val="bottom"/>
          </w:tcPr>
          <w:p>
            <w:pPr>
              <w:spacing w:after="0"/>
              <w:rPr>
                <w:sz w:val="18"/>
                <w:szCs w:val="18"/>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49,592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46,417</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19,726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19,083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27,334</w:t>
            </w: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8,224</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20,542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12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8,551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6,826</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12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594"/>
        </w:trPr>
        <w:tc>
          <w:tcPr>
            <w:tcW w:w="41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8,985,518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9,109,552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9,064,340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9,107,234</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9,340,741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9,192,714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9,455,518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9,214,685</w:t>
            </w:r>
          </w:p>
        </w:tc>
        <w:tc>
          <w:tcPr>
            <w:tcW w:w="0" w:type="dxa"/>
            <w:vAlign w:val="bottom"/>
          </w:tcPr>
          <w:p>
            <w:pPr>
              <w:spacing w:after="0"/>
              <w:rPr>
                <w:sz w:val="1"/>
                <w:szCs w:val="1"/>
                <w:color w:val="auto"/>
              </w:rPr>
            </w:pPr>
          </w:p>
        </w:tc>
      </w:tr>
      <w:tr>
        <w:trPr>
          <w:trHeight w:val="594"/>
        </w:trPr>
        <w:tc>
          <w:tcPr>
            <w:tcW w:w="412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26,647</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53"/>
        </w:trPr>
        <w:tc>
          <w:tcPr>
            <w:tcW w:w="4120" w:type="dxa"/>
            <w:vAlign w:val="bottom"/>
          </w:tcPr>
          <w:p>
            <w:pPr>
              <w:spacing w:after="0"/>
              <w:rPr>
                <w:sz w:val="20"/>
                <w:szCs w:val="20"/>
                <w:color w:val="auto"/>
              </w:rPr>
            </w:pPr>
            <w:r>
              <w:rPr>
                <w:rFonts w:ascii="Arial" w:cs="Arial" w:eastAsia="Arial" w:hAnsi="Arial"/>
                <w:sz w:val="16"/>
                <w:szCs w:val="16"/>
                <w:color w:val="auto"/>
              </w:rPr>
              <w:t>Legal expenses for litigation relating to indemnification of</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former officers, theft of our intellectual property claims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and our claim for damages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(37,878)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(36,829)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(35,729)</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(13,059)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(22,670)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00"/>
          </w:cols>
          <w:pgMar w:left="920" w:top="580" w:right="8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RECONCILIATION OF GAAP TO NON-GAAP ADJUSTED EBITDA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18"/>
                <w:szCs w:val="18"/>
                <w:color w:val="auto"/>
              </w:rPr>
            </w:pPr>
          </w:p>
        </w:tc>
        <w:tc>
          <w:tcPr>
            <w:tcW w:w="26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0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26,647</w:t>
            </w:r>
          </w:p>
        </w:tc>
      </w:tr>
      <w:tr>
        <w:trPr>
          <w:trHeight w:val="263"/>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8"/>
        </w:trPr>
        <w:tc>
          <w:tcPr>
            <w:tcW w:w="51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15,908</w:t>
            </w:r>
          </w:p>
        </w:tc>
      </w:tr>
      <w:tr>
        <w:trPr>
          <w:trHeight w:val="270"/>
        </w:trPr>
        <w:tc>
          <w:tcPr>
            <w:tcW w:w="51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1,864</w:t>
            </w:r>
          </w:p>
        </w:tc>
      </w:tr>
      <w:tr>
        <w:trPr>
          <w:trHeight w:val="33"/>
        </w:trPr>
        <w:tc>
          <w:tcPr>
            <w:tcW w:w="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39,986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44,419</w:t>
            </w:r>
          </w:p>
        </w:tc>
      </w:tr>
      <w:tr>
        <w:trPr>
          <w:trHeight w:val="249"/>
        </w:trPr>
        <w:tc>
          <w:tcPr>
            <w:tcW w:w="5100" w:type="dxa"/>
            <w:vAlign w:val="bottom"/>
            <w:gridSpan w:val="2"/>
          </w:tcPr>
          <w:p>
            <w:pPr>
              <w:spacing w:after="0"/>
              <w:rPr>
                <w:sz w:val="20"/>
                <w:szCs w:val="20"/>
                <w:color w:val="auto"/>
              </w:rPr>
            </w:pPr>
            <w:r>
              <w:rPr>
                <w:rFonts w:ascii="Arial" w:cs="Arial" w:eastAsia="Arial" w:hAnsi="Arial"/>
                <w:sz w:val="16"/>
                <w:szCs w:val="16"/>
                <w:color w:val="auto"/>
                <w:w w:val="95"/>
              </w:rPr>
              <w:t>Proceeds from litigation, net of legal expenses and special bonus to officers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(37,878)</w:t>
            </w:r>
          </w:p>
        </w:tc>
      </w:tr>
      <w:tr>
        <w:trPr>
          <w:trHeight w:val="270"/>
        </w:trPr>
        <w:tc>
          <w:tcPr>
            <w:tcW w:w="510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253"/>
        </w:trPr>
        <w:tc>
          <w:tcPr>
            <w:tcW w:w="5100" w:type="dxa"/>
            <w:vAlign w:val="bottom"/>
            <w:gridSpan w:val="2"/>
          </w:tcPr>
          <w:p>
            <w:pPr>
              <w:spacing w:after="0"/>
              <w:rPr>
                <w:sz w:val="20"/>
                <w:szCs w:val="20"/>
                <w:color w:val="auto"/>
              </w:rPr>
            </w:pPr>
            <w:r>
              <w:rPr>
                <w:rFonts w:ascii="Arial" w:cs="Arial" w:eastAsia="Arial" w:hAnsi="Arial"/>
                <w:sz w:val="16"/>
                <w:szCs w:val="16"/>
                <w:color w:val="auto"/>
                <w:w w:val="98"/>
              </w:rPr>
              <w:t>Legal expenses for litigation relating to indemnification of former officers,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6"/>
        </w:trPr>
        <w:tc>
          <w:tcPr>
            <w:tcW w:w="5100" w:type="dxa"/>
            <w:vAlign w:val="bottom"/>
            <w:gridSpan w:val="2"/>
          </w:tcPr>
          <w:p>
            <w:pPr>
              <w:spacing w:after="0"/>
              <w:rPr>
                <w:sz w:val="20"/>
                <w:szCs w:val="20"/>
                <w:color w:val="auto"/>
              </w:rPr>
            </w:pPr>
            <w:r>
              <w:rPr>
                <w:rFonts w:ascii="Arial" w:cs="Arial" w:eastAsia="Arial" w:hAnsi="Arial"/>
                <w:sz w:val="16"/>
                <w:szCs w:val="16"/>
                <w:color w:val="auto"/>
              </w:rPr>
              <w:t>theft of our intellectual property claims and our claim for damages</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902</w:t>
            </w:r>
          </w:p>
        </w:tc>
      </w:tr>
      <w:tr>
        <w:trPr>
          <w:trHeight w:val="270"/>
        </w:trPr>
        <w:tc>
          <w:tcPr>
            <w:tcW w:w="510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327</w:t>
            </w:r>
          </w:p>
        </w:tc>
      </w:tr>
      <w:tr>
        <w:trPr>
          <w:trHeight w:val="33"/>
        </w:trPr>
        <w:tc>
          <w:tcPr>
            <w:tcW w:w="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8,011</w:t>
            </w:r>
          </w:p>
        </w:tc>
      </w:tr>
      <w:tr>
        <w:trPr>
          <w:trHeight w:val="20"/>
        </w:trPr>
        <w:tc>
          <w:tcPr>
            <w:tcW w:w="8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2"/>
        </w:trPr>
        <w:tc>
          <w:tcPr>
            <w:tcW w:w="510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8,985,518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9,109,552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9,064,340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9,107,234</w:t>
            </w:r>
          </w:p>
        </w:tc>
      </w:tr>
      <w:tr>
        <w:trPr>
          <w:trHeight w:val="270"/>
        </w:trPr>
        <w:tc>
          <w:tcPr>
            <w:tcW w:w="510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9,340,741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9,192,714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9,455,518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9,214,685</w:t>
            </w:r>
          </w:p>
        </w:tc>
      </w:tr>
      <w:tr>
        <w:trPr>
          <w:trHeight w:val="594"/>
        </w:trPr>
        <w:tc>
          <w:tcPr>
            <w:tcW w:w="510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0.88</w:t>
            </w:r>
          </w:p>
        </w:tc>
      </w:tr>
      <w:tr>
        <w:trPr>
          <w:trHeight w:val="270"/>
        </w:trPr>
        <w:tc>
          <w:tcPr>
            <w:tcW w:w="510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 (see Note 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0.87</w:t>
            </w:r>
          </w:p>
        </w:tc>
      </w:tr>
    </w:tbl>
    <w:p>
      <w:pPr>
        <w:spacing w:after="0" w:line="23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b w:val="1"/>
          <w:bCs w:val="1"/>
          <w:u w:val="single" w:color="auto"/>
          <w:color w:val="auto"/>
        </w:rPr>
        <w:t>Note 3:</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Non-GAAP Adjusted EBITDA per common share for the quarter ending December 31, 2013 was listed in the press release as $0.34 in error. The amount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table above corrects the error.</w:t>
      </w:r>
    </w:p>
    <w:sectPr>
      <w:pgSz w:w="11900" w:h="16838" w:orient="portrait"/>
      <w:cols w:equalWidth="0" w:num="1">
        <w:col w:w="11360"/>
      </w:cols>
      <w:pgMar w:left="240" w:top="5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2019-12-06T02:53:27Z</dcterms:created>
  <dcterms:modified xsi:type="dcterms:W3CDTF">2019-12-06T02:53:27Z</dcterms:modified>
</cp:coreProperties>
</file>