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3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16510"/>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187325</wp:posOffset>
            </wp:positionV>
            <wp:extent cx="72523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10-K/A</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(Amendment No. 1)</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 w:lineRule="exact"/>
        <w:rPr>
          <w:sz w:val="24"/>
          <w:szCs w:val="24"/>
          <w:color w:val="auto"/>
        </w:rPr>
      </w:pPr>
    </w:p>
    <w:p>
      <w:pPr>
        <w:ind w:left="480" w:right="3300" w:hanging="477"/>
        <w:spacing w:after="0" w:line="253" w:lineRule="auto"/>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2011</w:t>
      </w:r>
    </w:p>
    <w:p>
      <w:pPr>
        <w:spacing w:after="0" w:line="86" w:lineRule="exact"/>
        <w:rPr>
          <w:sz w:val="24"/>
          <w:szCs w:val="24"/>
          <w:color w:val="auto"/>
        </w:rPr>
      </w:pPr>
    </w:p>
    <w:p>
      <w:pPr>
        <w:ind w:left="480" w:right="2980" w:hanging="477"/>
        <w:spacing w:after="0" w:line="276" w:lineRule="auto"/>
        <w:tabs>
          <w:tab w:leader="none" w:pos="92"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 to ___________</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001-33660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CLEARONE COMMUNICATIONS, INC.</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11" w:lineRule="exact"/>
        <w:rPr>
          <w:sz w:val="24"/>
          <w:szCs w:val="24"/>
          <w:color w:val="auto"/>
        </w:rPr>
      </w:pPr>
    </w:p>
    <w:tbl>
      <w:tblPr>
        <w:tblLayout w:type="fixed"/>
        <w:tblInd w:w="980" w:type="dxa"/>
        <w:tblCellMar>
          <w:top w:w="0" w:type="dxa"/>
          <w:left w:w="0" w:type="dxa"/>
          <w:bottom w:w="0" w:type="dxa"/>
          <w:right w:w="0" w:type="dxa"/>
        </w:tblCellMar>
      </w:tblPr>
      <w:tr>
        <w:trPr>
          <w:trHeight w:val="204"/>
        </w:trPr>
        <w:tc>
          <w:tcPr>
            <w:tcW w:w="582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89"/>
              </w:rPr>
              <w:t>Utah</w:t>
            </w:r>
          </w:p>
        </w:tc>
        <w:tc>
          <w:tcPr>
            <w:tcW w:w="3640" w:type="dxa"/>
            <w:vAlign w:val="bottom"/>
          </w:tcPr>
          <w:p>
            <w:pPr>
              <w:jc w:val="right"/>
              <w:ind w:right="1362"/>
              <w:spacing w:after="0"/>
              <w:rPr>
                <w:sz w:val="20"/>
                <w:szCs w:val="20"/>
                <w:color w:val="auto"/>
              </w:rPr>
            </w:pPr>
            <w:r>
              <w:rPr>
                <w:rFonts w:ascii="Arial" w:cs="Arial" w:eastAsia="Arial" w:hAnsi="Arial"/>
                <w:sz w:val="16"/>
                <w:szCs w:val="16"/>
                <w:b w:val="1"/>
                <w:bCs w:val="1"/>
                <w:color w:val="auto"/>
              </w:rPr>
              <w:t>87-0398877</w:t>
            </w:r>
          </w:p>
        </w:tc>
      </w:tr>
      <w:tr>
        <w:trPr>
          <w:trHeight w:val="191"/>
        </w:trPr>
        <w:tc>
          <w:tcPr>
            <w:tcW w:w="48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(State or other jurisdiction of incorporation or organization)</w:t>
            </w:r>
          </w:p>
        </w:tc>
        <w:tc>
          <w:tcPr>
            <w:tcW w:w="960" w:type="dxa"/>
            <w:vAlign w:val="bottom"/>
          </w:tcPr>
          <w:p>
            <w:pPr>
              <w:spacing w:after="0"/>
              <w:rPr>
                <w:sz w:val="16"/>
                <w:szCs w:val="16"/>
                <w:color w:val="auto"/>
              </w:rPr>
            </w:pPr>
          </w:p>
        </w:tc>
        <w:tc>
          <w:tcPr>
            <w:tcW w:w="3640" w:type="dxa"/>
            <w:vAlign w:val="bottom"/>
            <w:tcBorders>
              <w:top w:val="single" w:sz="8" w:color="auto"/>
            </w:tcBorders>
          </w:tcPr>
          <w:p>
            <w:pPr>
              <w:jc w:val="right"/>
              <w:ind w:right="1002"/>
              <w:spacing w:after="0"/>
              <w:rPr>
                <w:sz w:val="20"/>
                <w:szCs w:val="20"/>
                <w:color w:val="auto"/>
              </w:rPr>
            </w:pPr>
            <w:r>
              <w:rPr>
                <w:rFonts w:ascii="Arial" w:cs="Arial" w:eastAsia="Arial" w:hAnsi="Arial"/>
                <w:sz w:val="16"/>
                <w:szCs w:val="16"/>
                <w:color w:val="auto"/>
                <w:w w:val="93"/>
              </w:rPr>
              <w:t>(I.R.S. employer identification number)</w:t>
            </w:r>
          </w:p>
        </w:tc>
      </w:tr>
      <w:tr>
        <w:trPr>
          <w:trHeight w:val="405"/>
        </w:trPr>
        <w:tc>
          <w:tcPr>
            <w:tcW w:w="582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88"/>
              </w:rPr>
              <w:t>5225 Wiley Post Way, Suite 500, Salt Lake City, Utah</w:t>
            </w:r>
          </w:p>
        </w:tc>
        <w:tc>
          <w:tcPr>
            <w:tcW w:w="3640" w:type="dxa"/>
            <w:vAlign w:val="bottom"/>
          </w:tcPr>
          <w:p>
            <w:pPr>
              <w:jc w:val="right"/>
              <w:ind w:right="1542"/>
              <w:spacing w:after="0"/>
              <w:rPr>
                <w:sz w:val="20"/>
                <w:szCs w:val="20"/>
                <w:color w:val="auto"/>
              </w:rPr>
            </w:pPr>
            <w:r>
              <w:rPr>
                <w:rFonts w:ascii="Arial" w:cs="Arial" w:eastAsia="Arial" w:hAnsi="Arial"/>
                <w:sz w:val="16"/>
                <w:szCs w:val="16"/>
                <w:b w:val="1"/>
                <w:bCs w:val="1"/>
                <w:color w:val="auto"/>
              </w:rPr>
              <w:t>84116</w:t>
            </w:r>
          </w:p>
        </w:tc>
      </w:tr>
      <w:tr>
        <w:trPr>
          <w:trHeight w:val="196"/>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(Address of principal executive offices)</w:t>
            </w:r>
          </w:p>
        </w:tc>
        <w:tc>
          <w:tcPr>
            <w:tcW w:w="960" w:type="dxa"/>
            <w:vAlign w:val="bottom"/>
          </w:tcPr>
          <w:p>
            <w:pPr>
              <w:spacing w:after="0"/>
              <w:rPr>
                <w:sz w:val="17"/>
                <w:szCs w:val="17"/>
                <w:color w:val="auto"/>
              </w:rPr>
            </w:pPr>
          </w:p>
        </w:tc>
        <w:tc>
          <w:tcPr>
            <w:tcW w:w="3640" w:type="dxa"/>
            <w:vAlign w:val="bottom"/>
            <w:tcBorders>
              <w:top w:val="single" w:sz="8" w:color="auto"/>
            </w:tcBorders>
          </w:tcPr>
          <w:p>
            <w:pPr>
              <w:jc w:val="right"/>
              <w:ind w:right="1402"/>
              <w:spacing w:after="0"/>
              <w:rPr>
                <w:sz w:val="20"/>
                <w:szCs w:val="20"/>
                <w:color w:val="auto"/>
              </w:rPr>
            </w:pPr>
            <w:r>
              <w:rPr>
                <w:rFonts w:ascii="Arial" w:cs="Arial" w:eastAsia="Arial" w:hAnsi="Arial"/>
                <w:sz w:val="16"/>
                <w:szCs w:val="16"/>
                <w:color w:val="auto"/>
              </w:rPr>
              <w:t>(Zip Code)</w:t>
            </w:r>
          </w:p>
        </w:tc>
      </w:tr>
      <w:tr>
        <w:trPr>
          <w:trHeight w:val="393"/>
        </w:trPr>
        <w:tc>
          <w:tcPr>
            <w:tcW w:w="5820" w:type="dxa"/>
            <w:vAlign w:val="bottom"/>
            <w:gridSpan w:val="2"/>
          </w:tcPr>
          <w:p>
            <w:pPr>
              <w:ind w:left="2040"/>
              <w:spacing w:after="0"/>
              <w:rPr>
                <w:sz w:val="20"/>
                <w:szCs w:val="20"/>
                <w:color w:val="auto"/>
              </w:rPr>
            </w:pPr>
            <w:r>
              <w:rPr>
                <w:rFonts w:ascii="Arial" w:cs="Arial" w:eastAsia="Arial" w:hAnsi="Arial"/>
                <w:sz w:val="16"/>
                <w:szCs w:val="16"/>
                <w:color w:val="auto"/>
                <w:w w:val="99"/>
              </w:rPr>
              <w:t>(Registrant’s telephone number, including area code)</w:t>
            </w:r>
          </w:p>
        </w:tc>
        <w:tc>
          <w:tcPr>
            <w:tcW w:w="3640" w:type="dxa"/>
            <w:vAlign w:val="bottom"/>
          </w:tcPr>
          <w:p>
            <w:pPr>
              <w:jc w:val="right"/>
              <w:ind w:right="2502"/>
              <w:spacing w:after="0"/>
              <w:rPr>
                <w:sz w:val="20"/>
                <w:szCs w:val="20"/>
                <w:color w:val="auto"/>
              </w:rPr>
            </w:pPr>
            <w:r>
              <w:rPr>
                <w:rFonts w:ascii="Arial" w:cs="Arial" w:eastAsia="Arial" w:hAnsi="Arial"/>
                <w:sz w:val="16"/>
                <w:szCs w:val="16"/>
                <w:b w:val="1"/>
                <w:bCs w:val="1"/>
                <w:color w:val="auto"/>
              </w:rPr>
              <w:t>801-975-7200</w:t>
            </w:r>
          </w:p>
        </w:tc>
      </w:tr>
    </w:tbl>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7" w:lineRule="exact"/>
        <w:rPr>
          <w:sz w:val="24"/>
          <w:szCs w:val="24"/>
          <w:color w:val="auto"/>
        </w:rPr>
      </w:pPr>
    </w:p>
    <w:tbl>
      <w:tblPr>
        <w:tblLayout w:type="fixed"/>
        <w:tblInd w:w="238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380" w:type="dxa"/>
            <w:vAlign w:val="bottom"/>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on each exchange on which registered</w:t>
            </w:r>
          </w:p>
        </w:tc>
      </w:tr>
      <w:tr>
        <w:trPr>
          <w:trHeight w:val="246"/>
        </w:trPr>
        <w:tc>
          <w:tcPr>
            <w:tcW w:w="4940" w:type="dxa"/>
            <w:vAlign w:val="bottom"/>
            <w:gridSpan w:val="3"/>
          </w:tcPr>
          <w:p>
            <w:pPr>
              <w:jc w:val="center"/>
              <w:ind w:right="2860"/>
              <w:spacing w:after="0"/>
              <w:rPr>
                <w:sz w:val="20"/>
                <w:szCs w:val="20"/>
                <w:color w:val="auto"/>
              </w:rPr>
            </w:pPr>
            <w:r>
              <w:rPr>
                <w:rFonts w:ascii="Arial" w:cs="Arial" w:eastAsia="Arial" w:hAnsi="Arial"/>
                <w:sz w:val="16"/>
                <w:szCs w:val="16"/>
                <w:color w:val="auto"/>
                <w:w w:val="87"/>
              </w:rPr>
              <w:t>Common Stock, $0.001 par value</w:t>
            </w:r>
          </w:p>
        </w:tc>
        <w:tc>
          <w:tcPr>
            <w:tcW w:w="2600" w:type="dxa"/>
            <w:vAlign w:val="bottom"/>
          </w:tcPr>
          <w:p>
            <w:pPr>
              <w:jc w:val="center"/>
              <w:spacing w:after="0"/>
              <w:rPr>
                <w:sz w:val="20"/>
                <w:szCs w:val="20"/>
                <w:color w:val="auto"/>
              </w:rPr>
            </w:pPr>
            <w:r>
              <w:rPr>
                <w:rFonts w:ascii="Arial" w:cs="Arial" w:eastAsia="Arial" w:hAnsi="Arial"/>
                <w:sz w:val="16"/>
                <w:szCs w:val="16"/>
                <w:color w:val="auto"/>
                <w:w w:val="91"/>
              </w:rPr>
              <w:t>The NASDAQ Capital Market</w:t>
            </w:r>
          </w:p>
        </w:tc>
      </w:tr>
      <w:tr>
        <w:trPr>
          <w:trHeight w:val="246"/>
        </w:trPr>
        <w:tc>
          <w:tcPr>
            <w:tcW w:w="4940" w:type="dxa"/>
            <w:vAlign w:val="bottom"/>
            <w:gridSpan w:val="3"/>
          </w:tcPr>
          <w:p>
            <w:pPr>
              <w:ind w:left="380"/>
              <w:spacing w:after="0"/>
              <w:rPr>
                <w:sz w:val="20"/>
                <w:szCs w:val="20"/>
                <w:color w:val="auto"/>
              </w:rPr>
            </w:pPr>
            <w:r>
              <w:rPr>
                <w:rFonts w:ascii="Arial" w:cs="Arial" w:eastAsia="Arial" w:hAnsi="Arial"/>
                <w:sz w:val="16"/>
                <w:szCs w:val="16"/>
                <w:color w:val="auto"/>
              </w:rPr>
              <w:t>Securities registered pursuant to Section 12(g) of the Act</w:t>
            </w:r>
          </w:p>
        </w:tc>
        <w:tc>
          <w:tcPr>
            <w:tcW w:w="2600" w:type="dxa"/>
            <w:vAlign w:val="bottom"/>
          </w:tcPr>
          <w:p>
            <w:pPr>
              <w:ind w:left="460"/>
              <w:spacing w:after="0"/>
              <w:rPr>
                <w:sz w:val="20"/>
                <w:szCs w:val="20"/>
                <w:color w:val="auto"/>
              </w:rPr>
            </w:pPr>
            <w:r>
              <w:rPr>
                <w:rFonts w:ascii="Arial" w:cs="Arial" w:eastAsia="Arial" w:hAnsi="Arial"/>
                <w:sz w:val="16"/>
                <w:szCs w:val="16"/>
                <w:b w:val="1"/>
                <w:bCs w:val="1"/>
                <w:color w:val="auto"/>
              </w:rPr>
              <w:t>None</w:t>
            </w:r>
          </w:p>
        </w:tc>
      </w:tr>
    </w:tbl>
    <w:p>
      <w:pPr>
        <w:ind w:right="3220"/>
        <w:spacing w:after="0" w:line="2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xNo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Yes xNo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4404360</wp:posOffset>
            </wp:positionH>
            <wp:positionV relativeFrom="paragraph">
              <wp:posOffset>-327025</wp:posOffset>
            </wp:positionV>
            <wp:extent cx="1306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64" w:lineRule="exact"/>
        <w:rPr>
          <w:sz w:val="24"/>
          <w:szCs w:val="24"/>
          <w:color w:val="auto"/>
        </w:rPr>
      </w:pPr>
    </w:p>
    <w:p>
      <w:pPr>
        <w:ind w:right="40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84"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85" w:lineRule="exact"/>
        <w:rPr>
          <w:sz w:val="24"/>
          <w:szCs w:val="24"/>
          <w:color w:val="auto"/>
        </w:rPr>
      </w:pPr>
    </w:p>
    <w:p>
      <w:pPr>
        <w:ind w:right="160"/>
        <w:spacing w:after="0" w:line="34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34" w:lineRule="exact"/>
        <w:rPr>
          <w:sz w:val="24"/>
          <w:szCs w:val="24"/>
          <w:color w:val="auto"/>
        </w:rPr>
      </w:pPr>
    </w:p>
    <w:p>
      <w:pPr>
        <w:ind w:right="30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49" w:lineRule="exact"/>
        <w:rPr>
          <w:sz w:val="24"/>
          <w:szCs w:val="24"/>
          <w:color w:val="auto"/>
        </w:rPr>
      </w:pPr>
    </w:p>
    <w:p>
      <w:pPr>
        <w:ind w:left="100"/>
        <w:spacing w:after="0" w:line="184" w:lineRule="exact"/>
        <w:tabs>
          <w:tab w:leader="none" w:pos="2620" w:val="left"/>
          <w:tab w:leader="none" w:pos="5140" w:val="left"/>
          <w:tab w:leader="none" w:pos="7560" w:val="left"/>
        </w:tabs>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 x</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(Do not check if a smaller reporting company)</w:t>
      </w:r>
    </w:p>
    <w:p>
      <w:pPr>
        <w:spacing w:after="0" w:line="1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Yes xNo</w:t>
      </w:r>
    </w:p>
    <w:p>
      <w:pPr>
        <w:spacing w:after="0" w:line="92"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$34.6 million at June 30, 2011 (the Company's most recently completed second fiscal quarter), based on the $6.56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March 28, 2012 was 9,098,152.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2523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523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EXPLANATORY NOTE</w:t>
      </w:r>
    </w:p>
    <w:p>
      <w:pPr>
        <w:spacing w:after="0" w:line="121" w:lineRule="exact"/>
        <w:rPr>
          <w:sz w:val="24"/>
          <w:szCs w:val="24"/>
          <w:color w:val="auto"/>
        </w:rPr>
      </w:pPr>
    </w:p>
    <w:p>
      <w:pPr>
        <w:jc w:val="both"/>
        <w:ind w:right="20"/>
        <w:spacing w:after="0" w:line="268" w:lineRule="auto"/>
        <w:rPr>
          <w:sz w:val="20"/>
          <w:szCs w:val="20"/>
          <w:color w:val="auto"/>
        </w:rPr>
      </w:pPr>
      <w:r>
        <w:rPr>
          <w:rFonts w:ascii="Arial" w:cs="Arial" w:eastAsia="Arial" w:hAnsi="Arial"/>
          <w:sz w:val="17"/>
          <w:szCs w:val="17"/>
          <w:color w:val="auto"/>
        </w:rPr>
        <w:t>ClearOne Communications, Inc., (the “Company) is filing this Amendment No. 1 on Form 10-K/A (“Amendment No. 1”) to amend our Annual Report on Form 10-K for the year ended December 31, 2011, as filed with the Securities and Exchange Commission (“SEC”) on April 2, 2012 (the “Original Filing”). This Amendment No. 1 is filed to rectify the XBRL filings attached as Exhibits 101.INS, 101. SCH, 101.CAL, 101.DEF, 101.LAB and 101.PRE.</w:t>
      </w:r>
    </w:p>
    <w:p>
      <w:pPr>
        <w:spacing w:after="0" w:line="173" w:lineRule="exact"/>
        <w:rPr>
          <w:sz w:val="24"/>
          <w:szCs w:val="24"/>
          <w:color w:val="auto"/>
        </w:rPr>
      </w:pPr>
    </w:p>
    <w:p>
      <w:pPr>
        <w:ind w:right="80"/>
        <w:spacing w:after="0" w:line="283" w:lineRule="auto"/>
        <w:rPr>
          <w:sz w:val="20"/>
          <w:szCs w:val="20"/>
          <w:color w:val="auto"/>
        </w:rPr>
      </w:pPr>
      <w:r>
        <w:rPr>
          <w:rFonts w:ascii="Arial" w:cs="Arial" w:eastAsia="Arial" w:hAnsi="Arial"/>
          <w:sz w:val="17"/>
          <w:szCs w:val="17"/>
          <w:color w:val="auto"/>
        </w:rPr>
        <w:t>Except with respect to the foregoing, we have not modified or updated any of our prior disclosure made in our Original Filing. Accordingly, this Amendment No. 1 should be read in conjunction with our filings made with the SEC subsequent to our Original Filing.</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19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99" w:lineRule="exact"/>
        <w:rPr>
          <w:sz w:val="24"/>
          <w:szCs w:val="24"/>
          <w:color w:val="auto"/>
        </w:rPr>
      </w:pPr>
    </w:p>
    <w:p>
      <w:pPr>
        <w:ind w:left="320" w:right="100" w:hanging="317"/>
        <w:spacing w:after="0" w:line="283" w:lineRule="auto"/>
        <w:tabs>
          <w:tab w:leader="none" w:pos="35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Statements: Financial statements set forth under Part II, Item 8 of the Annual Report on Form 10-K are filed in a separate section of this Form 10-K. See "Index to Consolidated Financial Statements" on page F-1 of the Original Filing.</w:t>
      </w:r>
    </w:p>
    <w:p>
      <w:pPr>
        <w:spacing w:after="0" w:line="56" w:lineRule="exact"/>
        <w:rPr>
          <w:rFonts w:ascii="Arial" w:cs="Arial" w:eastAsia="Arial" w:hAnsi="Arial"/>
          <w:sz w:val="17"/>
          <w:szCs w:val="17"/>
          <w:color w:val="auto"/>
        </w:rPr>
      </w:pPr>
    </w:p>
    <w:p>
      <w:pPr>
        <w:ind w:left="320" w:right="40" w:hanging="317"/>
        <w:spacing w:after="0" w:line="267" w:lineRule="auto"/>
        <w:tabs>
          <w:tab w:leader="none" w:pos="35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Statement Schedules: All schedules are omitted since they either are not required, not applicable or the information is presented in the accompanying consolidated financial statements and notes thereto.</w:t>
      </w:r>
    </w:p>
    <w:p>
      <w:pPr>
        <w:spacing w:after="0" w:line="56" w:lineRule="exact"/>
        <w:rPr>
          <w:rFonts w:ascii="Arial" w:cs="Arial" w:eastAsia="Arial" w:hAnsi="Arial"/>
          <w:sz w:val="17"/>
          <w:szCs w:val="17"/>
          <w:color w:val="auto"/>
        </w:rPr>
      </w:pPr>
    </w:p>
    <w:p>
      <w:pPr>
        <w:ind w:left="340" w:hanging="337"/>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Exhibits: The exhibits listed under the Index of exhibits below are filed or incorporated by reference as part of this Form 10-K/A.</w:t>
      </w:r>
    </w:p>
    <w:p>
      <w:pPr>
        <w:spacing w:after="0" w:line="87" w:lineRule="exact"/>
        <w:rPr>
          <w:sz w:val="24"/>
          <w:szCs w:val="24"/>
          <w:color w:val="auto"/>
        </w:rPr>
      </w:pPr>
    </w:p>
    <w:tbl>
      <w:tblPr>
        <w:tblLayout w:type="fixed"/>
        <w:tblInd w:w="100" w:type="dxa"/>
        <w:tblCellMar>
          <w:top w:w="0" w:type="dxa"/>
          <w:left w:w="0" w:type="dxa"/>
          <w:bottom w:w="0" w:type="dxa"/>
          <w:right w:w="0" w:type="dxa"/>
        </w:tblCellMar>
      </w:tblPr>
      <w:tr>
        <w:trPr>
          <w:trHeight w:val="195"/>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940" w:type="dxa"/>
            <w:vAlign w:val="bottom"/>
            <w:gridSpan w:val="13"/>
          </w:tcPr>
          <w:p>
            <w:pPr>
              <w:ind w:left="56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Filed</w:t>
            </w:r>
          </w:p>
        </w:tc>
        <w:tc>
          <w:tcPr>
            <w:tcW w:w="2900" w:type="dxa"/>
            <w:vAlign w:val="bottom"/>
            <w:gridSpan w:val="8"/>
          </w:tcPr>
          <w:p>
            <w:pPr>
              <w:ind w:left="80"/>
              <w:spacing w:after="0"/>
              <w:rPr>
                <w:sz w:val="20"/>
                <w:szCs w:val="20"/>
                <w:color w:val="auto"/>
              </w:rPr>
            </w:pPr>
            <w:r>
              <w:rPr>
                <w:rFonts w:ascii="Arial" w:cs="Arial" w:eastAsia="Arial" w:hAnsi="Arial"/>
                <w:sz w:val="14"/>
                <w:szCs w:val="14"/>
                <w:b w:val="1"/>
                <w:bCs w:val="1"/>
                <w:color w:val="auto"/>
              </w:rPr>
              <w:t>Form   File Number   Exhibit  Filing Date</w:t>
            </w:r>
          </w:p>
        </w:tc>
        <w:tc>
          <w:tcPr>
            <w:tcW w:w="0" w:type="dxa"/>
            <w:vAlign w:val="bottom"/>
          </w:tcPr>
          <w:p>
            <w:pPr>
              <w:spacing w:after="0"/>
              <w:rPr>
                <w:sz w:val="1"/>
                <w:szCs w:val="1"/>
                <w:color w:val="auto"/>
              </w:rPr>
            </w:pPr>
          </w:p>
        </w:tc>
      </w:tr>
      <w:tr>
        <w:trPr>
          <w:trHeight w:val="139"/>
        </w:trPr>
        <w:tc>
          <w:tcPr>
            <w:tcW w:w="720" w:type="dxa"/>
            <w:vAlign w:val="bottom"/>
            <w:gridSpan w:val="2"/>
            <w:vMerge w:val="continue"/>
          </w:tcPr>
          <w:p>
            <w:pPr>
              <w:spacing w:after="0"/>
              <w:rPr>
                <w:sz w:val="12"/>
                <w:szCs w:val="12"/>
                <w:color w:val="auto"/>
              </w:rPr>
            </w:pPr>
          </w:p>
        </w:tc>
        <w:tc>
          <w:tcPr>
            <w:tcW w:w="34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40"/>
              <w:spacing w:after="0" w:line="139" w:lineRule="exact"/>
              <w:rPr>
                <w:sz w:val="20"/>
                <w:szCs w:val="20"/>
                <w:color w:val="auto"/>
              </w:rPr>
            </w:pPr>
            <w:r>
              <w:rPr>
                <w:rFonts w:ascii="Arial" w:cs="Arial" w:eastAsia="Arial" w:hAnsi="Arial"/>
                <w:sz w:val="14"/>
                <w:szCs w:val="14"/>
                <w:b w:val="1"/>
                <w:bCs w:val="1"/>
                <w:color w:val="auto"/>
                <w:w w:val="94"/>
              </w:rPr>
              <w:t>Herewith</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34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20" w:type="dxa"/>
            <w:vAlign w:val="bottom"/>
            <w:gridSpan w:val="2"/>
            <w:vMerge w:val="continue"/>
          </w:tcPr>
          <w:p>
            <w:pPr>
              <w:spacing w:after="0"/>
              <w:rPr>
                <w:sz w:val="7"/>
                <w:szCs w:val="7"/>
                <w:color w:val="auto"/>
              </w:rPr>
            </w:pPr>
          </w:p>
        </w:tc>
        <w:tc>
          <w:tcPr>
            <w:tcW w:w="3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522" w:right="299" w:bottom="0" w:gutter="0" w:footer="0" w:header="0"/>
        </w:sectPr>
      </w:pPr>
    </w:p>
    <w:bookmarkStart w:id="1" w:name="page2"/>
    <w:bookmarkEnd w:id="1"/>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3"/>
              </w:rPr>
              <w:t>Agreement and Plan of Merger, dated as of November 3, 2009, by and</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among ClearOne Communications, Inc., Alta-Wasatch Acquisition</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3"/>
              </w:rPr>
              <w:t>Corporation, NetStreams, Inc., Austin Ventures VIII, L.P., and Kevin A.</w:t>
            </w:r>
          </w:p>
        </w:tc>
        <w:tc>
          <w:tcPr>
            <w:tcW w:w="0" w:type="dxa"/>
            <w:vAlign w:val="bottom"/>
          </w:tcPr>
          <w:p>
            <w:pPr>
              <w:spacing w:after="0"/>
              <w:rPr>
                <w:sz w:val="1"/>
                <w:szCs w:val="1"/>
                <w:color w:val="auto"/>
              </w:rPr>
            </w:pPr>
          </w:p>
        </w:tc>
      </w:tr>
      <w:tr>
        <w:trPr>
          <w:trHeight w:val="196"/>
        </w:trPr>
        <w:tc>
          <w:tcPr>
            <w:tcW w:w="660" w:type="dxa"/>
            <w:vAlign w:val="bottom"/>
            <w:vMerge w:val="restart"/>
          </w:tcPr>
          <w:p>
            <w:pPr>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Reinis.</w:t>
            </w:r>
          </w:p>
        </w:tc>
        <w:tc>
          <w:tcPr>
            <w:tcW w:w="0" w:type="dxa"/>
            <w:vAlign w:val="bottom"/>
          </w:tcPr>
          <w:p>
            <w:pPr>
              <w:spacing w:after="0"/>
              <w:rPr>
                <w:sz w:val="1"/>
                <w:szCs w:val="1"/>
                <w:color w:val="auto"/>
              </w:rPr>
            </w:pPr>
          </w:p>
        </w:tc>
      </w:tr>
      <w:tr>
        <w:trPr>
          <w:trHeight w:val="207"/>
        </w:trPr>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Articles of Incorporation and amendments thereto</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Bylaws</w:t>
            </w: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r>
              <w:rPr>
                <w:rFonts w:ascii="Arial" w:cs="Arial" w:eastAsia="Arial" w:hAnsi="Arial"/>
                <w:sz w:val="16"/>
                <w:szCs w:val="16"/>
                <w:color w:val="auto"/>
              </w:rPr>
              <w:t>10.1</w:t>
            </w:r>
          </w:p>
        </w:tc>
        <w:tc>
          <w:tcPr>
            <w:tcW w:w="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0"/>
              </w:rPr>
              <w:t>Employment Separation Agreement between ClearOne Communications,</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Inc. and Frances Flood, dated December 5, 2003*</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88"/>
              </w:rPr>
              <w:t>Employment Termination Agreement between ClearOne Communications,</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Inc. and Susie Strohm, dated December 5, 2003*</w:t>
            </w:r>
          </w:p>
        </w:tc>
        <w:tc>
          <w:tcPr>
            <w:tcW w:w="0" w:type="dxa"/>
            <w:vAlign w:val="bottom"/>
          </w:tcPr>
          <w:p>
            <w:pPr>
              <w:spacing w:after="0"/>
              <w:rPr>
                <w:sz w:val="1"/>
                <w:szCs w:val="1"/>
                <w:color w:val="auto"/>
              </w:rPr>
            </w:pPr>
          </w:p>
        </w:tc>
      </w:tr>
      <w:tr>
        <w:trPr>
          <w:trHeight w:val="233"/>
        </w:trPr>
        <w:tc>
          <w:tcPr>
            <w:tcW w:w="660" w:type="dxa"/>
            <w:vAlign w:val="bottom"/>
          </w:tcPr>
          <w:p>
            <w:pPr>
              <w:spacing w:after="0"/>
              <w:rPr>
                <w:sz w:val="20"/>
                <w:szCs w:val="20"/>
                <w:color w:val="auto"/>
              </w:rPr>
            </w:pPr>
            <w:r>
              <w:rPr>
                <w:rFonts w:ascii="Arial" w:cs="Arial" w:eastAsia="Arial" w:hAnsi="Arial"/>
                <w:sz w:val="16"/>
                <w:szCs w:val="16"/>
                <w:color w:val="auto"/>
              </w:rPr>
              <w:t>10.3</w:t>
            </w:r>
          </w:p>
        </w:tc>
        <w:tc>
          <w:tcPr>
            <w:tcW w:w="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1997 Employee Stock Purchase Plan</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1998 Stock Option Plan</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2007 Equity Incentive Plan</w:t>
            </w: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5"/>
              </w:rPr>
              <w:t>Office Lease between Edgewater Corporate Park, LLC and ClearOne</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Communications, Inc. dated June 5, 2006</w:t>
            </w:r>
          </w:p>
        </w:tc>
        <w:tc>
          <w:tcPr>
            <w:tcW w:w="0" w:type="dxa"/>
            <w:vAlign w:val="bottom"/>
          </w:tcPr>
          <w:p>
            <w:pPr>
              <w:spacing w:after="0"/>
              <w:rPr>
                <w:sz w:val="1"/>
                <w:szCs w:val="1"/>
                <w:color w:val="auto"/>
              </w:rPr>
            </w:pPr>
          </w:p>
        </w:tc>
      </w:tr>
      <w:tr>
        <w:trPr>
          <w:trHeight w:val="218"/>
        </w:trPr>
        <w:tc>
          <w:tcPr>
            <w:tcW w:w="660" w:type="dxa"/>
            <w:vAlign w:val="bottom"/>
          </w:tcPr>
          <w:p>
            <w:pPr>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3"/>
              </w:rPr>
              <w:t>Margin Loan Agreement between ClearOne Communications, Inc. and</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UBS Financial Services, Inc. dated September 10, 2008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3"/>
              </w:rPr>
              <w:t>Manufacturing Services Agreement between Flextronics Industrial, Ltd.</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and ClearOne Communications, Inc. dated November 3, 2008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87"/>
              </w:rPr>
              <w:t>Joinder to Loan and Security Agreement, dated as of November 3, 2009, by</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9"/>
              </w:rPr>
              <w:t>and between ClearOne Communications, Inc. and Square 1 Bank.</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r>
              <w:rPr>
                <w:rFonts w:ascii="Arial" w:cs="Arial" w:eastAsia="Arial" w:hAnsi="Arial"/>
                <w:sz w:val="16"/>
                <w:szCs w:val="16"/>
                <w:color w:val="auto"/>
              </w:rPr>
              <w:t>10.10</w:t>
            </w:r>
          </w:p>
        </w:tc>
        <w:tc>
          <w:tcPr>
            <w:tcW w:w="6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9"/>
              </w:rPr>
              <w:t>Seventh Amendment to Loan and Security Agreement, dated as of</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November 3, 2009, by and between Square 1 Bank, ClearOne</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Communications, Inc., NetStreams Inc., and NetStreams, LLC.</w:t>
            </w:r>
          </w:p>
        </w:tc>
        <w:tc>
          <w:tcPr>
            <w:tcW w:w="0" w:type="dxa"/>
            <w:vAlign w:val="bottom"/>
          </w:tcPr>
          <w:p>
            <w:pPr>
              <w:spacing w:after="0"/>
              <w:rPr>
                <w:sz w:val="1"/>
                <w:szCs w:val="1"/>
                <w:color w:val="auto"/>
              </w:rPr>
            </w:pPr>
          </w:p>
        </w:tc>
      </w:tr>
      <w:tr>
        <w:trPr>
          <w:trHeight w:val="272"/>
        </w:trPr>
        <w:tc>
          <w:tcPr>
            <w:tcW w:w="660" w:type="dxa"/>
            <w:vAlign w:val="bottom"/>
          </w:tcPr>
          <w:p>
            <w:pPr>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23"/>
                <w:szCs w:val="23"/>
                <w:color w:val="auto"/>
              </w:rPr>
            </w:pPr>
          </w:p>
        </w:tc>
        <w:tc>
          <w:tcPr>
            <w:tcW w:w="4700" w:type="dxa"/>
            <w:vAlign w:val="bottom"/>
          </w:tcPr>
          <w:p>
            <w:pPr>
              <w:spacing w:after="0"/>
              <w:rPr>
                <w:sz w:val="20"/>
                <w:szCs w:val="20"/>
                <w:color w:val="auto"/>
              </w:rPr>
            </w:pPr>
            <w:r>
              <w:rPr>
                <w:rFonts w:ascii="Arial" w:cs="Arial" w:eastAsia="Arial" w:hAnsi="Arial"/>
                <w:sz w:val="16"/>
                <w:szCs w:val="16"/>
                <w:color w:val="auto"/>
                <w:w w:val="92"/>
              </w:rPr>
              <w:t>Code of Ethics, approved by the Board of Directors on August 23,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8-K</w:t>
            </w:r>
          </w:p>
        </w:tc>
        <w:tc>
          <w:tcPr>
            <w:tcW w:w="6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001-33660</w:t>
            </w:r>
          </w:p>
        </w:tc>
        <w:tc>
          <w:tcPr>
            <w:tcW w:w="6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0"/>
              </w:rPr>
              <w:t>2.2</w:t>
            </w: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9"/>
              </w:rPr>
              <w:t>11/09/09</w:t>
            </w:r>
          </w:p>
        </w:tc>
      </w:tr>
      <w:tr>
        <w:trPr>
          <w:trHeight w:val="768"/>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10-K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001-33660</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0"/>
              </w:rPr>
              <w:t>3.1</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09/10/08</w:t>
            </w:r>
          </w:p>
        </w:tc>
      </w:tr>
      <w:tr>
        <w:trPr>
          <w:trHeight w:val="22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10-K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001-33660</w:t>
            </w:r>
          </w:p>
        </w:tc>
        <w:tc>
          <w:tcPr>
            <w:tcW w:w="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0"/>
              </w:rPr>
              <w:t>3.2</w:t>
            </w:r>
          </w:p>
        </w:tc>
        <w:tc>
          <w:tcPr>
            <w:tcW w:w="6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03/31/11</w:t>
            </w:r>
          </w:p>
        </w:tc>
      </w:tr>
      <w:tr>
        <w:trPr>
          <w:trHeight w:val="22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10-K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000-17219</w:t>
            </w:r>
          </w:p>
        </w:tc>
        <w:tc>
          <w:tcPr>
            <w:tcW w:w="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6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08/18/05</w:t>
            </w:r>
          </w:p>
        </w:tc>
      </w:tr>
      <w:tr>
        <w:trPr>
          <w:trHeight w:val="44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10-K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000-17219</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08/18/05</w:t>
            </w:r>
          </w:p>
        </w:tc>
      </w:tr>
      <w:tr>
        <w:trPr>
          <w:trHeight w:val="440"/>
        </w:trPr>
        <w:tc>
          <w:tcPr>
            <w:tcW w:w="540" w:type="dxa"/>
            <w:vAlign w:val="bottom"/>
            <w:gridSpan w:val="2"/>
          </w:tcPr>
          <w:p>
            <w:pPr>
              <w:jc w:val="center"/>
              <w:ind w:right="40"/>
              <w:spacing w:after="0"/>
              <w:rPr>
                <w:sz w:val="20"/>
                <w:szCs w:val="20"/>
                <w:color w:val="auto"/>
              </w:rPr>
            </w:pPr>
            <w:r>
              <w:rPr>
                <w:rFonts w:ascii="Arial" w:cs="Arial" w:eastAsia="Arial" w:hAnsi="Arial"/>
                <w:sz w:val="16"/>
                <w:szCs w:val="16"/>
                <w:color w:val="auto"/>
                <w:w w:val="88"/>
              </w:rPr>
              <w:t>S-8</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333-137859</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0"/>
              </w:rPr>
              <w:t>4.9</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10/06/06</w:t>
            </w:r>
          </w:p>
        </w:tc>
      </w:tr>
      <w:tr>
        <w:trPr>
          <w:trHeight w:val="220"/>
        </w:trPr>
        <w:tc>
          <w:tcPr>
            <w:tcW w:w="540" w:type="dxa"/>
            <w:vAlign w:val="bottom"/>
            <w:gridSpan w:val="2"/>
          </w:tcPr>
          <w:p>
            <w:pPr>
              <w:jc w:val="center"/>
              <w:ind w:right="40"/>
              <w:spacing w:after="0"/>
              <w:rPr>
                <w:sz w:val="20"/>
                <w:szCs w:val="20"/>
                <w:color w:val="auto"/>
              </w:rPr>
            </w:pPr>
            <w:r>
              <w:rPr>
                <w:rFonts w:ascii="Arial" w:cs="Arial" w:eastAsia="Arial" w:hAnsi="Arial"/>
                <w:sz w:val="16"/>
                <w:szCs w:val="16"/>
                <w:color w:val="auto"/>
                <w:w w:val="88"/>
              </w:rPr>
              <w:t>S-8</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333-137859</w:t>
            </w:r>
          </w:p>
        </w:tc>
        <w:tc>
          <w:tcPr>
            <w:tcW w:w="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0"/>
              </w:rPr>
              <w:t>4.8</w:t>
            </w:r>
          </w:p>
        </w:tc>
        <w:tc>
          <w:tcPr>
            <w:tcW w:w="6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10/06/06</w:t>
            </w:r>
          </w:p>
        </w:tc>
      </w:tr>
      <w:tr>
        <w:trPr>
          <w:trHeight w:val="220"/>
        </w:trPr>
        <w:tc>
          <w:tcPr>
            <w:tcW w:w="540" w:type="dxa"/>
            <w:vAlign w:val="bottom"/>
            <w:gridSpan w:val="2"/>
          </w:tcPr>
          <w:p>
            <w:pPr>
              <w:jc w:val="center"/>
              <w:ind w:right="40"/>
              <w:spacing w:after="0"/>
              <w:rPr>
                <w:sz w:val="20"/>
                <w:szCs w:val="20"/>
                <w:color w:val="auto"/>
              </w:rPr>
            </w:pPr>
            <w:r>
              <w:rPr>
                <w:rFonts w:ascii="Arial" w:cs="Arial" w:eastAsia="Arial" w:hAnsi="Arial"/>
                <w:sz w:val="16"/>
                <w:szCs w:val="16"/>
                <w:color w:val="auto"/>
                <w:w w:val="88"/>
              </w:rPr>
              <w:t>S-8</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333-148789</w:t>
            </w:r>
          </w:p>
        </w:tc>
        <w:tc>
          <w:tcPr>
            <w:tcW w:w="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0"/>
              </w:rPr>
              <w:t>4.7</w:t>
            </w:r>
          </w:p>
        </w:tc>
        <w:tc>
          <w:tcPr>
            <w:tcW w:w="6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01/22/08</w:t>
            </w:r>
          </w:p>
        </w:tc>
      </w:tr>
      <w:tr>
        <w:trPr>
          <w:trHeight w:val="22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10-K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000-17219</w:t>
            </w:r>
          </w:p>
        </w:tc>
        <w:tc>
          <w:tcPr>
            <w:tcW w:w="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4"/>
              </w:rPr>
              <w:t>10.19</w:t>
            </w:r>
          </w:p>
        </w:tc>
        <w:tc>
          <w:tcPr>
            <w:tcW w:w="6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09/14/06</w:t>
            </w:r>
          </w:p>
        </w:tc>
      </w:tr>
      <w:tr>
        <w:trPr>
          <w:trHeight w:val="44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8-K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001-33660</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09/11/08</w:t>
            </w:r>
          </w:p>
        </w:tc>
      </w:tr>
      <w:tr>
        <w:trPr>
          <w:trHeight w:val="44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10-K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001-33660</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4"/>
              </w:rPr>
              <w:t>10.21</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10/13/09</w:t>
            </w:r>
          </w:p>
        </w:tc>
      </w:tr>
      <w:tr>
        <w:trPr>
          <w:trHeight w:val="44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8-K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001-33660</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4"/>
              </w:rPr>
              <w:t>10.23</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11/09/09</w:t>
            </w:r>
          </w:p>
        </w:tc>
      </w:tr>
      <w:tr>
        <w:trPr>
          <w:trHeight w:val="44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8-K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001-33660</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4"/>
              </w:rPr>
              <w:t>10.24</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11/09/09</w:t>
            </w:r>
          </w:p>
        </w:tc>
      </w:tr>
      <w:tr>
        <w:trPr>
          <w:trHeight w:val="660"/>
        </w:trPr>
        <w:tc>
          <w:tcPr>
            <w:tcW w:w="5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10-K</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000-17219</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3"/>
              </w:rPr>
              <w:t>14.1</w:t>
            </w:r>
          </w:p>
        </w:tc>
        <w:tc>
          <w:tcPr>
            <w:tcW w:w="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w w:val="99"/>
              </w:rPr>
              <w:t>09/14/06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-3420745</wp:posOffset>
            </wp:positionV>
            <wp:extent cx="45148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1485" cy="1651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620" w:space="720"/>
            <w:col w:w="5080"/>
          </w:cols>
          <w:pgMar w:left="240" w:top="132" w:right="239" w:bottom="0" w:gutter="0" w:footer="0" w:header="0"/>
        </w:sectPr>
      </w:pPr>
    </w:p>
    <w:p>
      <w:pPr>
        <w:spacing w:after="0"/>
        <w:rPr>
          <w:sz w:val="20"/>
          <w:szCs w:val="20"/>
          <w:color w:val="auto"/>
        </w:rPr>
      </w:pPr>
      <w:r>
        <w:rPr>
          <w:rFonts w:ascii="Arial" w:cs="Arial" w:eastAsia="Arial" w:hAnsi="Arial"/>
          <w:sz w:val="17"/>
          <w:szCs w:val="17"/>
          <w:color w:val="auto"/>
        </w:rPr>
        <w:t>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*Constitutes a management contract or compensatory plan or arrangement.</w:t>
      </w:r>
    </w:p>
    <w:p>
      <w:pPr>
        <w:spacing w:after="0" w:line="36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Filed</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File Number</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39"/>
        </w:trPr>
        <w:tc>
          <w:tcPr>
            <w:tcW w:w="720" w:type="dxa"/>
            <w:vAlign w:val="bottom"/>
            <w:gridSpan w:val="2"/>
            <w:vMerge w:val="continue"/>
          </w:tcPr>
          <w:p>
            <w:pPr>
              <w:spacing w:after="0"/>
              <w:rPr>
                <w:sz w:val="12"/>
                <w:szCs w:val="12"/>
                <w:color w:val="auto"/>
              </w:rPr>
            </w:pPr>
          </w:p>
        </w:tc>
        <w:tc>
          <w:tcPr>
            <w:tcW w:w="476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Exhibit Description</w:t>
            </w:r>
          </w:p>
        </w:tc>
        <w:tc>
          <w:tcPr>
            <w:tcW w:w="760" w:type="dxa"/>
            <w:vAlign w:val="bottom"/>
            <w:gridSpan w:val="2"/>
          </w:tcPr>
          <w:p>
            <w:pPr>
              <w:jc w:val="center"/>
              <w:ind w:right="40"/>
              <w:spacing w:after="0" w:line="139" w:lineRule="exact"/>
              <w:rPr>
                <w:sz w:val="20"/>
                <w:szCs w:val="20"/>
                <w:color w:val="auto"/>
              </w:rPr>
            </w:pPr>
            <w:r>
              <w:rPr>
                <w:rFonts w:ascii="Arial" w:cs="Arial" w:eastAsia="Arial" w:hAnsi="Arial"/>
                <w:sz w:val="14"/>
                <w:szCs w:val="14"/>
                <w:b w:val="1"/>
                <w:bCs w:val="1"/>
                <w:color w:val="auto"/>
                <w:w w:val="94"/>
              </w:rPr>
              <w:t>Herewith</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47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20" w:type="dxa"/>
            <w:vAlign w:val="bottom"/>
            <w:gridSpan w:val="2"/>
            <w:vMerge w:val="continue"/>
          </w:tcPr>
          <w:p>
            <w:pPr>
              <w:spacing w:after="0"/>
              <w:rPr>
                <w:sz w:val="7"/>
                <w:szCs w:val="7"/>
                <w:color w:val="auto"/>
              </w:rPr>
            </w:pPr>
          </w:p>
        </w:tc>
        <w:tc>
          <w:tcPr>
            <w:tcW w:w="4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21.1</w:t>
            </w:r>
          </w:p>
        </w:tc>
        <w:tc>
          <w:tcPr>
            <w:tcW w:w="60" w:type="dxa"/>
            <w:vAlign w:val="bottom"/>
          </w:tcPr>
          <w:p>
            <w:pPr>
              <w:spacing w:after="0"/>
              <w:rPr>
                <w:sz w:val="16"/>
                <w:szCs w:val="16"/>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Subsidiaries of the registrant</w:t>
            </w: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10-K</w:t>
            </w:r>
          </w:p>
        </w:tc>
        <w:tc>
          <w:tcPr>
            <w:tcW w:w="60" w:type="dxa"/>
            <w:vAlign w:val="bottom"/>
          </w:tcPr>
          <w:p>
            <w:pPr>
              <w:spacing w:after="0"/>
              <w:rPr>
                <w:sz w:val="16"/>
                <w:szCs w:val="16"/>
                <w:color w:val="auto"/>
              </w:rPr>
            </w:pPr>
          </w:p>
        </w:tc>
        <w:tc>
          <w:tcPr>
            <w:tcW w:w="940" w:type="dxa"/>
            <w:vAlign w:val="bottom"/>
            <w:tcBorders>
              <w:top w:val="single" w:sz="8" w:color="auto"/>
            </w:tcBorders>
          </w:tcPr>
          <w:p>
            <w:pPr>
              <w:jc w:val="right"/>
              <w:ind w:right="120"/>
              <w:spacing w:after="0"/>
              <w:rPr>
                <w:sz w:val="20"/>
                <w:szCs w:val="20"/>
                <w:color w:val="auto"/>
              </w:rPr>
            </w:pPr>
            <w:r>
              <w:rPr>
                <w:rFonts w:ascii="Arial" w:cs="Arial" w:eastAsia="Arial" w:hAnsi="Arial"/>
                <w:sz w:val="17"/>
                <w:szCs w:val="17"/>
                <w:color w:val="auto"/>
                <w:w w:val="88"/>
              </w:rPr>
              <w:t>001-33660</w:t>
            </w:r>
          </w:p>
        </w:tc>
        <w:tc>
          <w:tcPr>
            <w:tcW w:w="60" w:type="dxa"/>
            <w:vAlign w:val="bottom"/>
          </w:tcPr>
          <w:p>
            <w:pPr>
              <w:spacing w:after="0"/>
              <w:rPr>
                <w:sz w:val="16"/>
                <w:szCs w:val="16"/>
                <w:color w:val="auto"/>
              </w:rPr>
            </w:pPr>
          </w:p>
        </w:tc>
        <w:tc>
          <w:tcPr>
            <w:tcW w:w="560" w:type="dxa"/>
            <w:vAlign w:val="bottom"/>
            <w:tcBorders>
              <w:top w:val="single" w:sz="8" w:color="auto"/>
            </w:tcBorders>
          </w:tcPr>
          <w:p>
            <w:pPr>
              <w:jc w:val="right"/>
              <w:ind w:right="204"/>
              <w:spacing w:after="0"/>
              <w:rPr>
                <w:sz w:val="20"/>
                <w:szCs w:val="20"/>
                <w:color w:val="auto"/>
              </w:rPr>
            </w:pPr>
            <w:r>
              <w:rPr>
                <w:rFonts w:ascii="Arial" w:cs="Arial" w:eastAsia="Arial" w:hAnsi="Arial"/>
                <w:sz w:val="16"/>
                <w:szCs w:val="16"/>
                <w:color w:val="auto"/>
                <w:w w:val="83"/>
              </w:rPr>
              <w:t>21.1</w:t>
            </w:r>
          </w:p>
        </w:tc>
        <w:tc>
          <w:tcPr>
            <w:tcW w:w="60" w:type="dxa"/>
            <w:vAlign w:val="bottom"/>
          </w:tcPr>
          <w:p>
            <w:pPr>
              <w:spacing w:after="0"/>
              <w:rPr>
                <w:sz w:val="16"/>
                <w:szCs w:val="16"/>
                <w:color w:val="auto"/>
              </w:rPr>
            </w:pPr>
          </w:p>
        </w:tc>
        <w:tc>
          <w:tcPr>
            <w:tcW w:w="7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90"/>
              </w:rPr>
              <w:t>04/02/12</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20"/>
                <w:szCs w:val="20"/>
                <w:color w:val="auto"/>
              </w:rPr>
            </w:pPr>
            <w:r>
              <w:rPr>
                <w:rFonts w:ascii="Arial" w:cs="Arial" w:eastAsia="Arial" w:hAnsi="Arial"/>
                <w:sz w:val="16"/>
                <w:szCs w:val="16"/>
                <w:color w:val="auto"/>
              </w:rPr>
              <w:t>23.1</w:t>
            </w:r>
          </w:p>
        </w:tc>
        <w:tc>
          <w:tcPr>
            <w:tcW w:w="6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w w:val="89"/>
              </w:rPr>
              <w:t>Consent of Jones Simkins P.C., Independent Registered Public Accounting</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7"/>
                <w:szCs w:val="17"/>
                <w:color w:val="auto"/>
              </w:rPr>
              <w:t>10-K</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w w:val="88"/>
              </w:rPr>
              <w:t>001-33660</w:t>
            </w:r>
          </w:p>
        </w:tc>
        <w:tc>
          <w:tcPr>
            <w:tcW w:w="60" w:type="dxa"/>
            <w:vAlign w:val="bottom"/>
          </w:tcPr>
          <w:p>
            <w:pPr>
              <w:spacing w:after="0"/>
              <w:rPr>
                <w:sz w:val="17"/>
                <w:szCs w:val="17"/>
                <w:color w:val="auto"/>
              </w:rPr>
            </w:pPr>
          </w:p>
        </w:tc>
        <w:tc>
          <w:tcPr>
            <w:tcW w:w="560" w:type="dxa"/>
            <w:vAlign w:val="bottom"/>
          </w:tcPr>
          <w:p>
            <w:pPr>
              <w:jc w:val="right"/>
              <w:ind w:right="204"/>
              <w:spacing w:after="0"/>
              <w:rPr>
                <w:sz w:val="20"/>
                <w:szCs w:val="20"/>
                <w:color w:val="auto"/>
              </w:rPr>
            </w:pPr>
            <w:r>
              <w:rPr>
                <w:rFonts w:ascii="Arial" w:cs="Arial" w:eastAsia="Arial" w:hAnsi="Arial"/>
                <w:sz w:val="16"/>
                <w:szCs w:val="16"/>
                <w:color w:val="auto"/>
                <w:w w:val="83"/>
              </w:rPr>
              <w:t>23.1</w:t>
            </w:r>
          </w:p>
        </w:tc>
        <w:tc>
          <w:tcPr>
            <w:tcW w:w="60" w:type="dxa"/>
            <w:vAlign w:val="bottom"/>
          </w:tcPr>
          <w:p>
            <w:pPr>
              <w:spacing w:after="0"/>
              <w:rPr>
                <w:sz w:val="17"/>
                <w:szCs w:val="17"/>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w w:val="90"/>
              </w:rPr>
              <w:t>04/02/12</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Firm</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7"/>
                <w:szCs w:val="17"/>
                <w:color w:val="auto"/>
                <w:w w:val="99"/>
              </w:rPr>
              <w:t>10-K  001-33660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jc w:val="right"/>
              <w:ind w:right="36"/>
              <w:spacing w:after="0"/>
              <w:rPr>
                <w:sz w:val="20"/>
                <w:szCs w:val="20"/>
                <w:color w:val="auto"/>
              </w:rPr>
            </w:pPr>
            <w:r>
              <w:rPr>
                <w:rFonts w:ascii="Arial" w:cs="Arial" w:eastAsia="Arial" w:hAnsi="Arial"/>
                <w:sz w:val="17"/>
                <w:szCs w:val="17"/>
                <w:color w:val="auto"/>
                <w:w w:val="90"/>
              </w:rPr>
              <w:t>04/02/12</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20"/>
                <w:szCs w:val="20"/>
                <w:color w:val="auto"/>
              </w:rPr>
            </w:pPr>
            <w:r>
              <w:rPr>
                <w:rFonts w:ascii="Arial" w:cs="Arial" w:eastAsia="Arial" w:hAnsi="Arial"/>
                <w:sz w:val="16"/>
                <w:szCs w:val="16"/>
                <w:color w:val="auto"/>
              </w:rPr>
              <w:t>31.1</w:t>
            </w:r>
          </w:p>
        </w:tc>
        <w:tc>
          <w:tcPr>
            <w:tcW w:w="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Section 302 Certification of Chief Executive Officer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4"/>
            <w:vMerge w:val="continue"/>
          </w:tcPr>
          <w:p>
            <w:pPr>
              <w:spacing w:after="0"/>
              <w:rPr>
                <w:sz w:val="18"/>
                <w:szCs w:val="18"/>
                <w:color w:val="auto"/>
              </w:rPr>
            </w:pPr>
          </w:p>
        </w:tc>
        <w:tc>
          <w:tcPr>
            <w:tcW w:w="560" w:type="dxa"/>
            <w:vAlign w:val="bottom"/>
          </w:tcPr>
          <w:p>
            <w:pPr>
              <w:jc w:val="right"/>
              <w:ind w:right="204"/>
              <w:spacing w:after="0"/>
              <w:rPr>
                <w:sz w:val="20"/>
                <w:szCs w:val="20"/>
                <w:color w:val="auto"/>
              </w:rPr>
            </w:pPr>
            <w:r>
              <w:rPr>
                <w:rFonts w:ascii="Arial" w:cs="Arial" w:eastAsia="Arial" w:hAnsi="Arial"/>
                <w:sz w:val="16"/>
                <w:szCs w:val="16"/>
                <w:color w:val="auto"/>
                <w:w w:val="83"/>
              </w:rPr>
              <w:t>31.1</w:t>
            </w:r>
          </w:p>
        </w:tc>
        <w:tc>
          <w:tcPr>
            <w:tcW w:w="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6"/>
                <w:szCs w:val="16"/>
                <w:color w:val="auto"/>
              </w:rPr>
              <w:t>31.2</w:t>
            </w:r>
          </w:p>
        </w:tc>
        <w:tc>
          <w:tcPr>
            <w:tcW w:w="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Section 302 Certification of Chief Financial Officer</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7"/>
                <w:szCs w:val="17"/>
                <w:color w:val="auto"/>
                <w:w w:val="99"/>
              </w:rPr>
              <w:t>10-K  001-33660</w:t>
            </w:r>
          </w:p>
        </w:tc>
        <w:tc>
          <w:tcPr>
            <w:tcW w:w="560" w:type="dxa"/>
            <w:vAlign w:val="bottom"/>
          </w:tcPr>
          <w:p>
            <w:pPr>
              <w:jc w:val="right"/>
              <w:ind w:right="204"/>
              <w:spacing w:after="0"/>
              <w:rPr>
                <w:sz w:val="20"/>
                <w:szCs w:val="20"/>
                <w:color w:val="auto"/>
              </w:rPr>
            </w:pPr>
            <w:r>
              <w:rPr>
                <w:rFonts w:ascii="Arial" w:cs="Arial" w:eastAsia="Arial" w:hAnsi="Arial"/>
                <w:sz w:val="16"/>
                <w:szCs w:val="16"/>
                <w:color w:val="auto"/>
                <w:w w:val="83"/>
              </w:rPr>
              <w:t>31.2</w:t>
            </w:r>
          </w:p>
        </w:tc>
        <w:tc>
          <w:tcPr>
            <w:tcW w:w="6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w w:val="90"/>
              </w:rPr>
              <w:t>04/02/12</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Section 906 Certification of Chief Executive Officer</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7"/>
                <w:szCs w:val="17"/>
                <w:color w:val="auto"/>
                <w:w w:val="99"/>
              </w:rPr>
              <w:t>10-K  001-33660</w:t>
            </w:r>
          </w:p>
        </w:tc>
        <w:tc>
          <w:tcPr>
            <w:tcW w:w="560" w:type="dxa"/>
            <w:vAlign w:val="bottom"/>
          </w:tcPr>
          <w:p>
            <w:pPr>
              <w:jc w:val="right"/>
              <w:ind w:right="204"/>
              <w:spacing w:after="0"/>
              <w:rPr>
                <w:sz w:val="20"/>
                <w:szCs w:val="20"/>
                <w:color w:val="auto"/>
              </w:rPr>
            </w:pPr>
            <w:r>
              <w:rPr>
                <w:rFonts w:ascii="Arial" w:cs="Arial" w:eastAsia="Arial" w:hAnsi="Arial"/>
                <w:sz w:val="16"/>
                <w:szCs w:val="16"/>
                <w:color w:val="auto"/>
                <w:w w:val="83"/>
              </w:rPr>
              <w:t>32.1</w:t>
            </w:r>
          </w:p>
        </w:tc>
        <w:tc>
          <w:tcPr>
            <w:tcW w:w="6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w w:val="90"/>
              </w:rPr>
              <w:t>04/02/12</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20"/>
                <w:szCs w:val="20"/>
                <w:color w:val="auto"/>
              </w:rPr>
            </w:pPr>
            <w:r>
              <w:rPr>
                <w:rFonts w:ascii="Arial" w:cs="Arial" w:eastAsia="Arial" w:hAnsi="Arial"/>
                <w:sz w:val="16"/>
                <w:szCs w:val="16"/>
                <w:color w:val="auto"/>
              </w:rPr>
              <w:t>32.2</w:t>
            </w:r>
          </w:p>
        </w:tc>
        <w:tc>
          <w:tcPr>
            <w:tcW w:w="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Section 906 Certification of Chief Financial Officer</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7"/>
                <w:szCs w:val="17"/>
                <w:color w:val="auto"/>
                <w:w w:val="99"/>
              </w:rPr>
              <w:t>10-K  001-33660</w:t>
            </w:r>
          </w:p>
        </w:tc>
        <w:tc>
          <w:tcPr>
            <w:tcW w:w="560" w:type="dxa"/>
            <w:vAlign w:val="bottom"/>
          </w:tcPr>
          <w:p>
            <w:pPr>
              <w:jc w:val="right"/>
              <w:ind w:right="204"/>
              <w:spacing w:after="0"/>
              <w:rPr>
                <w:sz w:val="20"/>
                <w:szCs w:val="20"/>
                <w:color w:val="auto"/>
              </w:rPr>
            </w:pPr>
            <w:r>
              <w:rPr>
                <w:rFonts w:ascii="Arial" w:cs="Arial" w:eastAsia="Arial" w:hAnsi="Arial"/>
                <w:sz w:val="16"/>
                <w:szCs w:val="16"/>
                <w:color w:val="auto"/>
                <w:w w:val="83"/>
              </w:rPr>
              <w:t>32.2</w:t>
            </w:r>
          </w:p>
        </w:tc>
        <w:tc>
          <w:tcPr>
            <w:tcW w:w="6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w w:val="90"/>
              </w:rPr>
              <w:t>04/02/12</w:t>
            </w:r>
          </w:p>
        </w:tc>
        <w:tc>
          <w:tcPr>
            <w:tcW w:w="0" w:type="dxa"/>
            <w:vAlign w:val="bottom"/>
          </w:tcPr>
          <w:p>
            <w:pPr>
              <w:spacing w:after="0"/>
              <w:rPr>
                <w:sz w:val="1"/>
                <w:szCs w:val="1"/>
                <w:color w:val="auto"/>
              </w:rPr>
            </w:pPr>
          </w:p>
        </w:tc>
      </w:tr>
      <w:tr>
        <w:trPr>
          <w:trHeight w:val="214"/>
        </w:trPr>
        <w:tc>
          <w:tcPr>
            <w:tcW w:w="7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4760" w:type="dxa"/>
            <w:vAlign w:val="bottom"/>
            <w:gridSpan w:val="2"/>
          </w:tcPr>
          <w:p>
            <w:pPr>
              <w:spacing w:after="0"/>
              <w:rPr>
                <w:sz w:val="20"/>
                <w:szCs w:val="20"/>
                <w:color w:val="auto"/>
              </w:rPr>
            </w:pPr>
            <w:r>
              <w:rPr>
                <w:rFonts w:ascii="Arial" w:cs="Arial" w:eastAsia="Arial" w:hAnsi="Arial"/>
                <w:sz w:val="16"/>
                <w:szCs w:val="16"/>
                <w:color w:val="auto"/>
              </w:rPr>
              <w:t>XBRL Instance Document</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4760" w:type="dxa"/>
            <w:vAlign w:val="bottom"/>
            <w:gridSpan w:val="2"/>
          </w:tcPr>
          <w:p>
            <w:pPr>
              <w:spacing w:after="0"/>
              <w:rPr>
                <w:sz w:val="20"/>
                <w:szCs w:val="20"/>
                <w:color w:val="auto"/>
              </w:rPr>
            </w:pPr>
            <w:r>
              <w:rPr>
                <w:rFonts w:ascii="Arial" w:cs="Arial" w:eastAsia="Arial" w:hAnsi="Arial"/>
                <w:sz w:val="16"/>
                <w:szCs w:val="16"/>
                <w:color w:val="auto"/>
              </w:rPr>
              <w:t>XBRL Taxonomy Extension Schema</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4760" w:type="dxa"/>
            <w:vAlign w:val="bottom"/>
            <w:gridSpan w:val="2"/>
          </w:tcPr>
          <w:p>
            <w:pPr>
              <w:spacing w:after="0"/>
              <w:rPr>
                <w:sz w:val="20"/>
                <w:szCs w:val="20"/>
                <w:color w:val="auto"/>
              </w:rPr>
            </w:pPr>
            <w:r>
              <w:rPr>
                <w:rFonts w:ascii="Arial" w:cs="Arial" w:eastAsia="Arial" w:hAnsi="Arial"/>
                <w:sz w:val="16"/>
                <w:szCs w:val="16"/>
                <w:color w:val="auto"/>
              </w:rPr>
              <w:t>XBRL Taxonomy Extension Calculation Linkbase</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4760" w:type="dxa"/>
            <w:vAlign w:val="bottom"/>
            <w:gridSpan w:val="2"/>
          </w:tcPr>
          <w:p>
            <w:pPr>
              <w:spacing w:after="0"/>
              <w:rPr>
                <w:sz w:val="20"/>
                <w:szCs w:val="20"/>
                <w:color w:val="auto"/>
              </w:rPr>
            </w:pPr>
            <w:r>
              <w:rPr>
                <w:rFonts w:ascii="Arial" w:cs="Arial" w:eastAsia="Arial" w:hAnsi="Arial"/>
                <w:sz w:val="16"/>
                <w:szCs w:val="16"/>
                <w:color w:val="auto"/>
              </w:rPr>
              <w:t>XBRL Taxonomy Extension Definitions Linkbase</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4760" w:type="dxa"/>
            <w:vAlign w:val="bottom"/>
            <w:gridSpan w:val="2"/>
          </w:tcPr>
          <w:p>
            <w:pPr>
              <w:spacing w:after="0"/>
              <w:rPr>
                <w:sz w:val="20"/>
                <w:szCs w:val="20"/>
                <w:color w:val="auto"/>
              </w:rPr>
            </w:pPr>
            <w:r>
              <w:rPr>
                <w:rFonts w:ascii="Arial" w:cs="Arial" w:eastAsia="Arial" w:hAnsi="Arial"/>
                <w:sz w:val="16"/>
                <w:szCs w:val="16"/>
                <w:color w:val="auto"/>
              </w:rPr>
              <w:t>XBRL Taxonomy Extension Label Linkbase</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gridSpan w:val="2"/>
          </w:tcPr>
          <w:p>
            <w:pPr>
              <w:spacing w:after="0"/>
              <w:rPr>
                <w:sz w:val="20"/>
                <w:szCs w:val="20"/>
                <w:color w:val="auto"/>
              </w:rPr>
            </w:pPr>
            <w:r>
              <w:rPr>
                <w:rFonts w:ascii="Arial" w:cs="Arial" w:eastAsia="Arial" w:hAnsi="Arial"/>
                <w:sz w:val="16"/>
                <w:szCs w:val="16"/>
                <w:color w:val="auto"/>
              </w:rPr>
              <w:t>101.PRE</w:t>
            </w:r>
          </w:p>
        </w:tc>
        <w:tc>
          <w:tcPr>
            <w:tcW w:w="4760" w:type="dxa"/>
            <w:vAlign w:val="bottom"/>
            <w:gridSpan w:val="2"/>
          </w:tcPr>
          <w:p>
            <w:pPr>
              <w:spacing w:after="0"/>
              <w:rPr>
                <w:sz w:val="20"/>
                <w:szCs w:val="20"/>
                <w:color w:val="auto"/>
              </w:rPr>
            </w:pPr>
            <w:r>
              <w:rPr>
                <w:rFonts w:ascii="Arial" w:cs="Arial" w:eastAsia="Arial" w:hAnsi="Arial"/>
                <w:sz w:val="16"/>
                <w:szCs w:val="16"/>
                <w:color w:val="auto"/>
              </w:rPr>
              <w:t>XBRL Taxonomy Extension Presentation Linkbase</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CLEARONE COMMUNICATIONS,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Registrant</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Z</w:t>
      </w:r>
      <w:r>
        <w:rPr>
          <w:rFonts w:ascii="Arial" w:cs="Arial" w:eastAsia="Arial" w:hAnsi="Arial"/>
          <w:sz w:val="11"/>
          <w:szCs w:val="11"/>
          <w:i w:val="1"/>
          <w:iCs w:val="1"/>
          <w:color w:val="auto"/>
        </w:rPr>
        <w:t>EYNEP</w:t>
      </w:r>
      <w:r>
        <w:rPr>
          <w:rFonts w:ascii="Arial" w:cs="Arial" w:eastAsia="Arial" w:hAnsi="Arial"/>
          <w:sz w:val="17"/>
          <w:szCs w:val="17"/>
          <w:color w:val="auto"/>
        </w:rPr>
        <w:t xml:space="preserve"> </w:t>
      </w:r>
      <w:r>
        <w:rPr>
          <w:rFonts w:ascii="Arial" w:cs="Arial" w:eastAsia="Arial" w:hAnsi="Arial"/>
          <w:sz w:val="17"/>
          <w:szCs w:val="17"/>
          <w:i w:val="1"/>
          <w:iCs w:val="1"/>
          <w:color w:val="auto"/>
        </w:rPr>
        <w:t>H</w:t>
      </w:r>
      <w:r>
        <w:rPr>
          <w:rFonts w:ascii="Arial" w:cs="Arial" w:eastAsia="Arial" w:hAnsi="Arial"/>
          <w:sz w:val="11"/>
          <w:szCs w:val="11"/>
          <w:i w:val="1"/>
          <w:iCs w:val="1"/>
          <w:color w:val="auto"/>
        </w:rPr>
        <w:t>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73132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295" cy="16510"/>
                    </a:xfrm>
                    <a:prstGeom prst="rect">
                      <a:avLst/>
                    </a:prstGeom>
                    <a:noFill/>
                  </pic:spPr>
                </pic:pic>
              </a:graphicData>
            </a:graphic>
          </wp:anchor>
        </w:drawing>
      </w:r>
    </w:p>
    <w:p>
      <w:pPr>
        <w:spacing w:after="0" w:line="108" w:lineRule="exact"/>
        <w:rPr>
          <w:sz w:val="20"/>
          <w:szCs w:val="20"/>
          <w:color w:val="auto"/>
        </w:rPr>
      </w:pPr>
    </w:p>
    <w:p>
      <w:pPr>
        <w:ind w:left="60" w:right="2620"/>
        <w:spacing w:after="0" w:line="394" w:lineRule="auto"/>
        <w:rPr>
          <w:sz w:val="20"/>
          <w:szCs w:val="20"/>
          <w:color w:val="auto"/>
        </w:rPr>
      </w:pPr>
      <w:r>
        <w:rPr>
          <w:rFonts w:ascii="Arial" w:cs="Arial" w:eastAsia="Arial" w:hAnsi="Arial"/>
          <w:sz w:val="17"/>
          <w:szCs w:val="17"/>
          <w:color w:val="auto"/>
        </w:rPr>
        <w:t>Zeynep Hakimoglu, President, Chief Executive Officer (Principal Executive Officer), and Chairman of the Board and Director May 14, 2012</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32" w:right="239" w:bottom="0" w:gutter="0" w:footer="0" w:header="0"/>
          <w:type w:val="continuous"/>
        </w:sect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Z</w:t>
      </w:r>
      <w:r>
        <w:rPr>
          <w:rFonts w:ascii="Arial" w:cs="Arial" w:eastAsia="Arial" w:hAnsi="Arial"/>
          <w:sz w:val="11"/>
          <w:szCs w:val="11"/>
          <w:i w:val="1"/>
          <w:iCs w:val="1"/>
          <w:color w:val="auto"/>
        </w:rPr>
        <w:t>EYNEP</w:t>
      </w:r>
      <w:r>
        <w:rPr>
          <w:rFonts w:ascii="Arial" w:cs="Arial" w:eastAsia="Arial" w:hAnsi="Arial"/>
          <w:sz w:val="17"/>
          <w:szCs w:val="17"/>
          <w:color w:val="auto"/>
        </w:rPr>
        <w:t xml:space="preserve"> </w:t>
      </w:r>
      <w:r>
        <w:rPr>
          <w:rFonts w:ascii="Arial" w:cs="Arial" w:eastAsia="Arial" w:hAnsi="Arial"/>
          <w:sz w:val="17"/>
          <w:szCs w:val="17"/>
          <w:i w:val="1"/>
          <w:iCs w:val="1"/>
          <w:color w:val="auto"/>
        </w:rPr>
        <w:t>H</w:t>
      </w:r>
      <w:r>
        <w:rPr>
          <w:rFonts w:ascii="Arial" w:cs="Arial" w:eastAsia="Arial" w:hAnsi="Arial"/>
          <w:sz w:val="11"/>
          <w:szCs w:val="11"/>
          <w:i w:val="1"/>
          <w:iCs w:val="1"/>
          <w:color w:val="auto"/>
        </w:rPr>
        <w:t>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399161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91610" cy="16510"/>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Zeynep Hakimoglu</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5"/>
          <w:szCs w:val="15"/>
          <w:color w:val="auto"/>
        </w:rPr>
        <w:t>President, Chief Executive Officer (Principal Executive Officer), and Chairman of the</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7"/>
          <w:szCs w:val="17"/>
          <w:color w:val="auto"/>
        </w:rPr>
        <w:t>Board and Director</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May 14, 2012</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E. B</w:t>
      </w:r>
      <w:r>
        <w:rPr>
          <w:rFonts w:ascii="Arial" w:cs="Arial" w:eastAsia="Arial" w:hAnsi="Arial"/>
          <w:sz w:val="11"/>
          <w:szCs w:val="11"/>
          <w:i w:val="1"/>
          <w:iCs w:val="1"/>
          <w:color w:val="auto"/>
        </w:rPr>
        <w:t>RYAN</w:t>
      </w:r>
      <w:r>
        <w:rPr>
          <w:rFonts w:ascii="Arial" w:cs="Arial" w:eastAsia="Arial" w:hAnsi="Arial"/>
          <w:sz w:val="17"/>
          <w:szCs w:val="17"/>
          <w:color w:val="auto"/>
        </w:rPr>
        <w:t xml:space="preserve"> </w:t>
      </w:r>
      <w:r>
        <w:rPr>
          <w:rFonts w:ascii="Arial" w:cs="Arial" w:eastAsia="Arial" w:hAnsi="Arial"/>
          <w:sz w:val="17"/>
          <w:szCs w:val="17"/>
          <w:i w:val="1"/>
          <w:iCs w:val="1"/>
          <w:color w:val="auto"/>
        </w:rPr>
        <w:t>B</w:t>
      </w:r>
      <w:r>
        <w:rPr>
          <w:rFonts w:ascii="Arial" w:cs="Arial" w:eastAsia="Arial" w:hAnsi="Arial"/>
          <w:sz w:val="11"/>
          <w:szCs w:val="11"/>
          <w:i w:val="1"/>
          <w:iCs w:val="1"/>
          <w:color w:val="auto"/>
        </w:rPr>
        <w:t>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399161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91610" cy="16510"/>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E.Bryan Bagley</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Director</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May 14, 2012</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L</w:t>
      </w:r>
      <w:r>
        <w:rPr>
          <w:rFonts w:ascii="Arial" w:cs="Arial" w:eastAsia="Arial" w:hAnsi="Arial"/>
          <w:sz w:val="11"/>
          <w:szCs w:val="11"/>
          <w:i w:val="1"/>
          <w:iCs w:val="1"/>
          <w:color w:val="auto"/>
        </w:rPr>
        <w:t>ARRY</w:t>
      </w:r>
      <w:r>
        <w:rPr>
          <w:rFonts w:ascii="Arial" w:cs="Arial" w:eastAsia="Arial" w:hAnsi="Arial"/>
          <w:sz w:val="17"/>
          <w:szCs w:val="17"/>
          <w:color w:val="auto"/>
        </w:rPr>
        <w:t xml:space="preserve"> </w:t>
      </w:r>
      <w:r>
        <w:rPr>
          <w:rFonts w:ascii="Arial" w:cs="Arial" w:eastAsia="Arial" w:hAnsi="Arial"/>
          <w:sz w:val="17"/>
          <w:szCs w:val="17"/>
          <w:i w:val="1"/>
          <w:iCs w:val="1"/>
          <w:color w:val="auto"/>
        </w:rPr>
        <w:t>R. H</w:t>
      </w:r>
      <w:r>
        <w:rPr>
          <w:rFonts w:ascii="Arial" w:cs="Arial" w:eastAsia="Arial" w:hAnsi="Arial"/>
          <w:sz w:val="11"/>
          <w:szCs w:val="11"/>
          <w:i w:val="1"/>
          <w:iCs w:val="1"/>
          <w:color w:val="auto"/>
        </w:rPr>
        <w:t>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399161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91610" cy="16510"/>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Larry R. Hendricks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1"/>
          <w:szCs w:val="11"/>
          <w:i w:val="1"/>
          <w:iCs w:val="1"/>
          <w:color w:val="auto"/>
        </w:rPr>
        <w:t>S</w:t>
      </w:r>
      <w:r>
        <w:rPr>
          <w:rFonts w:ascii="Arial" w:cs="Arial" w:eastAsia="Arial" w:hAnsi="Arial"/>
          <w:sz w:val="17"/>
          <w:szCs w:val="17"/>
          <w:i w:val="1"/>
          <w:iCs w:val="1"/>
          <w:color w:val="auto"/>
        </w:rPr>
        <w:t>/ N</w:t>
      </w:r>
      <w:r>
        <w:rPr>
          <w:rFonts w:ascii="Arial" w:cs="Arial" w:eastAsia="Arial" w:hAnsi="Arial"/>
          <w:sz w:val="11"/>
          <w:szCs w:val="11"/>
          <w:i w:val="1"/>
          <w:iCs w:val="1"/>
          <w:color w:val="auto"/>
        </w:rPr>
        <w:t>ARSI</w:t>
      </w:r>
      <w:r>
        <w:rPr>
          <w:rFonts w:ascii="Arial" w:cs="Arial" w:eastAsia="Arial" w:hAnsi="Arial"/>
          <w:sz w:val="17"/>
          <w:szCs w:val="17"/>
          <w:i w:val="1"/>
          <w:iCs w:val="1"/>
          <w:color w:val="auto"/>
        </w:rPr>
        <w:t xml:space="preserve"> N</w:t>
      </w:r>
      <w:r>
        <w:rPr>
          <w:rFonts w:ascii="Arial" w:cs="Arial" w:eastAsia="Arial" w:hAnsi="Arial"/>
          <w:sz w:val="11"/>
          <w:szCs w:val="11"/>
          <w:i w:val="1"/>
          <w:iCs w:val="1"/>
          <w:color w:val="auto"/>
        </w:rPr>
        <w:t>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48260</wp:posOffset>
            </wp:positionV>
            <wp:extent cx="309943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99435" cy="1651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Narsi Narayanan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of Finance (Principal Financial and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Accounting Officer)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May 14, 2012</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B</w:t>
      </w:r>
      <w:r>
        <w:rPr>
          <w:rFonts w:ascii="Arial" w:cs="Arial" w:eastAsia="Arial" w:hAnsi="Arial"/>
          <w:sz w:val="11"/>
          <w:szCs w:val="11"/>
          <w:i w:val="1"/>
          <w:iCs w:val="1"/>
          <w:color w:val="auto"/>
        </w:rPr>
        <w:t>RAD</w:t>
      </w:r>
      <w:r>
        <w:rPr>
          <w:rFonts w:ascii="Arial" w:cs="Arial" w:eastAsia="Arial" w:hAnsi="Arial"/>
          <w:sz w:val="17"/>
          <w:szCs w:val="17"/>
          <w:color w:val="auto"/>
        </w:rPr>
        <w:t xml:space="preserve"> </w:t>
      </w:r>
      <w:r>
        <w:rPr>
          <w:rFonts w:ascii="Arial" w:cs="Arial" w:eastAsia="Arial" w:hAnsi="Arial"/>
          <w:sz w:val="17"/>
          <w:szCs w:val="17"/>
          <w:i w:val="1"/>
          <w:iCs w:val="1"/>
          <w:color w:val="auto"/>
        </w:rPr>
        <w:t>R. B</w:t>
      </w:r>
      <w:r>
        <w:rPr>
          <w:rFonts w:ascii="Arial" w:cs="Arial" w:eastAsia="Arial" w:hAnsi="Arial"/>
          <w:sz w:val="11"/>
          <w:szCs w:val="11"/>
          <w:i w:val="1"/>
          <w:iCs w:val="1"/>
          <w:color w:val="auto"/>
        </w:rPr>
        <w:t>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48260</wp:posOffset>
            </wp:positionV>
            <wp:extent cx="309943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99435" cy="1651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Brad R. Baldwin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May 14, 2012</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S</w:t>
      </w:r>
      <w:r>
        <w:rPr>
          <w:rFonts w:ascii="Arial" w:cs="Arial" w:eastAsia="Arial" w:hAnsi="Arial"/>
          <w:sz w:val="11"/>
          <w:szCs w:val="11"/>
          <w:i w:val="1"/>
          <w:iCs w:val="1"/>
          <w:color w:val="auto"/>
        </w:rPr>
        <w:t>COTT</w:t>
      </w:r>
      <w:r>
        <w:rPr>
          <w:rFonts w:ascii="Arial" w:cs="Arial" w:eastAsia="Arial" w:hAnsi="Arial"/>
          <w:sz w:val="17"/>
          <w:szCs w:val="17"/>
          <w:color w:val="auto"/>
        </w:rPr>
        <w:t xml:space="preserve"> </w:t>
      </w:r>
      <w:r>
        <w:rPr>
          <w:rFonts w:ascii="Arial" w:cs="Arial" w:eastAsia="Arial" w:hAnsi="Arial"/>
          <w:sz w:val="17"/>
          <w:szCs w:val="17"/>
          <w:i w:val="1"/>
          <w:iCs w:val="1"/>
          <w:color w:val="auto"/>
        </w:rPr>
        <w:t>M. H</w:t>
      </w:r>
      <w:r>
        <w:rPr>
          <w:rFonts w:ascii="Arial" w:cs="Arial" w:eastAsia="Arial" w:hAnsi="Arial"/>
          <w:sz w:val="11"/>
          <w:szCs w:val="11"/>
          <w:i w:val="1"/>
          <w:iCs w:val="1"/>
          <w:color w:val="auto"/>
        </w:rPr>
        <w:t>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48260</wp:posOffset>
            </wp:positionV>
            <wp:extent cx="309943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9435" cy="1651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Scott M. Huntsman</w:t>
      </w:r>
    </w:p>
    <w:p>
      <w:pPr>
        <w:sectPr>
          <w:pgSz w:w="11900" w:h="16838" w:orient="portrait"/>
          <w:cols w:equalWidth="0" w:num="2">
            <w:col w:w="6000" w:space="700"/>
            <w:col w:w="4720"/>
          </w:cols>
          <w:pgMar w:left="240" w:top="132"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color w:val="auto"/>
        </w:rPr>
        <w:t>Director</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May 14,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May 14, 2012</w:t>
      </w:r>
    </w:p>
    <w:sectPr>
      <w:pgSz w:w="11900" w:h="16838" w:orient="portrait"/>
      <w:cols w:equalWidth="0" w:num="2">
        <w:col w:w="5920" w:space="720"/>
        <w:col w:w="3519"/>
      </w:cols>
      <w:pgMar w:left="300" w:top="1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2019-12-09T10:13:06Z</dcterms:created>
  <dcterms:modified xsi:type="dcterms:W3CDTF">2019-12-09T10:13:06Z</dcterms:modified>
</cp:coreProperties>
</file>