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28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30, 2022</w:t>
      </w:r>
    </w:p>
    <w:p>
      <w:pPr>
        <w:spacing w:after="0" w:line="155" w:lineRule="exact"/>
        <w:rPr>
          <w:sz w:val="24"/>
          <w:szCs w:val="24"/>
          <w:color w:val="auto"/>
        </w:rPr>
      </w:pPr>
    </w:p>
    <w:p>
      <w:pPr>
        <w:ind w:left="380" w:right="1700" w:hanging="372"/>
        <w:spacing w:after="0" w:line="286"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_______ to 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34"/>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34"/>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34"/>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16" w:right="339" w:bottom="144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Larger 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16" w:right="339" w:bottom="1440" w:gutter="0" w:footer="0" w:header="0"/>
          <w:type w:val="continuous"/>
        </w:sectPr>
      </w:pPr>
    </w:p>
    <w:p>
      <w:pPr>
        <w:spacing w:after="0" w:line="1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August 11, 2022 was 23,952,555.</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JUNE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June 30, 2022 and December 31,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 for the three and six months ended June</w:t>
            </w: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8"/>
        </w:trPr>
        <w:tc>
          <w:tcPr>
            <w:tcW w:w="920" w:type="dxa"/>
            <w:vAlign w:val="bottom"/>
            <w:shd w:val="clear" w:color="auto" w:fill="CCEEFF"/>
          </w:tcPr>
          <w:p>
            <w:pPr>
              <w:spacing w:after="0"/>
              <w:rPr>
                <w:sz w:val="11"/>
                <w:szCs w:val="11"/>
                <w:color w:val="auto"/>
              </w:rPr>
            </w:pPr>
          </w:p>
        </w:tc>
        <w:tc>
          <w:tcPr>
            <w:tcW w:w="9500" w:type="dxa"/>
            <w:vAlign w:val="bottom"/>
            <w:gridSpan w:val="18"/>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 2022 and 2021</w:t>
            </w: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500" w:type="dxa"/>
            <w:vAlign w:val="bottom"/>
            <w:gridSpan w:val="18"/>
            <w:vMerge w:val="continue"/>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2022 and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900" w:type="dxa"/>
            <w:vAlign w:val="bottom"/>
            <w:tcBorders>
              <w:bottom w:val="single" w:sz="8" w:color="CCEEFF"/>
            </w:tcBorders>
            <w:gridSpan w:val="17"/>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20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 and $326,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r>
      <w:tr>
        <w:trPr>
          <w:trHeight w:val="209"/>
        </w:trPr>
        <w:tc>
          <w:tcPr>
            <w:tcW w:w="8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r>
      <w:tr>
        <w:trPr>
          <w:trHeight w:val="26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22"/>
                <w:szCs w:val="22"/>
                <w:color w:val="auto"/>
              </w:rPr>
            </w:pPr>
          </w:p>
        </w:tc>
      </w:tr>
      <w:tr>
        <w:trPr>
          <w:trHeight w:val="197"/>
        </w:trPr>
        <w:tc>
          <w:tcPr>
            <w:tcW w:w="8200" w:type="dxa"/>
            <w:vAlign w:val="bottom"/>
            <w:shd w:val="clear" w:color="auto" w:fill="CCEEFF"/>
          </w:tcPr>
          <w:p>
            <w:pPr>
              <w:ind w:left="2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r>
      <w:tr>
        <w:trPr>
          <w:trHeight w:val="210"/>
        </w:trPr>
        <w:tc>
          <w:tcPr>
            <w:tcW w:w="8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8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23,952,555 and 22,410,126 shares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72,795</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(23,296)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(21,072)</w:t>
            </w:r>
          </w:p>
        </w:tc>
      </w:tr>
      <w:tr>
        <w:trPr>
          <w:trHeight w:val="223"/>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00" w:type="dxa"/>
            <w:vAlign w:val="bottom"/>
            <w:tcBorders>
              <w:bottom w:val="single" w:sz="8" w:color="CCEEFF"/>
            </w:tcBorders>
          </w:tcPr>
          <w:p>
            <w:pPr>
              <w:spacing w:after="0"/>
              <w:rPr>
                <w:sz w:val="19"/>
                <w:szCs w:val="19"/>
                <w:color w:val="auto"/>
              </w:rPr>
            </w:pPr>
          </w:p>
        </w:tc>
      </w:tr>
      <w:tr>
        <w:trPr>
          <w:trHeight w:val="223"/>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4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4,568</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4,311</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9,297</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2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w:t>
            </w: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3,473</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2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(2,189)</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(2,224</w:t>
            </w:r>
          </w:p>
        </w:tc>
        <w:tc>
          <w:tcPr>
            <w:tcW w:w="200" w:type="dxa"/>
            <w:vAlign w:val="bottom"/>
          </w:tcPr>
          <w:p>
            <w:pPr>
              <w:spacing w:after="0"/>
              <w:rPr>
                <w:sz w:val="13"/>
                <w:szCs w:val="13"/>
                <w:color w:val="auto"/>
              </w:rPr>
            </w:pPr>
          </w:p>
        </w:tc>
        <w:tc>
          <w:tcPr>
            <w:tcW w:w="26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(3,241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08"/>
        </w:trPr>
        <w:tc>
          <w:tcPr>
            <w:tcW w:w="520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23,948,631</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18,775,817</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23,923,110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18,775,795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23,948,631</w:t>
            </w:r>
          </w:p>
        </w:tc>
        <w:tc>
          <w:tcPr>
            <w:tcW w:w="2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18,775,817</w:t>
            </w: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23,923,110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18,775,795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c>
          <w:tcPr>
            <w:tcW w:w="200" w:type="dxa"/>
            <w:vAlign w:val="bottom"/>
            <w:shd w:val="clear" w:color="auto" w:fill="CCEEFF"/>
          </w:tcPr>
          <w:p>
            <w:pPr>
              <w:jc w:val="right"/>
              <w:ind w:right="36"/>
              <w:spacing w:after="0" w:line="155"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(2,249</w:t>
            </w:r>
          </w:p>
        </w:tc>
        <w:tc>
          <w:tcPr>
            <w:tcW w:w="200" w:type="dxa"/>
            <w:vAlign w:val="bottom"/>
            <w:tcBorders>
              <w:right w:val="single" w:sz="8" w:color="CCEEFF"/>
            </w:tcBorders>
            <w:vMerge w:val="continue"/>
            <w:shd w:val="clear" w:color="auto" w:fill="CCEEFF"/>
          </w:tcPr>
          <w:p>
            <w:pPr>
              <w:spacing w:after="0"/>
              <w:rPr>
                <w:sz w:val="13"/>
                <w:szCs w:val="13"/>
                <w:color w:val="auto"/>
              </w:rPr>
            </w:pPr>
          </w:p>
        </w:tc>
        <w:tc>
          <w:tcPr>
            <w:tcW w:w="260" w:type="dxa"/>
            <w:vAlign w:val="bottom"/>
            <w:shd w:val="clear" w:color="auto" w:fill="CCEEFF"/>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(3,268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5200" w:type="dxa"/>
            <w:vAlign w:val="bottom"/>
            <w:vMerge w:val="continue"/>
            <w:shd w:val="clear" w:color="auto" w:fill="CCEEFF"/>
          </w:tcPr>
          <w:p>
            <w:pPr>
              <w:spacing w:after="0"/>
              <w:rPr>
                <w:sz w:val="5"/>
                <w:szCs w:val="5"/>
                <w:color w:val="auto"/>
              </w:rPr>
            </w:pPr>
          </w:p>
        </w:tc>
        <w:tc>
          <w:tcPr>
            <w:tcW w:w="580" w:type="dxa"/>
            <w:vAlign w:val="bottom"/>
            <w:gridSpan w:val="2"/>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080" w:type="dxa"/>
            <w:vAlign w:val="bottom"/>
            <w:tcBorders>
              <w:right w:val="single" w:sz="8" w:color="CCEEFF"/>
            </w:tcBorders>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tcBorders>
              <w:right w:val="single" w:sz="8" w:color="CCEEFF"/>
            </w:tcBorders>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0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(2,224)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(3,241)</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1,593</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recognized on Paycheck Protection Plan Loan forgiveness</w:t>
            </w:r>
          </w:p>
        </w:tc>
        <w:tc>
          <w:tcPr>
            <w:tcW w:w="28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(1,528)</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(3,341)</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8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28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2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1,394</w:t>
            </w: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2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Paycheck Protection Program loan refund upon full forgiveness net of loan payments</w:t>
            </w:r>
          </w:p>
        </w:tc>
        <w:tc>
          <w:tcPr>
            <w:tcW w:w="28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tcPr>
          <w:p>
            <w:pPr>
              <w:spacing w:after="0"/>
              <w:rPr>
                <w:sz w:val="19"/>
                <w:szCs w:val="19"/>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36"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8"/>
          <w:szCs w:val="18"/>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59"/>
        </w:trPr>
        <w:tc>
          <w:tcPr>
            <w:tcW w:w="5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43"/>
        </w:trPr>
        <w:tc>
          <w:tcPr>
            <w:tcW w:w="5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60" w:type="dxa"/>
            <w:vAlign w:val="bottom"/>
          </w:tcPr>
          <w:p>
            <w:pPr>
              <w:spacing w:after="0"/>
              <w:rPr>
                <w:sz w:val="21"/>
                <w:szCs w:val="21"/>
                <w:color w:val="auto"/>
              </w:rPr>
            </w:pPr>
          </w:p>
        </w:tc>
      </w:tr>
      <w:tr>
        <w:trPr>
          <w:trHeight w:val="223"/>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60" w:type="dxa"/>
            <w:vAlign w:val="bottom"/>
          </w:tcPr>
          <w:p>
            <w:pPr>
              <w:spacing w:after="0"/>
              <w:rPr>
                <w:sz w:val="19"/>
                <w:szCs w:val="19"/>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-624840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-334010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UNAUIDTED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2022 and December 31, 2021, the results of operations for the three and six months ended June 30, 2022 and 2021, and the cash flows for the six months ended June 30, 2022 and 2021. The results of operations for the three and six months ended June 30, 2022 and 2021 are not necessarily indicative of the results for a full-year period. These interim unaudited condensed consolidated financial statements should be read in conjunction with the financial statements included in our Annual Report on Form 10-K for the year ended December 31, 2021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2021. There have been no changes to these policies during the June 30, 2022 that are of significance or potential significance to the Company.</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The Company has determined that recently issued accounting standards will not have a material impact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position, results of operations or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2022, our cash and cash equivalents were approximately $1,203 compared to $1,071 as of December 31, 2021. Our working capital was $20,162 as of June 30, 2022. Net cash used in operating activities was $2,692 for the six months ended June 30, 2022, an increase of $3,677 from $985 of cash provided by operating activities in the six months ended June 30, 2021. The Company is currently pursuing all available legal remedies to defend its strategic patents from infringement. The Company has already spent approximately $28,653 from 2016 through June 30, 2022 towards this litigation and may be required to spend more to continue its legal defense. In order to maintain liquidity, the Company has been actively engaged in preserving cash by implementing company-wide cost reduction measures and raising additional capital. The company raised additional capital in 2019 by issuing senior convertible notes, in 2020 by borrowing through the CARES Act Paycheck Protection Program and issuing common stock and warrants and in 2021 by issuing short-term notes and issuing common stock and warrants. In January 2022, the Company issued $2,000 in common stock as consideration for the cancellation and termination of the short-term notes. In addition, the Company has been generating additional cash as our inventory levels are brought down to historical levels.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including collecting on the income taxes receivable balance, will provide the liquidity needed to meet our operating needs through at least August 12, 2023.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If the Company needs additional capital and is unable to secure financing, it may be required to further reduce expenses, delay product development and enhancement, or revise its strategy regarding ongoing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9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6,453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6,051</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20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2,416</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7,375</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2"/>
              </w:rPr>
              <w:t>14,920</w:t>
            </w:r>
          </w:p>
        </w:tc>
        <w:tc>
          <w:tcPr>
            <w:tcW w:w="220" w:type="dxa"/>
            <w:vAlign w:val="bottom"/>
            <w:vMerge w:val="continue"/>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9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6,960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2,468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19"/>
                <w:szCs w:val="19"/>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4,542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7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1,723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2,298</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3,418</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7,375</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2"/>
              </w:rPr>
              <w:t>14,920</w:t>
            </w:r>
          </w:p>
        </w:tc>
        <w:tc>
          <w:tcPr>
            <w:tcW w:w="22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convertible portion of senior convertible notes are considered to be potential common stock. The computation of diluted earnings (loss) per share does not assume exercise or conversion of securities that would have an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(3,241)</w:t>
            </w: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23,948,631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18,775,817</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23,923,110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18,775,795</w:t>
            </w:r>
          </w:p>
        </w:tc>
      </w:tr>
      <w:tr>
        <w:trPr>
          <w:trHeight w:val="243"/>
        </w:trPr>
        <w:tc>
          <w:tcPr>
            <w:tcW w:w="5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23,948,631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18,775,817</w:t>
            </w:r>
          </w:p>
        </w:tc>
        <w:tc>
          <w:tcPr>
            <w:tcW w:w="20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23,923,110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18,775,795</w:t>
            </w:r>
          </w:p>
        </w:tc>
      </w:tr>
      <w:tr>
        <w:trPr>
          <w:trHeight w:val="197"/>
        </w:trPr>
        <w:tc>
          <w:tcPr>
            <w:tcW w:w="5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options, warrants and convertible portion of senior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outstanding</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6,937,350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3,597,418</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6,999,665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3,616,661</w:t>
            </w: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options, warrants and convertible portion of senior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not included in the computation</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6,937,350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3,597,148</w:t>
            </w: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6,999,665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3,616,661</w:t>
            </w:r>
          </w:p>
        </w:tc>
      </w:tr>
      <w:tr>
        <w:trPr>
          <w:trHeight w:val="459"/>
        </w:trPr>
        <w:tc>
          <w:tcPr>
            <w:tcW w:w="528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as of December 31,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There were no available-for-sale securities as of June 30, 2022.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June 30,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8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34,107</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33,553</w:t>
            </w: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2,981</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(13,677)</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(12,326)</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the three and six months ended June 30, 2022 and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2,733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2,408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12,901</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of reserves, as of June 30, 2022 and December 31, 2021 consisted of the following:</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4,501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w:t>
            </w:r>
          </w:p>
        </w:tc>
      </w:tr>
      <w:tr>
        <w:trPr>
          <w:trHeight w:val="24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5,357</w:t>
            </w:r>
          </w:p>
        </w:tc>
        <w:tc>
          <w:tcPr>
            <w:tcW w:w="5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5,948</w:t>
            </w:r>
          </w:p>
        </w:tc>
      </w:tr>
      <w:tr>
        <w:trPr>
          <w:trHeight w:val="263"/>
        </w:trPr>
        <w:tc>
          <w:tcPr>
            <w:tcW w:w="74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3"/>
              </w:rPr>
              <w:t>9,858</w:t>
            </w:r>
          </w:p>
        </w:tc>
        <w:tc>
          <w:tcPr>
            <w:tcW w:w="22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Borders>
              <w:bottom w:val="single" w:sz="8" w:color="CCEEFF"/>
            </w:tcBorders>
          </w:tcPr>
          <w:p>
            <w:pPr>
              <w:spacing w:after="0"/>
              <w:rPr>
                <w:sz w:val="22"/>
                <w:szCs w:val="22"/>
                <w:color w:val="auto"/>
              </w:rPr>
            </w:pPr>
          </w:p>
        </w:tc>
      </w:tr>
      <w:tr>
        <w:trPr>
          <w:trHeight w:val="196"/>
        </w:trPr>
        <w:tc>
          <w:tcPr>
            <w:tcW w:w="7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1,417</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1,568</w:t>
            </w:r>
          </w:p>
        </w:tc>
        <w:tc>
          <w:tcPr>
            <w:tcW w:w="5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23"/>
        </w:trPr>
        <w:tc>
          <w:tcPr>
            <w:tcW w:w="7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3"/>
              </w:rPr>
              <w:t>2,985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 for the three and six months ended June 30, 2022 and 2021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5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178"/>
        </w:trPr>
        <w:tc>
          <w:tcPr>
            <w:tcW w:w="52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incurred on valuation of inventory at lower of cost or market</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and write-off of obsolete inventory</w:t>
            </w:r>
          </w:p>
        </w:tc>
        <w:tc>
          <w:tcPr>
            <w:tcW w:w="12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three and six months ended June 30, 2022 and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Pr>
          <w:p>
            <w:pPr>
              <w:spacing w:after="0"/>
              <w:rPr>
                <w:sz w:val="21"/>
                <w:szCs w:val="21"/>
                <w:color w:val="auto"/>
              </w:rPr>
            </w:pPr>
          </w:p>
        </w:tc>
        <w:tc>
          <w:tcPr>
            <w:tcW w:w="29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1"/>
                <w:szCs w:val="21"/>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1"/>
                <w:szCs w:val="21"/>
                <w:color w:val="auto"/>
              </w:rPr>
            </w:pP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2023. The Gainesville facility is used primarily to support the Company's research and development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occupies a 21,443 square-foot facility in Salt Lake City, Utah under the terms of an operating lease expiring in March 2024, with an option to extend for additional five years. The facility supports the Company's principal administrative, sales, marketing, customer support, and research and product development activities.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950 square-foot facility in Austin, Texas under the terms of an operating lease expiring in October 2022. This facility supports the Company's sales, marketing, customer support, and research and development activities.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occupies a 6,175 square-foot facility in Chennai, India under the terms of an operating lease expiring in August 2023. This facility supports the Company's administrative, marketing, customer support, and research and product development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Pr>
          <w:p>
            <w:pPr>
              <w:spacing w:after="0"/>
              <w:rPr>
                <w:sz w:val="21"/>
                <w:szCs w:val="21"/>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4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40" w:type="dxa"/>
            <w:vAlign w:val="bottom"/>
          </w:tcPr>
          <w:p>
            <w:pPr>
              <w:spacing w:after="0"/>
              <w:rPr>
                <w:sz w:val="23"/>
                <w:szCs w:val="23"/>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June 30, 2022: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(Remainder)</w:t>
            </w:r>
          </w:p>
        </w:tc>
        <w:tc>
          <w:tcPr>
            <w:tcW w:w="140" w:type="dxa"/>
            <w:vAlign w:val="bottom"/>
          </w:tcPr>
          <w:p>
            <w:pPr>
              <w:spacing w:after="0"/>
              <w:rPr>
                <w:sz w:val="22"/>
                <w:szCs w:val="22"/>
                <w:color w:val="auto"/>
              </w:rPr>
            </w:pPr>
          </w:p>
        </w:tc>
        <w:tc>
          <w:tcPr>
            <w:tcW w:w="13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1,430</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6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74,855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63,413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63,378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63,450</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74,885</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(23,039)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(21,072)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18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(2,224)</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(3,241)</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51,323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46,618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 of Common Stock and Warrants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with certain purchasers named therein, pursuant to which the Company issued and sold in a registered direct offering 2,116,050 shares of the Company's common stock, par value $0.001 per share at an offering price of $2.4925 per share. The Company received gross proceeds of approximately $5,275 and net proceeds $4,764 after deducting placement agent fees and related offering expenses. In a concurring private placement, the Company also issued to the same purchasers warrants exercisable for an aggregate of 1,058,025 shares of common stock at an exercise price of $2.43 per share. Each warrant became immediately exercisable and will expire five years from the issuance date.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9.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Convertible Notes and Warrants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was the beneficial owner of approximately 46.6% of the Company’s issued and outstanding shares of Common Stock at the time that the Notes and Warrants were issued to him.</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accounting for the issuance of the Notes, the Company separated Notes and Warrants into liability and equity components. The carrying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7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issue discount and issuance costs are netted against the liability. The following table represents the carrying value of Notes and Warrants: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84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UNAUDITED NOTES TO CONSOLIDATED FINANCIAL STATEMENTS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amounts)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r>
      <w:tr>
        <w:trPr>
          <w:trHeight w:val="223"/>
        </w:trPr>
        <w:tc>
          <w:tcPr>
            <w:tcW w:w="80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component:</w:t>
            </w: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9"/>
                <w:szCs w:val="19"/>
                <w:color w:val="auto"/>
              </w:rPr>
            </w:pPr>
          </w:p>
        </w:tc>
      </w:tr>
      <w:tr>
        <w:trPr>
          <w:trHeight w:val="230"/>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 and issuance costs, net of amortization</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r>
      <w:tr>
        <w:trPr>
          <w:trHeight w:val="263"/>
        </w:trPr>
        <w:tc>
          <w:tcPr>
            <w:tcW w:w="8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Borders>
              <w:bottom w:val="single" w:sz="8" w:color="CFF0FC"/>
            </w:tcBorders>
          </w:tcPr>
          <w:p>
            <w:pPr>
              <w:spacing w:after="0"/>
              <w:rPr>
                <w:sz w:val="22"/>
                <w:szCs w:val="22"/>
                <w:color w:val="auto"/>
              </w:rPr>
            </w:pPr>
          </w:p>
        </w:tc>
      </w:tr>
      <w:tr>
        <w:trPr>
          <w:trHeight w:val="223"/>
        </w:trPr>
        <w:tc>
          <w:tcPr>
            <w:tcW w:w="8000" w:type="dxa"/>
            <w:vAlign w:val="bottom"/>
            <w:gridSpan w:val="2"/>
            <w:shd w:val="clear" w:color="auto" w:fill="CFF0FC"/>
          </w:tcPr>
          <w:p>
            <w:pPr>
              <w:spacing w:after="0" w:line="223" w:lineRule="exact"/>
              <w:rPr>
                <w:sz w:val="20"/>
                <w:szCs w:val="20"/>
                <w:color w:val="auto"/>
              </w:rPr>
            </w:pPr>
            <w:r>
              <w:rPr>
                <w:rFonts w:ascii="Times New Roman" w:cs="Times New Roman" w:eastAsia="Times New Roman" w:hAnsi="Times New Roman"/>
                <w:sz w:val="16"/>
                <w:szCs w:val="16"/>
                <w:color w:val="auto"/>
              </w:rPr>
              <w:t>Equity component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r>
      <w:tr>
        <w:trPr>
          <w:trHeight w:val="229"/>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9"/>
                <w:szCs w:val="19"/>
                <w:color w:val="auto"/>
              </w:rPr>
            </w:pPr>
          </w:p>
        </w:tc>
      </w:tr>
      <w:tr>
        <w:trPr>
          <w:trHeight w:val="263"/>
        </w:trPr>
        <w:tc>
          <w:tcPr>
            <w:tcW w:w="8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FF0FC"/>
            </w:tcBorders>
          </w:tcPr>
          <w:p>
            <w:pPr>
              <w:spacing w:after="0"/>
              <w:rPr>
                <w:sz w:val="22"/>
                <w:szCs w:val="22"/>
                <w:color w:val="auto"/>
              </w:rPr>
            </w:pPr>
          </w:p>
        </w:tc>
      </w:tr>
      <w:tr>
        <w:trPr>
          <w:trHeight w:val="210"/>
        </w:trPr>
        <w:tc>
          <w:tcPr>
            <w:tcW w:w="1280" w:type="dxa"/>
            <w:vAlign w:val="bottom"/>
            <w:shd w:val="clear" w:color="auto" w:fill="CFF0FC"/>
          </w:tcPr>
          <w:p>
            <w:pPr>
              <w:spacing w:after="0"/>
              <w:rPr>
                <w:sz w:val="18"/>
                <w:szCs w:val="18"/>
                <w:color w:val="auto"/>
              </w:rPr>
            </w:pPr>
          </w:p>
        </w:tc>
        <w:tc>
          <w:tcPr>
            <w:tcW w:w="6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liability component included under short-term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r>
      <w:tr>
        <w:trPr>
          <w:trHeight w:val="230"/>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liability component included under long-term debt</w:t>
            </w:r>
          </w:p>
        </w:tc>
        <w:tc>
          <w:tcPr>
            <w:tcW w:w="1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FF0FC"/>
          </w:tcPr>
          <w:p>
            <w:pPr>
              <w:spacing w:after="0"/>
              <w:rPr>
                <w:sz w:val="19"/>
                <w:szCs w:val="19"/>
                <w:color w:val="auto"/>
              </w:rPr>
            </w:pPr>
          </w:p>
        </w:tc>
      </w:tr>
      <w:tr>
        <w:trPr>
          <w:trHeight w:val="22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-2540</wp:posOffset>
            </wp:positionV>
            <wp:extent cx="1979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(1) Recorded on the condensed consolidated balance sheets as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-151130</wp:posOffset>
            </wp:positionV>
            <wp:extent cx="19799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discount and issuance costs are amortized over the life of the note to interest expense using the effective interest method. During the three and six months ended June 30, 2022, amortization of debt discount and issuance costs was $49 and $98, respectively and for the three and six months ended June 30, 2021, amortization of debt discount and issuance costs was $49 and $98, respectively. The following table represents schedule of maturities of principal amount contained in the Notes as of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Principal Amount Maturing</w:t>
            </w:r>
          </w:p>
        </w:tc>
      </w:tr>
      <w:tr>
        <w:trPr>
          <w:trHeight w:val="250"/>
        </w:trPr>
        <w:tc>
          <w:tcPr>
            <w:tcW w:w="4980" w:type="dxa"/>
            <w:vAlign w:val="bottom"/>
            <w:tcBorders>
              <w:top w:val="single" w:sz="8" w:color="auto"/>
            </w:tcBorders>
            <w:shd w:val="clear" w:color="auto" w:fill="CFF0FC"/>
          </w:tcPr>
          <w:p>
            <w:pPr>
              <w:spacing w:after="0" w:line="250" w:lineRule="exact"/>
              <w:rPr>
                <w:sz w:val="20"/>
                <w:szCs w:val="20"/>
                <w:color w:val="auto"/>
              </w:rPr>
            </w:pPr>
            <w:r>
              <w:rPr>
                <w:rFonts w:ascii="Times New Roman" w:cs="Times New Roman" w:eastAsia="Times New Roman" w:hAnsi="Times New Roman"/>
                <w:sz w:val="22"/>
                <w:szCs w:val="22"/>
                <w:color w:val="auto"/>
              </w:rPr>
              <w:t>2022 (Remainder)</w:t>
            </w:r>
          </w:p>
        </w:tc>
        <w:tc>
          <w:tcPr>
            <w:tcW w:w="80" w:type="dxa"/>
            <w:vAlign w:val="bottom"/>
            <w:tcBorders>
              <w:top w:val="single" w:sz="8" w:color="CFF0FC"/>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top w:val="single" w:sz="8" w:color="CFF0FC"/>
            </w:tcBorders>
            <w:shd w:val="clear" w:color="auto" w:fill="CFF0FC"/>
          </w:tcPr>
          <w:p>
            <w:pPr>
              <w:spacing w:after="0"/>
              <w:rPr>
                <w:sz w:val="21"/>
                <w:szCs w:val="2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2023</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tcPr>
          <w:p>
            <w:pPr>
              <w:spacing w:after="0"/>
              <w:rPr>
                <w:sz w:val="22"/>
                <w:szCs w:val="22"/>
                <w:color w:val="auto"/>
              </w:rPr>
            </w:pPr>
          </w:p>
        </w:tc>
      </w:tr>
      <w:tr>
        <w:trPr>
          <w:trHeight w:val="257"/>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22"/>
                <w:szCs w:val="22"/>
                <w:color w:val="auto"/>
              </w:rPr>
              <w:t>2024</w:t>
            </w:r>
          </w:p>
        </w:tc>
        <w:tc>
          <w:tcPr>
            <w:tcW w:w="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2025</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amount</w:t>
            </w:r>
          </w:p>
        </w:tc>
        <w:tc>
          <w:tcPr>
            <w:tcW w:w="9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Bridge Loan</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2, 2021, the Company obtained a bridge loan in the principal amount of $2,000 from Edward D. Bagley (the “Bridge Loan”), an affiliate of the Company.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 On September 11, 2021, the Company amended and restated the terms of the Bridge Loan to extend the latest maturity date from October 1, 2021 to January 3, 2022. All other terms and conditions of the Bridge Loan remained the same. This Bridge Loan of $2,000 is included under short-term debt as of December 31, 2021.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57" w:lineRule="exact"/>
        <w:rPr>
          <w:sz w:val="20"/>
          <w:szCs w:val="20"/>
          <w:color w:val="auto"/>
        </w:rPr>
      </w:pPr>
    </w:p>
    <w:p>
      <w:pPr>
        <w:jc w:val="both"/>
        <w:ind w:firstLine="324"/>
        <w:spacing w:after="0" w:line="235" w:lineRule="auto"/>
        <w:rPr>
          <w:sz w:val="20"/>
          <w:szCs w:val="20"/>
          <w:color w:val="auto"/>
        </w:rPr>
      </w:pPr>
      <w:r>
        <w:rPr>
          <w:rFonts w:ascii="Calibri" w:cs="Calibri" w:eastAsia="Calibri" w:hAnsi="Calibri"/>
          <w:sz w:val="18"/>
          <w:szCs w:val="18"/>
          <w:color w:val="auto"/>
        </w:rPr>
        <w:t>On April 18, 2020, the Company, entered into a loan agreement with U.S. Bank Natonal Associaton Bank, which provided for a loan in the principal amount of $1,499 (“PPP Loan”) pursuant to the Paycheck Protecton Program under Division A, Title I of the CARES Act, which was enacted March 27, 2020. The PPP Loan had a two-year term and bears interest at a rate of 1.0% per annum. Monthly principal and interest payments are deferred for approximately sixteen months afer the date of disbursement.</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Paycheck Protection Program Loan ("PPP Loan") under the CARES Act was forgiven by Small Business Administration effective April 29, 2022. With this forgiveness, the Company is not required to repay the principal amount of $1,499 and the interest of $31. The Company received $953 back that it had already paid towards principal and interest payments toward the PPP Loan. The Company treated the forgiveness as extinguishment of debt in this quarter ended June 30, 2022 and reported the entire principal amount forgiven of $1,499 along with interest already accounted for of $29 as a gain on extinguishment of debt.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the PPP Loan included under short-term debt</w:t>
            </w: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the PPP Loan included under long-term debt</w:t>
            </w:r>
          </w:p>
        </w:tc>
        <w:tc>
          <w:tcPr>
            <w:tcW w:w="144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are valued using observable inputs. The following table sets forth the fair value of the financial instruments re-measured by the Company as of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instruments that were re-measured by the Company as of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six months ended June 30, 2022 mostly represents income tax expense recorded for jurisdictions outside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approximately $895 of uncertain tax positions as of June 30, 2022. Due to the inherent uncertainty of the underlying tax positions, it is not possible to forecast the payment of this liability for any particular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manufacturing agreements with electronics manufacturing service (“EMS”) providers related to the outsourced manufacturing of our products. Certain manufacturing agreements establish annual volume commitments. We are also obligated to repurchase the Company-forecasted but unused materials. The Company has non-cancellable, non-returnable, and long-lead time commitments with its EMS providers and certain suppliers for inventory components that will be used in production. The Company’s purchase commitments under such agreements are approximately $6,383 as of June 30,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2021.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early January 2022, we introduced DIALOG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USB, the industry's only pro-quality, single-channel wireless USB microphone system offering professional-quality audio with USB connectivity for webcasting and cloud-based collaboration. In March 2022, this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 DIALOG 10 USB won its second award in May 2022 by winning the 2022 Top New Technology (TNT) Award in the Microphone category. In June 2022, at Infocomm 2022 in Las Vegas, Nevada, DIALOG 10 USB won two additional awards - Commercial Integrator 2022 BEST Award in the Microphones category and 2022 Sound &amp; Video Contractor Magazine Infocomm Best in Market Award.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January, at the Las Vegas Customer Electronics Show, CES 2022, the world’s most influential annual tech event, our home office Aura™ Xceed™ BMA was singled out for exceptional innovation with a CES Picks Award, presented by Residential Systems magazine.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February 2022, our Versa Lite CT, a USB audio-enabled Beamforming Ceiling Tile Microphone that brings cost-effective and superb professional conferencing audio to small- and mid-sized spaces received Google Meet certification. Google Meet ranks among the top 5 for growth in the cloud meetings and team collaboration market according to Frost &amp; Sullivan.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February 2022, we were awarded a new patent for a beamforming microphone array system with distributed processing. This patent claims a ceiling tile microphone array that can be physically separated from the processors running the beamforming algorithm. It enables a single computing engine to run multiple beamforming algorithms for multiple microphone arrays, which can lower the overall system cost compared to an integrated design that is limited to a single computing engine with a single microphone array. Later in the same month another ClearOne patent was granted which is related to beamforming microphone arrays with acoustic echo cancellation. The patent, titled “Band-Limited Beamforming Microphone Array with Acoustic Echo Cancellation," describes, among other things, a microphone array with one set of microphones used for beamforming, and one or more additional microphones that are not used for beamforming, but instead are used to enhance the audio performance of the microphone array.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March 2022, we were awarded a new patent titled “Conferencing Apparatus”, that describes, among other things, a beamforming microphone array with acoustic echo cancellation and a set of configurable fixed beams. The patent goes on to describe performing a direction of arrival determination, and in response to that determination, selecting one or more of those fixed beams for audio transmission.</w:t>
      </w:r>
    </w:p>
    <w:p>
      <w:pPr>
        <w:spacing w:after="0" w:line="1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early April 2022, a ClearOne patent issued titled “Ceiling Tile Microphone,” that claims, among other things, a ceiling tile beamforming microphone that is powered through Power over Ethernet (PoE). Later in the same month another ClearOne patent was granted, also titled “Ceiling Tile Microphone,” that claims, among other things, a ceiling tile microphone that includes beamforming, acoustic echo cancellation, and auto voice tracking.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for the sixth time since its groundbreaking debut in 2020, the ClearOne BMA 360 microphone has been recognized by the world’s most discerning AV buyers with the prestigious Best in Market Award at ISE 2022. The microphone was one of only three winners in this year’s award program. The Best in Market Award program is presented by leading industry publication Sound &amp; Video Contractor at Integrated Systems Europe (ISE), the world’s largest AV and systems integration show. The program recognizes the most innovative technology within the AV industry, and the judges include respected AV and IT managers, directors, engineers, industry consultants and integrators.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six months of 2022, we continued our efforts, primarily through litigation, to stop the infringement of our strategic patents. 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(U.S. Patent No. 9,813,806)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 2020, the U.S. District Court of Northern Illinois held that "Shure has violated the preliminary injunction order and is found in contempt because it designed the MXA910-A in such a way that allows it to be easily installed flush in most ceiling grids". The Court also opined that, "[t]he record is clear and convincing that Shure - through its design choices - violated the injunction order by allowing integrators to install the MXA910-A in the enjoined flush configuration." Ultimately, the Court ordered that "Shure shall no longer manufacture, market, or sell the MXA910...". ClearOne's motion to accuse Shure's MXA910-US of infringing the '806 Patent is still pending with the Court.</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Shure expanded the original litigation in the U.S. District Court of North Illinois to the District of Delaware, where Shure filed claims for patent infringement, including of a design patent, and trade libel against ClearOne. In May 2020 and January 2021, we secured an important pair of wins, defeating Shure’s requests first for a temporary restraining order and then a preliminary injunction, allowing us to continue selling our ground-breaking audio-conferencing products. In addition to defeating Shure’s requests for preliminary injunctive relief, we also obtained a stay of the proceedings with respect to the only other asserted patent. During November 2021, after a three-day jury trial, ClearOne obtained a complete victory against claims asserted by Shure, when the jury returned a verdict of no infringement and invalidated the asserted patent.</w:t>
      </w:r>
    </w:p>
    <w:p>
      <w:pPr>
        <w:spacing w:after="0" w:line="2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February 2022 we claimed another legal victory over Shure. The Patent Trial and Appeal Board (PTAB) of the United States Patent and Trademark Office (PTO) issued a final written decision confirming the patentability of all claims of ClearOne’s important U.S. Patent No. 10,728,653 (the “’653 Patent”). The ’653 Patent covers aspects of ClearOne’s revolutionary innovations in BMAs and relates to “a ceiling tile combined with</w:t>
      </w:r>
    </w:p>
    <w:p>
      <w:pPr>
        <w:spacing w:after="0" w:line="1" w:lineRule="exact"/>
        <w:rPr>
          <w:sz w:val="20"/>
          <w:szCs w:val="20"/>
          <w:color w:val="auto"/>
        </w:rPr>
      </w:pPr>
    </w:p>
    <w:p>
      <w:pPr>
        <w:jc w:val="both"/>
        <w:ind w:firstLine="8"/>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beamforming microphone array” that includes acoustic echo cancellation and “adaptive acoustic processing that automatically adjusts to a room configuration.” Shortly after the ’653 patent was issued in mid-2020, Shure initiated the case in yet another attempt to disrupt ClearOne’s patent rights, but the PTAB rejected each and every one of Shure’s seven challenges resulting in the latest in a long string of defeats for Shure.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continued our programs to cut costs and to speed up product development that we believe will enable us to get back to a growth path.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revenue decreased by 5% in the second quarter of 2022 when compared to the second quarter of 2021, primarily due to a significant decrease in revenues from video products and a further decrease in revenues from microphones, which were partially offset by an increase in revenues from audio conferencing products. Overall revenue increased by 1% during the first six months of 2022 when compared to revenue in the first six months of 2021 due to increases in revenues from audio conferencing products and microphones, which were partially offset by a decrease in revenues from video products. Despite the negative impact of COVID-19 and the infringement of our patents by Shure on all professional installed products, our new solutions incorporating Beamforming Microphone Array Ceiling Tile ("BMA-CT") continued to result in overall Beamforming Microphone Array ("BMA") revenue being higher than last year. However, revenue from BMA products as well as from our pro audio products are still far below the levels prior to infringement of our patents. Our revenue is negatively impacted due to on-going harm of infringement of ClearOne’s patents despite the preliminary injunction granted against Shure as we believe Shure continues to infringe certain of our patents and violates the preliminary injunction. The patent infringement also has negatively impacted directly the revenue from ClearOne’s other products not related to the infringed patents. Our revenue performance in 2022-Q2 and the first six months of 2022 was also impacted negatively due to increased costs associated with the electronic raw material supply shortages that have affected the global manufacturing of high tech products. We expect these supply shortages and associated increased costs to continue through at least the end of 2022.</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gross profit margin decreased to 38.1% during the second quarter of 2022 from 44.3% during the second quarter of 2021. Our gross profit margin decreased to 37.7% during the first six months of 2022 compared to 43.5% during the first six months of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decreased from $1.6 million in the second quarter of 2021 to $0.3 million in the second quarter of 2022. Our net loss decreased from $3.2 million in the first half of 2021 to $2.2 million in the first half of 2022. The decrease in net loss was mainly due to the recognition of $1.5 million in gain from the forgiveness of CARES Act Paycheck Protection Program Loan, which was partially offset by (a) decrease in absolute gross profit dollars as a result of reduced gross margin, and (b) increased amortization costs relating to our capitalized patent defense costs.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 conferencing products, which are our flagship product category, continue to be ahead of the competition despite the reduction in revenues. Our strength in this space is largely due to our fully integrated suite of products consisting of DSP mixers, a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the BMA 360 are critical to our long term growth. We face intense competition in this market from well-established market leaders as well as emerging players rich with marketing funds. We expect our strategy of combining curated audio solutions with our high quality professional cameras, and our high-end audio conferencing technology will generate high growth in the near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major portion of our revenue (approximately 51% for the year ended December 31, 2021)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the ability of installers to visit commercial sites. On the other hand, COVID-19 generated higher than normal demand for our video products and personal conferencing products due to the significant expansion of the work-from-home market. The extent of COVID-19’s effect on our operational and financial performance keeps evolving and depends on multiple factors including the severity and infectiousness of current and future virus strains, the effectiveness of vaccines especially on novel strains of COVID-19, government regulations, etc., all of which are uncertain and difficult to predict considering the rapidly evolving landscape. Supply chain disruptions primarily resulting from COVID-19 have caused significant fluctuations in our costs of goods resulting in a reduction of our gross margins in the first half of 2022. We expect these fluctuations to continue through at least the end of 2022. If the global economy’s recovery from the pandemic continues to experience supply chain disruptions, it could have a material adverse effect on our business, results of operations, financial condition and cash flows and adversely impact the trading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decreased to $43 thousand on June 30, 2022 compared to $54 thousand on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19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Results of Operations for the three and six months ended June 30, 2022</w:t>
      </w:r>
    </w:p>
    <w:p>
      <w:pPr>
        <w:spacing w:after="0" w:line="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and six months ended June 30, 2022 (“2022-Q2”) ("2022-H1") and 2021 ("2021-Q2") ("2021-H1"), respectively, together with the percentage of total revenue which each such item represents: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gridSpan w:val="7"/>
          </w:tcPr>
          <w:p>
            <w:pPr>
              <w:jc w:val="right"/>
              <w:ind w:right="1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20"/>
                <w:szCs w:val="20"/>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131"/>
              <w:spacing w:after="0" w:line="181" w:lineRule="exact"/>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8"/>
        </w:trPr>
        <w:tc>
          <w:tcPr>
            <w:tcW w:w="26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(Adverse) in %</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(Adverse) in %</w:t>
            </w:r>
          </w:p>
        </w:tc>
        <w:tc>
          <w:tcPr>
            <w:tcW w:w="12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4,568</w:t>
            </w:r>
          </w:p>
        </w:tc>
        <w:tc>
          <w:tcPr>
            <w:tcW w:w="28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9,297</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8,346</w:t>
            </w:r>
          </w:p>
        </w:tc>
        <w:tc>
          <w:tcPr>
            <w:tcW w:w="2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product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1,177</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2,530</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2,761</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1,717</w:t>
            </w:r>
          </w:p>
        </w:tc>
        <w:tc>
          <w:tcPr>
            <w:tcW w:w="28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3,473</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3,348</w:t>
            </w:r>
          </w:p>
        </w:tc>
        <w:tc>
          <w:tcPr>
            <w:tcW w:w="2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1,411</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decreased to $7.4 million in 2022-Q2 compared to $7.7 million in 2021-Q2 primarily due to a 31% decline in video products and a 3% decline in microphones, which were partially offset by a 6% increase in audio conferencing. Despite the overall decline in microphones, our BMA-CT and BMA 360 solutions continue to exhibit growth while our traditional ceiling mics suffered significant revenue decrease. Audio Conferencing category as a whole increased mainly due to a significantly strong revenue performance of our professional mixers. Video products suffered declines in 2022-Q2 compared to 2021-Q2 due to lack of demand for video products. During the second quarter of 2022, revenues from Americas declined by 13% primarily due to decreased revenues from USA despite revenue increases from Latin America and Canada, while revenues from Asia Pacific, including the Middle East, India and Australia increased by a significant 37% primarily due to overall increase in revenues from India, the Middle East and Japan, and revenues from Europe and Africa decreased by 25% primarily due to significant revenue decrease from Southern Europe.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our revenues increased from $14.8 million to $14.9 million compared to same period in 2021 due to revenues from microphones increasing by 9%, video products decreasing by 26% and audio conferencing increasing by 9%. The increase in revenue from microphones continued to be led by our BMA-CT and BMA 360 solutions. Audio Conferencing category as a whole increased mainly due to a strong revenue performance by our professional mixers. During 2022-H1 Americas declined by 3%, Asia Pacific, including the Middle East and India increased by 13% and Europe and Africa declined by 5%. India, the Middle East and Northern Europe led in revenue growth while USA, China and Southern Europe suffered major revenue decreases.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generating operating profits through our strategic initiatives namely product innovation, cost reduction and defense of our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margin decreased from 44.3% during 2021-Q2 to 38.1% during 2022-Q2. The gross profit margin was negatively impacted due to increase in material costs due to continuing supply chain constraints, which was partially offset by reduced freight and tariff costs and a decrease in inventory obsolescence costs in 2022-Q2.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margin decreased from 43.5% during 2021-H1 to 37.7% during 2022-H1. The gross profit margin decreased primarily due to increase in material costs due to continuing supply chain constraints, which was partially offset by reduced freight and tariff costs and a decrease in inventory obsolescence costs in 2022-H1.</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$0.5 million of wireless microphone-related finished goods and assemblies, $0.3 million of Converge Pro and Beamforming microphone array products, $0.7 million of video products, and $1.4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were $4.5 million in 2022-Q2 compared to $4.9 million in 2021-Q2. Total operating expenses were $9.1 million for 2022-H1 compared to $9.4 million for 2021-H1. The following contains a more detailed discussion of expenses related to sales and marketing, research and product development, general and administrative, and other items.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S&amp;M expenses in 2022-Q2 decreased to $1.6 million from $1.8 million for 2021-Q2. The decreases in employment expenses and consultant expenses due to a reduction in the headcount were offset by an increase in trade-show related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S&amp;M expenses for 2022-H1 decreased to $3.1 million from $3.3 million for 2021-H1. The decreases in employment expenses and consultant expenses due to a reduction in the headcount were offset by increases in trade-show related expenses and advertising.</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to $1.2 million in 2022-Q2 compared to $1.5 million for 2021-Q2. The decrease was primarily due to reduction in employment expenses due to reduction in the headcount.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R&amp;D expenses decreased to $2.5 million in 2022-H1, from $2.8 million in 2021-H1. The decrease in employment expenses due to reduction in the headcount was partially offset by increase in project-related expenses.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remained the same at $1.7 million in 2021-Q2 and 2022-Q2. The increase in amortization costs relating to our capitalized patent defense costs were partially offset by a reduction in legal expenses and consulting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G&amp;A expenses increased from $3.3 million in 2021-H1 to $3.5 million in 2022-H1. The increases in amortization costs relating to our capitalized patent defense costs and insurance costs were partially offset by decreases in legal expenses and consulting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includes interest income and foreign currency changes. Other income in 2022-Q2 and 2022-H1 includes $1.5 million recognized on the gain arising from the CARES Act Paycheck Protection Program loan forgiveness. Other items remained immaterial during the second quarter of 2022 and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almost remained unchanged at $0.1 million in 2022-Q2 when compared to 2021-Q2. Interest expense remained consistent at $0.2 million in 2022-H1 and 2021-H1.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of 2022 and 2021, we did not recognize any benefit from the losses incurred due to setting up of a full valuation allowance. Provision for income taxes recognized for 2022-Q2 and 2022-H1 primarily relates to foreign jurisdictions.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ind w:right="1940"/>
        <w:spacing w:after="0" w:line="45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LIQUIDITY AND CAPITAL RESOURCES</w:t>
      </w:r>
    </w:p>
    <w:p>
      <w:pPr>
        <w:spacing w:after="0" w:line="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our cash and cash equivalents were approximately $1.2 million compared to $1.1 million as of December 31, 2021. Our working capital was $20.2 million and $18.0 million as of June 30, 2022 and December 31, 2021,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$2.7 million in 2022-H1, an increase of cash used in operating activities of approximately $3.7 million from $1.0 million of cash provided by operating activities in 2021-H1. The increase in cash outflow was due to a negative change in operating assets and liabilities of $2.8 million, and increase in net loss by $0.9 million after adjusting for non-cash charges.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$2.4 million in 2022-H1compared to net cash used in investing activities of $2.5 million in 2021-H1, a change in cash flow of $4.9 million. The change in cash flow was primarily due to (a) an increase in proceeds from sale of marketable securities net of any purchases from $0.9 million in 2021-H1 to $3.0 million in 2022-H2, and (b) a decrease in capitalized patent defense costs by $2.7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2022-H1 was a $0.4 million, comprised of a $0.8 million refund of the CARES Act Paycheck Protection Program Loan with interest offset by $0.4 million repayment of principal amounts due on senior convertible notes compared to cash used in financing activities of $0.2 million in 2021-H1, which consisted primarily of repayment of principal amounts due on senior convertible notes.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Capitalization of patent defense costs</w:t>
      </w:r>
      <w:r>
        <w:rPr>
          <w:rFonts w:ascii="Times New Roman" w:cs="Times New Roman" w:eastAsia="Times New Roman" w:hAnsi="Times New Roman"/>
          <w:sz w:val="18"/>
          <w:szCs w:val="18"/>
          <w:color w:val="auto"/>
        </w:rPr>
        <w:t>. We capitalize external legal costs incurred in the defense of our patents when we believe that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patents, which is 10 to 20 years. During 2022-Q2 we spent $0.3 million on legal costs related to the defense of our patents and capitalized the entire amount.</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pursuing all available legal remedies to defend our strategic patents from infringement. We have already spent approximately $28.7 million from 2016 through June 30, 2022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the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2022, our cash and cash equivalents were approximately $1,203 compared to $1,071 as of December 31, 2021. Our working capital was $20,162 as of June 30, 2022. Net cash used in operating activities was $2,692 for the six months ended June 30, 2022, an increase of $3,677 from $985 of cash provided by operating activities in the six months ended June 30, 2021. We are currently pursuing all available legal remedies to defend our strategic patents from infringement. We have already spent approximately $28,653 from 2016 through June 30, 2022 towards this litigation and may be required to spend more to continue our legal defense. In order to maintain liquidity, we have been actively engaged in preserving cash by implementing company-wide cost reduction measures and raising additional capital. We raised additional capital in 2019 by issuing senior convertible notes, in 2020 by borrowing through the CARES Act Paycheck Protection Program and issuing common stock and warrants and in 2021 by issuing short-term notes and issuing common stock and warrants. In January 2022, we issued $2,000 in common stock as consideration for the cancellation and termination of the short-term notes. In addition, we have been generating additional cash as our inventory levels are brought down to historical levels.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believe that our core strategies of product innovation and prudent cost management will bring us back to profitability in the future. We believe, although there can be no assurance, that all of these measures and effective management of working capital, including collecting on the income tax receivable balance, will provide the liquidity needed to meet our operating needs through at least August 12, 2023.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had open purchase orders of approximately $6.4 million mostly for purchase of inventory.</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we had inventory totaling $12.8 million, of which non-current inventory accounted for $3.0 million. This compares to total inventories of $13.6 million and non-current inventory of $3.6 million as of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June 30, 2022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3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More than 5</w:t>
            </w:r>
          </w:p>
        </w:tc>
        <w:tc>
          <w:tcPr>
            <w:tcW w:w="100" w:type="dxa"/>
            <w:vAlign w:val="bottom"/>
          </w:tcPr>
          <w:p>
            <w:pPr>
              <w:spacing w:after="0"/>
              <w:rPr>
                <w:sz w:val="17"/>
                <w:szCs w:val="17"/>
                <w:color w:val="auto"/>
              </w:rPr>
            </w:pPr>
          </w:p>
        </w:tc>
      </w:tr>
      <w:tr>
        <w:trPr>
          <w:trHeight w:val="215"/>
        </w:trPr>
        <w:tc>
          <w:tcPr>
            <w:tcW w:w="3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2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94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June 30, 2022 was performed under the supervision and with the participation of our management, including our Chief Executive Officer and our Principal Financial and Accounting Officer. Based upon this evaluation, our Interim Chief Executive Officer and Chief Financial Officer concluded that, as of the end of the period covered by this Quarterly Report, our disclosure controls and procedures are effective at a reasonable assurance level as of June 30, 2022.</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June 30, 2022,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against Shure Incorporated (“Shure”) as further described in Part I, Item 3 of the Company’s Annual Report on Form 10-K for the year ended December 31, 2021 (the “Annual Report”), which information is incorporated herein by reference. The following recent developments amend and supplement the disclosure of the ongoing litigation proceedings against Shure as of June 30, 2022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17-cv-3078 (N.D. of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filed a motion asking the Court to schedule a trial date, but the Court denied that request without prejudice on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 v. Shure, Incorporated, 19-cv-02421 (N.D. of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filed a motion asking the Court to schedule a trial date, but the Court denied that request without prejudice on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19-cv-1343 (D. of Delaware)</w:t>
      </w:r>
    </w:p>
    <w:p>
      <w:pPr>
        <w:spacing w:after="0" w:line="239"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7"/>
          <w:szCs w:val="17"/>
          <w:color w:val="auto"/>
        </w:rPr>
        <w:t>The Company filed a motion asking the Court to set a trial date on ClearOne’s counterclaims of unfair competition and tortious interference with business relations. Shure opposed that motion and asked the Court to stay proceedings on ClearOne’s counterclaims. The motions are fully briefed and pending.</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140" w:type="dxa"/>
            <w:vAlign w:val="bottom"/>
            <w:tcBorders>
              <w:top w:val="single" w:sz="8" w:color="auto"/>
            </w:tcBorders>
            <w:gridSpan w:val="6"/>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Securities Purchase Agreement dated January 4, 2022 (filed as Exhibit 10.1 to the Company’s Current Report on Form 8-K as filed with the</w:t>
              </w:r>
            </w:hyperlink>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gridSpan w:val="6"/>
          </w:tcPr>
          <w:p>
            <w:pPr>
              <w:spacing w:after="0" w:line="19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SEC on January 4,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0140" w:type="dxa"/>
            <w:vAlign w:val="bottom"/>
            <w:gridSpan w:val="6"/>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Registration Rights Agreement dated January 4, 2022 (filed as Exhibit 10.1 to the Company’s Current Report on Form 8-K as filed with the</w:t>
              </w:r>
            </w:hyperlink>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SEC on January 4, 2022 and incorporated herein by reference).</w:t>
              </w:r>
            </w:hyperlink>
          </w:p>
        </w:tc>
        <w:tc>
          <w:tcPr>
            <w:tcW w:w="552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(filed herewith)</w:t>
            </w: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ClearOne, Inc.,</w:t>
            </w:r>
          </w:p>
        </w:tc>
      </w:t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479"/>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608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6"/>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Narsi Narayanan</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5160" w:type="dxa"/>
            <w:vAlign w:val="bottom"/>
          </w:tcPr>
          <w:p>
            <w:pPr>
              <w:spacing w:after="0"/>
              <w:rPr>
                <w:sz w:val="24"/>
                <w:szCs w:val="2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1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2022,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78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August 12, 2022</w:t>
            </w:r>
          </w:p>
        </w:tc>
        <w:tc>
          <w:tcPr>
            <w:tcW w:w="25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3" Type="http://schemas.openxmlformats.org/officeDocument/2006/relationships/hyperlink" Target="http://www.sec.gov/Archives/edgar/data/840715/000175392622000016/ex101_1.htm" TargetMode="External"/><Relationship Id="rId44" Type="http://schemas.openxmlformats.org/officeDocument/2006/relationships/hyperlink" Target="http://www.sec.gov/Archives/edgar/data/840715/000175392622000016/ex10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2022-08-13T12:04:08Z</dcterms:created>
  <dcterms:modified xsi:type="dcterms:W3CDTF">2022-08-13T12:04:08Z</dcterms:modified>
</cp:coreProperties>
</file>