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80" w:type="dxa"/>
            <w:vAlign w:val="bottom"/>
          </w:tcPr>
          <w:p>
            <w:pPr>
              <w:spacing w:after="0"/>
              <w:rPr>
                <w:sz w:val="20"/>
                <w:szCs w:val="20"/>
                <w:color w:val="auto"/>
              </w:rPr>
            </w:pPr>
          </w:p>
        </w:tc>
        <w:tc>
          <w:tcPr>
            <w:tcW w:w="17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439"/>
        </w:trPr>
        <w:tc>
          <w:tcPr>
            <w:tcW w:w="45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(State or Other Jurisdiction of Incorporation)</w:t>
            </w:r>
          </w:p>
        </w:tc>
        <w:tc>
          <w:tcPr>
            <w:tcW w:w="3120" w:type="dxa"/>
            <w:vAlign w:val="bottom"/>
            <w:gridSpan w:val="6"/>
          </w:tcPr>
          <w:p>
            <w:pPr>
              <w:ind w:left="140"/>
              <w:spacing w:after="0"/>
              <w:rPr>
                <w:sz w:val="20"/>
                <w:szCs w:val="20"/>
                <w:color w:val="auto"/>
              </w:rPr>
            </w:pPr>
            <w:r>
              <w:rPr>
                <w:rFonts w:ascii="Arial" w:cs="Arial" w:eastAsia="Arial" w:hAnsi="Arial"/>
                <w:sz w:val="18"/>
                <w:szCs w:val="18"/>
                <w:color w:val="auto"/>
              </w:rPr>
              <w:t>(Commission File Number)</w:t>
            </w:r>
          </w:p>
        </w:tc>
        <w:tc>
          <w:tcPr>
            <w:tcW w:w="3600" w:type="dxa"/>
            <w:vAlign w:val="bottom"/>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32"/>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790"/>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January 4, 2022, ClearOne, Inc., a Delaware corporation (the “Company”), entered into a Securities Purchase Agreement (the “Purchase Agreement”) with Edward D. Bagley, pursuant to which the Company agreed to issue and sell, in a private placement 1,538,461 shares (the “Shares”) of the Company’s common stock, par value $0.001 per share (the “Common Stock”), at a purchase price of $1.30 per share of Common Stock (the “Offering”). The consideration for the Shares is the cancellation and termination of Mr. Bagley’s outstanding bridge loan to the Company in the principal amount of $2,000,000 originally issued on July 2, 2021 and amended and restated on September 11, 2021. Mr. Bagley is an affiliate of the Company and the Company’s single largest stockholder.</w:t>
      </w:r>
    </w:p>
    <w:p>
      <w:pPr>
        <w:spacing w:after="0" w:line="7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Shares are not being registered under the Securities Act of 1933, as amended (the “Securities Act”), and were offered pursuant to the exemption provided in Section 4(a)(2) under the Securities Act, and Rule 506(b) promulgated thereunder.</w:t>
      </w:r>
    </w:p>
    <w:p>
      <w:pPr>
        <w:spacing w:after="0" w:line="3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Pursuant to the terms of a registration rights agreement dated January 4, 2022 by and among the Company and Mr. Bagley (the “Registration Rights Agreement”), the Company agreed to use best efforts to cause a registration statement on Form S-3 providing for the resale by Mr. Bagley of the Shares to become effective 40 days following the date that the Company files with the SEC all of the information in its annual report on Form 10-K for the year ended December 31, 2021, including all of the information required by Part III of Form 10-K..</w:t>
      </w:r>
    </w:p>
    <w:p>
      <w:pPr>
        <w:spacing w:after="0" w:line="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Mr. Bagley and customary indemnification rights and obligations of the parties. Pursuant to the terms of the Purchase Agreement, the Company has agreed to certain restrictions on the issuance and sale of its Common Stock or Common Stock Equivalents (as defined in the Purchase Agreement) until 45 days after the registration statement covering the shares has been declared effective by the SEC.</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Offering is expected to close on or about January 4, 2022, subject to customary closing conditions.</w:t>
      </w:r>
    </w:p>
    <w:p>
      <w:pPr>
        <w:spacing w:after="0" w:line="9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foregoing summaries of the Purchase Agreement and Registration Rights Agreement do not purport to be complete and are subject to, and qualified in their entirety by, such documents attached as Exhibits 10.1 and 10.2, respectively, to this Current Report on Form 8-K, which are incorporated herein by reference.</w:t>
      </w:r>
    </w:p>
    <w:p>
      <w:pPr>
        <w:spacing w:after="0" w:line="5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of the Offering under Item 1.01 above is incorporate herein by reference.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5"/>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Exhibit Title</w:t>
            </w:r>
          </w:p>
        </w:tc>
      </w:tr>
      <w:tr>
        <w:trPr>
          <w:trHeight w:val="385"/>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Securities Purchase Agreement.</w:t>
              </w:r>
            </w:hyperlink>
          </w:p>
        </w:tc>
        <w:tc>
          <w:tcPr>
            <w:tcW w:w="6840" w:type="dxa"/>
            <w:vAlign w:val="bottom"/>
          </w:tcPr>
          <w:p>
            <w:pPr>
              <w:spacing w:after="0"/>
              <w:rPr>
                <w:sz w:val="24"/>
                <w:szCs w:val="24"/>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Registration Rights Agreement.</w:t>
              </w:r>
            </w:hyperlink>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250"/>
        </w:trPr>
        <w:tc>
          <w:tcPr>
            <w:tcW w:w="1300" w:type="dxa"/>
            <w:vAlign w:val="bottom"/>
          </w:tcPr>
          <w:p>
            <w:pPr>
              <w:spacing w:after="0"/>
              <w:rPr>
                <w:sz w:val="20"/>
                <w:szCs w:val="20"/>
                <w:color w:val="auto"/>
              </w:rPr>
            </w:pPr>
            <w:r>
              <w:rPr>
                <w:rFonts w:ascii="Arial" w:cs="Arial" w:eastAsia="Arial" w:hAnsi="Arial"/>
                <w:sz w:val="18"/>
                <w:szCs w:val="18"/>
                <w:color w:val="auto"/>
              </w:rPr>
              <w:t>104.1</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587"/>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920" w:type="dxa"/>
            <w:vAlign w:val="bottom"/>
            <w:gridSpan w:val="2"/>
          </w:tcPr>
          <w:p>
            <w:pPr>
              <w:ind w:left="1720"/>
              <w:spacing w:after="0"/>
              <w:rPr>
                <w:sz w:val="20"/>
                <w:szCs w:val="20"/>
                <w:color w:val="auto"/>
              </w:rPr>
            </w:pPr>
            <w:r>
              <w:rPr>
                <w:rFonts w:ascii="Arial" w:cs="Arial" w:eastAsia="Arial" w:hAnsi="Arial"/>
                <w:sz w:val="18"/>
                <w:szCs w:val="18"/>
                <w:color w:val="auto"/>
              </w:rPr>
              <w:t>CLEARONE, INC.</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Date: January 4, 2022</w:t>
            </w:r>
          </w:p>
        </w:tc>
        <w:tc>
          <w:tcPr>
            <w:tcW w:w="7920" w:type="dxa"/>
            <w:vAlign w:val="bottom"/>
            <w:gridSpan w:val="2"/>
          </w:tcPr>
          <w:p>
            <w:pPr>
              <w:ind w:left="17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76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January 4, 2022, between ClearOne,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Edward D. Bagley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(as defined below), and Rule 506 promulgated thereunder, the Company desires to issue and sell to the Purchaser, and the Purchaser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39"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39" w:lineRule="exact"/>
        <w:rPr>
          <w:sz w:val="20"/>
          <w:szCs w:val="20"/>
          <w:color w:val="auto"/>
        </w:rPr>
      </w:pPr>
    </w:p>
    <w:p>
      <w:pPr>
        <w:jc w:val="both"/>
        <w:ind w:left="6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39"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aggregate purchase price for the Shares; and (ii) the Company’s obligations to deliver the Securities, in each case, have been satisfied or waived.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39" w:lineRule="exact"/>
        <w:rPr>
          <w:sz w:val="20"/>
          <w:szCs w:val="20"/>
          <w:color w:val="auto"/>
        </w:rPr>
      </w:pPr>
    </w:p>
    <w:p>
      <w:pPr>
        <w:jc w:val="both"/>
        <w:ind w:left="4"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170" w:lineRule="exact"/>
        <w:rPr>
          <w:sz w:val="20"/>
          <w:szCs w:val="20"/>
          <w:color w:val="auto"/>
        </w:rPr>
      </w:pPr>
    </w:p>
    <w:p>
      <w:pPr>
        <w:jc w:val="both"/>
        <w:ind w:left="4" w:firstLine="648"/>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Seyfarth Shaw LLP, with offices located at 700 Milam Street, Suite 1400, Houston, Texas 77002.</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39"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Company Counsel, and (ii) if this Agreement is signed between midnight (New York City time) and 9:00 a.m. (New York City time) on any Trading Day, no later than 9:01 a.m. (New York City time) on the date hereof, unless otherwise instructed as to an earlier time by Company Counsel.</w:t>
      </w:r>
    </w:p>
    <w:p>
      <w:pPr>
        <w:spacing w:after="0" w:line="191"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earliest of the date that (a) the initial Registration Statement has been declared effective by the Commission,</w:t>
      </w:r>
    </w:p>
    <w:p>
      <w:pPr>
        <w:spacing w:after="0" w:line="46" w:lineRule="exact"/>
        <w:rPr>
          <w:sz w:val="20"/>
          <w:szCs w:val="20"/>
          <w:color w:val="auto"/>
        </w:rPr>
      </w:pPr>
    </w:p>
    <w:p>
      <w:pPr>
        <w:jc w:val="both"/>
        <w:ind w:left="4" w:hanging="4"/>
        <w:spacing w:after="0" w:line="290" w:lineRule="auto"/>
        <w:tabs>
          <w:tab w:leader="none" w:pos="266"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 of the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is not an Affiliate of the Company, or (d) all of the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pursuant to such exemption which opinion shall be in form and substance reasonably acceptable to such holders.</w:t>
      </w:r>
    </w:p>
    <w:p>
      <w:pPr>
        <w:spacing w:after="0" w:line="1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98" w:right="33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6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to employees, officers or directors of the Company pursuant to any stock or option plan or employee stock purchase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3.1(bb).</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8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98"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w:t>
      </w:r>
      <w:r>
        <w:rPr>
          <w:rFonts w:ascii="Arial" w:cs="Arial" w:eastAsia="Arial" w:hAnsi="Arial"/>
          <w:sz w:val="18"/>
          <w:szCs w:val="18"/>
          <w:color w:val="auto"/>
        </w:rPr>
        <w:t>” shall have the meaning ascribed to such term in Section 4.2(b).</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 Payments</w:t>
      </w:r>
      <w:r>
        <w:rPr>
          <w:rFonts w:ascii="Arial" w:cs="Arial" w:eastAsia="Arial" w:hAnsi="Arial"/>
          <w:sz w:val="18"/>
          <w:szCs w:val="18"/>
          <w:color w:val="auto"/>
        </w:rPr>
        <w:t>” shall have the meaning ascribed to such term in Section 4.2(b).</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3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on or about the date hereof, among the Company and the Purchaser,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 of the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the Purchaser pursuant to this Agreement.</w:t>
      </w:r>
    </w:p>
    <w:p>
      <w:pPr>
        <w:spacing w:after="0" w:line="2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Colonial Stock Transfer, the current transfer agent of the Company, with offices located at 66 Exchange Place, Ste 100, Salt Lake City, UT 84111,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4.12(b).</w:t>
      </w: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98" w:right="339" w:bottom="1440" w:gutter="0" w:footer="0" w:header="0"/>
        </w:sectPr>
      </w:pPr>
    </w:p>
    <w:bookmarkStart w:id="7" w:name="page8"/>
    <w:bookmarkEnd w:id="7"/>
    <w:p>
      <w:pPr>
        <w:jc w:val="both"/>
        <w:ind w:left="660"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 and reasonably acceptable to the Company, the fees and expenses of which shall be paid by the Company.</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3"/>
        </w:trPr>
        <w:tc>
          <w:tcPr>
            <w:tcW w:w="680" w:type="dxa"/>
            <w:vAlign w:val="bottom"/>
          </w:tcPr>
          <w:p>
            <w:pPr>
              <w:spacing w:after="0"/>
              <w:rPr>
                <w:sz w:val="20"/>
                <w:szCs w:val="20"/>
                <w:color w:val="auto"/>
              </w:rPr>
            </w:pPr>
          </w:p>
        </w:tc>
        <w:tc>
          <w:tcPr>
            <w:tcW w:w="9900" w:type="dxa"/>
            <w:vAlign w:val="bottom"/>
          </w:tcPr>
          <w:p>
            <w:pPr>
              <w:jc w:val="center"/>
              <w:ind w:right="1250"/>
              <w:spacing w:after="0"/>
              <w:rPr>
                <w:sz w:val="20"/>
                <w:szCs w:val="20"/>
                <w:color w:val="auto"/>
              </w:rPr>
            </w:pPr>
            <w:r>
              <w:rPr>
                <w:rFonts w:ascii="Arial" w:cs="Arial" w:eastAsia="Arial" w:hAnsi="Arial"/>
                <w:sz w:val="18"/>
                <w:szCs w:val="18"/>
                <w:b w:val="1"/>
                <w:bCs w:val="1"/>
                <w:color w:val="auto"/>
              </w:rPr>
              <w:t>ARTICLE II.</w:t>
            </w:r>
          </w:p>
        </w:tc>
      </w:tr>
      <w:tr>
        <w:trPr>
          <w:trHeight w:val="230"/>
        </w:trPr>
        <w:tc>
          <w:tcPr>
            <w:tcW w:w="680" w:type="dxa"/>
            <w:vAlign w:val="bottom"/>
          </w:tcPr>
          <w:p>
            <w:pPr>
              <w:spacing w:after="0"/>
              <w:rPr>
                <w:sz w:val="20"/>
                <w:szCs w:val="20"/>
                <w:color w:val="auto"/>
              </w:rPr>
            </w:pPr>
          </w:p>
        </w:tc>
        <w:tc>
          <w:tcPr>
            <w:tcW w:w="9900" w:type="dxa"/>
            <w:vAlign w:val="bottom"/>
          </w:tcPr>
          <w:p>
            <w:pPr>
              <w:jc w:val="center"/>
              <w:ind w:right="1250"/>
              <w:spacing w:after="0"/>
              <w:rPr>
                <w:sz w:val="20"/>
                <w:szCs w:val="20"/>
                <w:color w:val="auto"/>
              </w:rPr>
            </w:pPr>
            <w:r>
              <w:rPr>
                <w:rFonts w:ascii="Arial" w:cs="Arial" w:eastAsia="Arial" w:hAnsi="Arial"/>
                <w:sz w:val="18"/>
                <w:szCs w:val="18"/>
                <w:color w:val="auto"/>
                <w:w w:val="96"/>
              </w:rPr>
              <w:t>PURCHASE AND SALE</w:t>
            </w:r>
          </w:p>
        </w:tc>
      </w:tr>
      <w:tr>
        <w:trPr>
          <w:trHeight w:val="445"/>
        </w:trPr>
        <w:tc>
          <w:tcPr>
            <w:tcW w:w="680" w:type="dxa"/>
            <w:vAlign w:val="bottom"/>
          </w:tcPr>
          <w:p>
            <w:pPr>
              <w:jc w:val="right"/>
              <w:ind w:right="370"/>
              <w:spacing w:after="0"/>
              <w:rPr>
                <w:sz w:val="20"/>
                <w:szCs w:val="20"/>
                <w:color w:val="auto"/>
              </w:rPr>
            </w:pPr>
            <w:r>
              <w:rPr>
                <w:rFonts w:ascii="Arial" w:cs="Arial" w:eastAsia="Arial" w:hAnsi="Arial"/>
                <w:sz w:val="18"/>
                <w:szCs w:val="18"/>
                <w:color w:val="auto"/>
                <w:w w:val="79"/>
              </w:rPr>
              <w:t>2.1</w:t>
            </w:r>
          </w:p>
        </w:tc>
        <w:tc>
          <w:tcPr>
            <w:tcW w:w="9900" w:type="dxa"/>
            <w:vAlign w:val="bottom"/>
          </w:tcPr>
          <w:p>
            <w:pPr>
              <w:ind w:left="460"/>
              <w:spacing w:after="0"/>
              <w:rPr>
                <w:sz w:val="20"/>
                <w:szCs w:val="20"/>
                <w:color w:val="auto"/>
              </w:rPr>
            </w:pPr>
            <w:r>
              <w:rPr>
                <w:rFonts w:ascii="Arial" w:cs="Arial" w:eastAsia="Arial" w:hAnsi="Arial"/>
                <w:sz w:val="18"/>
                <w:szCs w:val="18"/>
                <w:u w:val="single" w:color="auto"/>
                <w:color w:val="auto"/>
                <w:w w:val="95"/>
              </w:rPr>
              <w:t>Closing</w:t>
            </w:r>
            <w:r>
              <w:rPr>
                <w:rFonts w:ascii="Arial" w:cs="Arial" w:eastAsia="Arial" w:hAnsi="Arial"/>
                <w:sz w:val="18"/>
                <w:szCs w:val="18"/>
                <w:color w:val="auto"/>
                <w:w w:val="95"/>
              </w:rPr>
              <w:t>.  On the Closing Date, upon the terms and subject to the conditions set forth herein, substantially concurrent with the</w:t>
            </w:r>
          </w:p>
        </w:tc>
      </w:tr>
    </w:tbl>
    <w:p>
      <w:pPr>
        <w:jc w:val="both"/>
        <w:spacing w:after="0" w:line="309" w:lineRule="auto"/>
        <w:rPr>
          <w:sz w:val="20"/>
          <w:szCs w:val="20"/>
          <w:color w:val="auto"/>
        </w:rPr>
      </w:pPr>
      <w:r>
        <w:rPr>
          <w:rFonts w:ascii="Arial" w:cs="Arial" w:eastAsia="Arial" w:hAnsi="Arial"/>
          <w:sz w:val="16"/>
          <w:szCs w:val="16"/>
          <w:color w:val="auto"/>
        </w:rPr>
        <w:t>execution and delivery of this Agreement by the parties hereto, the Company agrees to sell, and the Purchaser agrees to purchase, 1,538,461 Shares for $1.30 per Share and an aggregate of $1,999,999.30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shall be paid in full upon the concurrent termination on the Closing Date of that certain Amended and Restate Promissory Note of the Company dated September 11, 2021 and originally issued on July 2, 2021 in the principal amount of $2,000,000.00 in favor of the Purchaser (the “</w:t>
      </w:r>
      <w:r>
        <w:rPr>
          <w:rFonts w:ascii="Arial" w:cs="Arial" w:eastAsia="Arial" w:hAnsi="Arial"/>
          <w:sz w:val="16"/>
          <w:szCs w:val="16"/>
          <w:u w:val="single" w:color="auto"/>
          <w:color w:val="auto"/>
        </w:rPr>
        <w:t>Subject Note</w:t>
      </w:r>
      <w:r>
        <w:rPr>
          <w:rFonts w:ascii="Arial" w:cs="Arial" w:eastAsia="Arial" w:hAnsi="Arial"/>
          <w:sz w:val="16"/>
          <w:szCs w:val="16"/>
          <w:color w:val="auto"/>
        </w:rPr>
        <w:t>”) and the cancellation of the principal and accrued interest of all amounts payable to the Purchaser pursuant to the Subject Note. The Company and the Purchaser shall deliver the other items set forth in Section 2.2 deliverable at the Closing. Upon satisfaction of the covenants and conditions set forth in Sections 2.2 and 2.3, the Closing shall occur at the offices of Company Counsel or such other location (including remotely by facsimile or other electronic transmission) as the parties shall mutually agree.</w:t>
      </w:r>
    </w:p>
    <w:p>
      <w:pPr>
        <w:spacing w:after="0" w:line="16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39" w:lineRule="exact"/>
        <w:rPr>
          <w:sz w:val="20"/>
          <w:szCs w:val="20"/>
          <w:color w:val="auto"/>
        </w:rPr>
      </w:pPr>
    </w:p>
    <w:p>
      <w:pPr>
        <w:ind w:left="2220" w:hanging="916"/>
        <w:spacing w:after="0"/>
        <w:tabs>
          <w:tab w:leader="none" w:pos="2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or cause to be delivered to the Purchaser the following:</w:t>
      </w:r>
    </w:p>
    <w:p>
      <w:pPr>
        <w:spacing w:after="0" w:line="250" w:lineRule="exact"/>
        <w:rPr>
          <w:rFonts w:ascii="Arial" w:cs="Arial" w:eastAsia="Arial" w:hAnsi="Arial"/>
          <w:sz w:val="17"/>
          <w:szCs w:val="17"/>
          <w:color w:val="auto"/>
        </w:rPr>
      </w:pPr>
    </w:p>
    <w:p>
      <w:pPr>
        <w:ind w:left="2880" w:hanging="928"/>
        <w:spacing w:after="0"/>
        <w:tabs>
          <w:tab w:leader="none" w:pos="2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38" w:lineRule="exact"/>
        <w:rPr>
          <w:rFonts w:ascii="Arial" w:cs="Arial" w:eastAsia="Arial" w:hAnsi="Arial"/>
          <w:sz w:val="18"/>
          <w:szCs w:val="18"/>
          <w:color w:val="auto"/>
        </w:rPr>
      </w:pPr>
    </w:p>
    <w:p>
      <w:pPr>
        <w:ind w:left="2840" w:hanging="888"/>
        <w:spacing w:after="0"/>
        <w:tabs>
          <w:tab w:leader="none" w:pos="2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38" w:lineRule="exact"/>
        <w:rPr>
          <w:rFonts w:ascii="Arial" w:cs="Arial" w:eastAsia="Arial" w:hAnsi="Arial"/>
          <w:sz w:val="18"/>
          <w:szCs w:val="18"/>
          <w:color w:val="auto"/>
        </w:rPr>
      </w:pPr>
    </w:p>
    <w:p>
      <w:pPr>
        <w:jc w:val="both"/>
        <w:ind w:left="1300" w:firstLine="652"/>
        <w:spacing w:after="0" w:line="296" w:lineRule="auto"/>
        <w:tabs>
          <w:tab w:leader="none" w:pos="2785" w:val="left"/>
        </w:tabs>
        <w:numPr>
          <w:ilvl w:val="1"/>
          <w:numId w:val="3"/>
        </w:numPr>
        <w:rPr>
          <w:rFonts w:ascii="Arial" w:cs="Arial" w:eastAsia="Arial" w:hAnsi="Arial"/>
          <w:sz w:val="17"/>
          <w:szCs w:val="17"/>
          <w:color w:val="auto"/>
        </w:rPr>
      </w:pPr>
      <w:r>
        <w:rPr>
          <w:rFonts w:ascii="Arial" w:cs="Arial" w:eastAsia="Arial" w:hAnsi="Arial"/>
          <w:sz w:val="17"/>
          <w:szCs w:val="17"/>
          <w:color w:val="auto"/>
        </w:rPr>
        <w:t>a copy of the irrevocable instructions to the Transfer Agent instructing the Transfer Agent to deliver on an expedited basis a certificate evidencing ownership of 1,538,461 Shares registered in the name of the Purchaser, or, at the election of the Purchaser, evidence of the issuance of the Purchaser’s Shares hereunder as held in DRS book-entry form by the Transfer Agent and registered in the name of the Purchaser, which evidence shall be reasonably satisfactory to the Purchaser; and</w:t>
      </w:r>
    </w:p>
    <w:p>
      <w:pPr>
        <w:spacing w:after="0" w:line="169" w:lineRule="exact"/>
        <w:rPr>
          <w:rFonts w:ascii="Arial" w:cs="Arial" w:eastAsia="Arial" w:hAnsi="Arial"/>
          <w:sz w:val="17"/>
          <w:szCs w:val="17"/>
          <w:color w:val="auto"/>
        </w:rPr>
      </w:pPr>
    </w:p>
    <w:p>
      <w:pPr>
        <w:ind w:left="2800" w:hanging="848"/>
        <w:spacing w:after="0"/>
        <w:tabs>
          <w:tab w:leader="none" w:pos="2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38" w:lineRule="exact"/>
        <w:rPr>
          <w:rFonts w:ascii="Arial" w:cs="Arial" w:eastAsia="Arial" w:hAnsi="Arial"/>
          <w:sz w:val="18"/>
          <w:szCs w:val="18"/>
          <w:color w:val="auto"/>
        </w:rPr>
      </w:pPr>
    </w:p>
    <w:p>
      <w:pPr>
        <w:ind w:left="2180" w:hanging="876"/>
        <w:spacing w:after="0"/>
        <w:tabs>
          <w:tab w:leader="none" w:pos="2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or prior to the Closing Date, the Purchaser shall deliver or cause to be delivered to the Company the following:</w:t>
      </w:r>
    </w:p>
    <w:p>
      <w:pPr>
        <w:spacing w:after="0" w:line="238" w:lineRule="exact"/>
        <w:rPr>
          <w:rFonts w:ascii="Arial" w:cs="Arial" w:eastAsia="Arial" w:hAnsi="Arial"/>
          <w:sz w:val="18"/>
          <w:szCs w:val="18"/>
          <w:color w:val="auto"/>
        </w:rPr>
      </w:pPr>
    </w:p>
    <w:p>
      <w:pPr>
        <w:ind w:left="2880" w:hanging="928"/>
        <w:spacing w:after="0"/>
        <w:tabs>
          <w:tab w:leader="none" w:pos="2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Agreement duly executed by the Purchaser; and</w:t>
      </w:r>
    </w:p>
    <w:p>
      <w:pPr>
        <w:spacing w:after="0" w:line="238" w:lineRule="exact"/>
        <w:rPr>
          <w:rFonts w:ascii="Arial" w:cs="Arial" w:eastAsia="Arial" w:hAnsi="Arial"/>
          <w:sz w:val="18"/>
          <w:szCs w:val="18"/>
          <w:color w:val="auto"/>
        </w:rPr>
      </w:pPr>
    </w:p>
    <w:p>
      <w:pPr>
        <w:ind w:left="2840" w:hanging="888"/>
        <w:spacing w:after="0"/>
        <w:tabs>
          <w:tab w:leader="none" w:pos="2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Purchaser.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39" w:lineRule="exact"/>
        <w:rPr>
          <w:sz w:val="20"/>
          <w:szCs w:val="20"/>
          <w:color w:val="auto"/>
        </w:rPr>
      </w:pPr>
    </w:p>
    <w:p>
      <w:pPr>
        <w:ind w:left="2140" w:hanging="836"/>
        <w:spacing w:after="0"/>
        <w:tabs>
          <w:tab w:leader="none" w:pos="2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obligations of the Company hereunder in connection with the Closing are subject to the following conditions being met:</w:t>
      </w:r>
    </w:p>
    <w:p>
      <w:pPr>
        <w:spacing w:after="0" w:line="261" w:lineRule="exact"/>
        <w:rPr>
          <w:rFonts w:ascii="Arial" w:cs="Arial" w:eastAsia="Arial" w:hAnsi="Arial"/>
          <w:sz w:val="16"/>
          <w:szCs w:val="16"/>
          <w:color w:val="auto"/>
        </w:rPr>
      </w:pPr>
    </w:p>
    <w:p>
      <w:pPr>
        <w:jc w:val="both"/>
        <w:ind w:left="1300" w:firstLine="652"/>
        <w:spacing w:after="0" w:line="279" w:lineRule="auto"/>
        <w:tabs>
          <w:tab w:leader="none" w:pos="277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on the Closing Date of the representations and warranties of the Purchaser contained herein (unless as of a specific date therein in which case they shall be accurate as of such date);</w:t>
      </w:r>
    </w:p>
    <w:p>
      <w:pPr>
        <w:spacing w:after="0" w:line="182" w:lineRule="exact"/>
        <w:rPr>
          <w:rFonts w:ascii="Arial" w:cs="Arial" w:eastAsia="Arial" w:hAnsi="Arial"/>
          <w:sz w:val="18"/>
          <w:szCs w:val="18"/>
          <w:color w:val="auto"/>
        </w:rPr>
      </w:pPr>
    </w:p>
    <w:p>
      <w:pPr>
        <w:ind w:left="1300" w:firstLine="652"/>
        <w:spacing w:after="0" w:line="293" w:lineRule="auto"/>
        <w:tabs>
          <w:tab w:leader="none" w:pos="28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the Purchaser required to be performed at or prior to the Closing Date shall have been performed; and</w:t>
      </w:r>
    </w:p>
    <w:p>
      <w:pPr>
        <w:spacing w:after="0" w:line="169" w:lineRule="exact"/>
        <w:rPr>
          <w:rFonts w:ascii="Arial" w:cs="Arial" w:eastAsia="Arial" w:hAnsi="Arial"/>
          <w:sz w:val="18"/>
          <w:szCs w:val="18"/>
          <w:color w:val="auto"/>
        </w:rPr>
      </w:pPr>
    </w:p>
    <w:p>
      <w:pPr>
        <w:ind w:left="2760" w:hanging="808"/>
        <w:spacing w:after="0"/>
        <w:tabs>
          <w:tab w:leader="none" w:pos="2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2.2(b) of this Agreement.</w:t>
      </w:r>
    </w:p>
    <w:p>
      <w:pPr>
        <w:spacing w:after="0" w:line="238" w:lineRule="exact"/>
        <w:rPr>
          <w:rFonts w:ascii="Arial" w:cs="Arial" w:eastAsia="Arial" w:hAnsi="Arial"/>
          <w:sz w:val="18"/>
          <w:szCs w:val="18"/>
          <w:color w:val="auto"/>
        </w:rPr>
      </w:pPr>
    </w:p>
    <w:p>
      <w:pPr>
        <w:ind w:left="2220" w:hanging="916"/>
        <w:spacing w:after="0"/>
        <w:tabs>
          <w:tab w:leader="none" w:pos="2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respective obligations of the Purchaser hereunder in connection with the Closing are subject to the following conditions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37" w:lineRule="exact"/>
        <w:rPr>
          <w:rFonts w:ascii="Arial" w:cs="Arial" w:eastAsia="Arial" w:hAnsi="Arial"/>
          <w:sz w:val="16"/>
          <w:szCs w:val="16"/>
          <w:color w:val="auto"/>
        </w:rPr>
      </w:pPr>
    </w:p>
    <w:p>
      <w:pPr>
        <w:jc w:val="both"/>
        <w:ind w:left="1300" w:firstLine="652"/>
        <w:spacing w:after="0" w:line="303" w:lineRule="auto"/>
        <w:tabs>
          <w:tab w:leader="none" w:pos="299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64" w:lineRule="exact"/>
        <w:rPr>
          <w:rFonts w:ascii="Arial" w:cs="Arial" w:eastAsia="Arial" w:hAnsi="Arial"/>
          <w:sz w:val="17"/>
          <w:szCs w:val="17"/>
          <w:color w:val="auto"/>
        </w:rPr>
      </w:pPr>
    </w:p>
    <w:p>
      <w:pPr>
        <w:ind w:left="1300" w:firstLine="652"/>
        <w:spacing w:after="0" w:line="293" w:lineRule="auto"/>
        <w:tabs>
          <w:tab w:leader="none" w:pos="2896"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69" w:lineRule="exact"/>
        <w:rPr>
          <w:rFonts w:ascii="Arial" w:cs="Arial" w:eastAsia="Arial" w:hAnsi="Arial"/>
          <w:sz w:val="18"/>
          <w:szCs w:val="18"/>
          <w:color w:val="auto"/>
        </w:rPr>
      </w:pPr>
    </w:p>
    <w:p>
      <w:pPr>
        <w:ind w:left="2760" w:hanging="808"/>
        <w:spacing w:after="0"/>
        <w:tabs>
          <w:tab w:leader="none" w:pos="2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38" w:lineRule="exact"/>
        <w:rPr>
          <w:rFonts w:ascii="Arial" w:cs="Arial" w:eastAsia="Arial" w:hAnsi="Arial"/>
          <w:sz w:val="18"/>
          <w:szCs w:val="18"/>
          <w:color w:val="auto"/>
        </w:rPr>
      </w:pPr>
    </w:p>
    <w:p>
      <w:pPr>
        <w:ind w:left="2800" w:hanging="848"/>
        <w:spacing w:after="0"/>
        <w:tabs>
          <w:tab w:leader="none" w:pos="2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38" w:lineRule="exact"/>
        <w:rPr>
          <w:rFonts w:ascii="Arial" w:cs="Arial" w:eastAsia="Arial" w:hAnsi="Arial"/>
          <w:sz w:val="18"/>
          <w:szCs w:val="18"/>
          <w:color w:val="auto"/>
        </w:rPr>
      </w:pPr>
    </w:p>
    <w:p>
      <w:pPr>
        <w:jc w:val="both"/>
        <w:ind w:left="1300" w:firstLine="652"/>
        <w:spacing w:after="0" w:line="309" w:lineRule="auto"/>
        <w:tabs>
          <w:tab w:leader="none" w:pos="3075" w:val="left"/>
        </w:tabs>
        <w:numPr>
          <w:ilvl w:val="1"/>
          <w:numId w:val="4"/>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Closing.</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Waiver of Default</w:t>
      </w:r>
      <w:r>
        <w:rPr>
          <w:rFonts w:ascii="Arial" w:cs="Arial" w:eastAsia="Arial" w:hAnsi="Arial"/>
          <w:sz w:val="18"/>
          <w:szCs w:val="18"/>
          <w:color w:val="auto"/>
        </w:rPr>
        <w:t>. Effective as of the maturity date of the Subject Note and for a period continuing through and including the anticipated termination and cancellation of the Subject Note on the Closing Date, Purchaser hereby waives any event of default that may be deemed to exist under the Subject Note and any enforcement of remedies in connection with any such event of default.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tbl>
      <w:tblPr>
        <w:tblLayout w:type="fixed"/>
        <w:tblInd w:w="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2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III.</w:t>
            </w:r>
          </w:p>
        </w:tc>
      </w:tr>
      <w:tr>
        <w:trPr>
          <w:trHeight w:val="230"/>
        </w:trPr>
        <w:tc>
          <w:tcPr>
            <w:tcW w:w="540" w:type="dxa"/>
            <w:vAlign w:val="bottom"/>
          </w:tcPr>
          <w:p>
            <w:pPr>
              <w:spacing w:after="0"/>
              <w:rPr>
                <w:sz w:val="20"/>
                <w:szCs w:val="20"/>
                <w:color w:val="auto"/>
              </w:rPr>
            </w:pPr>
          </w:p>
        </w:tc>
        <w:tc>
          <w:tcPr>
            <w:tcW w:w="10020" w:type="dxa"/>
            <w:vAlign w:val="bottom"/>
          </w:tcPr>
          <w:p>
            <w:pPr>
              <w:jc w:val="center"/>
              <w:ind w:right="1090"/>
              <w:spacing w:after="0"/>
              <w:rPr>
                <w:sz w:val="20"/>
                <w:szCs w:val="20"/>
                <w:color w:val="auto"/>
              </w:rPr>
            </w:pPr>
            <w:r>
              <w:rPr>
                <w:rFonts w:ascii="Arial" w:cs="Arial" w:eastAsia="Arial" w:hAnsi="Arial"/>
                <w:sz w:val="18"/>
                <w:szCs w:val="18"/>
                <w:color w:val="auto"/>
                <w:w w:val="95"/>
              </w:rPr>
              <w:t>REPRESENTATIONS AND WARRANTIES</w:t>
            </w:r>
          </w:p>
        </w:tc>
      </w:tr>
      <w:tr>
        <w:trPr>
          <w:trHeight w:val="445"/>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3.1</w:t>
            </w:r>
          </w:p>
        </w:tc>
        <w:tc>
          <w:tcPr>
            <w:tcW w:w="10020" w:type="dxa"/>
            <w:vAlign w:val="bottom"/>
          </w:tcPr>
          <w:p>
            <w:pPr>
              <w:ind w:left="320"/>
              <w:spacing w:after="0"/>
              <w:rPr>
                <w:sz w:val="20"/>
                <w:szCs w:val="20"/>
                <w:color w:val="auto"/>
              </w:rPr>
            </w:pPr>
            <w:r>
              <w:rPr>
                <w:rFonts w:ascii="Arial" w:cs="Arial" w:eastAsia="Arial" w:hAnsi="Arial"/>
                <w:sz w:val="18"/>
                <w:szCs w:val="18"/>
                <w:u w:val="single" w:color="auto"/>
                <w:color w:val="auto"/>
                <w:w w:val="89"/>
              </w:rPr>
              <w:t>Representations and Warranties of the Company</w:t>
            </w:r>
            <w:r>
              <w:rPr>
                <w:rFonts w:ascii="Arial" w:cs="Arial" w:eastAsia="Arial" w:hAnsi="Arial"/>
                <w:sz w:val="18"/>
                <w:szCs w:val="18"/>
                <w:color w:val="auto"/>
                <w:w w:val="89"/>
              </w:rPr>
              <w:t>. Except as set forth in the Disclosure Schedules, which Disclosure Schedules shall be</w:t>
            </w:r>
          </w:p>
        </w:tc>
      </w:tr>
    </w:tbl>
    <w:p>
      <w:pPr>
        <w:jc w:val="both"/>
        <w:ind w:right="20"/>
        <w:spacing w:after="0" w:line="323" w:lineRule="auto"/>
        <w:rPr>
          <w:sz w:val="20"/>
          <w:szCs w:val="20"/>
          <w:color w:val="auto"/>
        </w:rPr>
      </w:pPr>
      <w:r>
        <w:rPr>
          <w:rFonts w:ascii="Arial" w:cs="Arial" w:eastAsia="Arial" w:hAnsi="Arial"/>
          <w:sz w:val="17"/>
          <w:szCs w:val="17"/>
          <w:color w:val="auto"/>
        </w:rPr>
        <w:t>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48" w:lineRule="exact"/>
        <w:rPr>
          <w:sz w:val="20"/>
          <w:szCs w:val="20"/>
          <w:color w:val="auto"/>
        </w:rPr>
      </w:pPr>
    </w:p>
    <w:p>
      <w:pPr>
        <w:jc w:val="both"/>
        <w:ind w:left="660" w:firstLine="644"/>
        <w:spacing w:after="0" w:line="275" w:lineRule="auto"/>
        <w:tabs>
          <w:tab w:leader="none" w:pos="244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material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85" w:lineRule="exact"/>
        <w:rPr>
          <w:rFonts w:ascii="Arial" w:cs="Arial" w:eastAsia="Arial" w:hAnsi="Arial"/>
          <w:sz w:val="18"/>
          <w:szCs w:val="18"/>
          <w:color w:val="auto"/>
        </w:rPr>
      </w:pPr>
    </w:p>
    <w:p>
      <w:pPr>
        <w:jc w:val="both"/>
        <w:ind w:left="660" w:firstLine="644"/>
        <w:spacing w:after="0" w:line="304" w:lineRule="auto"/>
        <w:tabs>
          <w:tab w:leader="none" w:pos="242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166" w:lineRule="exact"/>
        <w:rPr>
          <w:rFonts w:ascii="Arial" w:cs="Arial" w:eastAsia="Arial" w:hAnsi="Arial"/>
          <w:sz w:val="16"/>
          <w:szCs w:val="16"/>
          <w:color w:val="auto"/>
        </w:rPr>
      </w:pPr>
    </w:p>
    <w:p>
      <w:pPr>
        <w:jc w:val="both"/>
        <w:ind w:left="660" w:firstLine="644"/>
        <w:spacing w:after="0" w:line="305" w:lineRule="auto"/>
        <w:tabs>
          <w:tab w:leader="none" w:pos="224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both"/>
        <w:ind w:left="-460" w:firstLine="644"/>
        <w:spacing w:after="0" w:line="304" w:lineRule="auto"/>
        <w:tabs>
          <w:tab w:leader="none" w:pos="134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73" w:lineRule="exact"/>
        <w:rPr>
          <w:rFonts w:ascii="Arial" w:cs="Arial" w:eastAsia="Arial" w:hAnsi="Arial"/>
          <w:sz w:val="16"/>
          <w:szCs w:val="16"/>
          <w:color w:val="auto"/>
        </w:rPr>
      </w:pPr>
    </w:p>
    <w:p>
      <w:pPr>
        <w:jc w:val="both"/>
        <w:ind w:left="-460" w:firstLine="644"/>
        <w:spacing w:after="0" w:line="270" w:lineRule="auto"/>
        <w:tabs>
          <w:tab w:leader="none" w:pos="110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application(s) to each applicable Trading Market for the listing of the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60" w:firstLine="644"/>
        <w:spacing w:after="0" w:line="275" w:lineRule="auto"/>
        <w:tabs>
          <w:tab w:leader="none" w:pos="141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Issuance of the Securities</w:t>
      </w:r>
      <w:r>
        <w:rPr>
          <w:rFonts w:ascii="Arial" w:cs="Arial" w:eastAsia="Arial" w:hAnsi="Arial"/>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85" w:lineRule="exact"/>
        <w:rPr>
          <w:rFonts w:ascii="Arial" w:cs="Arial" w:eastAsia="Arial" w:hAnsi="Arial"/>
          <w:sz w:val="18"/>
          <w:szCs w:val="18"/>
          <w:color w:val="auto"/>
        </w:rPr>
      </w:pPr>
    </w:p>
    <w:p>
      <w:pPr>
        <w:jc w:val="both"/>
        <w:ind w:left="-460" w:firstLine="644"/>
        <w:spacing w:after="0" w:line="283" w:lineRule="auto"/>
        <w:tabs>
          <w:tab w:leader="none" w:pos="138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capitalization of the Company as of September 30, 2021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8" w:right="339" w:bottom="1440" w:gutter="0" w:footer="0" w:header="0"/>
        </w:sectPr>
      </w:pPr>
    </w:p>
    <w:bookmarkStart w:id="11" w:name="page12"/>
    <w:bookmarkEnd w:id="11"/>
    <w:p>
      <w:pPr>
        <w:jc w:val="both"/>
        <w:ind w:left="-460" w:firstLine="644"/>
        <w:spacing w:after="0" w:line="284"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SEC Reports; Financial Statements</w:t>
      </w:r>
      <w:r>
        <w:rPr>
          <w:rFonts w:ascii="Arial" w:cs="Arial" w:eastAsia="Arial" w:hAnsi="Arial"/>
          <w:sz w:val="17"/>
          <w:szCs w:val="17"/>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Reports</w:t>
      </w:r>
      <w:r>
        <w:rPr>
          <w:rFonts w:ascii="Arial" w:cs="Arial" w:eastAsia="Arial" w:hAnsi="Arial"/>
          <w:sz w:val="17"/>
          <w:szCs w:val="17"/>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87" w:lineRule="exact"/>
        <w:rPr>
          <w:rFonts w:ascii="Arial" w:cs="Arial" w:eastAsia="Arial" w:hAnsi="Arial"/>
          <w:sz w:val="17"/>
          <w:szCs w:val="17"/>
          <w:color w:val="auto"/>
        </w:rPr>
      </w:pPr>
    </w:p>
    <w:p>
      <w:pPr>
        <w:jc w:val="both"/>
        <w:ind w:left="-460" w:firstLine="644"/>
        <w:spacing w:after="0" w:line="285" w:lineRule="auto"/>
        <w:tabs>
          <w:tab w:leader="none" w:pos="113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xml:space="preserve">. Since the date of the latest audited financial statements included within the SEC Reports, except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79" w:lineRule="exact"/>
        <w:rPr>
          <w:rFonts w:ascii="Arial" w:cs="Arial" w:eastAsia="Arial" w:hAnsi="Arial"/>
          <w:sz w:val="17"/>
          <w:szCs w:val="17"/>
          <w:color w:val="auto"/>
        </w:rPr>
      </w:pPr>
    </w:p>
    <w:p>
      <w:pPr>
        <w:jc w:val="both"/>
        <w:ind w:left="-460" w:firstLine="644"/>
        <w:spacing w:after="0" w:line="286" w:lineRule="auto"/>
        <w:tabs>
          <w:tab w:leader="none" w:pos="144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3.1(j)</w:t>
      </w:r>
      <w:r>
        <w:rPr>
          <w:rFonts w:ascii="Arial" w:cs="Arial" w:eastAsia="Arial" w:hAnsi="Arial"/>
          <w:sz w:val="17"/>
          <w:szCs w:val="17"/>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3.1(j)</w:t>
      </w:r>
      <w:r>
        <w:rPr>
          <w:rFonts w:ascii="Arial" w:cs="Arial" w:eastAsia="Arial" w:hAnsi="Arial"/>
          <w:sz w:val="17"/>
          <w:szCs w:val="17"/>
          <w:color w:val="auto"/>
        </w:rPr>
        <w:t xml:space="preserve">, none of the Actions set forth on </w:t>
      </w:r>
      <w:r>
        <w:rPr>
          <w:rFonts w:ascii="Arial" w:cs="Arial" w:eastAsia="Arial" w:hAnsi="Arial"/>
          <w:sz w:val="17"/>
          <w:szCs w:val="17"/>
          <w:u w:val="single" w:color="auto"/>
          <w:color w:val="auto"/>
        </w:rPr>
        <w:t>Schedule 3.1(j)</w:t>
      </w:r>
      <w:r>
        <w:rPr>
          <w:rFonts w:ascii="Arial" w:cs="Arial" w:eastAsia="Arial" w:hAnsi="Arial"/>
          <w:sz w:val="17"/>
          <w:szCs w:val="17"/>
          <w:color w:val="auto"/>
        </w:rPr>
        <w:t xml:space="preserve">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since January 1, 2015.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12" w:name="page13"/>
    <w:bookmarkEnd w:id="12"/>
    <w:p>
      <w:pPr>
        <w:jc w:val="both"/>
        <w:ind w:left="-460" w:firstLine="644"/>
        <w:spacing w:after="0" w:line="305" w:lineRule="auto"/>
        <w:tabs>
          <w:tab w:leader="none" w:pos="131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68" w:lineRule="exact"/>
        <w:rPr>
          <w:rFonts w:ascii="Arial" w:cs="Arial" w:eastAsia="Arial" w:hAnsi="Arial"/>
          <w:sz w:val="16"/>
          <w:szCs w:val="16"/>
          <w:color w:val="auto"/>
        </w:rPr>
      </w:pPr>
    </w:p>
    <w:p>
      <w:pPr>
        <w:jc w:val="both"/>
        <w:ind w:left="-460" w:firstLine="644"/>
        <w:spacing w:after="0" w:line="308" w:lineRule="auto"/>
        <w:tabs>
          <w:tab w:leader="none" w:pos="120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individually or in the aggregate, to result in a Material Adverse Effect.</w:t>
      </w:r>
    </w:p>
    <w:p>
      <w:pPr>
        <w:spacing w:after="0" w:line="163" w:lineRule="exact"/>
        <w:rPr>
          <w:rFonts w:ascii="Arial" w:cs="Arial" w:eastAsia="Arial" w:hAnsi="Arial"/>
          <w:sz w:val="16"/>
          <w:szCs w:val="16"/>
          <w:color w:val="auto"/>
        </w:rPr>
      </w:pPr>
    </w:p>
    <w:p>
      <w:pPr>
        <w:jc w:val="both"/>
        <w:ind w:left="-460" w:firstLine="644"/>
        <w:spacing w:after="0" w:line="286" w:lineRule="auto"/>
        <w:tabs>
          <w:tab w:leader="none" w:pos="108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1" w:lineRule="exact"/>
        <w:rPr>
          <w:rFonts w:ascii="Arial" w:cs="Arial" w:eastAsia="Arial" w:hAnsi="Arial"/>
          <w:sz w:val="17"/>
          <w:szCs w:val="17"/>
          <w:color w:val="auto"/>
        </w:rPr>
      </w:pPr>
    </w:p>
    <w:p>
      <w:pPr>
        <w:jc w:val="both"/>
        <w:ind w:left="-460" w:firstLine="644"/>
        <w:spacing w:after="0" w:line="272" w:lineRule="auto"/>
        <w:tabs>
          <w:tab w:leader="none" w:pos="124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8"/>
          <w:szCs w:val="18"/>
          <w:u w:val="single" w:color="auto"/>
          <w:color w:val="auto"/>
        </w:rPr>
        <w:t>Material Permits</w:t>
      </w:r>
      <w:r>
        <w:rPr>
          <w:rFonts w:ascii="Arial" w:cs="Arial" w:eastAsia="Arial" w:hAnsi="Arial"/>
          <w:sz w:val="18"/>
          <w:szCs w:val="18"/>
          <w:color w:val="auto"/>
        </w:rPr>
        <w:t>”), and to the best of the Company’s knowledge, neither the Company nor any Subsidiary has received any notice of proceedings relating to the revocation or modification of any Material Permit.</w:t>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8" w:right="339" w:bottom="1440" w:gutter="0" w:footer="0" w:header="0"/>
        </w:sectPr>
      </w:pPr>
    </w:p>
    <w:bookmarkStart w:id="13" w:name="page14"/>
    <w:bookmarkEnd w:id="13"/>
    <w:p>
      <w:pPr>
        <w:jc w:val="both"/>
        <w:ind w:left="-460" w:firstLine="644"/>
        <w:spacing w:after="0" w:line="309" w:lineRule="auto"/>
        <w:tabs>
          <w:tab w:leader="none" w:pos="115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4" w:lineRule="exact"/>
        <w:rPr>
          <w:rFonts w:ascii="Arial" w:cs="Arial" w:eastAsia="Arial" w:hAnsi="Arial"/>
          <w:sz w:val="16"/>
          <w:szCs w:val="16"/>
          <w:color w:val="auto"/>
        </w:rPr>
      </w:pPr>
    </w:p>
    <w:p>
      <w:pPr>
        <w:jc w:val="both"/>
        <w:ind w:left="-460" w:firstLine="644"/>
        <w:spacing w:after="0" w:line="284" w:lineRule="auto"/>
        <w:tabs>
          <w:tab w:leader="none" w:pos="112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and the Subsidiaries have, or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Except as disclosed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could not, individually or in the aggregate, reasonably be expected to have a Material Adverse Effect. To the best of the Company’s knowledge,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Except as disclosed in the SEC Reports, to the knowledge of the Company, all such Intellectual Property Rights are enforceable and the Company has not asserted any infringement by another Person of any of the Intellectual Property Rights. The Company and its Subsidiaries have taken reasonable security measures to protect the secrecy, confidentiality and value of all of their Intellectual Property Rights, except where failure to do so could not, individually or in the aggregate, reasonably be expected to have a Material Adverse Effect.</w:t>
      </w:r>
    </w:p>
    <w:p>
      <w:pPr>
        <w:spacing w:after="0" w:line="188" w:lineRule="exact"/>
        <w:rPr>
          <w:rFonts w:ascii="Arial" w:cs="Arial" w:eastAsia="Arial" w:hAnsi="Arial"/>
          <w:sz w:val="17"/>
          <w:szCs w:val="17"/>
          <w:color w:val="auto"/>
        </w:rPr>
      </w:pPr>
    </w:p>
    <w:p>
      <w:pPr>
        <w:jc w:val="both"/>
        <w:ind w:left="-460" w:firstLine="644"/>
        <w:spacing w:after="0" w:line="314" w:lineRule="auto"/>
        <w:tabs>
          <w:tab w:leader="none" w:pos="124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59" w:lineRule="exact"/>
        <w:rPr>
          <w:rFonts w:ascii="Arial" w:cs="Arial" w:eastAsia="Arial" w:hAnsi="Arial"/>
          <w:sz w:val="16"/>
          <w:szCs w:val="16"/>
          <w:color w:val="auto"/>
        </w:rPr>
      </w:pPr>
    </w:p>
    <w:p>
      <w:pPr>
        <w:jc w:val="both"/>
        <w:ind w:left="-460" w:firstLine="644"/>
        <w:spacing w:after="0" w:line="287" w:lineRule="auto"/>
        <w:tabs>
          <w:tab w:leader="none" w:pos="116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98" w:right="339" w:bottom="1440" w:gutter="0" w:footer="0" w:header="0"/>
        </w:sectPr>
      </w:pPr>
    </w:p>
    <w:bookmarkStart w:id="14" w:name="page15"/>
    <w:bookmarkEnd w:id="14"/>
    <w:p>
      <w:pPr>
        <w:jc w:val="both"/>
        <w:ind w:left="-460" w:firstLine="644"/>
        <w:spacing w:after="0" w:line="303" w:lineRule="auto"/>
        <w:tabs>
          <w:tab w:leader="none" w:pos="134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68" w:lineRule="exact"/>
        <w:rPr>
          <w:rFonts w:ascii="Arial" w:cs="Arial" w:eastAsia="Arial" w:hAnsi="Arial"/>
          <w:sz w:val="16"/>
          <w:szCs w:val="16"/>
          <w:color w:val="auto"/>
        </w:rPr>
      </w:pPr>
    </w:p>
    <w:p>
      <w:pPr>
        <w:jc w:val="both"/>
        <w:ind w:left="-460" w:firstLine="644"/>
        <w:spacing w:after="0" w:line="272" w:lineRule="auto"/>
        <w:tabs>
          <w:tab w:leader="none" w:pos="114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3.1(t)</w:t>
      </w:r>
      <w:r>
        <w:rPr>
          <w:rFonts w:ascii="Arial" w:cs="Arial" w:eastAsia="Arial" w:hAnsi="Arial"/>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90" w:lineRule="exact"/>
        <w:rPr>
          <w:rFonts w:ascii="Arial" w:cs="Arial" w:eastAsia="Arial" w:hAnsi="Arial"/>
          <w:sz w:val="18"/>
          <w:szCs w:val="18"/>
          <w:color w:val="auto"/>
        </w:rPr>
      </w:pPr>
    </w:p>
    <w:p>
      <w:pPr>
        <w:jc w:val="both"/>
        <w:ind w:left="-460" w:firstLine="644"/>
        <w:spacing w:after="0" w:line="303" w:lineRule="auto"/>
        <w:tabs>
          <w:tab w:leader="none" w:pos="128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Securities by the Company to the Purchaser as contemplated hereby. The issuance and sale of the Securities hereunder does not contravene the rules and regulations of the Trading Market.</w:t>
      </w:r>
    </w:p>
    <w:p>
      <w:pPr>
        <w:spacing w:after="0" w:line="164" w:lineRule="exact"/>
        <w:rPr>
          <w:rFonts w:ascii="Arial" w:cs="Arial" w:eastAsia="Arial" w:hAnsi="Arial"/>
          <w:sz w:val="17"/>
          <w:szCs w:val="17"/>
          <w:color w:val="auto"/>
        </w:rPr>
      </w:pPr>
    </w:p>
    <w:p>
      <w:pPr>
        <w:jc w:val="both"/>
        <w:ind w:left="-460" w:firstLine="644"/>
        <w:spacing w:after="0" w:line="275" w:lineRule="auto"/>
        <w:tabs>
          <w:tab w:leader="none" w:pos="130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5" w:lineRule="exact"/>
        <w:rPr>
          <w:rFonts w:ascii="Arial" w:cs="Arial" w:eastAsia="Arial" w:hAnsi="Arial"/>
          <w:sz w:val="18"/>
          <w:szCs w:val="18"/>
          <w:color w:val="auto"/>
        </w:rPr>
      </w:pPr>
    </w:p>
    <w:p>
      <w:pPr>
        <w:ind w:left="-460" w:firstLine="644"/>
        <w:spacing w:after="0" w:line="324" w:lineRule="auto"/>
        <w:tabs>
          <w:tab w:leader="none" w:pos="121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Other than the Purchaser and as set forth on </w:t>
      </w:r>
      <w:r>
        <w:rPr>
          <w:rFonts w:ascii="Arial" w:cs="Arial" w:eastAsia="Arial" w:hAnsi="Arial"/>
          <w:sz w:val="17"/>
          <w:szCs w:val="17"/>
          <w:u w:val="single" w:color="auto"/>
          <w:color w:val="auto"/>
        </w:rPr>
        <w:t>Schedule 3.1(w)</w:t>
      </w:r>
      <w:r>
        <w:rPr>
          <w:rFonts w:ascii="Arial" w:cs="Arial" w:eastAsia="Arial" w:hAnsi="Arial"/>
          <w:sz w:val="17"/>
          <w:szCs w:val="17"/>
          <w:color w:val="auto"/>
        </w:rPr>
        <w:t>, no Person has any right to cause the Company or any Subsidiary to effect the registration under the Securities Act of any securities of the Company or any Subsidiary.</w:t>
      </w:r>
    </w:p>
    <w:p>
      <w:pPr>
        <w:spacing w:after="0" w:line="147" w:lineRule="exact"/>
        <w:rPr>
          <w:rFonts w:ascii="Arial" w:cs="Arial" w:eastAsia="Arial" w:hAnsi="Arial"/>
          <w:sz w:val="17"/>
          <w:szCs w:val="17"/>
          <w:color w:val="auto"/>
        </w:rPr>
      </w:pPr>
    </w:p>
    <w:p>
      <w:pPr>
        <w:jc w:val="both"/>
        <w:ind w:left="-460" w:firstLine="644"/>
        <w:spacing w:after="0" w:line="306" w:lineRule="auto"/>
        <w:tabs>
          <w:tab w:leader="none" w:pos="107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15" w:name="page16"/>
    <w:bookmarkEnd w:id="15"/>
    <w:p>
      <w:pPr>
        <w:jc w:val="both"/>
        <w:ind w:left="-460" w:firstLine="644"/>
        <w:spacing w:after="0" w:line="230" w:lineRule="exact"/>
        <w:tabs>
          <w:tab w:leader="none" w:pos="120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Arial" w:cs="Arial" w:eastAsia="Arial" w:hAnsi="Arial"/>
          <w:sz w:val="18"/>
          <w:szCs w:val="18"/>
          <w:color w:val="auto"/>
        </w:rPr>
        <w:t>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Securities and the Purchaser’s ownership of the Securities.</w:t>
      </w:r>
    </w:p>
    <w:p>
      <w:pPr>
        <w:spacing w:after="0" w:line="216" w:lineRule="exact"/>
        <w:rPr>
          <w:rFonts w:ascii="Arial" w:cs="Arial" w:eastAsia="Arial" w:hAnsi="Arial"/>
          <w:sz w:val="18"/>
          <w:szCs w:val="18"/>
          <w:color w:val="auto"/>
        </w:rPr>
      </w:pPr>
    </w:p>
    <w:p>
      <w:pPr>
        <w:ind w:left="1100" w:hanging="916"/>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39" w:lineRule="exact"/>
        <w:rPr>
          <w:sz w:val="20"/>
          <w:szCs w:val="20"/>
          <w:color w:val="auto"/>
        </w:rPr>
      </w:pPr>
    </w:p>
    <w:p>
      <w:pPr>
        <w:jc w:val="both"/>
        <w:ind w:left="-460" w:firstLine="644"/>
        <w:spacing w:after="0" w:line="271" w:lineRule="auto"/>
        <w:tabs>
          <w:tab w:leader="none" w:pos="116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90" w:lineRule="exact"/>
        <w:rPr>
          <w:rFonts w:ascii="Arial" w:cs="Arial" w:eastAsia="Arial" w:hAnsi="Arial"/>
          <w:sz w:val="18"/>
          <w:szCs w:val="18"/>
          <w:color w:val="auto"/>
        </w:rPr>
      </w:pPr>
    </w:p>
    <w:p>
      <w:pPr>
        <w:jc w:val="both"/>
        <w:ind w:left="-460" w:firstLine="644"/>
        <w:spacing w:after="0" w:line="302" w:lineRule="auto"/>
        <w:tabs>
          <w:tab w:leader="none" w:pos="111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Arial" w:cs="Arial" w:eastAsia="Arial" w:hAnsi="Arial"/>
          <w:sz w:val="16"/>
          <w:szCs w:val="16"/>
          <w:u w:val="single" w:color="auto"/>
          <w:color w:val="auto"/>
        </w:rPr>
        <w:t>Schedule 3.1(bb)</w:t>
      </w:r>
      <w:r>
        <w:rPr>
          <w:rFonts w:ascii="Arial" w:cs="Arial" w:eastAsia="Arial" w:hAnsi="Arial"/>
          <w:sz w:val="16"/>
          <w:szCs w:val="16"/>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79" w:lineRule="exact"/>
        <w:rPr>
          <w:rFonts w:ascii="Arial" w:cs="Arial" w:eastAsia="Arial" w:hAnsi="Arial"/>
          <w:sz w:val="16"/>
          <w:szCs w:val="16"/>
          <w:color w:val="auto"/>
        </w:rPr>
      </w:pPr>
    </w:p>
    <w:p>
      <w:pPr>
        <w:jc w:val="both"/>
        <w:ind w:left="-460" w:firstLine="644"/>
        <w:spacing w:after="0" w:line="288" w:lineRule="auto"/>
        <w:tabs>
          <w:tab w:leader="none" w:pos="106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0" w:lineRule="exact"/>
        <w:rPr>
          <w:rFonts w:ascii="Arial" w:cs="Arial" w:eastAsia="Arial" w:hAnsi="Arial"/>
          <w:sz w:val="17"/>
          <w:szCs w:val="17"/>
          <w:color w:val="auto"/>
        </w:rPr>
      </w:pPr>
    </w:p>
    <w:p>
      <w:pPr>
        <w:ind w:left="-460" w:right="20" w:firstLine="644"/>
        <w:spacing w:after="0" w:line="359" w:lineRule="auto"/>
        <w:tabs>
          <w:tab w:leader="none" w:pos="99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Neither the Company nor any Person acting on behalf of the Company has offered or sold any of the Securities by any form of general solicitation or general advertising. The Company has offered the Securities for sale only to the Purchaser.</w:t>
      </w:r>
    </w:p>
    <w:p>
      <w:pPr>
        <w:spacing w:after="0" w:line="124" w:lineRule="exact"/>
        <w:rPr>
          <w:rFonts w:ascii="Arial" w:cs="Arial" w:eastAsia="Arial" w:hAnsi="Arial"/>
          <w:sz w:val="16"/>
          <w:szCs w:val="16"/>
          <w:color w:val="auto"/>
        </w:rPr>
      </w:pPr>
    </w:p>
    <w:p>
      <w:pPr>
        <w:jc w:val="both"/>
        <w:ind w:left="-460" w:firstLine="644"/>
        <w:spacing w:after="0" w:line="290" w:lineRule="auto"/>
        <w:tabs>
          <w:tab w:leader="none" w:pos="134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16" w:name="page17"/>
    <w:bookmarkEnd w:id="16"/>
    <w:p>
      <w:pPr>
        <w:jc w:val="both"/>
        <w:ind w:left="4" w:firstLine="644"/>
        <w:spacing w:after="0" w:line="275" w:lineRule="auto"/>
        <w:tabs>
          <w:tab w:leader="none" w:pos="186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xml:space="preserve">. The Company’s accounting firm is set forth on </w:t>
      </w:r>
      <w:r>
        <w:rPr>
          <w:rFonts w:ascii="Arial" w:cs="Arial" w:eastAsia="Arial" w:hAnsi="Arial"/>
          <w:sz w:val="18"/>
          <w:szCs w:val="18"/>
          <w:u w:val="single" w:color="auto"/>
          <w:color w:val="auto"/>
        </w:rPr>
        <w:t>Schedule 3.1(ff)</w:t>
      </w:r>
      <w:r>
        <w:rPr>
          <w:rFonts w:ascii="Arial" w:cs="Arial" w:eastAsia="Arial" w:hAnsi="Arial"/>
          <w:sz w:val="18"/>
          <w:szCs w:val="18"/>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2021.</w:t>
      </w:r>
    </w:p>
    <w:p>
      <w:pPr>
        <w:spacing w:after="0" w:line="90" w:lineRule="exact"/>
        <w:rPr>
          <w:rFonts w:ascii="Arial" w:cs="Arial" w:eastAsia="Arial" w:hAnsi="Arial"/>
          <w:sz w:val="18"/>
          <w:szCs w:val="18"/>
          <w:color w:val="auto"/>
        </w:rPr>
      </w:pPr>
    </w:p>
    <w:p>
      <w:pPr>
        <w:jc w:val="both"/>
        <w:ind w:left="4" w:firstLine="644"/>
        <w:spacing w:after="0" w:line="275" w:lineRule="auto"/>
        <w:tabs>
          <w:tab w:leader="none" w:pos="1487"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 Disagreements with Accountants and Lawyers.</w:t>
      </w:r>
      <w:r>
        <w:rPr>
          <w:rFonts w:ascii="Arial" w:cs="Arial" w:eastAsia="Arial" w:hAnsi="Arial"/>
          <w:sz w:val="18"/>
          <w:szCs w:val="18"/>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17" w:lineRule="exact"/>
        <w:rPr>
          <w:rFonts w:ascii="Arial" w:cs="Arial" w:eastAsia="Arial" w:hAnsi="Arial"/>
          <w:sz w:val="18"/>
          <w:szCs w:val="18"/>
          <w:color w:val="auto"/>
        </w:rPr>
      </w:pPr>
    </w:p>
    <w:p>
      <w:pPr>
        <w:jc w:val="both"/>
        <w:ind w:left="4" w:firstLine="644"/>
        <w:spacing w:after="0" w:line="287" w:lineRule="auto"/>
        <w:tabs>
          <w:tab w:leader="none" w:pos="1446"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Securities</w:t>
      </w:r>
      <w:r>
        <w:rPr>
          <w:rFonts w:ascii="Arial" w:cs="Arial" w:eastAsia="Arial" w:hAnsi="Arial"/>
          <w:sz w:val="17"/>
          <w:szCs w:val="17"/>
          <w:color w:val="auto"/>
        </w:rPr>
        <w:t>. The Company acknowledges and agrees that the Purchaser is acting solely in the capacity of an arm’s length purchaser with respect to the Transaction Documents and the transactions contemplated thereby. The Company further acknowledges that Purchaser is not acting as a financial advisor or fiduciary of the Company (or in any similar capacity) with respect to the Transaction Documents and the transactions contemplated thereby and any advice given by the Purchaser or any of his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81" w:lineRule="exact"/>
        <w:rPr>
          <w:rFonts w:ascii="Arial" w:cs="Arial" w:eastAsia="Arial" w:hAnsi="Arial"/>
          <w:sz w:val="17"/>
          <w:szCs w:val="17"/>
          <w:color w:val="auto"/>
        </w:rPr>
      </w:pPr>
    </w:p>
    <w:p>
      <w:pPr>
        <w:jc w:val="both"/>
        <w:ind w:left="4" w:firstLine="644"/>
        <w:spacing w:after="0" w:line="299" w:lineRule="auto"/>
        <w:tabs>
          <w:tab w:leader="none" w:pos="1573"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Arial" w:cs="Arial" w:eastAsia="Arial" w:hAnsi="Arial"/>
          <w:sz w:val="16"/>
          <w:szCs w:val="16"/>
          <w:color w:val="auto"/>
        </w:rPr>
      </w:pPr>
    </w:p>
    <w:p>
      <w:pPr>
        <w:ind w:left="4" w:hanging="4"/>
        <w:spacing w:after="0" w:line="358" w:lineRule="auto"/>
        <w:tabs>
          <w:tab w:leader="none" w:pos="3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25" w:lineRule="exact"/>
        <w:rPr>
          <w:rFonts w:ascii="Arial" w:cs="Arial" w:eastAsia="Arial" w:hAnsi="Arial"/>
          <w:sz w:val="16"/>
          <w:szCs w:val="16"/>
          <w:color w:val="auto"/>
        </w:rPr>
      </w:pPr>
    </w:p>
    <w:p>
      <w:pPr>
        <w:ind w:left="4" w:firstLine="644"/>
        <w:spacing w:after="0" w:line="293" w:lineRule="auto"/>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Form S-3 Eligibility</w:t>
      </w:r>
      <w:r>
        <w:rPr>
          <w:rFonts w:ascii="Arial" w:cs="Arial" w:eastAsia="Arial" w:hAnsi="Arial"/>
          <w:sz w:val="18"/>
          <w:szCs w:val="18"/>
          <w:color w:val="auto"/>
        </w:rPr>
        <w:t>. The Company is eligible to register the resale of the Securities for resale by the Purchaser on Form S-3 promulgated under the Securities Act.</w:t>
      </w:r>
    </w:p>
    <w:p>
      <w:pPr>
        <w:spacing w:after="0" w:line="169" w:lineRule="exact"/>
        <w:rPr>
          <w:rFonts w:ascii="Arial" w:cs="Arial" w:eastAsia="Arial" w:hAnsi="Arial"/>
          <w:sz w:val="18"/>
          <w:szCs w:val="18"/>
          <w:color w:val="auto"/>
        </w:rPr>
      </w:pPr>
    </w:p>
    <w:p>
      <w:pPr>
        <w:jc w:val="both"/>
        <w:ind w:left="4" w:firstLine="644"/>
        <w:spacing w:after="0" w:line="290" w:lineRule="auto"/>
        <w:tabs>
          <w:tab w:leader="none" w:pos="1581"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81" w:lineRule="exact"/>
        <w:rPr>
          <w:rFonts w:ascii="Arial" w:cs="Arial" w:eastAsia="Arial" w:hAnsi="Arial"/>
          <w:sz w:val="17"/>
          <w:szCs w:val="17"/>
          <w:color w:val="auto"/>
        </w:rPr>
      </w:pPr>
    </w:p>
    <w:p>
      <w:pPr>
        <w:jc w:val="both"/>
        <w:ind w:left="4" w:firstLine="644"/>
        <w:spacing w:after="0" w:line="303" w:lineRule="auto"/>
        <w:tabs>
          <w:tab w:leader="none" w:pos="1614"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Arial" w:cs="Arial" w:eastAsia="Arial" w:hAnsi="Arial"/>
          <w:sz w:val="16"/>
          <w:szCs w:val="16"/>
          <w:u w:val="single" w:color="auto"/>
          <w:color w:val="auto"/>
        </w:rPr>
        <w:t>IT Systems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Data</w:t>
      </w:r>
      <w:r>
        <w:rPr>
          <w:rFonts w:ascii="Arial" w:cs="Arial" w:eastAsia="Arial" w:hAnsi="Arial"/>
          <w:sz w:val="16"/>
          <w:szCs w:val="16"/>
          <w:color w:val="auto"/>
        </w:rPr>
        <w:t>”), in a manner which would reasonably be expected to have, individually or in the aggregate, a Material Adverse Effect,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consistent in all material respects with applicable regulatory standards, customary industry practices, internal policies and contractual obligations; and (iv) the Company and the Subsidiaries have implemented backup and disaster recovery technology consistent with industry standards and practices. For purposes of clarity, the Company makes no representation in this Section 3.1(mm) regarding the IT Systems and Data used by the Company’s third-party vendors, suppliers, or other service providers.</w:t>
      </w:r>
    </w:p>
    <w:p>
      <w:pPr>
        <w:spacing w:after="0" w:line="174" w:lineRule="exact"/>
        <w:rPr>
          <w:rFonts w:ascii="Arial" w:cs="Arial" w:eastAsia="Arial" w:hAnsi="Arial"/>
          <w:sz w:val="16"/>
          <w:szCs w:val="16"/>
          <w:color w:val="auto"/>
        </w:rPr>
      </w:pPr>
    </w:p>
    <w:p>
      <w:pPr>
        <w:jc w:val="both"/>
        <w:ind w:left="4" w:firstLine="644"/>
        <w:spacing w:after="0" w:line="271" w:lineRule="auto"/>
        <w:tabs>
          <w:tab w:leader="none" w:pos="134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8" w:right="339" w:bottom="1440" w:gutter="0" w:footer="0" w:header="0"/>
        </w:sectPr>
      </w:pPr>
    </w:p>
    <w:bookmarkStart w:id="17" w:name="page18"/>
    <w:bookmarkEnd w:id="17"/>
    <w:p>
      <w:pPr>
        <w:ind w:left="660" w:firstLine="644"/>
        <w:spacing w:after="0" w:line="359" w:lineRule="auto"/>
        <w:tabs>
          <w:tab w:leader="none" w:pos="2143"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4" w:lineRule="exact"/>
        <w:rPr>
          <w:rFonts w:ascii="Arial" w:cs="Arial" w:eastAsia="Arial" w:hAnsi="Arial"/>
          <w:sz w:val="16"/>
          <w:szCs w:val="16"/>
          <w:color w:val="auto"/>
        </w:rPr>
      </w:pPr>
    </w:p>
    <w:p>
      <w:pPr>
        <w:jc w:val="both"/>
        <w:ind w:left="660" w:firstLine="644"/>
        <w:spacing w:after="0" w:line="311" w:lineRule="auto"/>
        <w:tabs>
          <w:tab w:leader="none" w:pos="2318"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62" w:lineRule="exact"/>
        <w:rPr>
          <w:rFonts w:ascii="Arial" w:cs="Arial" w:eastAsia="Arial" w:hAnsi="Arial"/>
          <w:sz w:val="16"/>
          <w:szCs w:val="16"/>
          <w:color w:val="auto"/>
        </w:rPr>
      </w:pPr>
    </w:p>
    <w:p>
      <w:pPr>
        <w:jc w:val="both"/>
        <w:ind w:left="660" w:firstLine="644"/>
        <w:spacing w:after="0" w:line="314" w:lineRule="auto"/>
        <w:tabs>
          <w:tab w:leader="none" w:pos="2170"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59" w:lineRule="exact"/>
        <w:rPr>
          <w:rFonts w:ascii="Arial" w:cs="Arial" w:eastAsia="Arial" w:hAnsi="Arial"/>
          <w:sz w:val="16"/>
          <w:szCs w:val="16"/>
          <w:color w:val="auto"/>
        </w:rPr>
      </w:pPr>
    </w:p>
    <w:p>
      <w:pPr>
        <w:jc w:val="both"/>
        <w:ind w:left="660" w:firstLine="644"/>
        <w:spacing w:after="0" w:line="299" w:lineRule="auto"/>
        <w:tabs>
          <w:tab w:leader="none" w:pos="2251"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6"/>
          <w:szCs w:val="16"/>
          <w:u w:val="single" w:color="auto"/>
          <w:color w:val="auto"/>
        </w:rPr>
        <w:t>Issuer Covered Person</w:t>
      </w:r>
      <w:r>
        <w:rPr>
          <w:rFonts w:ascii="Arial" w:cs="Arial" w:eastAsia="Arial" w:hAnsi="Arial"/>
          <w:sz w:val="16"/>
          <w:szCs w:val="16"/>
          <w:color w:val="auto"/>
        </w:rPr>
        <w:t>” and, together, “</w:t>
      </w:r>
      <w:r>
        <w:rPr>
          <w:rFonts w:ascii="Arial" w:cs="Arial" w:eastAsia="Arial" w:hAnsi="Arial"/>
          <w:sz w:val="16"/>
          <w:szCs w:val="16"/>
          <w:u w:val="single" w:color="auto"/>
          <w:color w:val="auto"/>
        </w:rPr>
        <w:t>Issuer Covered Persons</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u w:val="single" w:color="auto"/>
          <w:color w:val="auto"/>
        </w:rPr>
        <w:t>Disqualification Event</w:t>
      </w:r>
      <w:r>
        <w:rPr>
          <w:rFonts w:ascii="Arial" w:cs="Arial" w:eastAsia="Arial" w:hAnsi="Arial"/>
          <w:sz w:val="16"/>
          <w:szCs w:val="16"/>
          <w:color w:val="auto"/>
        </w:rPr>
        <w:t>”), except for a Disqualification Event covered by Rule 506(d)</w:t>
      </w:r>
    </w:p>
    <w:p>
      <w:pPr>
        <w:spacing w:after="0" w:line="2" w:lineRule="exact"/>
        <w:rPr>
          <w:rFonts w:ascii="Arial" w:cs="Arial" w:eastAsia="Arial" w:hAnsi="Arial"/>
          <w:sz w:val="16"/>
          <w:szCs w:val="16"/>
          <w:color w:val="auto"/>
        </w:rPr>
      </w:pPr>
    </w:p>
    <w:p>
      <w:pPr>
        <w:jc w:val="both"/>
        <w:ind w:left="660" w:hanging="4"/>
        <w:spacing w:after="0" w:line="279" w:lineRule="auto"/>
        <w:tabs>
          <w:tab w:leader="none" w:pos="9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spacing w:after="0" w:line="181" w:lineRule="exact"/>
        <w:rPr>
          <w:rFonts w:ascii="Arial" w:cs="Arial" w:eastAsia="Arial" w:hAnsi="Arial"/>
          <w:sz w:val="18"/>
          <w:szCs w:val="18"/>
          <w:color w:val="auto"/>
        </w:rPr>
      </w:pPr>
    </w:p>
    <w:p>
      <w:pPr>
        <w:ind w:left="660" w:firstLine="644"/>
        <w:spacing w:after="0" w:line="324" w:lineRule="auto"/>
        <w:tabs>
          <w:tab w:leader="none" w:pos="2191"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Other Covered Persons</w:t>
      </w:r>
      <w:r>
        <w:rPr>
          <w:rFonts w:ascii="Arial" w:cs="Arial" w:eastAsia="Arial" w:hAnsi="Arial"/>
          <w:sz w:val="17"/>
          <w:szCs w:val="17"/>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47" w:lineRule="exact"/>
        <w:rPr>
          <w:rFonts w:ascii="Arial" w:cs="Arial" w:eastAsia="Arial" w:hAnsi="Arial"/>
          <w:sz w:val="17"/>
          <w:szCs w:val="17"/>
          <w:color w:val="auto"/>
        </w:rPr>
      </w:pPr>
    </w:p>
    <w:p>
      <w:pPr>
        <w:jc w:val="both"/>
        <w:ind w:left="660" w:firstLine="644"/>
        <w:spacing w:after="0" w:line="279" w:lineRule="auto"/>
        <w:tabs>
          <w:tab w:leader="none" w:pos="2423"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Representations and Warranties of the Purchaser</w:t>
      </w:r>
      <w:r>
        <w:rPr>
          <w:rFonts w:ascii="Arial" w:cs="Arial" w:eastAsia="Arial" w:hAnsi="Arial"/>
          <w:sz w:val="16"/>
          <w:szCs w:val="16"/>
          <w:color w:val="auto"/>
        </w:rPr>
        <w:t>. The Purchaser hereby represents and warrants as of the date hereof and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 Date to the Company as follows (unless as of a specific date therein, in which case they shall be accurate as of such date):</w:t>
      </w:r>
    </w:p>
    <w:p>
      <w:pPr>
        <w:spacing w:after="0" w:line="238" w:lineRule="exact"/>
        <w:rPr>
          <w:sz w:val="20"/>
          <w:szCs w:val="20"/>
          <w:color w:val="auto"/>
        </w:rPr>
      </w:pPr>
    </w:p>
    <w:p>
      <w:pPr>
        <w:jc w:val="both"/>
        <w:ind w:left="380" w:firstLine="924"/>
        <w:spacing w:after="0" w:line="286" w:lineRule="auto"/>
        <w:tabs>
          <w:tab w:leader="none" w:pos="223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both"/>
        <w:ind w:left="380" w:firstLine="924"/>
        <w:spacing w:after="0" w:line="269" w:lineRule="auto"/>
        <w:tabs>
          <w:tab w:leader="none" w:pos="227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Own Account</w:t>
      </w:r>
      <w:r>
        <w:rPr>
          <w:rFonts w:ascii="Arial" w:cs="Arial" w:eastAsia="Arial" w:hAnsi="Arial"/>
          <w:sz w:val="18"/>
          <w:szCs w:val="18"/>
          <w:color w:val="auto"/>
        </w:rPr>
        <w:t>. The Purchaser understands that the Securities are “restricted securities” and have not been registered under the Securities Act or any applicable state securities law and is acquiring such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Purchaser’s right to sell such Securities pursuant to the Registration Statement or otherwise in compliance with applicable federal and state securities laws). The Purchaser is acquiring the Securities hereunder in the ordinary course of its business.</w:t>
      </w:r>
    </w:p>
    <w:p>
      <w:pPr>
        <w:spacing w:after="0" w:line="196" w:lineRule="exact"/>
        <w:rPr>
          <w:rFonts w:ascii="Arial" w:cs="Arial" w:eastAsia="Arial" w:hAnsi="Arial"/>
          <w:sz w:val="18"/>
          <w:szCs w:val="18"/>
          <w:color w:val="auto"/>
        </w:rPr>
      </w:pPr>
    </w:p>
    <w:p>
      <w:pPr>
        <w:ind w:left="380" w:firstLine="924"/>
        <w:spacing w:after="0" w:line="293" w:lineRule="auto"/>
        <w:tabs>
          <w:tab w:leader="none" w:pos="255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Securities, it was, and as of the date hereof it is (i) an “accredited investor” as defined in Rule 501(a) under the Securities Act.</w:t>
      </w:r>
    </w:p>
    <w:p>
      <w:pPr>
        <w:spacing w:after="0" w:line="169" w:lineRule="exact"/>
        <w:rPr>
          <w:rFonts w:ascii="Arial" w:cs="Arial" w:eastAsia="Arial" w:hAnsi="Arial"/>
          <w:sz w:val="18"/>
          <w:szCs w:val="18"/>
          <w:color w:val="auto"/>
        </w:rPr>
      </w:pPr>
    </w:p>
    <w:p>
      <w:pPr>
        <w:jc w:val="both"/>
        <w:ind w:left="380" w:firstLine="924"/>
        <w:spacing w:after="0" w:line="275" w:lineRule="auto"/>
        <w:tabs>
          <w:tab w:leader="none" w:pos="253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5" w:lineRule="exact"/>
        <w:rPr>
          <w:rFonts w:ascii="Arial" w:cs="Arial" w:eastAsia="Arial" w:hAnsi="Arial"/>
          <w:sz w:val="18"/>
          <w:szCs w:val="18"/>
          <w:color w:val="auto"/>
        </w:rPr>
      </w:pPr>
    </w:p>
    <w:p>
      <w:pPr>
        <w:jc w:val="both"/>
        <w:ind w:left="380" w:firstLine="924"/>
        <w:spacing w:after="0" w:line="270" w:lineRule="auto"/>
        <w:tabs>
          <w:tab w:leader="none" w:pos="235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92" w:lineRule="exact"/>
        <w:rPr>
          <w:rFonts w:ascii="Arial" w:cs="Arial" w:eastAsia="Arial" w:hAnsi="Arial"/>
          <w:sz w:val="18"/>
          <w:szCs w:val="18"/>
          <w:color w:val="auto"/>
        </w:rPr>
      </w:pPr>
    </w:p>
    <w:p>
      <w:pPr>
        <w:jc w:val="both"/>
        <w:ind w:left="380" w:firstLine="924"/>
        <w:spacing w:after="0" w:line="272" w:lineRule="auto"/>
        <w:tabs>
          <w:tab w:leader="none" w:pos="225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w:t>
      </w:r>
    </w:p>
    <w:p>
      <w:pPr>
        <w:spacing w:after="0" w:line="190" w:lineRule="exact"/>
        <w:rPr>
          <w:rFonts w:ascii="Arial" w:cs="Arial" w:eastAsia="Arial" w:hAnsi="Arial"/>
          <w:sz w:val="18"/>
          <w:szCs w:val="18"/>
          <w:color w:val="auto"/>
        </w:rPr>
      </w:pPr>
    </w:p>
    <w:p>
      <w:pPr>
        <w:jc w:val="both"/>
        <w:ind w:left="380" w:firstLine="924"/>
        <w:spacing w:after="0" w:line="303" w:lineRule="auto"/>
        <w:tabs>
          <w:tab w:leader="none" w:pos="22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the Purchaser, any other general solicitation or general advertisement.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center"/>
        <w:ind w:right="636"/>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OTHER AGREEMENTS OF THE PARTIES</w:t>
      </w:r>
    </w:p>
    <w:p>
      <w:pPr>
        <w:spacing w:after="0" w:line="143" w:lineRule="exact"/>
        <w:rPr>
          <w:sz w:val="20"/>
          <w:szCs w:val="20"/>
          <w:color w:val="auto"/>
        </w:rPr>
      </w:pPr>
    </w:p>
    <w:p>
      <w:pPr>
        <w:ind w:left="4"/>
        <w:spacing w:after="0"/>
        <w:tabs>
          <w:tab w:leader="none" w:pos="84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185" w:lineRule="exact"/>
        <w:rPr>
          <w:sz w:val="20"/>
          <w:szCs w:val="20"/>
          <w:color w:val="auto"/>
        </w:rPr>
      </w:pPr>
    </w:p>
    <w:p>
      <w:pPr>
        <w:jc w:val="both"/>
        <w:ind w:left="164" w:firstLine="646"/>
        <w:spacing w:after="0" w:line="269" w:lineRule="auto"/>
        <w:tabs>
          <w:tab w:leader="none" w:pos="14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may only be disposed of in compliance with state and federal securities laws. In connection with any transfer of the Securities other than pursuant to an effective registration statement or Rule 144, to the Company or to an Affiliate of the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the Purchaser under this Agreement and the Registration Rights Agreement.</w:t>
      </w:r>
    </w:p>
    <w:p>
      <w:pPr>
        <w:spacing w:after="0" w:line="196" w:lineRule="exact"/>
        <w:rPr>
          <w:rFonts w:ascii="Arial" w:cs="Arial" w:eastAsia="Arial" w:hAnsi="Arial"/>
          <w:sz w:val="18"/>
          <w:szCs w:val="18"/>
          <w:color w:val="auto"/>
        </w:rPr>
      </w:pPr>
    </w:p>
    <w:p>
      <w:pPr>
        <w:ind w:left="1484" w:hanging="674"/>
        <w:spacing w:after="0"/>
        <w:tabs>
          <w:tab w:leader="none" w:pos="14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Purchaser agrees to the imprinting, so long as is required by this Section 4.1, of a legend on any of the Securities in the</w:t>
      </w:r>
    </w:p>
    <w:p>
      <w:pPr>
        <w:spacing w:after="0" w:line="46" w:lineRule="exact"/>
        <w:rPr>
          <w:rFonts w:ascii="Arial" w:cs="Arial" w:eastAsia="Arial" w:hAnsi="Arial"/>
          <w:sz w:val="16"/>
          <w:szCs w:val="16"/>
          <w:color w:val="auto"/>
        </w:rPr>
      </w:pPr>
    </w:p>
    <w:p>
      <w:pPr>
        <w:ind w:left="164"/>
        <w:spacing w:after="0"/>
        <w:rPr>
          <w:rFonts w:ascii="Arial" w:cs="Arial" w:eastAsia="Arial" w:hAnsi="Arial"/>
          <w:sz w:val="16"/>
          <w:szCs w:val="16"/>
          <w:color w:val="auto"/>
        </w:rPr>
      </w:pPr>
      <w:r>
        <w:rPr>
          <w:rFonts w:ascii="Arial" w:cs="Arial" w:eastAsia="Arial" w:hAnsi="Arial"/>
          <w:sz w:val="18"/>
          <w:szCs w:val="18"/>
          <w:color w:val="auto"/>
        </w:rPr>
        <w:t>following form:</w:t>
      </w:r>
    </w:p>
    <w:p>
      <w:pPr>
        <w:spacing w:after="0" w:line="157" w:lineRule="exact"/>
        <w:rPr>
          <w:sz w:val="20"/>
          <w:szCs w:val="20"/>
          <w:color w:val="auto"/>
        </w:rPr>
      </w:pPr>
    </w:p>
    <w:p>
      <w:pPr>
        <w:jc w:val="both"/>
        <w:ind w:left="4"/>
        <w:spacing w:after="0" w:line="269" w:lineRule="auto"/>
        <w:rPr>
          <w:sz w:val="20"/>
          <w:szCs w:val="20"/>
          <w:color w:val="auto"/>
        </w:rPr>
      </w:pPr>
      <w:r>
        <w:rPr>
          <w:rFonts w:ascii="Arial" w:cs="Arial" w:eastAsia="Arial" w:hAnsi="Arial"/>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83" w:lineRule="exact"/>
        <w:rPr>
          <w:sz w:val="20"/>
          <w:szCs w:val="20"/>
          <w:color w:val="auto"/>
        </w:rPr>
      </w:pPr>
    </w:p>
    <w:p>
      <w:pPr>
        <w:jc w:val="both"/>
        <w:ind w:left="4" w:firstLine="648"/>
        <w:spacing w:after="0" w:line="299" w:lineRule="auto"/>
        <w:rPr>
          <w:sz w:val="20"/>
          <w:szCs w:val="20"/>
          <w:color w:val="auto"/>
        </w:rPr>
      </w:pPr>
      <w:r>
        <w:rPr>
          <w:rFonts w:ascii="Arial" w:cs="Arial" w:eastAsia="Arial" w:hAnsi="Arial"/>
          <w:sz w:val="16"/>
          <w:szCs w:val="16"/>
          <w:color w:val="auto"/>
        </w:rPr>
        <w:t>The Company acknowledges and agrees that the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the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3" w:lineRule="exact"/>
        <w:rPr>
          <w:sz w:val="20"/>
          <w:szCs w:val="20"/>
          <w:color w:val="auto"/>
        </w:rPr>
      </w:pPr>
    </w:p>
    <w:p>
      <w:pPr>
        <w:ind w:left="4" w:hanging="4"/>
        <w:spacing w:after="0" w:line="292"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Securities Act or other applicable provision of the Securities Act to appropriately amend the list of Selling Stockholders (as defined in the Registration Rights Agreement) thereunder.</w:t>
      </w:r>
    </w:p>
    <w:p>
      <w:pPr>
        <w:spacing w:after="0" w:line="116" w:lineRule="exact"/>
        <w:rPr>
          <w:rFonts w:ascii="Arial" w:cs="Arial" w:eastAsia="Arial" w:hAnsi="Arial"/>
          <w:sz w:val="18"/>
          <w:szCs w:val="18"/>
          <w:color w:val="auto"/>
        </w:rPr>
      </w:pPr>
    </w:p>
    <w:p>
      <w:pPr>
        <w:jc w:val="both"/>
        <w:ind w:left="4" w:firstLine="644"/>
        <w:spacing w:after="0" w:line="282" w:lineRule="auto"/>
        <w:tabs>
          <w:tab w:leader="none" w:pos="1666" w:val="left"/>
        </w:tabs>
        <w:numPr>
          <w:ilvl w:val="1"/>
          <w:numId w:val="20"/>
        </w:numPr>
        <w:rPr>
          <w:rFonts w:ascii="Arial" w:cs="Arial" w:eastAsia="Arial" w:hAnsi="Arial"/>
          <w:sz w:val="17"/>
          <w:szCs w:val="17"/>
          <w:color w:val="auto"/>
        </w:rPr>
      </w:pPr>
      <w:r>
        <w:rPr>
          <w:rFonts w:ascii="Arial" w:cs="Arial" w:eastAsia="Arial" w:hAnsi="Arial"/>
          <w:sz w:val="17"/>
          <w:szCs w:val="17"/>
          <w:color w:val="auto"/>
        </w:rPr>
        <w:t>Certificates evidencing the Shares shall not contain any legend (including the legend set forth in Section 4.1(b) hereof): (i) while a registration statement (including the Registration Statement) covering the resale of such security is effective under the Securities Act, or (ii) following any sale of such Shares pursuant to Rule 144, or (iii) if such Shares are eligible for sale under Rule 144 and the Company is then in compliance with the current public information required under Rule 144, (iv) if the Shares may be sold under Rule 144 without the requirement for the Company to be in compliance with the current public information required under Rule 144 as to such Shares or (v)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the Purchaser, respectively.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the Purchaser to the Company or the Transfer Agent of a certificate representing Shares, as applicable, issued with a restrictive legend (such date, the “</w:t>
      </w:r>
      <w:r>
        <w:rPr>
          <w:rFonts w:ascii="Arial" w:cs="Arial" w:eastAsia="Arial" w:hAnsi="Arial"/>
          <w:sz w:val="17"/>
          <w:szCs w:val="17"/>
          <w:u w:val="single" w:color="auto"/>
          <w:color w:val="auto"/>
        </w:rPr>
        <w:t>Legend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Removal Date</w:t>
      </w:r>
      <w:r>
        <w:rPr>
          <w:rFonts w:ascii="Arial" w:cs="Arial" w:eastAsia="Arial" w:hAnsi="Arial"/>
          <w:sz w:val="17"/>
          <w:szCs w:val="17"/>
          <w:color w:val="auto"/>
        </w:rPr>
        <w:t>”), deliver or cause to be delivered to the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the Purchaser.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a certificate representing Shares, as the case may be, issued with a restrictive legend.</w:t>
      </w:r>
    </w:p>
    <w:p>
      <w:pPr>
        <w:spacing w:after="0" w:line="1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20" w:name="page21"/>
    <w:bookmarkEnd w:id="20"/>
    <w:p>
      <w:pPr>
        <w:jc w:val="both"/>
        <w:ind w:left="660" w:firstLine="644"/>
        <w:spacing w:after="0" w:line="303" w:lineRule="auto"/>
        <w:tabs>
          <w:tab w:leader="none" w:pos="24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the Purchaser’s other available remedies, the Company shall pay to the Purchaser, in cash, (i) as partial liquidated damages and not as a penalty, for each $1,000 of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Purchaser by the Legend Removal Date a certificate representing the Securities so delivered to the Company by the Purchaser that is free from all restrictive and other legends and (b) if after the Legend Removal Date the Purchaser purchases (in an open market transaction or otherwise) shares of Common Stock to deliver in satisfaction of a sale by the Purchaser of all or any portion of the number of shares of Common Stock, or a sale of a number of shares of Common Stock equal to all or any portion of the number of shares of Common Stock, that the Purchaser anticipated receiving from the Company without any restrictive legend, then an amount equal to the excess of the Purchaser’s total purchase price (including brokerage commissions and other out-of-pocket expenses, if any) for the shares of Common Stock so purchased (including brokerage commissions and other out-of-pocket expenses, if any) (the “</w:t>
      </w:r>
      <w:r>
        <w:rPr>
          <w:rFonts w:ascii="Arial" w:cs="Arial" w:eastAsia="Arial" w:hAnsi="Arial"/>
          <w:sz w:val="16"/>
          <w:szCs w:val="16"/>
          <w:u w:val="single" w:color="auto"/>
          <w:color w:val="auto"/>
        </w:rPr>
        <w:t>Buy-In Price</w:t>
      </w:r>
      <w:r>
        <w:rPr>
          <w:rFonts w:ascii="Arial" w:cs="Arial" w:eastAsia="Arial" w:hAnsi="Arial"/>
          <w:sz w:val="16"/>
          <w:szCs w:val="16"/>
          <w:color w:val="auto"/>
        </w:rPr>
        <w:t>”) over the product of (A) such number of Shares that the Company was required to deliver to the Purchaser by the Legend Removal Date multiplied by (B) the lowest closing sale price of the Common Stock on any Trading Day during the period commencing on the date of the delivery by the Purchaser to the Company of the applicable Shares (as the case may be) and ending on the date of such delivery and payment under this Section 4(d).</w:t>
      </w:r>
    </w:p>
    <w:p>
      <w:pPr>
        <w:spacing w:after="0" w:line="174" w:lineRule="exact"/>
        <w:rPr>
          <w:rFonts w:ascii="Arial" w:cs="Arial" w:eastAsia="Arial" w:hAnsi="Arial"/>
          <w:sz w:val="16"/>
          <w:szCs w:val="16"/>
          <w:color w:val="auto"/>
        </w:rPr>
      </w:pPr>
    </w:p>
    <w:p>
      <w:pPr>
        <w:jc w:val="both"/>
        <w:ind w:left="660" w:firstLine="644"/>
        <w:spacing w:after="0" w:line="272" w:lineRule="auto"/>
        <w:tabs>
          <w:tab w:leader="none" w:pos="25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Purchaser agrees with the Company that the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9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Furnishing of Information; Public Information</w:t>
      </w:r>
      <w:r>
        <w:rPr>
          <w:rFonts w:ascii="Arial" w:cs="Arial" w:eastAsia="Arial" w:hAnsi="Arial"/>
          <w:sz w:val="16"/>
          <w:szCs w:val="16"/>
          <w:color w:val="auto"/>
        </w:rPr>
        <w:t>.</w:t>
      </w:r>
    </w:p>
    <w:p>
      <w:pPr>
        <w:spacing w:after="0" w:line="239" w:lineRule="exact"/>
        <w:rPr>
          <w:sz w:val="20"/>
          <w:szCs w:val="20"/>
          <w:color w:val="auto"/>
        </w:rPr>
      </w:pPr>
    </w:p>
    <w:p>
      <w:pPr>
        <w:jc w:val="both"/>
        <w:ind w:firstLine="656"/>
        <w:spacing w:after="0" w:line="275" w:lineRule="auto"/>
        <w:tabs>
          <w:tab w:leader="none" w:pos="1626"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Until the Purchaser ceases to own any of the Securities,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5" w:lineRule="exact"/>
        <w:rPr>
          <w:rFonts w:ascii="Arial" w:cs="Arial" w:eastAsia="Arial" w:hAnsi="Arial"/>
          <w:sz w:val="18"/>
          <w:szCs w:val="18"/>
          <w:color w:val="auto"/>
        </w:rPr>
      </w:pPr>
    </w:p>
    <w:p>
      <w:pPr>
        <w:jc w:val="both"/>
        <w:ind w:firstLine="656"/>
        <w:spacing w:after="0" w:line="299" w:lineRule="auto"/>
        <w:tabs>
          <w:tab w:leader="none" w:pos="148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w:t>
      </w:r>
    </w:p>
    <w:p>
      <w:pPr>
        <w:spacing w:after="0" w:line="1" w:lineRule="exact"/>
        <w:rPr>
          <w:rFonts w:ascii="Arial" w:cs="Arial" w:eastAsia="Arial" w:hAnsi="Arial"/>
          <w:sz w:val="16"/>
          <w:szCs w:val="16"/>
          <w:color w:val="auto"/>
        </w:rPr>
      </w:pPr>
    </w:p>
    <w:p>
      <w:pPr>
        <w:jc w:val="both"/>
        <w:ind w:firstLine="8"/>
        <w:spacing w:after="0" w:line="299"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the Purchaser’s other available remedies, the Company shall pay to the Purchaser, in cash, as partial liquidated damages and not as a penalty, by reason of any such delay in or reduction of its ability to sell the Securities, an amount in cash equal to one and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one-half percent (1.5%) of the Subscription Amount of the Purchaser’s Securities on the day of a Public Information Failure and on every thirtieth (30</w:t>
      </w:r>
      <w:r>
        <w:rPr>
          <w:rFonts w:ascii="Arial" w:cs="Arial" w:eastAsia="Arial" w:hAnsi="Arial"/>
          <w:sz w:val="30"/>
          <w:szCs w:val="30"/>
          <w:color w:val="auto"/>
          <w:vertAlign w:val="superscript"/>
        </w:rPr>
        <w:t>th</w:t>
      </w:r>
      <w:r>
        <w:rPr>
          <w:rFonts w:ascii="Arial" w:cs="Arial" w:eastAsia="Arial" w:hAnsi="Arial"/>
          <w:sz w:val="16"/>
          <w:szCs w:val="16"/>
          <w:color w:val="auto"/>
        </w:rPr>
        <w:t>) day (pro rated for periods totaling less than thirty days) thereafter until the earlier of (a) the date such Public Information Failure is cured and (b) such time that such public information is no longer required for the Purchaser to transfer the Shares pursuant to Rule 144. The payments to which the Purchaser shall be entitled pursuant to this Section 4.2(b) are referred to herein as “</w:t>
      </w:r>
      <w:r>
        <w:rPr>
          <w:rFonts w:ascii="Arial" w:cs="Arial" w:eastAsia="Arial" w:hAnsi="Arial"/>
          <w:sz w:val="16"/>
          <w:szCs w:val="16"/>
          <w:u w:val="single" w:color="auto"/>
          <w:color w:val="auto"/>
        </w:rPr>
        <w:t>Public Information Failure Payments</w:t>
      </w:r>
      <w:r>
        <w:rPr>
          <w:rFonts w:ascii="Arial" w:cs="Arial" w:eastAsia="Arial" w:hAnsi="Arial"/>
          <w:sz w:val="16"/>
          <w:szCs w:val="16"/>
          <w:color w:val="auto"/>
        </w:rPr>
        <w:t>.” Public Information Failure Payments shall</w:t>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be paid on the earlier of (i) the last day of the calendar month during which such Public Information Failure Payments are incurred and (ii) the third (3</w:t>
      </w:r>
      <w:r>
        <w:rPr>
          <w:rFonts w:ascii="Arial" w:cs="Arial" w:eastAsia="Arial" w:hAnsi="Arial"/>
          <w:sz w:val="35"/>
          <w:szCs w:val="35"/>
          <w:color w:val="auto"/>
          <w:vertAlign w:val="superscript"/>
        </w:rPr>
        <w:t>rd</w:t>
      </w:r>
      <w:r>
        <w:rPr>
          <w:rFonts w:ascii="Arial" w:cs="Arial" w:eastAsia="Arial" w:hAnsi="Arial"/>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the Purchaser’s right to pursue actual damages for the Public Information Failure, and the Purchaser shall have the right to pursue all remedies available to it at law or in equity including, without limitation, a decree of specific performance and/or injunctive relief.</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both"/>
        <w:ind w:firstLine="648"/>
        <w:spacing w:after="0" w:line="27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Securities Laws Disclosure</w:t>
      </w:r>
      <w:r>
        <w:rPr>
          <w:rFonts w:ascii="Arial" w:cs="Arial" w:eastAsia="Arial" w:hAnsi="Arial"/>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the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4.6</w:t>
            </w:r>
          </w:p>
        </w:tc>
        <w:tc>
          <w:tcPr>
            <w:tcW w:w="9720" w:type="dxa"/>
            <w:vAlign w:val="bottom"/>
            <w:gridSpan w:val="4"/>
          </w:tcPr>
          <w:p>
            <w:pPr>
              <w:spacing w:after="0"/>
              <w:rPr>
                <w:sz w:val="20"/>
                <w:szCs w:val="20"/>
                <w:color w:val="auto"/>
              </w:rPr>
            </w:pPr>
            <w:r>
              <w:rPr>
                <w:rFonts w:ascii="Arial" w:cs="Arial" w:eastAsia="Arial" w:hAnsi="Arial"/>
                <w:sz w:val="18"/>
                <w:szCs w:val="18"/>
                <w:color w:val="auto"/>
              </w:rPr>
              <w:t>[Intentionally Omitted]</w:t>
            </w:r>
          </w:p>
        </w:tc>
      </w:tr>
      <w:tr>
        <w:trPr>
          <w:trHeight w:val="405"/>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4.7</w:t>
            </w:r>
          </w:p>
        </w:tc>
        <w:tc>
          <w:tcPr>
            <w:tcW w:w="9720" w:type="dxa"/>
            <w:vAlign w:val="bottom"/>
            <w:gridSpan w:val="4"/>
          </w:tcPr>
          <w:p>
            <w:pPr>
              <w:spacing w:after="0"/>
              <w:rPr>
                <w:sz w:val="20"/>
                <w:szCs w:val="20"/>
                <w:color w:val="auto"/>
              </w:rPr>
            </w:pPr>
            <w:r>
              <w:rPr>
                <w:rFonts w:ascii="Arial" w:cs="Arial" w:eastAsia="Arial" w:hAnsi="Arial"/>
                <w:sz w:val="18"/>
                <w:szCs w:val="18"/>
                <w:color w:val="auto"/>
                <w:w w:val="89"/>
              </w:rPr>
              <w:t>Use of Proceeds. The Company shall use the net proceeds from the sale of the Securities hereunder for general corporate purposes and</w:t>
            </w:r>
          </w:p>
        </w:tc>
      </w:tr>
      <w:tr>
        <w:trPr>
          <w:trHeight w:val="250"/>
        </w:trPr>
        <w:tc>
          <w:tcPr>
            <w:tcW w:w="1520" w:type="dxa"/>
            <w:vAlign w:val="bottom"/>
          </w:tcPr>
          <w:p>
            <w:pPr>
              <w:jc w:val="right"/>
              <w:ind w:right="250"/>
              <w:spacing w:after="0"/>
              <w:rPr>
                <w:sz w:val="20"/>
                <w:szCs w:val="20"/>
                <w:color w:val="auto"/>
              </w:rPr>
            </w:pPr>
            <w:r>
              <w:rPr>
                <w:rFonts w:ascii="Arial" w:cs="Arial" w:eastAsia="Arial" w:hAnsi="Arial"/>
                <w:sz w:val="18"/>
                <w:szCs w:val="18"/>
                <w:color w:val="auto"/>
                <w:w w:val="93"/>
              </w:rPr>
              <w:t>working capital.</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7420" w:type="dxa"/>
            <w:vAlign w:val="bottom"/>
          </w:tcPr>
          <w:p>
            <w:pPr>
              <w:spacing w:after="0"/>
              <w:rPr>
                <w:sz w:val="21"/>
                <w:szCs w:val="21"/>
                <w:color w:val="auto"/>
              </w:rPr>
            </w:pPr>
          </w:p>
        </w:tc>
      </w:tr>
      <w:tr>
        <w:trPr>
          <w:trHeight w:val="405"/>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w w:val="94"/>
              </w:rPr>
              <w:t>Indemnification of Purchaser.  Subject to the provisions of this Section 4.8, the Company will indemnify and hold the Purchaser</w:t>
            </w:r>
          </w:p>
        </w:tc>
      </w:tr>
      <w:tr>
        <w:trPr>
          <w:trHeight w:val="20"/>
        </w:trPr>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harmless from any and all losses, liabilities, obligations, claims, contingencies, damages, costs and expenses, including all judgments, amounts paid in settlements, court costs and reasonable attorneys’ fees and costs of investigation that the Purchaser may suffer or incur as a result of or relating to (a) any breach of any of the representations, warranties, covenants or agreements made by the Company in this Agreement or in the other Transaction Documents or (b) any action instituted against the Purchaser in any capacity, or any of them or their respective Affiliates, by any stockholder of the Company who is not an Affiliate of the Purchaser, with respect to any of the transactions contemplated by the Transaction Documents (unless such action is solely based upon a material breach of the Purchaser’s representations, warranties or covenants under the Transaction Documents or any agreements or understandings the Purchaser may have with any such stockholder or any violations by the Purchaser of state or federal securities laws or any conduct by the Purchaser which is finally judicially determined to constitute fraud, gross negligence or willful misconduct). If any action shall be brought against the Purchaser in respect of which indemnity may be sought pursuant to this Agreement, the Purchaser shall promptly notify the Company in writing, and the Company shall have the right to assume the defense thereof with counsel of its own choosing reasonably acceptable to the Purchaser. The Purchaser shall have the right to employ separate counsel in any such action and participate in the defense thereof, but the fees and expenses of such counsel shall be at the expense of the Purchaser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the Purchaser, in which case the Company shall be responsible for the reasonable fees and expenses of no more than one such separate counsel. The Company will not be liable to the Purchaser under this Agreement (1) for any settlement by the Purchaser effected without the Company’s prior written consent, which shall not be unreasonably withheld or delayed; or (2) to the extent, but only to the extent that a loss, claim, damage or liability is attributable to the Purchaser’s breach of any of the representations, warranties, covenants or agreements made by the Purchaser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the Purchaser against the Company or others and any liabilities the Company may be subject to pursuant to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both"/>
        <w:ind w:firstLine="648"/>
        <w:spacing w:after="0" w:line="27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8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[RESERVED]</w:t>
      </w:r>
    </w:p>
    <w:p>
      <w:pPr>
        <w:spacing w:after="0" w:line="23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39" w:lineRule="exact"/>
        <w:rPr>
          <w:sz w:val="20"/>
          <w:szCs w:val="20"/>
          <w:color w:val="auto"/>
        </w:rPr>
      </w:pPr>
    </w:p>
    <w:p>
      <w:pPr>
        <w:ind w:left="2320" w:hanging="1016"/>
        <w:spacing w:after="0"/>
        <w:tabs>
          <w:tab w:leader="none" w:pos="23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From the date hereof until forty-five (45) days following the Effective Date, neither the Company nor any Subsidiary shall</w:t>
      </w:r>
    </w:p>
    <w:p>
      <w:pPr>
        <w:spacing w:after="0" w:line="46" w:lineRule="exact"/>
        <w:rPr>
          <w:rFonts w:ascii="Arial" w:cs="Arial" w:eastAsia="Arial" w:hAnsi="Arial"/>
          <w:sz w:val="16"/>
          <w:szCs w:val="16"/>
          <w:color w:val="auto"/>
        </w:rPr>
      </w:pPr>
    </w:p>
    <w:p>
      <w:pPr>
        <w:jc w:val="both"/>
        <w:ind w:left="660" w:hanging="4"/>
        <w:spacing w:after="0" w:line="279" w:lineRule="auto"/>
        <w:tabs>
          <w:tab w:leader="none" w:pos="8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w:t>
      </w:r>
    </w:p>
    <w:p>
      <w:pPr>
        <w:spacing w:after="0" w:line="181" w:lineRule="exact"/>
        <w:rPr>
          <w:rFonts w:ascii="Arial" w:cs="Arial" w:eastAsia="Arial" w:hAnsi="Arial"/>
          <w:sz w:val="18"/>
          <w:szCs w:val="18"/>
          <w:color w:val="auto"/>
        </w:rPr>
      </w:pPr>
    </w:p>
    <w:p>
      <w:pPr>
        <w:jc w:val="both"/>
        <w:ind w:left="660" w:firstLine="644"/>
        <w:spacing w:after="0" w:line="299" w:lineRule="auto"/>
        <w:tabs>
          <w:tab w:leader="none" w:pos="2206" w:val="left"/>
        </w:tabs>
        <w:numPr>
          <w:ilvl w:val="1"/>
          <w:numId w:val="25"/>
        </w:numPr>
        <w:rPr>
          <w:rFonts w:ascii="Arial" w:cs="Arial" w:eastAsia="Arial" w:hAnsi="Arial"/>
          <w:sz w:val="16"/>
          <w:szCs w:val="16"/>
          <w:color w:val="auto"/>
        </w:rPr>
      </w:pPr>
      <w:r>
        <w:rPr>
          <w:rFonts w:ascii="Arial" w:cs="Arial" w:eastAsia="Arial" w:hAnsi="Arial"/>
          <w:sz w:val="16"/>
          <w:szCs w:val="16"/>
          <w:color w:val="auto"/>
        </w:rPr>
        <w:t>From the date hereof until the one (1) year anniversary of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means a transaction in which the Company</w:t>
      </w:r>
    </w:p>
    <w:p>
      <w:pPr>
        <w:spacing w:after="0" w:line="1" w:lineRule="exact"/>
        <w:rPr>
          <w:rFonts w:ascii="Arial" w:cs="Arial" w:eastAsia="Arial" w:hAnsi="Arial"/>
          <w:sz w:val="16"/>
          <w:szCs w:val="16"/>
          <w:color w:val="auto"/>
        </w:rPr>
      </w:pPr>
    </w:p>
    <w:p>
      <w:pPr>
        <w:jc w:val="both"/>
        <w:ind w:left="660" w:hanging="4"/>
        <w:spacing w:after="0" w:line="286" w:lineRule="auto"/>
        <w:tabs>
          <w:tab w:leader="none" w:pos="8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ninety (90) days following the Effective Date, the issuance of shares of Common Stock in an “at the market” offering with H.C. Wainwright &amp; Co., LLC as sales agent shall not be deemed a Variable Rate Transaction. The Purchaser shall be entitled to obtain injunctive relief against the Company to preclude any such issuance, which remedy shall be in addition to any right to collect damages.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ind w:left="660" w:firstLine="644"/>
        <w:spacing w:after="0" w:line="293" w:lineRule="auto"/>
        <w:tabs>
          <w:tab w:leader="none" w:pos="2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 except that no Variable Rate Transaction shall be an Exempt Issuance.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7"/>
          <w:szCs w:val="17"/>
          <w:color w:val="auto"/>
        </w:rPr>
        <w:t>[Intentionally Omitted]</w:t>
      </w:r>
    </w:p>
    <w:p>
      <w:pPr>
        <w:spacing w:after="0" w:line="23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The Purchaser covenants that neither he nor any Affiliate acting on his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The Purchaser covenants that until such time as the transactions contemplated by this Agreement are publicly disclosed by the Company pursuant to the initial press release as described in Section 4.4, the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the Purchaser makes no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the Purchaser. The Company shall take such action as the Company shall reasonably determine is necessary in order to obtain an exemption for, or to qualify the Securities for, sale to the Purchaser at the Closing under applicable securities or “Blue Sky” laws of the states of the United States, and shall provide evidence of such actions promptly upon request of the Purchaser.</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99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9"/>
              </w:rPr>
              <w:t>ARTICLE V.</w:t>
            </w:r>
          </w:p>
        </w:tc>
      </w:tr>
      <w:tr>
        <w:trPr>
          <w:trHeight w:val="230"/>
        </w:trPr>
        <w:tc>
          <w:tcPr>
            <w:tcW w:w="640" w:type="dxa"/>
            <w:vAlign w:val="bottom"/>
          </w:tcPr>
          <w:p>
            <w:pPr>
              <w:spacing w:after="0"/>
              <w:rPr>
                <w:sz w:val="20"/>
                <w:szCs w:val="20"/>
                <w:color w:val="auto"/>
              </w:rPr>
            </w:pPr>
          </w:p>
        </w:tc>
        <w:tc>
          <w:tcPr>
            <w:tcW w:w="9940" w:type="dxa"/>
            <w:vAlign w:val="bottom"/>
          </w:tcPr>
          <w:p>
            <w:pPr>
              <w:jc w:val="center"/>
              <w:ind w:right="1190"/>
              <w:spacing w:after="0"/>
              <w:rPr>
                <w:sz w:val="20"/>
                <w:szCs w:val="20"/>
                <w:color w:val="auto"/>
              </w:rPr>
            </w:pPr>
            <w:r>
              <w:rPr>
                <w:rFonts w:ascii="Arial" w:cs="Arial" w:eastAsia="Arial" w:hAnsi="Arial"/>
                <w:sz w:val="18"/>
                <w:szCs w:val="18"/>
                <w:color w:val="auto"/>
                <w:w w:val="97"/>
              </w:rPr>
              <w:t>MISCELLANEOUS</w:t>
            </w:r>
          </w:p>
        </w:tc>
      </w:tr>
      <w:tr>
        <w:trPr>
          <w:trHeight w:val="445"/>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5.1</w:t>
            </w:r>
          </w:p>
        </w:tc>
        <w:tc>
          <w:tcPr>
            <w:tcW w:w="9940" w:type="dxa"/>
            <w:vAlign w:val="bottom"/>
          </w:tcPr>
          <w:p>
            <w:pPr>
              <w:ind w:left="420"/>
              <w:spacing w:after="0"/>
              <w:rPr>
                <w:sz w:val="20"/>
                <w:szCs w:val="20"/>
                <w:color w:val="auto"/>
              </w:rPr>
            </w:pPr>
            <w:r>
              <w:rPr>
                <w:rFonts w:ascii="Arial" w:cs="Arial" w:eastAsia="Arial" w:hAnsi="Arial"/>
                <w:sz w:val="18"/>
                <w:szCs w:val="18"/>
                <w:u w:val="single" w:color="auto"/>
                <w:color w:val="auto"/>
                <w:w w:val="93"/>
              </w:rPr>
              <w:t>Termination</w:t>
            </w:r>
            <w:r>
              <w:rPr>
                <w:rFonts w:ascii="Arial" w:cs="Arial" w:eastAsia="Arial" w:hAnsi="Arial"/>
                <w:sz w:val="18"/>
                <w:szCs w:val="18"/>
                <w:color w:val="auto"/>
                <w:w w:val="93"/>
              </w:rPr>
              <w:t>.  This Agreement may be terminated by the Purchase by written notice to the Company if the Closing has not been</w:t>
            </w:r>
          </w:p>
        </w:tc>
      </w:tr>
    </w:tbl>
    <w:p>
      <w:pPr>
        <w:jc w:val="both"/>
        <w:spacing w:after="0" w:line="207"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Securities to the Purchaser.</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both"/>
        <w:ind w:firstLine="648"/>
        <w:spacing w:after="0" w:line="29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35"/>
          <w:szCs w:val="35"/>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1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5.6</w:t>
            </w:r>
          </w:p>
        </w:tc>
        <w:tc>
          <w:tcPr>
            <w:tcW w:w="9720" w:type="dxa"/>
            <w:vAlign w:val="bottom"/>
            <w:gridSpan w:val="4"/>
          </w:tcPr>
          <w:p>
            <w:pPr>
              <w:spacing w:after="0"/>
              <w:rPr>
                <w:sz w:val="20"/>
                <w:szCs w:val="20"/>
                <w:color w:val="auto"/>
              </w:rPr>
            </w:pPr>
            <w:r>
              <w:rPr>
                <w:rFonts w:ascii="Arial" w:cs="Arial" w:eastAsia="Arial" w:hAnsi="Arial"/>
                <w:sz w:val="18"/>
                <w:szCs w:val="18"/>
                <w:color w:val="auto"/>
                <w:w w:val="90"/>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50"/>
        </w:trPr>
        <w:tc>
          <w:tcPr>
            <w:tcW w:w="11240" w:type="dxa"/>
            <w:vAlign w:val="bottom"/>
            <w:gridSpan w:val="5"/>
          </w:tcPr>
          <w:p>
            <w:pPr>
              <w:spacing w:after="0"/>
              <w:rPr>
                <w:sz w:val="20"/>
                <w:szCs w:val="20"/>
                <w:color w:val="auto"/>
              </w:rPr>
            </w:pPr>
            <w:r>
              <w:rPr>
                <w:rFonts w:ascii="Arial" w:cs="Arial" w:eastAsia="Arial" w:hAnsi="Arial"/>
                <w:sz w:val="18"/>
                <w:szCs w:val="18"/>
                <w:color w:val="auto"/>
              </w:rPr>
              <w:t>affect any of the provisions hereof.</w:t>
            </w:r>
          </w:p>
        </w:tc>
      </w:tr>
      <w:tr>
        <w:trPr>
          <w:trHeight w:val="405"/>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18"/>
                <w:szCs w:val="18"/>
                <w:color w:val="auto"/>
                <w:w w:val="93"/>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Securities, provided that such transferee agrees in writing to be bound, with respect to the transferred Securities, by the provisions of the Transaction Documents that apply to the “Purchaser.”</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9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Payment Set Aside</w:t>
      </w:r>
      <w:r>
        <w:rPr>
          <w:rFonts w:ascii="Arial" w:cs="Arial" w:eastAsia="Arial" w:hAnsi="Arial"/>
          <w:sz w:val="18"/>
          <w:szCs w:val="18"/>
          <w:color w:val="auto"/>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ind w:left="660"/>
        <w:spacing w:after="0"/>
        <w:tabs>
          <w:tab w:leader="none" w:pos="140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7"/>
          <w:szCs w:val="17"/>
          <w:color w:val="auto"/>
        </w:rPr>
        <w:t>[Intentionally Omitted].</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Pages Follow)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line="293"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CLEARONE,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Address for Notice:</w:t>
            </w:r>
          </w:p>
        </w:tc>
      </w:tr>
      <w:tr>
        <w:trPr>
          <w:trHeight w:val="628"/>
        </w:trPr>
        <w:tc>
          <w:tcPr>
            <w:tcW w:w="6820" w:type="dxa"/>
            <w:vAlign w:val="bottom"/>
            <w:gridSpan w:val="3"/>
          </w:tcPr>
          <w:p>
            <w:pPr>
              <w:spacing w:after="0"/>
              <w:rPr>
                <w:sz w:val="20"/>
                <w:szCs w:val="20"/>
                <w:color w:val="auto"/>
              </w:rPr>
            </w:pPr>
            <w:r>
              <w:rPr>
                <w:rFonts w:ascii="Arial" w:cs="Arial" w:eastAsia="Arial" w:hAnsi="Arial"/>
                <w:sz w:val="18"/>
                <w:szCs w:val="18"/>
                <w:color w:val="auto"/>
              </w:rPr>
              <w:t>By:/s/ Zeynep Hakimoglu</w:t>
            </w:r>
          </w:p>
        </w:tc>
        <w:tc>
          <w:tcPr>
            <w:tcW w:w="14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22"/>
        </w:trPr>
        <w:tc>
          <w:tcPr>
            <w:tcW w:w="6820" w:type="dxa"/>
            <w:vAlign w:val="bottom"/>
            <w:gridSpan w:val="3"/>
          </w:tcPr>
          <w:p>
            <w:pPr>
              <w:ind w:left="240"/>
              <w:spacing w:after="0"/>
              <w:rPr>
                <w:sz w:val="20"/>
                <w:szCs w:val="20"/>
                <w:color w:val="auto"/>
              </w:rPr>
            </w:pPr>
            <w:r>
              <w:rPr>
                <w:rFonts w:ascii="Arial" w:cs="Arial" w:eastAsia="Arial" w:hAnsi="Arial"/>
                <w:sz w:val="18"/>
                <w:szCs w:val="18"/>
                <w:color w:val="auto"/>
              </w:rPr>
              <w:t>Name: Zeynep Hakimoglu</w:t>
            </w:r>
          </w:p>
        </w:tc>
        <w:tc>
          <w:tcPr>
            <w:tcW w:w="2800" w:type="dxa"/>
            <w:vAlign w:val="bottom"/>
            <w:gridSpan w:val="2"/>
          </w:tcPr>
          <w:p>
            <w:pPr>
              <w:spacing w:after="0"/>
              <w:rPr>
                <w:sz w:val="20"/>
                <w:szCs w:val="20"/>
                <w:color w:val="auto"/>
              </w:rPr>
            </w:pPr>
            <w:r>
              <w:rPr>
                <w:rFonts w:ascii="Arial" w:cs="Arial" w:eastAsia="Arial" w:hAnsi="Arial"/>
                <w:sz w:val="18"/>
                <w:szCs w:val="18"/>
                <w:color w:val="auto"/>
                <w:w w:val="91"/>
              </w:rPr>
              <w:t>E-Mail: zee.hakimoglu@clearone.com</w:t>
            </w:r>
          </w:p>
        </w:tc>
      </w:tr>
      <w:tr>
        <w:trPr>
          <w:trHeight w:val="216"/>
        </w:trPr>
        <w:tc>
          <w:tcPr>
            <w:tcW w:w="6820" w:type="dxa"/>
            <w:vAlign w:val="bottom"/>
            <w:gridSpan w:val="3"/>
          </w:tcPr>
          <w:p>
            <w:pPr>
              <w:ind w:left="240"/>
              <w:spacing w:after="0"/>
              <w:rPr>
                <w:sz w:val="20"/>
                <w:szCs w:val="20"/>
                <w:color w:val="auto"/>
              </w:rPr>
            </w:pPr>
            <w:r>
              <w:rPr>
                <w:rFonts w:ascii="Arial" w:cs="Arial" w:eastAsia="Arial" w:hAnsi="Arial"/>
                <w:sz w:val="18"/>
                <w:szCs w:val="18"/>
                <w:color w:val="auto"/>
              </w:rPr>
              <w:t>Title: Chief Executive Officer</w:t>
            </w:r>
          </w:p>
        </w:tc>
        <w:tc>
          <w:tcPr>
            <w:tcW w:w="2800" w:type="dxa"/>
            <w:vAlign w:val="bottom"/>
            <w:gridSpan w:val="2"/>
          </w:tcPr>
          <w:p>
            <w:pPr>
              <w:spacing w:after="0"/>
              <w:rPr>
                <w:sz w:val="20"/>
                <w:szCs w:val="20"/>
                <w:color w:val="auto"/>
              </w:rPr>
            </w:pPr>
            <w:r>
              <w:rPr>
                <w:rFonts w:ascii="Arial" w:cs="Arial" w:eastAsia="Arial" w:hAnsi="Arial"/>
                <w:sz w:val="18"/>
                <w:szCs w:val="18"/>
                <w:color w:val="auto"/>
              </w:rPr>
              <w:t>Fax:</w:t>
            </w: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With a copy to (which shall not constitute notice):</w:t>
            </w: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8"/>
        </w:trPr>
        <w:tc>
          <w:tcPr>
            <w:tcW w:w="6820" w:type="dxa"/>
            <w:vAlign w:val="bottom"/>
            <w:gridSpan w:val="3"/>
          </w:tcPr>
          <w:p>
            <w:pPr>
              <w:spacing w:after="0"/>
              <w:rPr>
                <w:sz w:val="20"/>
                <w:szCs w:val="20"/>
                <w:color w:val="auto"/>
              </w:rPr>
            </w:pPr>
            <w:r>
              <w:rPr>
                <w:rFonts w:ascii="Arial" w:cs="Arial" w:eastAsia="Arial" w:hAnsi="Arial"/>
                <w:sz w:val="18"/>
                <w:szCs w:val="18"/>
                <w:color w:val="auto"/>
              </w:rPr>
              <w:t>Seyfarth Shaw LLP</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700 Milam Street, Suite 1400</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Houston, Texas 77002</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820" w:type="dxa"/>
            <w:vAlign w:val="bottom"/>
            <w:gridSpan w:val="3"/>
          </w:tcPr>
          <w:p>
            <w:pPr>
              <w:spacing w:after="0"/>
              <w:rPr>
                <w:sz w:val="20"/>
                <w:szCs w:val="20"/>
                <w:color w:val="auto"/>
              </w:rPr>
            </w:pPr>
            <w:r>
              <w:rPr>
                <w:rFonts w:ascii="Arial" w:cs="Arial" w:eastAsia="Arial" w:hAnsi="Arial"/>
                <w:sz w:val="18"/>
                <w:szCs w:val="18"/>
                <w:color w:val="auto"/>
              </w:rPr>
              <w:t>Email: mdunn@seyfarth.com</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Attention: Michael T. Dunn</w:t>
            </w: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8" w:name="page29"/>
    <w:bookmarkEnd w:id="28"/>
    <w:p>
      <w:pPr>
        <w:ind w:left="2200"/>
        <w:spacing w:after="0"/>
        <w:rPr>
          <w:sz w:val="20"/>
          <w:szCs w:val="20"/>
          <w:color w:val="auto"/>
        </w:rPr>
      </w:pPr>
      <w:r>
        <w:rPr>
          <w:rFonts w:ascii="Arial" w:cs="Arial" w:eastAsia="Arial" w:hAnsi="Arial"/>
          <w:sz w:val="18"/>
          <w:szCs w:val="18"/>
          <w:color w:val="auto"/>
        </w:rPr>
        <w:t>[PURCHASER SIGNATURE PAGES TO CLRO SECURITIES PURCHASE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has executed this Securities Purchase Agreement as of the date first indicated above.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Edward D. Bagley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Purchaser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 Edward D. Bagley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2350 Oak Hill Lane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firstLine="832"/>
        <w:spacing w:after="0" w:line="277"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January 4, 2022, between ClearOne,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Edward D. Bagley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ind w:firstLine="692"/>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the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and each Purchaser hereby agrees as follows:</w:t>
      </w:r>
    </w:p>
    <w:p>
      <w:pPr>
        <w:spacing w:after="0" w:line="225" w:lineRule="exact"/>
        <w:rPr>
          <w:sz w:val="20"/>
          <w:szCs w:val="20"/>
          <w:color w:val="auto"/>
        </w:rPr>
      </w:pPr>
    </w:p>
    <w:p>
      <w:pPr>
        <w:ind w:left="1180" w:hanging="812"/>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firstLine="729"/>
        <w:spacing w:after="0" w:line="312" w:lineRule="auto"/>
        <w:rPr>
          <w:sz w:val="20"/>
          <w:szCs w:val="20"/>
          <w:color w:val="auto"/>
        </w:rPr>
      </w:pPr>
      <w:r>
        <w:rPr>
          <w:rFonts w:ascii="Arial" w:cs="Arial" w:eastAsia="Arial" w:hAnsi="Arial"/>
          <w:sz w:val="17"/>
          <w:szCs w:val="17"/>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7"/>
          <w:szCs w:val="17"/>
          <w:color w:val="auto"/>
        </w:rPr>
        <w:t>As used in this Agreement, the following terms shall have the following meanings:</w:t>
      </w:r>
    </w:p>
    <w:p>
      <w:pPr>
        <w:spacing w:after="0" w:line="14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6(c).</w:t>
      </w:r>
    </w:p>
    <w:p>
      <w:pPr>
        <w:spacing w:after="0" w:line="225"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means, with respect to the Initial Registration Statement required to be filed hereunder, the 40th calendar day following the date on which the Company has filed with the Commission all the information required in its annual report on Form 10-K for the year ended December 31, 2021, including all the information constituting part III of the Form 10-K which may be filed by amendment or with the Company’s definitive proxy statement on Schedule 14A (or, in the event of a “full review” by the Commission, the 90th calendar day following such date) and with respect to any additional Registration Statements which may be required pursuant to Section 2(c) or Section 3(c), the 40th calendar day following the date on which an additional Registration Statement is required to be filed hereunder (or, in the event of a “full review” by the Commission, the 90th calendar day following the date such additional Registration Statement is required to be filed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shall have the meaning set forth in Section 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shall have the meaning set forth in Section 2(d).</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Date</w:t>
      </w:r>
      <w:r>
        <w:rPr>
          <w:rFonts w:ascii="Arial" w:cs="Arial" w:eastAsia="Arial" w:hAnsi="Arial"/>
          <w:sz w:val="18"/>
          <w:szCs w:val="18"/>
          <w:color w:val="auto"/>
        </w:rPr>
        <w:t>” means, with respect to the Initial Registration Statement required hereunder, the 15th calendar day following the date on which the Company files with the Commission all the information required in its annual report on Form 10-K for the year ended December 31, 2021, including all the information constituting part III of the Form 10-K which may be filed by amendment or with the Company’s definitive proxy statement on Schedule 14A,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any holder of Registrable Securities, which initially shall be the sole Purchaser under the Purchase Agreement.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means, as of any date of determination, (a) all Shares, and (b) any securities issued or then issuable upon any stock split, dividend or other distribution, recapitalization or similar event with respect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Holder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31" w:name="page32"/>
    <w:bookmarkEnd w:id="31"/>
    <w:p>
      <w:pPr>
        <w:jc w:val="both"/>
        <w:ind w:left="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left="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shall have the meaning set forth in Section 3(a).</w:t>
      </w:r>
    </w:p>
    <w:p>
      <w:pPr>
        <w:spacing w:after="0" w:line="225" w:lineRule="exact"/>
        <w:rPr>
          <w:sz w:val="20"/>
          <w:szCs w:val="20"/>
          <w:color w:val="auto"/>
        </w:rPr>
      </w:pPr>
    </w:p>
    <w:p>
      <w:pPr>
        <w:jc w:val="both"/>
        <w:ind w:lef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Commission staff, or any comments, requirements or requests of the Commission staff and (ii) the Securities Act.</w:t>
      </w:r>
    </w:p>
    <w:p>
      <w:pPr>
        <w:spacing w:after="0" w:line="170"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00" w:firstLine="644"/>
        <w:spacing w:after="0" w:line="284" w:lineRule="auto"/>
        <w:tabs>
          <w:tab w:leader="none" w:pos="1908" w:val="left"/>
        </w:tabs>
        <w:numPr>
          <w:ilvl w:val="1"/>
          <w:numId w:val="29"/>
        </w:numPr>
        <w:rPr>
          <w:rFonts w:ascii="Arial" w:cs="Arial" w:eastAsia="Arial" w:hAnsi="Arial"/>
          <w:sz w:val="16"/>
          <w:szCs w:val="16"/>
          <w:color w:val="auto"/>
        </w:rPr>
      </w:pPr>
      <w:r>
        <w:rPr>
          <w:rFonts w:ascii="Arial" w:cs="Arial" w:eastAsia="Arial" w:hAnsi="Arial"/>
          <w:sz w:val="16"/>
          <w:szCs w:val="16"/>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substantially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Annex</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and substantially the “</w:t>
      </w:r>
      <w:r>
        <w:rPr>
          <w:rFonts w:ascii="Arial" w:cs="Arial" w:eastAsia="Arial" w:hAnsi="Arial"/>
          <w:sz w:val="16"/>
          <w:szCs w:val="16"/>
          <w:u w:val="single" w:color="auto"/>
          <w:color w:val="auto"/>
        </w:rPr>
        <w:t>Selling Stockholder</w:t>
      </w:r>
      <w:r>
        <w:rPr>
          <w:rFonts w:ascii="Arial" w:cs="Arial" w:eastAsia="Arial" w:hAnsi="Arial"/>
          <w:sz w:val="16"/>
          <w:szCs w:val="16"/>
          <w:color w:val="auto"/>
        </w:rPr>
        <w:t xml:space="preserve">” section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Holder shall not be required to be named as an “underwriter” without the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Holder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The Company shall telephonically request effectiveness of a Registration Statement as of 5:00 p.m. (New York City time) on a Trading Day. The Company shall immediately notify the Holder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181" w:lineRule="exact"/>
        <w:rPr>
          <w:rFonts w:ascii="Arial" w:cs="Arial" w:eastAsia="Arial" w:hAnsi="Arial"/>
          <w:sz w:val="16"/>
          <w:szCs w:val="16"/>
          <w:color w:val="auto"/>
        </w:rPr>
      </w:pPr>
    </w:p>
    <w:p>
      <w:pPr>
        <w:jc w:val="both"/>
        <w:ind w:left="300" w:firstLine="644"/>
        <w:spacing w:after="0" w:line="270" w:lineRule="auto"/>
        <w:tabs>
          <w:tab w:leader="none" w:pos="1873"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the Holder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20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557" w:right="339" w:bottom="1440" w:gutter="0" w:footer="0" w:header="0"/>
        </w:sectPr>
      </w:pPr>
    </w:p>
    <w:bookmarkStart w:id="32" w:name="page33"/>
    <w:bookmarkEnd w:id="32"/>
    <w:p>
      <w:pPr>
        <w:jc w:val="both"/>
        <w:ind w:firstLine="644"/>
        <w:spacing w:after="0" w:line="296" w:lineRule="auto"/>
        <w:tabs>
          <w:tab w:leader="none" w:pos="18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65" w:lineRule="exact"/>
        <w:rPr>
          <w:rFonts w:ascii="Arial" w:cs="Arial" w:eastAsia="Arial" w:hAnsi="Arial"/>
          <w:sz w:val="16"/>
          <w:szCs w:val="16"/>
          <w:color w:val="auto"/>
        </w:rPr>
      </w:pPr>
    </w:p>
    <w:p>
      <w:pPr>
        <w:ind w:left="640" w:hanging="280"/>
        <w:spacing w:after="0"/>
        <w:tabs>
          <w:tab w:leader="none" w:pos="6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First, the Company shall reduce or eliminate any securities to be included other than Registrable Securities; and</w:t>
      </w:r>
    </w:p>
    <w:p>
      <w:pPr>
        <w:spacing w:after="0" w:line="206" w:lineRule="exact"/>
        <w:rPr>
          <w:rFonts w:ascii="Arial" w:cs="Arial" w:eastAsia="Arial" w:hAnsi="Arial"/>
          <w:sz w:val="22"/>
          <w:szCs w:val="22"/>
          <w:color w:val="auto"/>
        </w:rPr>
      </w:pPr>
    </w:p>
    <w:p>
      <w:pPr>
        <w:ind w:left="640" w:hanging="280"/>
        <w:spacing w:after="0"/>
        <w:tabs>
          <w:tab w:leader="none" w:pos="6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Second, the Company shall reduce Registrable Securities represented by Shares.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61" w:lineRule="exact"/>
        <w:rPr>
          <w:sz w:val="20"/>
          <w:szCs w:val="20"/>
          <w:color w:val="auto"/>
        </w:rPr>
      </w:pPr>
    </w:p>
    <w:p>
      <w:pPr>
        <w:jc w:val="both"/>
        <w:ind w:firstLine="644"/>
        <w:spacing w:after="0" w:line="284" w:lineRule="auto"/>
        <w:tabs>
          <w:tab w:leader="none" w:pos="157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(i) the Initial Registration Statement is not filed on or prior to its Filing Date (if the Company files the Initial Registration Statement without affording the Holder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 is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Arial" w:cs="Arial" w:eastAsia="Arial" w:hAnsi="Arial"/>
          <w:sz w:val="16"/>
          <w:szCs w:val="16"/>
          <w:u w:val="single" w:color="auto"/>
          <w:color w:val="auto"/>
        </w:rPr>
        <w:t>Event</w:t>
      </w:r>
      <w:r>
        <w:rPr>
          <w:rFonts w:ascii="Arial" w:cs="Arial" w:eastAsia="Arial" w:hAnsi="Arial"/>
          <w:sz w:val="16"/>
          <w:szCs w:val="16"/>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Arial" w:cs="Arial" w:eastAsia="Arial" w:hAnsi="Arial"/>
          <w:sz w:val="16"/>
          <w:szCs w:val="16"/>
          <w:u w:val="single" w:color="auto"/>
          <w:color w:val="auto"/>
        </w:rPr>
        <w:t>Event Date</w:t>
      </w:r>
      <w:r>
        <w:rPr>
          <w:rFonts w:ascii="Arial" w:cs="Arial" w:eastAsia="Arial" w:hAnsi="Arial"/>
          <w:sz w:val="16"/>
          <w:szCs w:val="16"/>
          <w:color w:val="auto"/>
        </w:rPr>
        <w:t>”), then, in addition to any other rights the Holder may have hereunder or under applicable law, on each such Event Date and on each monthly anniversary of each such Event Date (if the applicable Event shall not have been cured by such date) until the applicable Event is cured, the Company shall pay to the Holder an amount in cash, as partial liquidated damages and not as a penalty, equal to the product of 2.0% multiplied by the aggregate Subscription Amount paid by the Holder pursuant to the Purchase Agreement. The parties agree that the maximum aggregate liquidated damages payable to the Holder under this Agreement shall be 12% of the aggregate purchase consideration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71" w:lineRule="exact"/>
        <w:rPr>
          <w:rFonts w:ascii="Arial" w:cs="Arial" w:eastAsia="Arial" w:hAnsi="Arial"/>
          <w:sz w:val="16"/>
          <w:szCs w:val="16"/>
          <w:color w:val="auto"/>
        </w:rPr>
      </w:pPr>
    </w:p>
    <w:p>
      <w:pPr>
        <w:jc w:val="both"/>
        <w:ind w:firstLine="644"/>
        <w:spacing w:after="0" w:line="301" w:lineRule="auto"/>
        <w:tabs>
          <w:tab w:leader="none" w:pos="17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57" w:lineRule="exact"/>
        <w:rPr>
          <w:rFonts w:ascii="Arial" w:cs="Arial" w:eastAsia="Arial" w:hAnsi="Arial"/>
          <w:sz w:val="16"/>
          <w:szCs w:val="16"/>
          <w:color w:val="auto"/>
        </w:rPr>
      </w:pPr>
    </w:p>
    <w:p>
      <w:pPr>
        <w:ind w:firstLine="644"/>
        <w:spacing w:after="0" w:line="277" w:lineRule="auto"/>
        <w:tabs>
          <w:tab w:leader="none" w:pos="16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33" w:name="page34"/>
    <w:bookmarkEnd w:id="33"/>
    <w:p>
      <w:pPr>
        <w:ind w:left="804" w:hanging="804"/>
        <w:spacing w:after="0"/>
        <w:tabs>
          <w:tab w:leader="none" w:pos="8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2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9" w:lineRule="auto"/>
        <w:tabs>
          <w:tab w:leader="none" w:pos="1639"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the Holder, and (ii) cause its officers and directors, counsel and independent registered public accountants to respond to such inquiries as shall be necessary, in the reasonable opinion of respective counsel to the Holder, to conduct a reasonable investigation within the meaning of the Securities Act. The Company shall not file a Registration Statement or any such Prospectus or any amendments or supplements thereto to which the Holder shall reasonably object in good faith, provided that, the Company is notified of such objection in writing no later than five (5) Trading Days after the Holder has been so furnished copies of a Registration Statement or one (1) Trading Day after the Holder has been so furnished copies of any related Prospectus or amendments or supplements thereto. Holder agrees to furnish to the Company a completed questionnaire in the form attached to this Agreement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(a “</w:t>
      </w:r>
      <w:r>
        <w:rPr>
          <w:rFonts w:ascii="Arial" w:cs="Arial" w:eastAsia="Arial" w:hAnsi="Arial"/>
          <w:sz w:val="17"/>
          <w:szCs w:val="17"/>
          <w:u w:val="single" w:color="auto"/>
          <w:color w:val="auto"/>
        </w:rPr>
        <w:t>Selling Stockholder Questionnaire</w:t>
      </w:r>
      <w:r>
        <w:rPr>
          <w:rFonts w:ascii="Arial" w:cs="Arial" w:eastAsia="Arial" w:hAnsi="Arial"/>
          <w:sz w:val="17"/>
          <w:szCs w:val="17"/>
          <w:color w:val="auto"/>
        </w:rPr>
        <w:t>”) on a date that is not less than two (2) Trading Days prior to the Filing Date or by the end of the fourth (4</w:t>
      </w:r>
      <w:r>
        <w:rPr>
          <w:rFonts w:ascii="Arial" w:cs="Arial" w:eastAsia="Arial" w:hAnsi="Arial"/>
          <w:sz w:val="27"/>
          <w:szCs w:val="27"/>
          <w:color w:val="auto"/>
          <w:vertAlign w:val="superscript"/>
        </w:rPr>
        <w:t>th</w:t>
      </w:r>
      <w:r>
        <w:rPr>
          <w:rFonts w:ascii="Arial" w:cs="Arial" w:eastAsia="Arial" w:hAnsi="Arial"/>
          <w:sz w:val="17"/>
          <w:szCs w:val="17"/>
          <w:color w:val="auto"/>
        </w:rPr>
        <w:t>) Trading Day following the date on which the Holder receives draft materials in accordance with this Section.</w:t>
      </w:r>
    </w:p>
    <w:p>
      <w:pPr>
        <w:spacing w:after="0" w:line="184" w:lineRule="exact"/>
        <w:rPr>
          <w:rFonts w:ascii="Arial" w:cs="Arial" w:eastAsia="Arial" w:hAnsi="Arial"/>
          <w:sz w:val="17"/>
          <w:szCs w:val="17"/>
          <w:color w:val="auto"/>
        </w:rPr>
      </w:pPr>
    </w:p>
    <w:p>
      <w:pPr>
        <w:jc w:val="both"/>
        <w:ind w:left="4" w:firstLine="644"/>
        <w:spacing w:after="0" w:line="268" w:lineRule="auto"/>
        <w:tabs>
          <w:tab w:leader="none" w:pos="19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 thereof set forth in such Registration Statement as so amended or in such Prospectus as so supplemented.</w:t>
      </w:r>
    </w:p>
    <w:p>
      <w:pPr>
        <w:spacing w:after="0" w:line="186" w:lineRule="exact"/>
        <w:rPr>
          <w:rFonts w:ascii="Arial" w:cs="Arial" w:eastAsia="Arial" w:hAnsi="Arial"/>
          <w:sz w:val="17"/>
          <w:szCs w:val="17"/>
          <w:color w:val="auto"/>
        </w:rPr>
      </w:pPr>
    </w:p>
    <w:p>
      <w:pPr>
        <w:jc w:val="both"/>
        <w:ind w:left="4" w:firstLine="644"/>
        <w:spacing w:after="0" w:line="259" w:lineRule="auto"/>
        <w:tabs>
          <w:tab w:leader="none" w:pos="15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 of not less than the number of such Registrable Securities.</w:t>
      </w:r>
    </w:p>
    <w:p>
      <w:pPr>
        <w:spacing w:after="0" w:line="21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7" w:right="339" w:bottom="1440" w:gutter="0" w:footer="0" w:header="0"/>
        </w:sectPr>
      </w:pPr>
    </w:p>
    <w:bookmarkStart w:id="34" w:name="page35"/>
    <w:bookmarkEnd w:id="34"/>
    <w:p>
      <w:pPr>
        <w:jc w:val="both"/>
        <w:ind w:left="-460" w:firstLine="644"/>
        <w:spacing w:after="0" w:line="284" w:lineRule="auto"/>
        <w:tabs>
          <w:tab w:leader="none" w:pos="12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Notify the Holder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such notice contain any information which would constitute material, non-public information regarding the Company or any of its Subsidiaries.</w:t>
      </w:r>
    </w:p>
    <w:p>
      <w:pPr>
        <w:spacing w:after="0" w:line="179" w:lineRule="exact"/>
        <w:rPr>
          <w:rFonts w:ascii="Arial" w:cs="Arial" w:eastAsia="Arial" w:hAnsi="Arial"/>
          <w:sz w:val="16"/>
          <w:szCs w:val="16"/>
          <w:color w:val="auto"/>
        </w:rPr>
      </w:pPr>
    </w:p>
    <w:p>
      <w:pPr>
        <w:jc w:val="both"/>
        <w:ind w:left="-460" w:firstLine="644"/>
        <w:spacing w:after="0" w:line="263" w:lineRule="auto"/>
        <w:tabs>
          <w:tab w:leader="none" w:pos="1202"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83" w:lineRule="exact"/>
        <w:rPr>
          <w:rFonts w:ascii="Arial" w:cs="Arial" w:eastAsia="Arial" w:hAnsi="Arial"/>
          <w:sz w:val="18"/>
          <w:szCs w:val="18"/>
          <w:color w:val="auto"/>
        </w:rPr>
      </w:pPr>
    </w:p>
    <w:p>
      <w:pPr>
        <w:jc w:val="both"/>
        <w:ind w:left="-460" w:firstLine="644"/>
        <w:spacing w:after="0" w:line="257" w:lineRule="auto"/>
        <w:tabs>
          <w:tab w:leader="none" w:pos="14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7" w:lineRule="exact"/>
        <w:rPr>
          <w:rFonts w:ascii="Arial" w:cs="Arial" w:eastAsia="Arial" w:hAnsi="Arial"/>
          <w:sz w:val="18"/>
          <w:szCs w:val="18"/>
          <w:color w:val="auto"/>
        </w:rPr>
      </w:pPr>
    </w:p>
    <w:p>
      <w:pPr>
        <w:jc w:val="both"/>
        <w:ind w:left="-460" w:right="20" w:firstLine="644"/>
        <w:spacing w:after="0" w:line="286" w:lineRule="auto"/>
        <w:tabs>
          <w:tab w:leader="none" w:pos="1126"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Subject to the terms of this Agreement, the Company hereby consents to the use of such Prospectus and each amendment or supplement thereto by the selling Holder in connection with the offering and sale of the Registrable Securities covered by such Prospectus and any amendment or supplement thereto, except after the giving of any notice pursuant to Section 3(d).</w:t>
      </w:r>
    </w:p>
    <w:p>
      <w:pPr>
        <w:spacing w:after="0" w:line="165" w:lineRule="exact"/>
        <w:rPr>
          <w:rFonts w:ascii="Arial" w:cs="Arial" w:eastAsia="Arial" w:hAnsi="Arial"/>
          <w:sz w:val="17"/>
          <w:szCs w:val="17"/>
          <w:color w:val="auto"/>
        </w:rPr>
      </w:pPr>
    </w:p>
    <w:p>
      <w:pPr>
        <w:jc w:val="both"/>
        <w:ind w:left="-460" w:firstLine="644"/>
        <w:spacing w:after="0" w:line="271" w:lineRule="auto"/>
        <w:tabs>
          <w:tab w:leader="none" w:pos="1248"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any resale of Registrable Securities by a Holder, use its commercially reasonable efforts to register or qualify or cooperate with the selling Holder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35" w:name="page36"/>
    <w:bookmarkEnd w:id="35"/>
    <w:p>
      <w:pPr>
        <w:jc w:val="both"/>
        <w:ind w:left="660" w:firstLine="644"/>
        <w:spacing w:after="0" w:line="259" w:lineRule="auto"/>
        <w:tabs>
          <w:tab w:leader="none" w:pos="25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6" w:lineRule="exact"/>
        <w:rPr>
          <w:rFonts w:ascii="Arial" w:cs="Arial" w:eastAsia="Arial" w:hAnsi="Arial"/>
          <w:sz w:val="18"/>
          <w:szCs w:val="18"/>
          <w:color w:val="auto"/>
        </w:rPr>
      </w:pPr>
    </w:p>
    <w:p>
      <w:pPr>
        <w:jc w:val="both"/>
        <w:ind w:left="660" w:firstLine="644"/>
        <w:spacing w:after="0" w:line="269" w:lineRule="auto"/>
        <w:tabs>
          <w:tab w:leader="none" w:pos="2242" w:val="left"/>
        </w:tabs>
        <w:numPr>
          <w:ilvl w:val="1"/>
          <w:numId w:val="36"/>
        </w:numPr>
        <w:rPr>
          <w:rFonts w:ascii="Arial" w:cs="Arial" w:eastAsia="Arial" w:hAnsi="Arial"/>
          <w:sz w:val="17"/>
          <w:szCs w:val="17"/>
          <w:color w:val="auto"/>
        </w:rPr>
      </w:pPr>
      <w:r>
        <w:rPr>
          <w:rFonts w:ascii="Arial" w:cs="Arial" w:eastAsia="Arial" w:hAnsi="Arial"/>
          <w:sz w:val="17"/>
          <w:szCs w:val="17"/>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 in accordance with clauses (iii) through (vi) of Section 3(d) above to suspend the use of any Prospectus until the requisite changes to such Prospectus have been made, then the Holder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178" w:lineRule="exact"/>
        <w:rPr>
          <w:rFonts w:ascii="Arial" w:cs="Arial" w:eastAsia="Arial" w:hAnsi="Arial"/>
          <w:sz w:val="17"/>
          <w:szCs w:val="17"/>
          <w:color w:val="auto"/>
        </w:rPr>
      </w:pPr>
    </w:p>
    <w:p>
      <w:pPr>
        <w:jc w:val="both"/>
        <w:ind w:left="660" w:firstLine="644"/>
        <w:spacing w:after="0" w:line="273" w:lineRule="auto"/>
        <w:tabs>
          <w:tab w:leader="none" w:pos="2233" w:val="left"/>
        </w:tabs>
        <w:numPr>
          <w:ilvl w:val="1"/>
          <w:numId w:val="36"/>
        </w:numPr>
        <w:rPr>
          <w:rFonts w:ascii="Arial" w:cs="Arial" w:eastAsia="Arial" w:hAnsi="Arial"/>
          <w:sz w:val="17"/>
          <w:szCs w:val="17"/>
          <w:color w:val="auto"/>
        </w:rPr>
      </w:pPr>
      <w:r>
        <w:rPr>
          <w:rFonts w:ascii="Arial" w:cs="Arial" w:eastAsia="Arial" w:hAnsi="Arial"/>
          <w:sz w:val="17"/>
          <w:szCs w:val="17"/>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 in writing if, at any time during the Effectiveness Period, the Company does not satisfy the conditions specified in Rule 172 and, as a result thereof, the Holder are required to deliver a Prospectus in connection with any disposition of Registrable Securities and take such other actions as may be reasonably necessary to facilitate the registration of the Registrable Securities hereunder.</w:t>
      </w:r>
    </w:p>
    <w:p>
      <w:pPr>
        <w:spacing w:after="0" w:line="177" w:lineRule="exact"/>
        <w:rPr>
          <w:rFonts w:ascii="Arial" w:cs="Arial" w:eastAsia="Arial" w:hAnsi="Arial"/>
          <w:sz w:val="17"/>
          <w:szCs w:val="17"/>
          <w:color w:val="auto"/>
        </w:rPr>
      </w:pPr>
    </w:p>
    <w:p>
      <w:pPr>
        <w:ind w:left="660" w:firstLine="644"/>
        <w:spacing w:after="0" w:line="277" w:lineRule="auto"/>
        <w:tabs>
          <w:tab w:leader="none" w:pos="24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use its best efforts to maintain eligibility for use of Form S-3 (or any successor form thereto) for the registration of the resale of Registrable Securities.</w:t>
      </w:r>
    </w:p>
    <w:p>
      <w:pPr>
        <w:spacing w:after="0" w:line="170" w:lineRule="exact"/>
        <w:rPr>
          <w:rFonts w:ascii="Arial" w:cs="Arial" w:eastAsia="Arial" w:hAnsi="Arial"/>
          <w:sz w:val="18"/>
          <w:szCs w:val="18"/>
          <w:color w:val="auto"/>
        </w:rPr>
      </w:pPr>
    </w:p>
    <w:p>
      <w:pPr>
        <w:jc w:val="both"/>
        <w:ind w:left="660" w:firstLine="644"/>
        <w:spacing w:after="0" w:line="273" w:lineRule="auto"/>
        <w:tabs>
          <w:tab w:leader="none" w:pos="2206"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77" w:lineRule="exact"/>
        <w:rPr>
          <w:rFonts w:ascii="Arial" w:cs="Arial" w:eastAsia="Arial" w:hAnsi="Arial"/>
          <w:sz w:val="17"/>
          <w:szCs w:val="17"/>
          <w:color w:val="auto"/>
        </w:rPr>
      </w:pPr>
    </w:p>
    <w:p>
      <w:pPr>
        <w:jc w:val="both"/>
        <w:ind w:firstLine="380"/>
        <w:spacing w:after="0" w:line="286" w:lineRule="auto"/>
        <w:tabs>
          <w:tab w:leader="none" w:pos="122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left="820" w:hanging="812"/>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00" w:firstLine="644"/>
        <w:spacing w:after="0" w:line="284" w:lineRule="auto"/>
        <w:tabs>
          <w:tab w:leader="none" w:pos="1975"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the Holder in accordance with Section 6(f).</w:t>
      </w:r>
    </w:p>
    <w:p>
      <w:pPr>
        <w:spacing w:after="0" w:line="174" w:lineRule="exact"/>
        <w:rPr>
          <w:rFonts w:ascii="Arial" w:cs="Arial" w:eastAsia="Arial" w:hAnsi="Arial"/>
          <w:sz w:val="16"/>
          <w:szCs w:val="16"/>
          <w:color w:val="auto"/>
        </w:rPr>
      </w:pPr>
    </w:p>
    <w:p>
      <w:pPr>
        <w:jc w:val="both"/>
        <w:ind w:left="300" w:firstLine="644"/>
        <w:spacing w:after="0" w:line="268" w:lineRule="auto"/>
        <w:tabs>
          <w:tab w:leader="none" w:pos="2129"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w:t>
      </w:r>
      <w:r>
        <w:rPr>
          <w:rFonts w:ascii="Arial" w:cs="Arial" w:eastAsia="Arial" w:hAnsi="Arial"/>
          <w:sz w:val="17"/>
          <w:szCs w:val="17"/>
          <w:color w:val="auto"/>
        </w:rPr>
        <w:t>. Holder shall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79" w:lineRule="exact"/>
        <w:rPr>
          <w:rFonts w:ascii="Arial" w:cs="Arial" w:eastAsia="Arial" w:hAnsi="Arial"/>
          <w:sz w:val="17"/>
          <w:szCs w:val="17"/>
          <w:color w:val="auto"/>
        </w:rPr>
      </w:pPr>
    </w:p>
    <w:p>
      <w:pPr>
        <w:jc w:val="both"/>
        <w:ind w:left="300" w:firstLine="644"/>
        <w:spacing w:after="0" w:line="291" w:lineRule="auto"/>
        <w:tabs>
          <w:tab w:leader="none" w:pos="2124"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9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557" w:right="339" w:bottom="1440" w:gutter="0" w:footer="0" w:header="0"/>
        </w:sectPr>
      </w:pPr>
    </w:p>
    <w:bookmarkStart w:id="37" w:name="page38"/>
    <w:bookmarkEnd w:id="37"/>
    <w:p>
      <w:pPr>
        <w:jc w:val="both"/>
        <w:ind w:firstLine="782"/>
        <w:spacing w:after="0" w:line="268"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6" w:lineRule="exact"/>
        <w:rPr>
          <w:sz w:val="20"/>
          <w:szCs w:val="20"/>
          <w:color w:val="auto"/>
        </w:rPr>
      </w:pPr>
    </w:p>
    <w:p>
      <w:pPr>
        <w:jc w:val="both"/>
        <w:ind w:firstLine="967"/>
        <w:spacing w:after="0" w:line="255" w:lineRule="auto"/>
        <w:rPr>
          <w:sz w:val="20"/>
          <w:szCs w:val="20"/>
          <w:color w:val="auto"/>
        </w:rPr>
      </w:pPr>
      <w:r>
        <w:rPr>
          <w:rFonts w:ascii="Arial" w:cs="Arial" w:eastAsia="Arial" w:hAnsi="Arial"/>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92" w:lineRule="exact"/>
        <w:rPr>
          <w:sz w:val="20"/>
          <w:szCs w:val="20"/>
          <w:color w:val="auto"/>
        </w:rPr>
      </w:pPr>
    </w:p>
    <w:p>
      <w:pPr>
        <w:jc w:val="both"/>
        <w:ind w:firstLine="644"/>
        <w:spacing w:after="0" w:line="269" w:lineRule="auto"/>
        <w:tabs>
          <w:tab w:leader="none" w:pos="160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2" w:lineRule="exact"/>
        <w:rPr>
          <w:sz w:val="20"/>
          <w:szCs w:val="20"/>
          <w:color w:val="auto"/>
        </w:rPr>
      </w:pPr>
    </w:p>
    <w:p>
      <w:pPr>
        <w:jc w:val="both"/>
        <w:ind w:firstLine="744"/>
        <w:spacing w:after="0" w:line="273" w:lineRule="auto"/>
        <w:rPr>
          <w:sz w:val="20"/>
          <w:szCs w:val="20"/>
          <w:color w:val="auto"/>
        </w:rPr>
      </w:pPr>
      <w:r>
        <w:rPr>
          <w:rFonts w:ascii="Arial" w:cs="Arial" w:eastAsia="Arial" w:hAnsi="Arial"/>
          <w:sz w:val="17"/>
          <w:szCs w:val="17"/>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38" w:name="page39"/>
    <w:bookmarkEnd w:id="38"/>
    <w:p>
      <w:pPr>
        <w:ind w:left="1180" w:hanging="81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59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92" w:lineRule="exact"/>
        <w:rPr>
          <w:rFonts w:ascii="Arial" w:cs="Arial" w:eastAsia="Arial" w:hAnsi="Arial"/>
          <w:sz w:val="18"/>
          <w:szCs w:val="18"/>
          <w:color w:val="auto"/>
        </w:rPr>
      </w:pPr>
    </w:p>
    <w:p>
      <w:pPr>
        <w:jc w:val="both"/>
        <w:ind w:firstLine="656"/>
        <w:spacing w:after="0" w:line="255" w:lineRule="auto"/>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 Piggyback on Registrations; Prohibition on Filing Other Registration Statements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6(b)</w:t>
      </w:r>
      <w:r>
        <w:rPr>
          <w:rFonts w:ascii="Arial" w:cs="Arial" w:eastAsia="Arial" w:hAnsi="Arial"/>
          <w:sz w:val="18"/>
          <w:szCs w:val="18"/>
          <w:color w:val="auto"/>
        </w:rPr>
        <w:t xml:space="preserve"> attached hereto, neither the Company nor any of its security holders (other than the Holder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192" w:lineRule="exact"/>
        <w:rPr>
          <w:rFonts w:ascii="Arial" w:cs="Arial" w:eastAsia="Arial" w:hAnsi="Arial"/>
          <w:sz w:val="18"/>
          <w:szCs w:val="18"/>
          <w:color w:val="auto"/>
        </w:rPr>
      </w:pPr>
    </w:p>
    <w:p>
      <w:pPr>
        <w:jc w:val="both"/>
        <w:ind w:firstLine="656"/>
        <w:spacing w:after="0" w:line="273" w:lineRule="auto"/>
        <w:tabs>
          <w:tab w:leader="none" w:pos="1743"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Arial" w:cs="Arial" w:eastAsia="Arial" w:hAnsi="Arial"/>
          <w:sz w:val="17"/>
          <w:szCs w:val="17"/>
          <w:u w:val="single" w:color="auto"/>
          <w:color w:val="auto"/>
        </w:rPr>
        <w:t>Advice</w:t>
      </w:r>
      <w:r>
        <w:rPr>
          <w:rFonts w:ascii="Arial" w:cs="Arial" w:eastAsia="Arial" w:hAnsi="Arial"/>
          <w:sz w:val="17"/>
          <w:szCs w:val="17"/>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77" w:lineRule="exact"/>
        <w:rPr>
          <w:rFonts w:ascii="Arial" w:cs="Arial" w:eastAsia="Arial" w:hAnsi="Arial"/>
          <w:sz w:val="17"/>
          <w:szCs w:val="17"/>
          <w:color w:val="auto"/>
        </w:rPr>
      </w:pPr>
    </w:p>
    <w:p>
      <w:pPr>
        <w:jc w:val="both"/>
        <w:ind w:right="20" w:firstLine="656"/>
        <w:spacing w:after="0" w:line="263" w:lineRule="auto"/>
        <w:tabs>
          <w:tab w:leader="none" w:pos="1843"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w:t>
      </w:r>
    </w:p>
    <w:p>
      <w:pPr>
        <w:spacing w:after="0" w:line="183" w:lineRule="exact"/>
        <w:rPr>
          <w:rFonts w:ascii="Arial" w:cs="Arial" w:eastAsia="Arial" w:hAnsi="Arial"/>
          <w:sz w:val="18"/>
          <w:szCs w:val="18"/>
          <w:color w:val="auto"/>
        </w:rPr>
      </w:pPr>
    </w:p>
    <w:p>
      <w:pPr>
        <w:ind w:firstLine="656"/>
        <w:spacing w:after="0" w:line="277" w:lineRule="auto"/>
        <w:tabs>
          <w:tab w:leader="none" w:pos="1608"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696"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and permitted assigns of each of the parties and shall inure to the benefit of Holder. The Company may not assign (except by merger) its rights or obligations hereunder without the prior written consent of the Holder. Holder may assign his rights hereunder in the manner and to the Persons as permitted under Section 5.7 of the Purchase Agreement.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829"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 in this Agreement or otherwise conflicts with the provisions hereof. Except as set forth on </w:t>
      </w:r>
      <w:r>
        <w:rPr>
          <w:rFonts w:ascii="Arial" w:cs="Arial" w:eastAsia="Arial" w:hAnsi="Arial"/>
          <w:sz w:val="18"/>
          <w:szCs w:val="18"/>
          <w:u w:val="single" w:color="auto"/>
          <w:color w:val="auto"/>
        </w:rPr>
        <w:t>Schedule 6(i)</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87" w:lineRule="exact"/>
        <w:rPr>
          <w:rFonts w:ascii="Arial" w:cs="Arial" w:eastAsia="Arial" w:hAnsi="Arial"/>
          <w:sz w:val="18"/>
          <w:szCs w:val="18"/>
          <w:color w:val="auto"/>
        </w:rPr>
      </w:pPr>
    </w:p>
    <w:p>
      <w:pPr>
        <w:jc w:val="both"/>
        <w:ind w:firstLine="656"/>
        <w:spacing w:after="0" w:line="275" w:lineRule="auto"/>
        <w:tabs>
          <w:tab w:leader="none" w:pos="1559"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Execution and Counterparts</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firstLine="656"/>
        <w:spacing w:after="0" w:line="277" w:lineRule="auto"/>
        <w:tabs>
          <w:tab w:leader="none" w:pos="183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The remedies provided herein are cumulative and not exclusive of any other remedies provided by law.</w:t>
      </w:r>
    </w:p>
    <w:p>
      <w:pPr>
        <w:spacing w:after="0" w:line="236" w:lineRule="exact"/>
        <w:rPr>
          <w:rFonts w:ascii="Arial" w:cs="Arial" w:eastAsia="Arial" w:hAnsi="Arial"/>
          <w:sz w:val="17"/>
          <w:szCs w:val="17"/>
          <w:color w:val="auto"/>
        </w:rPr>
      </w:pPr>
    </w:p>
    <w:p>
      <w:pPr>
        <w:jc w:val="both"/>
        <w:ind w:firstLine="656"/>
        <w:spacing w:after="0" w:line="273" w:lineRule="auto"/>
        <w:tabs>
          <w:tab w:leader="none" w:pos="177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7" w:lineRule="exact"/>
        <w:rPr>
          <w:rFonts w:ascii="Arial" w:cs="Arial" w:eastAsia="Arial" w:hAnsi="Arial"/>
          <w:sz w:val="17"/>
          <w:szCs w:val="17"/>
          <w:color w:val="auto"/>
        </w:rPr>
      </w:pPr>
    </w:p>
    <w:p>
      <w:pPr>
        <w:ind w:firstLine="656"/>
        <w:spacing w:after="0" w:line="277" w:lineRule="auto"/>
        <w:tabs>
          <w:tab w:leader="none" w:pos="181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CLEARONE, INC.</w:t>
      </w:r>
    </w:p>
    <w:p>
      <w:pPr>
        <w:spacing w:after="0" w:line="32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By:__________________________________________</w:t>
      </w:r>
    </w:p>
    <w:p>
      <w:pPr>
        <w:spacing w:after="0" w:line="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Zeynep Hakimoglu</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OF HOLDER FOLLOWS]</w:t>
      </w:r>
    </w:p>
    <w:p>
      <w:pPr>
        <w:spacing w:after="0" w:line="200" w:lineRule="exact"/>
        <w:rPr>
          <w:sz w:val="20"/>
          <w:szCs w:val="20"/>
          <w:color w:val="auto"/>
        </w:rPr>
      </w:pPr>
    </w:p>
    <w:p>
      <w:pPr>
        <w:spacing w:after="0" w:line="26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59"/>
          </w:cols>
          <w:pgMar w:left="1000" w:top="989" w:right="1440" w:bottom="1440" w:gutter="0" w:footer="0" w:header="0"/>
        </w:sectPr>
      </w:pPr>
    </w:p>
    <w:bookmarkStart w:id="41" w:name="page42"/>
    <w:bookmarkEnd w:id="41"/>
    <w:p>
      <w:pPr>
        <w:jc w:val="right"/>
        <w:ind w:right="2579"/>
        <w:spacing w:after="0"/>
        <w:rPr>
          <w:sz w:val="20"/>
          <w:szCs w:val="20"/>
          <w:color w:val="auto"/>
        </w:rPr>
      </w:pPr>
      <w:r>
        <w:rPr>
          <w:rFonts w:ascii="Arial" w:cs="Arial" w:eastAsia="Arial" w:hAnsi="Arial"/>
          <w:sz w:val="18"/>
          <w:szCs w:val="18"/>
          <w:color w:val="auto"/>
        </w:rPr>
        <w:t>[SIGNATURE PAGE OF HOLDER TO CLRO RRA]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Edward D. Bagley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Holder</w:t>
      </w:r>
      <w:r>
        <w:rPr>
          <w:rFonts w:ascii="Arial" w:cs="Arial" w:eastAsia="Arial" w:hAnsi="Arial"/>
          <w:sz w:val="18"/>
          <w:szCs w:val="18"/>
          <w:color w:val="auto"/>
        </w:rPr>
        <w:t>: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9"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Selling Stockholder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214"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ordinary brokerage transactions and transactions in which the broker</w:t>
      </w:r>
      <w:r>
        <w:rPr>
          <w:rFonts w:ascii="MS PGothic" w:cs="MS PGothic" w:eastAsia="MS PGothic" w:hAnsi="MS PGothic"/>
          <w:sz w:val="18"/>
          <w:szCs w:val="18"/>
          <w:color w:val="auto"/>
        </w:rPr>
        <w:t>‑</w:t>
      </w:r>
      <w:r>
        <w:rPr>
          <w:rFonts w:ascii="Arial" w:cs="Arial" w:eastAsia="Arial" w:hAnsi="Arial"/>
          <w:sz w:val="18"/>
          <w:szCs w:val="18"/>
          <w:color w:val="auto"/>
        </w:rPr>
        <w:t>dealer solicits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300" w:right="320"/>
        <w:spacing w:after="0" w:line="237" w:lineRule="exact"/>
        <w:rPr>
          <w:sz w:val="20"/>
          <w:szCs w:val="20"/>
          <w:color w:val="auto"/>
        </w:rPr>
      </w:pPr>
      <w:r>
        <w:rPr>
          <w:rFonts w:ascii="Arial" w:cs="Arial" w:eastAsia="Arial" w:hAnsi="Arial"/>
          <w:sz w:val="18"/>
          <w:szCs w:val="18"/>
          <w:color w:val="auto"/>
        </w:rPr>
        <w:t>block trades in which the broker</w:t>
      </w:r>
      <w:r>
        <w:rPr>
          <w:rFonts w:ascii="MS PGothic" w:cs="MS PGothic" w:eastAsia="MS PGothic" w:hAnsi="MS PGothic"/>
          <w:sz w:val="18"/>
          <w:szCs w:val="18"/>
          <w:color w:val="auto"/>
        </w:rPr>
        <w:t>‑</w:t>
      </w:r>
      <w:r>
        <w:rPr>
          <w:rFonts w:ascii="Arial" w:cs="Arial" w:eastAsia="Arial" w:hAnsi="Arial"/>
          <w:sz w:val="18"/>
          <w:szCs w:val="18"/>
          <w:color w:val="auto"/>
        </w:rPr>
        <w:t>dealer will attempt to sell the securities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-260350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9"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purchases by a broker</w:t>
      </w:r>
      <w:r>
        <w:rPr>
          <w:rFonts w:ascii="MS PGothic" w:cs="MS PGothic" w:eastAsia="MS PGothic" w:hAnsi="MS PGothic"/>
          <w:sz w:val="18"/>
          <w:szCs w:val="18"/>
          <w:color w:val="auto"/>
        </w:rPr>
        <w:t>‑</w:t>
      </w:r>
      <w:r>
        <w:rPr>
          <w:rFonts w:ascii="Arial" w:cs="Arial" w:eastAsia="Arial" w:hAnsi="Arial"/>
          <w:sz w:val="18"/>
          <w:szCs w:val="18"/>
          <w:color w:val="auto"/>
        </w:rPr>
        <w:t>dealer as principal and resale by the broker</w:t>
      </w:r>
      <w:r>
        <w:rPr>
          <w:rFonts w:ascii="MS PGothic" w:cs="MS PGothic" w:eastAsia="MS PGothic" w:hAnsi="MS PGothic"/>
          <w:sz w:val="18"/>
          <w:szCs w:val="18"/>
          <w:color w:val="auto"/>
        </w:rPr>
        <w:t>‑</w:t>
      </w:r>
      <w:r>
        <w:rPr>
          <w:rFonts w:ascii="Arial" w:cs="Arial" w:eastAsia="Arial" w:hAnsi="Arial"/>
          <w:sz w:val="18"/>
          <w:szCs w:val="18"/>
          <w:color w:val="auto"/>
        </w:rPr>
        <w:t>dealer for its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exchange distribution in accordance with the rules of the applicable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settlement of short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300" w:right="120"/>
        <w:spacing w:after="0" w:line="237" w:lineRule="exact"/>
        <w:rPr>
          <w:sz w:val="20"/>
          <w:szCs w:val="20"/>
          <w:color w:val="auto"/>
        </w:rPr>
      </w:pPr>
      <w:r>
        <w:rPr>
          <w:rFonts w:ascii="Arial" w:cs="Arial" w:eastAsia="Arial" w:hAnsi="Arial"/>
          <w:sz w:val="18"/>
          <w:szCs w:val="18"/>
          <w:color w:val="auto"/>
        </w:rPr>
        <w:t>in transactions through broker</w:t>
      </w:r>
      <w:r>
        <w:rPr>
          <w:rFonts w:ascii="MS PGothic" w:cs="MS PGothic" w:eastAsia="MS PGothic" w:hAnsi="MS PGothic"/>
          <w:sz w:val="18"/>
          <w:szCs w:val="18"/>
          <w:color w:val="auto"/>
        </w:rPr>
        <w:t>‑</w:t>
      </w:r>
      <w:r>
        <w:rPr>
          <w:rFonts w:ascii="Arial" w:cs="Arial" w:eastAsia="Arial" w:hAnsi="Arial"/>
          <w:sz w:val="18"/>
          <w:szCs w:val="18"/>
          <w:color w:val="auto"/>
        </w:rPr>
        <w:t>dealers that agree with the Selling Stockholder to sell a specified number of such securities at a stipulated price per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-260350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-84455</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combination of any such methods of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other method permitted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Selling Stockholder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Broker</w:t>
      </w:r>
      <w:r>
        <w:rPr>
          <w:rFonts w:ascii="MS PGothic" w:cs="MS PGothic" w:eastAsia="MS PGothic" w:hAnsi="MS PGothic"/>
          <w:sz w:val="18"/>
          <w:szCs w:val="18"/>
          <w:color w:val="auto"/>
        </w:rPr>
        <w:t>‑</w:t>
      </w:r>
      <w:r>
        <w:rPr>
          <w:rFonts w:ascii="Arial" w:cs="Arial" w:eastAsia="Arial" w:hAnsi="Arial"/>
          <w:sz w:val="18"/>
          <w:szCs w:val="18"/>
          <w:color w:val="auto"/>
        </w:rPr>
        <w:t>dealers engaged by the Selling Stockholder may arrange for other brokers</w:t>
      </w:r>
      <w:r>
        <w:rPr>
          <w:rFonts w:ascii="MS PGothic" w:cs="MS PGothic" w:eastAsia="MS PGothic" w:hAnsi="MS PGothic"/>
          <w:sz w:val="18"/>
          <w:szCs w:val="18"/>
          <w:color w:val="auto"/>
        </w:rPr>
        <w:t>‑</w:t>
      </w:r>
      <w:r>
        <w:rPr>
          <w:rFonts w:ascii="Arial" w:cs="Arial" w:eastAsia="Arial" w:hAnsi="Arial"/>
          <w:sz w:val="18"/>
          <w:szCs w:val="18"/>
          <w:color w:val="auto"/>
        </w:rPr>
        <w:t>dealers to participate in sales. Broker</w:t>
      </w:r>
      <w:r>
        <w:rPr>
          <w:rFonts w:ascii="MS PGothic" w:cs="MS PGothic" w:eastAsia="MS PGothic" w:hAnsi="MS PGothic"/>
          <w:sz w:val="18"/>
          <w:szCs w:val="18"/>
          <w:color w:val="auto"/>
        </w:rPr>
        <w:t>‑</w:t>
      </w:r>
      <w:r>
        <w:rPr>
          <w:rFonts w:ascii="Arial" w:cs="Arial" w:eastAsia="Arial" w:hAnsi="Arial"/>
          <w:sz w:val="18"/>
          <w:szCs w:val="18"/>
          <w:color w:val="auto"/>
        </w:rPr>
        <w:t>dealers may receive commissions or discounts from the Selling Stockholder (or, if any broker</w:t>
      </w:r>
      <w:r>
        <w:rPr>
          <w:rFonts w:ascii="MS PGothic" w:cs="MS PGothic" w:eastAsia="MS PGothic" w:hAnsi="MS PGothic"/>
          <w:sz w:val="18"/>
          <w:szCs w:val="18"/>
          <w:color w:val="auto"/>
        </w:rPr>
        <w:t>‑</w:t>
      </w:r>
      <w:r>
        <w:rPr>
          <w:rFonts w:ascii="Arial" w:cs="Arial" w:eastAsia="Arial" w:hAnsi="Arial"/>
          <w:sz w:val="18"/>
          <w:szCs w:val="18"/>
          <w:color w:val="auto"/>
        </w:rPr>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ind w:firstLine="648"/>
        <w:spacing w:after="0" w:line="257" w:lineRule="auto"/>
        <w:rPr>
          <w:sz w:val="20"/>
          <w:szCs w:val="20"/>
          <w:color w:val="auto"/>
        </w:rPr>
      </w:pPr>
      <w:r>
        <w:rPr>
          <w:rFonts w:ascii="Arial" w:cs="Arial" w:eastAsia="Arial" w:hAnsi="Arial"/>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Selling Stockholder has informed the Company that it does not have any written or oral agreement or understanding, directly or indirectly, with any person to distribute the securities.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common stock being offered by the selling shareholder are those previously issued to the selling shareholder. For additional information regarding the issuances of those shares of common stock, see “Private Placement of Shares of Common Stock” above. We are registering the shares of common stock in order to permit the selling shareholder to offer the shares for resale from time to time. Except for the ownership of the shares of common stock and as set forth in the SEC Reports, the selling shareholder has not had any material relationship with us within the past three years.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lists the selling shareholder and other information regarding the beneficial ownership of the shares of common stock by the selling shareholder. The second column lists the number of shares of common stock beneficially owned by the selling shareholder, based on its ownership of the shares of common stock, as of ________,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terms of a registration rights agreement with the selling shareholder, this prospectus generally covers the resale of the number of shares of common stock issued to the selling shareholder in the “Private Placement of Shares of Common Stock” described above. The fourth column assumes the sale of all of the shares offered by the selling shareholder pursuant to this prospectus.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 Common</w:t>
            </w:r>
          </w:p>
        </w:tc>
        <w:tc>
          <w:tcPr>
            <w:tcW w:w="140" w:type="dxa"/>
            <w:vAlign w:val="bottom"/>
            <w:gridSpan w:val="2"/>
          </w:tcPr>
          <w:p>
            <w:pPr>
              <w:spacing w:after="0"/>
              <w:rPr>
                <w:sz w:val="18"/>
                <w:szCs w:val="18"/>
                <w:color w:val="auto"/>
              </w:rPr>
            </w:pPr>
          </w:p>
        </w:tc>
        <w:tc>
          <w:tcPr>
            <w:tcW w:w="292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Maximum Number of shares of</w:t>
            </w:r>
          </w:p>
        </w:tc>
        <w:tc>
          <w:tcPr>
            <w:tcW w:w="100" w:type="dxa"/>
            <w:vAlign w:val="bottom"/>
          </w:tcPr>
          <w:p>
            <w:pPr>
              <w:spacing w:after="0"/>
              <w:rPr>
                <w:sz w:val="18"/>
                <w:szCs w:val="18"/>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Number of shares of</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gridSpan w:val="4"/>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Stock Owned Prior to Offering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jc w:val="center"/>
              <w:ind w:right="560"/>
              <w:spacing w:after="0" w:line="196" w:lineRule="exact"/>
              <w:rPr>
                <w:sz w:val="20"/>
                <w:szCs w:val="20"/>
                <w:color w:val="auto"/>
              </w:rPr>
            </w:pPr>
            <w:r>
              <w:rPr>
                <w:rFonts w:ascii="Arial" w:cs="Arial" w:eastAsia="Arial" w:hAnsi="Arial"/>
                <w:sz w:val="18"/>
                <w:szCs w:val="18"/>
                <w:b w:val="1"/>
                <w:bCs w:val="1"/>
                <w:color w:val="auto"/>
                <w:w w:val="89"/>
              </w:rPr>
              <w:t>Common Stock to be Sold</w:t>
            </w:r>
          </w:p>
        </w:tc>
        <w:tc>
          <w:tcPr>
            <w:tcW w:w="2080" w:type="dxa"/>
            <w:vAlign w:val="bottom"/>
            <w:gridSpan w:val="6"/>
          </w:tcPr>
          <w:p>
            <w:pPr>
              <w:jc w:val="center"/>
              <w:ind w:right="300"/>
              <w:spacing w:after="0" w:line="196" w:lineRule="exact"/>
              <w:rPr>
                <w:sz w:val="20"/>
                <w:szCs w:val="20"/>
                <w:color w:val="auto"/>
              </w:rPr>
            </w:pPr>
            <w:r>
              <w:rPr>
                <w:rFonts w:ascii="Arial" w:cs="Arial" w:eastAsia="Arial" w:hAnsi="Arial"/>
                <w:sz w:val="18"/>
                <w:szCs w:val="18"/>
                <w:b w:val="1"/>
                <w:bCs w:val="1"/>
                <w:color w:val="auto"/>
                <w:w w:val="90"/>
              </w:rPr>
              <w:t>Common Stock Owned</w:t>
            </w:r>
          </w:p>
        </w:tc>
        <w:tc>
          <w:tcPr>
            <w:tcW w:w="0" w:type="dxa"/>
            <w:vAlign w:val="bottom"/>
          </w:tcPr>
          <w:p>
            <w:pPr>
              <w:spacing w:after="0"/>
              <w:rPr>
                <w:sz w:val="1"/>
                <w:szCs w:val="1"/>
                <w:color w:val="auto"/>
              </w:rPr>
            </w:pPr>
          </w:p>
        </w:tc>
      </w:tr>
      <w:tr>
        <w:trPr>
          <w:trHeight w:val="20"/>
        </w:trPr>
        <w:tc>
          <w:tcPr>
            <w:tcW w:w="3740" w:type="dxa"/>
            <w:vAlign w:val="bottom"/>
            <w:gridSpan w:val="3"/>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vMerge w:val="restart"/>
          </w:tcPr>
          <w:p>
            <w:pPr>
              <w:spacing w:after="0"/>
              <w:rPr>
                <w:sz w:val="17"/>
                <w:szCs w:val="17"/>
                <w:color w:val="auto"/>
              </w:rPr>
            </w:pPr>
          </w:p>
        </w:tc>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Selling Shareholder</w:t>
            </w:r>
          </w:p>
        </w:tc>
        <w:tc>
          <w:tcPr>
            <w:tcW w:w="2380" w:type="dxa"/>
            <w:vAlign w:val="bottom"/>
            <w:gridSpan w:val="3"/>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212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88"/>
              </w:rPr>
              <w:t>Pursuant to this Prospectus</w:t>
            </w:r>
          </w:p>
        </w:tc>
        <w:tc>
          <w:tcPr>
            <w:tcW w:w="560" w:type="dxa"/>
            <w:vAlign w:val="bottom"/>
            <w:gridSpan w:val="2"/>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11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5"/>
              </w:rPr>
              <w:t>After Offering</w:t>
            </w:r>
          </w:p>
        </w:tc>
        <w:tc>
          <w:tcPr>
            <w:tcW w:w="64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0" w:type="dxa"/>
            <w:vAlign w:val="bottom"/>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238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120" w:type="dxa"/>
            <w:vAlign w:val="bottom"/>
            <w:gridSpan w:val="3"/>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11"/>
        </w:trPr>
        <w:tc>
          <w:tcPr>
            <w:tcW w:w="1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3800" w:type="dxa"/>
            <w:vAlign w:val="bottom"/>
            <w:gridSpan w:val="3"/>
          </w:tcPr>
          <w:p>
            <w:pPr>
              <w:jc w:val="right"/>
              <w:ind w:right="29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beneficial owner of common stock (the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of ClearOne,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the Company has filed or intends to file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for the registration and resale under Rule 415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Registrable Securities, in accordance with the terms of the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Registrable Securities hereby elects to include the Registrable Securities owned by it in the Registration Statement.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QUESTIONNAIRE</w:t>
      </w:r>
    </w:p>
    <w:p>
      <w:pPr>
        <w:spacing w:after="0" w:line="225" w:lineRule="exact"/>
        <w:rPr>
          <w:sz w:val="20"/>
          <w:szCs w:val="20"/>
          <w:color w:val="auto"/>
        </w:rPr>
      </w:pPr>
    </w:p>
    <w:p>
      <w:pPr>
        <w:ind w:left="680" w:hanging="672"/>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9" w:lineRule="exact"/>
        <w:rPr>
          <w:rFonts w:ascii="Arial" w:cs="Arial" w:eastAsia="Arial" w:hAnsi="Arial"/>
          <w:sz w:val="18"/>
          <w:szCs w:val="18"/>
          <w:b w:val="1"/>
          <w:bCs w:val="1"/>
          <w:color w:val="auto"/>
        </w:rPr>
      </w:pPr>
    </w:p>
    <w:p>
      <w:pPr>
        <w:ind w:left="1000" w:hanging="599"/>
        <w:spacing w:after="0"/>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Full Legal Name of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00" w:hanging="604"/>
        <w:spacing w:after="0"/>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(a) above) through which Registrable Securities are held: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980" w:right="220" w:hanging="586"/>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-1167765</wp:posOffset>
            </wp:positionV>
            <wp:extent cx="6489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-584835</wp:posOffset>
            </wp:positionV>
            <wp:extent cx="6489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134620</wp:posOffset>
            </wp:positionV>
            <wp:extent cx="64979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2. 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-121920</wp:posOffset>
            </wp:positionV>
            <wp:extent cx="6334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-121920</wp:posOffset>
            </wp:positionV>
            <wp:extent cx="6334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5715</wp:posOffset>
            </wp:positionV>
            <wp:extent cx="6334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34760" cy="8890"/>
                    </a:xfrm>
                    <a:prstGeom prst="rect">
                      <a:avLst/>
                    </a:prstGeom>
                    <a:noFill/>
                  </pic:spPr>
                </pic:pic>
              </a:graphicData>
            </a:graphic>
          </wp:anchor>
        </w:drawing>
      </w:r>
    </w:p>
    <w:p>
      <w:pPr>
        <w:spacing w:after="0" w:line="200"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Broker-Dealer Status:</w:t>
      </w:r>
    </w:p>
    <w:p>
      <w:pPr>
        <w:spacing w:after="0" w:line="269" w:lineRule="exact"/>
        <w:rPr>
          <w:rFonts w:ascii="Arial" w:cs="Arial" w:eastAsia="Arial" w:hAnsi="Arial"/>
          <w:sz w:val="18"/>
          <w:szCs w:val="18"/>
          <w:b w:val="1"/>
          <w:bCs w:val="1"/>
          <w:color w:val="auto"/>
        </w:rPr>
      </w:pPr>
    </w:p>
    <w:p>
      <w:pPr>
        <w:ind w:left="1060" w:hanging="551"/>
        <w:spacing w:after="0"/>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Are you a broker-dealer?</w:t>
      </w:r>
    </w:p>
    <w:p>
      <w:pPr>
        <w:spacing w:after="0" w:line="30" w:lineRule="exact"/>
        <w:rPr>
          <w:sz w:val="20"/>
          <w:szCs w:val="20"/>
          <w:color w:val="auto"/>
        </w:rPr>
      </w:pPr>
    </w:p>
    <w:p>
      <w:pPr>
        <w:ind w:left="1100"/>
        <w:spacing w:after="0" w:line="207" w:lineRule="exact"/>
        <w:tabs>
          <w:tab w:leader="none" w:pos="2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7" w:lineRule="exact"/>
        <w:rPr>
          <w:sz w:val="20"/>
          <w:szCs w:val="20"/>
          <w:color w:val="auto"/>
        </w:rPr>
      </w:pPr>
    </w:p>
    <w:p>
      <w:pPr>
        <w:ind w:left="1060" w:hanging="55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“yes” to Section 3(a), did you receive your Registrable Securities as compensation for investment banking services to the Company?</w:t>
      </w:r>
    </w:p>
    <w:p>
      <w:pPr>
        <w:spacing w:after="0" w:line="42" w:lineRule="exact"/>
        <w:rPr>
          <w:sz w:val="20"/>
          <w:szCs w:val="20"/>
          <w:color w:val="auto"/>
        </w:rPr>
      </w:pPr>
    </w:p>
    <w:p>
      <w:pPr>
        <w:ind w:left="1060"/>
        <w:spacing w:after="0" w:line="207" w:lineRule="exact"/>
        <w:tabs>
          <w:tab w:leader="none" w:pos="2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7"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If “no” to Section 3(b), the Commission’s staff has indicated that you should be identified as an underwriter in the Registration Statement.</w:t>
      </w:r>
    </w:p>
    <w:p>
      <w:pPr>
        <w:spacing w:after="0" w:line="171" w:lineRule="exact"/>
        <w:rPr>
          <w:sz w:val="20"/>
          <w:szCs w:val="20"/>
          <w:color w:val="auto"/>
        </w:rPr>
      </w:pPr>
    </w:p>
    <w:p>
      <w:pPr>
        <w:ind w:left="1060" w:hanging="551"/>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Are you an affiliate of a broker-dealer?</w:t>
      </w:r>
    </w:p>
    <w:p>
      <w:pPr>
        <w:spacing w:after="0" w:line="30" w:lineRule="exact"/>
        <w:rPr>
          <w:sz w:val="20"/>
          <w:szCs w:val="20"/>
          <w:color w:val="auto"/>
        </w:rPr>
      </w:pPr>
    </w:p>
    <w:p>
      <w:pPr>
        <w:ind w:left="1060"/>
        <w:spacing w:after="0" w:line="207" w:lineRule="exact"/>
        <w:tabs>
          <w:tab w:leader="none" w:pos="2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2" w:lineRule="exact"/>
        <w:rPr>
          <w:sz w:val="20"/>
          <w:szCs w:val="20"/>
          <w:color w:val="auto"/>
        </w:rPr>
      </w:pPr>
    </w:p>
    <w:p>
      <w:pPr>
        <w:ind w:left="1060" w:right="140" w:hanging="551"/>
        <w:spacing w:after="0" w:line="25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 w:lineRule="exact"/>
        <w:rPr>
          <w:sz w:val="20"/>
          <w:szCs w:val="20"/>
          <w:color w:val="auto"/>
        </w:rPr>
      </w:pPr>
    </w:p>
    <w:p>
      <w:pPr>
        <w:ind w:left="1060"/>
        <w:spacing w:after="0" w:line="207" w:lineRule="exact"/>
        <w:tabs>
          <w:tab w:leader="none" w:pos="2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0"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If “no” to Section 3(d), the Commission’s staff has indicated that you should be identified as an underwriter in the Registration Statement.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Beneficial Ownership of Securities of the Company Owned by the Selling Stockholder.</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70" w:lineRule="exact"/>
        <w:rPr>
          <w:sz w:val="20"/>
          <w:szCs w:val="20"/>
          <w:color w:val="auto"/>
        </w:rPr>
      </w:pPr>
    </w:p>
    <w:p>
      <w:pPr>
        <w:ind w:left="1000" w:hanging="592"/>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Type and Amount of other securities beneficially owned by the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-430530</wp:posOffset>
            </wp:positionV>
            <wp:extent cx="64808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-584835</wp:posOffset>
            </wp:positionV>
            <wp:extent cx="64808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5. Relationships with the Company:</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340360</wp:posOffset>
            </wp:positionV>
            <wp:extent cx="68408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186055</wp:posOffset>
            </wp:positionV>
            <wp:extent cx="6840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224" w:lineRule="exact"/>
        <w:rPr>
          <w:sz w:val="20"/>
          <w:szCs w:val="20"/>
          <w:color w:val="auto"/>
        </w:rPr>
      </w:pPr>
    </w:p>
    <w:p>
      <w:pPr>
        <w:ind w:left="580"/>
        <w:spacing w:after="0"/>
        <w:tabs>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-10160</wp:posOffset>
            </wp:positionV>
            <wp:extent cx="18281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8165" cy="825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-10160</wp:posOffset>
            </wp:positionV>
            <wp:extent cx="15709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-10160</wp:posOffset>
            </wp:positionV>
            <wp:extent cx="22561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FAX A COPY (OR EMAIL A .PDF COPY) OF THE COMPLETED AND EXECUTED NOTICE AND QUESTIONNAIRE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2"/>
    </w:lvl>
  </w:abstractNum>
  <w:abstractNum w:abstractNumId="2">
    <w:nsid w:val="79838CB2"/>
    <w:multiLevelType w:val="hybridMultilevel"/>
    <w:lvl w:ilvl="0">
      <w:lvlJc w:val="left"/>
      <w:lvlText w:val="(%1)"/>
      <w:numFmt w:val="lowerLetter"/>
      <w:start w:val="1"/>
    </w:lvl>
    <w:lvl w:ilvl="1">
      <w:lvlJc w:val="left"/>
      <w:lvlText w:val="(%2)"/>
      <w:numFmt w:val="lowerRoman"/>
      <w:start w:val="1"/>
    </w:lvl>
  </w:abstractNum>
  <w:abstractNum w:abstractNumId="3">
    <w:nsid w:val="4353D0CD"/>
    <w:multiLevelType w:val="hybridMultilevel"/>
    <w:lvl w:ilvl="0">
      <w:lvlJc w:val="left"/>
      <w:lvlText w:val="(%1)"/>
      <w:numFmt w:val="lowerLetter"/>
      <w:start w:val="1"/>
    </w:lvl>
    <w:lvl w:ilvl="1">
      <w:lvlJc w:val="left"/>
      <w:lvlText w:val="(%2)"/>
      <w:numFmt w:val="lowerRoman"/>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lowerLetter"/>
      <w:start w:val="8"/>
    </w:lvl>
  </w:abstractNum>
  <w:abstractNum w:abstractNumId="7">
    <w:nsid w:val="71F32454"/>
    <w:multiLevelType w:val="hybridMultilevel"/>
    <w:lvl w:ilvl="0">
      <w:lvlJc w:val="left"/>
      <w:lvlText w:val="(%1)"/>
      <w:numFmt w:val="lowerLetter"/>
      <w:start w:val="11"/>
    </w:lvl>
  </w:abstractNum>
  <w:abstractNum w:abstractNumId="8">
    <w:nsid w:val="2CA88611"/>
    <w:multiLevelType w:val="hybridMultilevel"/>
    <w:lvl w:ilvl="0">
      <w:lvlJc w:val="left"/>
      <w:lvlText w:val="(%1)"/>
      <w:numFmt w:val="lowerLetter"/>
      <w:start w:val="15"/>
    </w:lvl>
  </w:abstractNum>
  <w:abstractNum w:abstractNumId="9">
    <w:nsid w:val="836C40E"/>
    <w:multiLevelType w:val="hybridMultilevel"/>
    <w:lvl w:ilvl="0">
      <w:lvlJc w:val="left"/>
      <w:lvlText w:val="(%1)"/>
      <w:numFmt w:val="lowerLetter"/>
      <w:start w:val="19"/>
    </w:lvl>
  </w:abstractNum>
  <w:abstractNum w:abstractNumId="10">
    <w:nsid w:val="2901D82"/>
    <w:multiLevelType w:val="hybridMultilevel"/>
    <w:lvl w:ilvl="0">
      <w:lvlJc w:val="left"/>
      <w:lvlText w:val="(%1)"/>
      <w:numFmt w:val="lowerLetter"/>
      <w:start w:val="25"/>
    </w:lvl>
  </w:abstractNum>
  <w:abstractNum w:abstractNumId="11">
    <w:nsid w:val="3A95F874"/>
    <w:multiLevelType w:val="hybridMultilevel"/>
    <w:lvl w:ilvl="0">
      <w:lvlJc w:val="left"/>
      <w:lvlText w:val="(%1)"/>
      <w:numFmt w:val="lowerLetter"/>
      <w:start w:val="27"/>
    </w:lvl>
  </w:abstractNum>
  <w:abstractNum w:abstractNumId="12">
    <w:nsid w:val="8138641"/>
    <w:multiLevelType w:val="hybridMultilevel"/>
    <w:lvl w:ilvl="0">
      <w:lvlJc w:val="left"/>
      <w:lvlText w:val="%1"/>
      <w:numFmt w:val="lowerLetter"/>
      <w:start w:val="1"/>
    </w:lvl>
    <w:lvl w:ilvl="1">
      <w:lvlJc w:val="left"/>
      <w:lvlText w:val="(%2)"/>
      <w:numFmt w:val="lowerLetter"/>
      <w:start w:val="32"/>
    </w:lvl>
  </w:abstractNum>
  <w:abstractNum w:abstractNumId="13">
    <w:nsid w:val="1E7FF521"/>
    <w:multiLevelType w:val="hybridMultilevel"/>
    <w:lvl w:ilvl="0">
      <w:lvlJc w:val="left"/>
      <w:lvlText w:val="(%1)"/>
      <w:numFmt w:val="lowerLetter"/>
      <w:start w:val="61"/>
    </w:lvl>
    <w:lvl w:ilvl="1">
      <w:lvlJc w:val="left"/>
      <w:lvlText w:val="(%2)"/>
      <w:numFmt w:val="lowerLetter"/>
      <w:start w:val="36"/>
    </w:lvl>
  </w:abstractNum>
  <w:abstractNum w:abstractNumId="14">
    <w:nsid w:val="7C3DBD3D"/>
    <w:multiLevelType w:val="hybridMultilevel"/>
    <w:lvl w:ilvl="0">
      <w:lvlJc w:val="left"/>
      <w:lvlText w:val="%1"/>
      <w:numFmt w:val="decimal"/>
      <w:start w:val="1"/>
    </w:lvl>
    <w:lvl w:ilvl="1">
      <w:lvlJc w:val="left"/>
      <w:lvlText w:val="(%2)"/>
      <w:numFmt w:val="lowerLetter"/>
      <w:start w:val="40"/>
    </w:lvl>
  </w:abstractNum>
  <w:abstractNum w:abstractNumId="15">
    <w:nsid w:val="737B8DDC"/>
    <w:multiLevelType w:val="hybridMultilevel"/>
    <w:lvl w:ilvl="0">
      <w:lvlJc w:val="left"/>
      <w:lvlText w:val="(%1)"/>
      <w:numFmt w:val="decimal"/>
      <w:start w:val="2"/>
    </w:lvl>
    <w:lvl w:ilvl="1">
      <w:lvlJc w:val="left"/>
      <w:lvlText w:val="(%2)"/>
      <w:numFmt w:val="lowerLetter"/>
      <w:start w:val="44"/>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2"/>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decimal"/>
      <w:start w:val="3"/>
    </w:lvl>
    <w:lvl w:ilvl="1">
      <w:lvlJc w:val="left"/>
      <w:lvlText w:val="(%2)"/>
      <w:numFmt w:val="lowerLetter"/>
      <w:start w:val="3"/>
    </w:lvl>
  </w:abstractNum>
  <w:abstractNum w:abstractNumId="20">
    <w:nsid w:val="614FD4A1"/>
    <w:multiLevelType w:val="hybridMultilevel"/>
    <w:lvl w:ilvl="0">
      <w:lvlJc w:val="left"/>
      <w:lvlText w:val="(%1)"/>
      <w:numFmt w:val="lowerLetter"/>
      <w:start w:val="4"/>
    </w:lvl>
  </w:abstractNum>
  <w:abstractNum w:abstractNumId="21">
    <w:nsid w:val="419AC241"/>
    <w:multiLevelType w:val="hybridMultilevel"/>
    <w:lvl w:ilvl="0">
      <w:lvlJc w:val="left"/>
      <w:lvlText w:val="%1"/>
      <w:numFmt w:val="decimal"/>
      <w:start w:val="1"/>
    </w:lvl>
    <w:lvl w:ilvl="1">
      <w:lvlJc w:val="left"/>
      <w:lvlText w:val="(%2)"/>
      <w:numFmt w:val="lowerLetter"/>
      <w:start w:val="1"/>
    </w:lvl>
  </w:abstractNum>
  <w:abstractNum w:abstractNumId="22">
    <w:nsid w:val="5577F8E1"/>
    <w:multiLevelType w:val="hybridMultilevel"/>
    <w:lvl w:ilvl="0">
      <w:lvlJc w:val="left"/>
      <w:lvlText w:val="(%1)"/>
      <w:numFmt w:val="decimal"/>
      <w:start w:val="2"/>
    </w:lvl>
    <w:lvl w:ilvl="1">
      <w:lvlJc w:val="left"/>
      <w:lvlText w:val="%2"/>
      <w:numFmt w:val="lowerLetter"/>
      <w:start w:val="1"/>
    </w:lvl>
  </w:abstractNum>
  <w:abstractNum w:abstractNumId="23">
    <w:nsid w:val="440BADFC"/>
    <w:multiLevelType w:val="hybridMultilevel"/>
    <w:lvl w:ilvl="0">
      <w:lvlJc w:val="left"/>
      <w:lvlText w:val="%1"/>
      <w:numFmt w:val="lowerLetter"/>
      <w:start w:val="1"/>
    </w:lvl>
    <w:lvl w:ilvl="1">
      <w:lvlJc w:val="left"/>
      <w:lvlText w:val="(%2)"/>
      <w:numFmt w:val="lowerLetter"/>
      <w:start w:val="1"/>
    </w:lvl>
  </w:abstractNum>
  <w:abstractNum w:abstractNumId="24">
    <w:nsid w:val="5072367"/>
    <w:multiLevelType w:val="hybridMultilevel"/>
    <w:lvl w:ilvl="0">
      <w:lvlJc w:val="left"/>
      <w:lvlText w:val="(%1)"/>
      <w:numFmt w:val="lowerLetter"/>
      <w:start w:val="9"/>
    </w:lvl>
    <w:lvl w:ilvl="1">
      <w:lvlJc w:val="left"/>
      <w:lvlText w:val="(%2)"/>
      <w:numFmt w:val="lowerLetter"/>
      <w:start w:val="2"/>
    </w:lvl>
  </w:abstractNum>
  <w:abstractNum w:abstractNumId="25">
    <w:nsid w:val="3804823E"/>
    <w:multiLevelType w:val="hybridMultilevel"/>
    <w:lvl w:ilvl="0">
      <w:lvlJc w:val="left"/>
      <w:lvlText w:val="(%1)"/>
      <w:numFmt w:val="lowerLetter"/>
      <w:start w:val="9"/>
    </w:lvl>
    <w:lvl w:ilvl="1">
      <w:lvlJc w:val="left"/>
      <w:lvlText w:val="%2"/>
      <w:numFmt w:val="lowerLetter"/>
      <w:start w:val="1"/>
    </w:lvl>
  </w:abstractNum>
  <w:abstractNum w:abstractNumId="26">
    <w:nsid w:val="77465F01"/>
    <w:multiLevelType w:val="hybridMultilevel"/>
    <w:lvl w:ilvl="0">
      <w:lvlJc w:val="left"/>
      <w:lvlText w:val="(%1)"/>
      <w:numFmt w:val="lowerLetter"/>
      <w:start w:val="3"/>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2"/>
    </w:lvl>
    <w:lvl w:ilvl="1">
      <w:lvlJc w:val="left"/>
      <w:lvlText w:val="(%2)"/>
      <w:numFmt w:val="lowerLetter"/>
      <w:start w:val="1"/>
    </w:lvl>
  </w:abstractNum>
  <w:abstractNum w:abstractNumId="29">
    <w:nsid w:val="2463B9EA"/>
    <w:multiLevelType w:val="hybridMultilevel"/>
    <w:lvl w:ilvl="0">
      <w:lvlJc w:val="left"/>
      <w:lvlText w:val="%1"/>
      <w:numFmt w:val="lowerLetter"/>
      <w:start w:val="1"/>
    </w:lvl>
    <w:lvl w:ilvl="1">
      <w:lvlJc w:val="left"/>
      <w:lvlText w:val="(%2)"/>
      <w:numFmt w:val="lowerLetter"/>
      <w:start w:val="3"/>
    </w:lvl>
  </w:abstractNum>
  <w:abstractNum w:abstractNumId="30">
    <w:nsid w:val="5E884ADC"/>
    <w:multiLevelType w:val="hybridMultilevel"/>
    <w:lvl w:ilvl="0">
      <w:lvlJc w:val="left"/>
      <w:lvlText w:val="%1."/>
      <w:numFmt w:val="lowerLetter"/>
      <w:start w:val="1"/>
    </w:lvl>
    <w:lvl w:ilvl="1">
      <w:lvlJc w:val="left"/>
      <w:lvlText w:val="%2"/>
      <w:numFmt w:val="lowerLetter"/>
      <w:start w:val="1"/>
    </w:lvl>
  </w:abstractNum>
  <w:abstractNum w:abstractNumId="31">
    <w:nsid w:val="51EAD36B"/>
    <w:multiLevelType w:val="hybridMultilevel"/>
    <w:lvl w:ilvl="0">
      <w:lvlJc w:val="left"/>
      <w:lvlText w:val="(%1)"/>
      <w:numFmt w:val="lowerLetter"/>
      <w:start w:val="4"/>
    </w:lvl>
  </w:abstractNum>
  <w:abstractNum w:abstractNumId="32">
    <w:nsid w:val="2D517796"/>
    <w:multiLevelType w:val="hybridMultilevel"/>
    <w:lvl w:ilvl="0">
      <w:lvlJc w:val="left"/>
      <w:lvlText w:val="%1."/>
      <w:numFmt w:val="decimal"/>
      <w:start w:val="3"/>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4"/>
    </w:lvl>
  </w:abstractNum>
  <w:abstractNum w:abstractNumId="35">
    <w:nsid w:val="3855585C"/>
    <w:multiLevelType w:val="hybridMultilevel"/>
    <w:lvl w:ilvl="0">
      <w:lvlJc w:val="left"/>
      <w:lvlText w:val="%1"/>
      <w:numFmt w:val="decimal"/>
      <w:start w:val="1"/>
    </w:lvl>
    <w:lvl w:ilvl="1">
      <w:lvlJc w:val="left"/>
      <w:lvlText w:val="(%2)"/>
      <w:numFmt w:val="lowerLetter"/>
      <w:start w:val="9"/>
    </w:lvl>
  </w:abstractNum>
  <w:abstractNum w:abstractNumId="36">
    <w:nsid w:val="70A64E2A"/>
    <w:multiLevelType w:val="hybridMultilevel"/>
    <w:lvl w:ilvl="0">
      <w:lvlJc w:val="left"/>
      <w:lvlText w:val="%1."/>
      <w:numFmt w:val="decimal"/>
      <w:start w:val="4"/>
    </w:lvl>
    <w:lvl w:ilvl="1">
      <w:lvlJc w:val="left"/>
      <w:lvlText w:val="%2"/>
      <w:numFmt w:val="lowerLetter"/>
      <w:start w:val="1"/>
    </w:lvl>
  </w:abstractNum>
  <w:abstractNum w:abstractNumId="37">
    <w:nsid w:val="6A2342EC"/>
    <w:multiLevelType w:val="hybridMultilevel"/>
    <w:lvl w:ilvl="0">
      <w:lvlJc w:val="left"/>
      <w:lvlText w:val="%1."/>
      <w:numFmt w:val="decimal"/>
      <w:start w:val="5"/>
    </w:lvl>
    <w:lvl w:ilvl="1">
      <w:lvlJc w:val="left"/>
      <w:lvlText w:val="(%2)"/>
      <w:numFmt w:val="lowerLetter"/>
      <w:start w:val="1"/>
    </w:lvl>
  </w:abstractNum>
  <w:abstractNum w:abstractNumId="38">
    <w:nsid w:val="2A487CB0"/>
    <w:multiLevelType w:val="hybridMultilevel"/>
    <w:lvl w:ilvl="0">
      <w:lvlJc w:val="left"/>
      <w:lvlText w:val="(%1)"/>
      <w:numFmt w:val="lowerLetter"/>
      <w:start w:val="4"/>
    </w:lvl>
  </w:abstractNum>
  <w:abstractNum w:abstractNumId="39">
    <w:nsid w:val="1D4ED43B"/>
    <w:multiLevelType w:val="hybridMultilevel"/>
    <w:lvl w:ilvl="0">
      <w:lvlJc w:val="left"/>
      <w:lvlText w:val="%1."/>
      <w:numFmt w:val="decimal"/>
      <w:start w:val="6"/>
    </w:lvl>
    <w:lvl w:ilvl="1">
      <w:lvlJc w:val="left"/>
      <w:lvlText w:val="(%2)"/>
      <w:numFmt w:val="lowerLetter"/>
      <w:start w:val="1"/>
    </w:lvl>
  </w:abstractNum>
  <w:abstractNum w:abstractNumId="40">
    <w:nsid w:val="725A06FB"/>
    <w:multiLevelType w:val="hybridMultilevel"/>
    <w:lvl w:ilvl="0">
      <w:lvlJc w:val="left"/>
      <w:lvlText w:val="(%1)"/>
      <w:numFmt w:val="lowerLetter"/>
      <w:start w:val="9"/>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3"/>
    </w:lvl>
    <w:lvl w:ilvl="1">
      <w:lvlJc w:val="left"/>
      <w:lvlText w:val="(%2)"/>
      <w:numFmt w:val="lowerLetter"/>
      <w:start w:val="1"/>
    </w:lvl>
  </w:abstractNum>
  <w:abstractNum w:abstractNumId="43">
    <w:nsid w:val="7A6D8D3C"/>
    <w:multiLevelType w:val="hybridMultilevel"/>
    <w:lvl w:ilvl="0">
      <w:lvlJc w:val="left"/>
      <w:lvlText w:val="(%1)"/>
      <w:numFmt w:val="lowerLetter"/>
      <w:start w:val="2"/>
    </w:lvl>
  </w:abstractNum>
  <w:abstractNum w:abstractNumId="44">
    <w:nsid w:val="4B588F54"/>
    <w:multiLevelType w:val="hybridMultilevel"/>
    <w:lvl w:ilvl="0">
      <w:lvlJc w:val="left"/>
      <w:lvlText w:val="(%1)"/>
      <w:numFmt w:val="lowerLetter"/>
      <w:start w:val="3"/>
    </w:lvl>
  </w:abstractNum>
  <w:abstractNum w:abstractNumId="45">
    <w:nsid w:val="542289EC"/>
    <w:multiLevelType w:val="hybridMultilevel"/>
    <w:lvl w:ilvl="0">
      <w:lvlJc w:val="left"/>
      <w:lvlText w:val="(%1)"/>
      <w:numFmt w:val="lowerLetter"/>
      <w:start w:val="4"/>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2022-01-04T08:02:43Z</dcterms:created>
  <dcterms:modified xsi:type="dcterms:W3CDTF">2022-01-04T08:02:43Z</dcterms:modified>
</cp:coreProperties>
</file>