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266700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SECTION 13 OR 15(D)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June 10, 2008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Utah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28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9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000-17219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87-0398877</w:t>
            </w:r>
          </w:p>
        </w:tc>
      </w:tr>
      <w:tr>
        <w:trPr>
          <w:trHeight w:val="202"/>
        </w:trPr>
        <w:tc>
          <w:tcPr>
            <w:tcW w:w="2840" w:type="dxa"/>
            <w:vAlign w:val="bottom"/>
          </w:tcPr>
          <w:p>
            <w:pPr>
              <w:jc w:val="center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(Commission File Number)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right="33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(I.R.S. employer</w:t>
            </w:r>
          </w:p>
        </w:tc>
      </w:tr>
      <w:tr>
        <w:trPr>
          <w:trHeight w:val="230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identification number)</w:t>
            </w:r>
          </w:p>
        </w:tc>
      </w:tr>
      <w:tr>
        <w:trPr>
          <w:trHeight w:val="441"/>
        </w:trPr>
        <w:tc>
          <w:tcPr>
            <w:tcW w:w="3520" w:type="dxa"/>
            <w:vAlign w:val="bottom"/>
            <w:gridSpan w:val="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5225 Wiley Post Way, Suite 500,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8"/>
        </w:trPr>
        <w:tc>
          <w:tcPr>
            <w:tcW w:w="3520" w:type="dxa"/>
            <w:vAlign w:val="bottom"/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Salt Lake City, Utah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84116</w:t>
            </w:r>
          </w:p>
        </w:tc>
      </w:tr>
      <w:tr>
        <w:trPr>
          <w:trHeight w:val="230"/>
        </w:trPr>
        <w:tc>
          <w:tcPr>
            <w:tcW w:w="35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(801) 975-7200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8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 Written communications pursuant to Rule 425 under the Securities Act (17 CFR 30.425)</w:t>
            </w:r>
          </w:p>
        </w:tc>
      </w:t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Soliciting material pursuant to Rule 14a-12 under the Exchange Act (17 CFR 40.14a-12)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Pre-commencement communications pursuant to Rule 14d-2(b) under the Exchange Act (17 CFR 240.14d-2(b))</w:t>
            </w:r>
          </w:p>
        </w:tc>
      </w:tr>
    </w:tbl>
    <w:p>
      <w:pPr>
        <w:ind w:left="200" w:hanging="192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 pursuant to Rule 13e-4(c) under the Exchange Act (17 CFR 240.13e-4(c))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31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66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-475615</wp:posOffset>
            </wp:positionV>
            <wp:extent cx="7250430" cy="450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1040" w:right="3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 Other Events.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 parts of its Stock Buy-Back Program, ClearOne Communications, Inc. repurchased 50,000 of its shares at a price of $4.12 per share, on June 10, 2008, in a private transaction.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2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300" w:val="left"/>
          <w:tab w:leader="none" w:pos="5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June 10, 2008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Greg LeClaire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14605</wp:posOffset>
            </wp:positionV>
            <wp:extent cx="402209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0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Greg LeClaire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2</w:t>
      </w:r>
    </w:p>
    <w:sectPr>
      <w:pgSz w:w="11900" w:h="16838" w:orient="portrait"/>
      <w:cols w:equalWidth="0" w:num="1">
        <w:col w:w="11420"/>
      </w:cols>
      <w:pgMar w:left="240" w:top="513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2019-12-11T14:48:18Z</dcterms:created>
  <dcterms:modified xsi:type="dcterms:W3CDTF">2019-12-11T14:48:18Z</dcterms:modified>
</cp:coreProperties>
</file>