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BAGLEY E BRYAN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CLEARONE COMMUNICATIONS INC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 xml:space="preserve">CLRO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]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3. Date of Earliest Transaction (Month/Day/Year)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5225 WILEY POST WAY, SUITE 500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80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top w:val="single" w:sz="8" w:color="2C2C2C"/>
            </w:tcBorders>
            <w:gridSpan w:val="4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3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top w:val="single" w:sz="8" w:color="2C2C2C"/>
            </w:tcBorders>
            <w:gridSpan w:val="2"/>
            <w:shd w:val="clear" w:color="auto" w:fill="2C2C2C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SALT LAKE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UT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84116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2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3"/>
          </w:tcPr>
          <w:p>
            <w:pPr>
              <w:jc w:val="center"/>
              <w:ind w:righ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7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9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36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03/22/2010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3"/>
              </w:rPr>
              <w:t>900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2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226,615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6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jc w:val="center"/>
              <w:ind w:left="4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7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Remarks: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E BRYAN BAGLEY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03/23/2010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00" w:type="dxa"/>
            <w:vAlign w:val="bottom"/>
            <w:gridSpan w:val="7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60" w:type="dxa"/>
            <w:vAlign w:val="bottom"/>
            <w:gridSpan w:val="9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6276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2019-12-17T04:18:19Z</dcterms:created>
  <dcterms:modified xsi:type="dcterms:W3CDTF">2019-12-17T04:18:19Z</dcterms:modified>
</cp:coreProperties>
</file>