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68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2020</w:t>
      </w:r>
    </w:p>
    <w:p>
      <w:pPr>
        <w:spacing w:after="0" w:line="162" w:lineRule="exact"/>
        <w:rPr>
          <w:sz w:val="24"/>
          <w:szCs w:val="24"/>
          <w:color w:val="auto"/>
        </w:rPr>
      </w:pPr>
    </w:p>
    <w:p>
      <w:pPr>
        <w:ind w:left="380" w:right="170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5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55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574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550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0" w:right="339" w:bottom="1440" w:gutter="0" w:footer="0" w:header="0"/>
          <w:type w:val="continuous"/>
        </w:sectPr>
      </w:pP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1"/>
        </w:trPr>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Common Stock, $0.001</w:t>
            </w: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5"/>
              </w:rPr>
              <w:t>CLRO</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November 16, 2020 was 18,771,257.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22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19"/>
                <w:szCs w:val="19"/>
                <w:color w:val="auto"/>
              </w:rPr>
            </w:pPr>
          </w:p>
        </w:tc>
        <w:tc>
          <w:tcPr>
            <w:tcW w:w="9500" w:type="dxa"/>
            <w:vAlign w:val="bottom"/>
            <w:gridSpan w:val="4"/>
            <w:shd w:val="clear" w:color="auto" w:fill="CCEEFF"/>
          </w:tcPr>
          <w:p>
            <w:pPr>
              <w:ind w:left="1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19"/>
                <w:szCs w:val="19"/>
                <w:color w:val="auto"/>
              </w:rPr>
            </w:pP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September 30, 2020 and December 31, 2019</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38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and Comprehensive Loss for the three and nine months ended</w:t>
              </w:r>
            </w:hyperlink>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28"/>
        </w:trPr>
        <w:tc>
          <w:tcPr>
            <w:tcW w:w="7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vMerge w:val="restart"/>
            <w:shd w:val="clear" w:color="auto" w:fill="CCEEFF"/>
          </w:tcPr>
          <w:p>
            <w:pPr>
              <w:spacing w:after="0"/>
              <w:rPr>
                <w:sz w:val="11"/>
                <w:szCs w:val="11"/>
                <w:color w:val="auto"/>
              </w:rPr>
            </w:pPr>
          </w:p>
        </w:tc>
        <w:tc>
          <w:tcPr>
            <w:tcW w:w="8940" w:type="dxa"/>
            <w:vAlign w:val="bottom"/>
            <w:tcBorders>
              <w:top w:val="single" w:sz="8" w:color="0000EE"/>
            </w:tcBorders>
            <w:gridSpan w:val="2"/>
            <w:vMerge w:val="restart"/>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2020 and 2019</w:t>
              </w:r>
            </w:hyperlink>
          </w:p>
        </w:tc>
        <w:tc>
          <w:tcPr>
            <w:tcW w:w="440" w:type="dxa"/>
            <w:vAlign w:val="bottom"/>
            <w:tcBorders>
              <w:top w:val="single" w:sz="8" w:color="CCEEFF"/>
            </w:tcBorders>
            <w:vMerge w:val="restart"/>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8940" w:type="dxa"/>
            <w:vAlign w:val="bottom"/>
            <w:gridSpan w:val="2"/>
            <w:vMerge w:val="continue"/>
            <w:shd w:val="clear" w:color="auto" w:fill="CCEEFF"/>
          </w:tcPr>
          <w:p>
            <w:pPr>
              <w:spacing w:after="0"/>
              <w:rPr>
                <w:sz w:val="7"/>
                <w:szCs w:val="7"/>
                <w:color w:val="auto"/>
              </w:rPr>
            </w:pPr>
          </w:p>
        </w:tc>
        <w:tc>
          <w:tcPr>
            <w:tcW w:w="440" w:type="dxa"/>
            <w:vAlign w:val="bottom"/>
            <w:vMerge w:val="continue"/>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160" w:type="dxa"/>
            <w:vAlign w:val="bottom"/>
            <w:tcBorders>
              <w:top w:val="single" w:sz="8" w:color="0000EE"/>
            </w:tcBorders>
          </w:tcPr>
          <w:p>
            <w:pPr>
              <w:spacing w:after="0"/>
              <w:rPr>
                <w:sz w:val="19"/>
                <w:szCs w:val="19"/>
                <w:color w:val="auto"/>
              </w:rPr>
            </w:pPr>
          </w:p>
        </w:tc>
        <w:tc>
          <w:tcPr>
            <w:tcW w:w="67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19"/>
                <w:szCs w:val="19"/>
                <w:color w:val="auto"/>
              </w:rPr>
            </w:pP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Unaudited Condensed Consolidated Statements of Cash Flows for the nine months ended September 30, 2020 and 2019</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19"/>
                <w:szCs w:val="19"/>
                <w:color w:val="auto"/>
              </w:rPr>
            </w:pP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Notes to Condensed Consolidated Financial Statements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19"/>
                <w:szCs w:val="19"/>
                <w:color w:val="auto"/>
              </w:rPr>
            </w:pPr>
          </w:p>
        </w:tc>
        <w:tc>
          <w:tcPr>
            <w:tcW w:w="9500" w:type="dxa"/>
            <w:vAlign w:val="bottom"/>
            <w:gridSpan w:val="4"/>
            <w:shd w:val="clear" w:color="auto" w:fill="CCEEFF"/>
          </w:tcPr>
          <w:p>
            <w:pPr>
              <w:ind w:left="1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 OTHER INFORMATION</w:t>
              </w:r>
            </w:hyperlink>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4"/>
            <w:shd w:val="clear" w:color="auto" w:fill="CCEEFF"/>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9060" w:type="dxa"/>
            <w:vAlign w:val="bottom"/>
            <w:gridSpan w:val="3"/>
          </w:tcPr>
          <w:p>
            <w:pPr>
              <w:jc w:val="right"/>
              <w:ind w:right="409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6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September 30, 2020</w:t>
            </w:r>
          </w:p>
        </w:tc>
        <w:tc>
          <w:tcPr>
            <w:tcW w:w="20" w:type="dxa"/>
            <w:vAlign w:val="bottom"/>
          </w:tcPr>
          <w:p>
            <w:pPr>
              <w:spacing w:after="0"/>
              <w:rPr>
                <w:sz w:val="20"/>
                <w:szCs w:val="20"/>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5,583</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$506 and $424, respectively</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Inventories, net</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7,838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6,283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4,596</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4,355</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5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Operating lease liability, net of current</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18,771,257 and 16,650,725 shares issued</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w:t>
            </w:r>
          </w:p>
        </w:tc>
        <w:tc>
          <w:tcPr>
            <w:tcW w:w="5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63,348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(18,927)</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44,250</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44,478</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57,772</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61"/>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48"/>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CEEFF"/>
          </w:tcPr>
          <w:p>
            <w:pPr>
              <w:spacing w:after="0"/>
              <w:rPr>
                <w:sz w:val="18"/>
                <w:szCs w:val="18"/>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3,455</w:t>
            </w:r>
          </w:p>
        </w:tc>
        <w:tc>
          <w:tcPr>
            <w:tcW w:w="20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11,527</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10,537</w:t>
            </w:r>
          </w:p>
        </w:tc>
      </w:tr>
      <w:tr>
        <w:trPr>
          <w:trHeight w:val="223"/>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4,932</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6,121</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4,319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4,322</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4,475</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4,330</w:t>
            </w:r>
          </w:p>
        </w:tc>
      </w:tr>
      <w:tr>
        <w:trPr>
          <w:trHeight w:val="223"/>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w:t>
            </w: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235</w:t>
            </w: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(5,005)</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(6,358)</w:t>
            </w:r>
          </w:p>
        </w:tc>
      </w:tr>
      <w:tr>
        <w:trPr>
          <w:trHeight w:val="229"/>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65</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17,000,215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16,646,323</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16,768,088</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16,635,954</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17,000,215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16,646,323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16,768,088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16,635,954</w:t>
            </w: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(5,044)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(6,423)</w:t>
            </w: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on available-for-sale securities, net of tax</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81"/>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(5,044)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(6,423)</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1,449</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419</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177</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 net</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537</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368</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2,812</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(4,186)</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863</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359</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Deferred product revenue</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(5,565)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(3,371)</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9,823</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(8,913)</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(4,429)</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common stock and warrants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Paycheck Protection Program loan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20</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Net increase (decrease) in cash and cash equivalents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(9,201)</w:t>
            </w:r>
          </w:p>
        </w:tc>
      </w:tr>
      <w:tr>
        <w:trPr>
          <w:trHeight w:val="243"/>
        </w:trPr>
        <w:tc>
          <w:tcPr>
            <w:tcW w:w="5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11,211</w:t>
            </w:r>
          </w:p>
        </w:tc>
      </w:tr>
      <w:tr>
        <w:trPr>
          <w:trHeight w:val="223"/>
        </w:trPr>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-479425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92075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80" w:space="66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7"/>
              </w:rPr>
              <w:t>Nine Months Ended September 30,</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2020 and December 31, 2019, the results of operations for the three and nine months ended September 30, 2020 and 2019, and the cash flows for the nine months ended September 30, 2020 and 2019. The results of operations for the three and nine months ended September 30, 2020 and 2019 are not necessarily indicative of the results for a full-year period. These interim unaudited condensed consolidated financial statements should be read in conjunction with the financial statements included in our Annual Report on Form 10-K for the year ended December 31, 2019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2019. There have been no changes to these policies during the nine months ended September 30, 2020 that are of significance or potential significance to the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our cash and cash equivalents were approximately $5,583 compared to $4,064 as of December 31, 2019. Our working capital was $15,617 as of September 30, 2020. Net cash used in operating activities was $309 for the nine months ended September 30, 2020, a decrease of $6,261 from $6,570 of cash used in operating activities in the nine months ended September 30, 2019.</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$19,157 from 2016 through September 30,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in 2018 by issuing common stock, in 2019 by issuing senior convertible notes and in 2020 by borrowing through Paycheck Protection Program and issuing common stock and warrants. In addition, we expect to generate additional cash as our inventory levels are brought down to historical levels.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November 16,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Nine months ended September</w:t>
            </w:r>
          </w:p>
        </w:tc>
        <w:tc>
          <w:tcPr>
            <w:tcW w:w="1140" w:type="dxa"/>
            <w:vAlign w:val="bottom"/>
          </w:tcPr>
          <w:p>
            <w:pPr>
              <w:spacing w:after="0"/>
              <w:rPr>
                <w:sz w:val="18"/>
                <w:szCs w:val="18"/>
                <w:color w:val="auto"/>
              </w:rPr>
            </w:pPr>
          </w:p>
        </w:tc>
      </w:tr>
      <w:tr>
        <w:trPr>
          <w:trHeight w:val="248"/>
        </w:trPr>
        <w:tc>
          <w:tcPr>
            <w:tcW w:w="4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Microphones</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2,435</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6,469</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6,525</w:t>
            </w:r>
          </w:p>
        </w:tc>
        <w:tc>
          <w:tcPr>
            <w:tcW w:w="1140" w:type="dxa"/>
            <w:vAlign w:val="bottom"/>
          </w:tcPr>
          <w:p>
            <w:pPr>
              <w:spacing w:after="0"/>
              <w:rPr>
                <w:sz w:val="19"/>
                <w:szCs w:val="19"/>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3,211</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5,833</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3,672</w:t>
            </w:r>
          </w:p>
        </w:tc>
        <w:tc>
          <w:tcPr>
            <w:tcW w:w="1140" w:type="dxa"/>
            <w:vAlign w:val="bottom"/>
          </w:tcPr>
          <w:p>
            <w:pPr>
              <w:spacing w:after="0"/>
              <w:rPr>
                <w:sz w:val="21"/>
                <w:szCs w:val="21"/>
                <w:color w:val="auto"/>
              </w:rPr>
            </w:pPr>
          </w:p>
        </w:tc>
      </w:tr>
      <w:tr>
        <w:trPr>
          <w:trHeight w:val="223"/>
        </w:trPr>
        <w:tc>
          <w:tcPr>
            <w:tcW w:w="4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20,503</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6020" w:type="dxa"/>
            <w:vAlign w:val="bottom"/>
            <w:gridSpan w:val="4"/>
          </w:tcPr>
          <w:p>
            <w:pPr>
              <w:spacing w:after="0"/>
              <w:rPr>
                <w:sz w:val="20"/>
                <w:szCs w:val="20"/>
                <w:color w:val="auto"/>
              </w:rPr>
            </w:pPr>
            <w:r>
              <w:rPr>
                <w:rFonts w:ascii="Arial" w:cs="Arial" w:eastAsia="Arial" w:hAnsi="Arial"/>
                <w:sz w:val="18"/>
                <w:szCs w:val="18"/>
                <w:color w:val="auto"/>
                <w:w w:val="97"/>
              </w:rPr>
              <w:t>The following table disaggregates the Company’s revenue into major regions: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24"/>
                <w:szCs w:val="24"/>
                <w:color w:val="auto"/>
              </w:rPr>
            </w:pPr>
          </w:p>
        </w:tc>
        <w:tc>
          <w:tcPr>
            <w:tcW w:w="2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Nine months ended September</w:t>
            </w:r>
          </w:p>
        </w:tc>
        <w:tc>
          <w:tcPr>
            <w:tcW w:w="1140" w:type="dxa"/>
            <w:vAlign w:val="bottom"/>
          </w:tcPr>
          <w:p>
            <w:pPr>
              <w:spacing w:after="0"/>
              <w:rPr>
                <w:sz w:val="24"/>
                <w:szCs w:val="24"/>
                <w:color w:val="auto"/>
              </w:rPr>
            </w:pPr>
          </w:p>
        </w:tc>
      </w:tr>
      <w:tr>
        <w:trPr>
          <w:trHeight w:val="248"/>
        </w:trPr>
        <w:tc>
          <w:tcPr>
            <w:tcW w:w="4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4,145</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5,764</w:t>
            </w:r>
          </w:p>
        </w:tc>
        <w:tc>
          <w:tcPr>
            <w:tcW w:w="1140" w:type="dxa"/>
            <w:vAlign w:val="bottom"/>
          </w:tcPr>
          <w:p>
            <w:pPr>
              <w:spacing w:after="0"/>
              <w:rPr>
                <w:sz w:val="19"/>
                <w:szCs w:val="19"/>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2,788</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w:t>
            </w:r>
          </w:p>
        </w:tc>
        <w:tc>
          <w:tcPr>
            <w:tcW w:w="1140" w:type="dxa"/>
            <w:vAlign w:val="bottom"/>
          </w:tcPr>
          <w:p>
            <w:pPr>
              <w:spacing w:after="0"/>
              <w:rPr>
                <w:sz w:val="21"/>
                <w:szCs w:val="21"/>
                <w:color w:val="auto"/>
              </w:rPr>
            </w:pPr>
          </w:p>
        </w:tc>
      </w:tr>
      <w:tr>
        <w:trPr>
          <w:trHeight w:val="223"/>
        </w:trPr>
        <w:tc>
          <w:tcPr>
            <w:tcW w:w="4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20,503</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8"/>
        </w:trPr>
        <w:tc>
          <w:tcPr>
            <w:tcW w:w="4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9"/>
              </w:rPr>
              <w:t>Three months ended September 30,</w:t>
            </w:r>
          </w:p>
        </w:tc>
        <w:tc>
          <w:tcPr>
            <w:tcW w:w="120" w:type="dxa"/>
            <w:vAlign w:val="bottom"/>
          </w:tcPr>
          <w:p>
            <w:pPr>
              <w:spacing w:after="0"/>
              <w:rPr>
                <w:sz w:val="20"/>
                <w:szCs w:val="20"/>
                <w:color w:val="auto"/>
              </w:rPr>
            </w:pPr>
          </w:p>
        </w:tc>
        <w:tc>
          <w:tcPr>
            <w:tcW w:w="28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(5,044)</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(6,423)</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08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17,000,215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16,646,323</w:t>
            </w: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16,768,088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16,635,954</w:t>
            </w:r>
          </w:p>
        </w:tc>
      </w:tr>
      <w:tr>
        <w:trPr>
          <w:trHeight w:val="202"/>
        </w:trPr>
        <w:tc>
          <w:tcPr>
            <w:tcW w:w="50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Dilutive common stock equivalents using treasury stock</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method</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0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17,000,215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16,646,323</w:t>
            </w: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16,768,088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16,635,954</w:t>
            </w:r>
          </w:p>
        </w:tc>
      </w:tr>
      <w:tr>
        <w:trPr>
          <w:trHeight w:val="196"/>
        </w:trPr>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r>
      <w:tr>
        <w:trPr>
          <w:trHeight w:val="23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561,634</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528,107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572,845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511,332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561,634</w:t>
            </w:r>
          </w:p>
        </w:tc>
        <w:tc>
          <w:tcPr>
            <w:tcW w:w="1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528,107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572,845</w:t>
            </w:r>
          </w:p>
        </w:tc>
      </w:tr>
      <w:tr>
        <w:trPr>
          <w:trHeight w:val="458"/>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4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2020 and December 31,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4"/>
              </w:rPr>
              <w:t>2,980</w:t>
            </w:r>
          </w:p>
        </w:tc>
        <w:tc>
          <w:tcPr>
            <w:tcW w:w="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4"/>
              </w:rPr>
              <w:t>4,521</w:t>
            </w:r>
          </w:p>
        </w:tc>
        <w:tc>
          <w:tcPr>
            <w:tcW w:w="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1,391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available-for-sale securities</w:t>
            </w:r>
          </w:p>
        </w:tc>
        <w:tc>
          <w:tcPr>
            <w:tcW w:w="28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2,980</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3,013</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vMerge w:val="restart"/>
          </w:tcPr>
          <w:p>
            <w:pPr>
              <w:jc w:val="right"/>
              <w:ind w:right="12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Debt securities in an unrealized loss position as of September 30, 2020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gridSpan w:val="2"/>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unrealized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2"/>
              </w:rPr>
              <w:t>holding losses</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2"/>
              </w:rPr>
              <w:t>holding losses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September 30, 2020</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2020 and December 31, 2019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Estimated useful</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20" w:type="dxa"/>
            <w:vAlign w:val="bottom"/>
          </w:tcPr>
          <w:p>
            <w:pPr>
              <w:spacing w:after="0"/>
              <w:rPr>
                <w:sz w:val="20"/>
                <w:szCs w:val="20"/>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lives (years)</w:t>
            </w:r>
          </w:p>
        </w:tc>
        <w:tc>
          <w:tcPr>
            <w:tcW w:w="16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September 30, 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Pr>
          <w:p>
            <w:pPr>
              <w:ind w:left="60"/>
              <w:spacing w:after="0"/>
              <w:rPr>
                <w:sz w:val="20"/>
                <w:szCs w:val="20"/>
                <w:color w:val="auto"/>
              </w:rPr>
            </w:pPr>
            <w:r>
              <w:rPr>
                <w:rFonts w:ascii="Arial" w:cs="Arial" w:eastAsia="Arial" w:hAnsi="Arial"/>
                <w:sz w:val="18"/>
                <w:szCs w:val="18"/>
                <w:color w:val="auto"/>
              </w:rPr>
              <w:t>to</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24,199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18,494</w:t>
            </w: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Pr>
          <w:p>
            <w:pPr>
              <w:ind w:left="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0"/>
        </w:trPr>
        <w:tc>
          <w:tcPr>
            <w:tcW w:w="5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(9,564)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(8,344)</w:t>
            </w:r>
          </w:p>
        </w:tc>
      </w:tr>
      <w:tr>
        <w:trPr>
          <w:trHeight w:val="223"/>
        </w:trPr>
        <w:tc>
          <w:tcPr>
            <w:tcW w:w="5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September 30, 2020 and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21"/>
                <w:szCs w:val="21"/>
                <w:color w:val="auto"/>
              </w:rPr>
            </w:pPr>
          </w:p>
        </w:tc>
        <w:tc>
          <w:tcPr>
            <w:tcW w:w="288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00" w:type="dxa"/>
            <w:vAlign w:val="bottom"/>
            <w:gridSpan w:val="4"/>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1,858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1,851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10,876</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ind w:right="6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2020 and December 31, 2019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44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378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737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r>
      <w:tr>
        <w:trPr>
          <w:trHeight w:val="24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7,101</w:t>
            </w: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10,594</w:t>
            </w:r>
          </w:p>
        </w:tc>
      </w:tr>
      <w:tr>
        <w:trPr>
          <w:trHeight w:val="263"/>
        </w:trPr>
        <w:tc>
          <w:tcPr>
            <w:tcW w:w="440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4"/>
              </w:rPr>
              <w:t>7,838</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20" w:type="dxa"/>
            <w:vAlign w:val="bottom"/>
            <w:tcBorders>
              <w:bottom w:val="single" w:sz="8" w:color="CCEEFF"/>
            </w:tcBorders>
          </w:tcPr>
          <w:p>
            <w:pPr>
              <w:spacing w:after="0"/>
              <w:rPr>
                <w:sz w:val="22"/>
                <w:szCs w:val="22"/>
                <w:color w:val="auto"/>
              </w:rPr>
            </w:pPr>
          </w:p>
        </w:tc>
      </w:tr>
      <w:tr>
        <w:trPr>
          <w:trHeight w:val="196"/>
        </w:trPr>
        <w:tc>
          <w:tcPr>
            <w:tcW w:w="44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Long-term:</w:t>
            </w:r>
          </w:p>
        </w:tc>
        <w:tc>
          <w:tcPr>
            <w:tcW w:w="3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37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4,369</w:t>
            </w:r>
          </w:p>
        </w:tc>
      </w:tr>
      <w:tr>
        <w:trPr>
          <w:trHeight w:val="223"/>
        </w:trPr>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4"/>
              </w:rPr>
              <w:t>6,283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months ended September 30, 2020 and 2019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Three months ended September</w:t>
            </w:r>
          </w:p>
        </w:tc>
        <w:tc>
          <w:tcPr>
            <w:tcW w:w="27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Net loss incurred on valuation of inventory at lower of cost or market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value and write-off of obsolete inventory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September 30, 2020 and 2019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 September</w:t>
            </w:r>
          </w:p>
        </w:tc>
        <w:tc>
          <w:tcPr>
            <w:tcW w:w="278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113"/>
        </w:trPr>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 under the terms of an operating lease expiring in October 2022. This facility supports our sales, marketing, customer support, and research and development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4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640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September 30, 2020</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1,623</w:t>
            </w:r>
          </w:p>
        </w:tc>
        <w:tc>
          <w:tcPr>
            <w:tcW w:w="7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September 30, 2020: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2020 (Remainder)</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8. Shareholders' Equity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September</w:t>
            </w:r>
          </w:p>
        </w:tc>
        <w:tc>
          <w:tcPr>
            <w:tcW w:w="2780" w:type="dxa"/>
            <w:vAlign w:val="bottom"/>
            <w:gridSpan w:val="7"/>
            <w:vMerge w:val="restart"/>
          </w:tcPr>
          <w:p>
            <w:pPr>
              <w:jc w:val="right"/>
              <w:ind w:right="14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58,597</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58,002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58,537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57,857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Issue of common stock and warrants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58,054</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9"/>
              </w:rPr>
              <w:t>Unrealized gain (loss) on available-for-sale securities, net of tax</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(17,667)</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44,250</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45,984</w:t>
            </w: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4"/>
                <w:szCs w:val="24"/>
                <w:color w:val="auto"/>
              </w:rPr>
            </w:pPr>
          </w:p>
        </w:tc>
        <w:tc>
          <w:tcPr>
            <w:tcW w:w="1700" w:type="dxa"/>
            <w:vAlign w:val="bottom"/>
            <w:gridSpan w:val="3"/>
          </w:tcPr>
          <w:p>
            <w:pPr>
              <w:ind w:left="4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at the time that the Notes and Warrants were issued to him.</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50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c>
          <w:tcPr>
            <w:tcW w:w="45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450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20"/>
                <w:szCs w:val="20"/>
                <w:color w:val="auto"/>
              </w:rPr>
            </w:pPr>
          </w:p>
        </w:tc>
      </w:tr>
      <w:tr>
        <w:trPr>
          <w:trHeight w:val="472"/>
        </w:trPr>
        <w:tc>
          <w:tcPr>
            <w:tcW w:w="3960" w:type="dxa"/>
            <w:vAlign w:val="bottom"/>
          </w:tcPr>
          <w:p>
            <w:pPr>
              <w:spacing w:after="0"/>
              <w:rPr>
                <w:sz w:val="24"/>
                <w:szCs w:val="24"/>
                <w:color w:val="auto"/>
              </w:rPr>
            </w:pPr>
          </w:p>
        </w:tc>
        <w:tc>
          <w:tcPr>
            <w:tcW w:w="2780" w:type="dxa"/>
            <w:vAlign w:val="bottom"/>
          </w:tcPr>
          <w:p>
            <w:pPr>
              <w:jc w:val="right"/>
              <w:ind w:right="930"/>
              <w:spacing w:after="0"/>
              <w:rPr>
                <w:sz w:val="20"/>
                <w:szCs w:val="20"/>
                <w:color w:val="auto"/>
              </w:rPr>
            </w:pPr>
            <w:r>
              <w:rPr>
                <w:rFonts w:ascii="Arial" w:cs="Arial" w:eastAsia="Arial" w:hAnsi="Arial"/>
                <w:sz w:val="18"/>
                <w:szCs w:val="18"/>
                <w:color w:val="auto"/>
              </w:rPr>
              <w:t>14</w:t>
            </w:r>
          </w:p>
        </w:tc>
        <w:tc>
          <w:tcPr>
            <w:tcW w:w="4500" w:type="dxa"/>
            <w:vAlign w:val="bottom"/>
          </w:tcPr>
          <w:p>
            <w:pPr>
              <w:spacing w:after="0"/>
              <w:rPr>
                <w:sz w:val="24"/>
                <w:szCs w:val="24"/>
                <w:color w:val="auto"/>
              </w:rPr>
            </w:pPr>
          </w:p>
        </w:tc>
      </w:tr>
      <w:tr>
        <w:trPr>
          <w:trHeight w:val="128"/>
        </w:trPr>
        <w:tc>
          <w:tcPr>
            <w:tcW w:w="39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3"/>
              </w:rPr>
              <w:t>September 30, 2020</w:t>
            </w:r>
          </w:p>
        </w:tc>
        <w:tc>
          <w:tcPr>
            <w:tcW w:w="18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4"/>
              </w:rPr>
              <w:t>December 31, 2019</w:t>
            </w:r>
          </w:p>
        </w:tc>
      </w:tr>
      <w:tr>
        <w:trPr>
          <w:trHeight w:val="226"/>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Principal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(778)</w:t>
            </w: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80" w:type="dxa"/>
            <w:vAlign w:val="bottom"/>
            <w:tcBorders>
              <w:bottom w:val="single" w:sz="8" w:color="CFF0FC"/>
            </w:tcBorders>
          </w:tcPr>
          <w:p>
            <w:pPr>
              <w:spacing w:after="0"/>
              <w:rPr>
                <w:sz w:val="22"/>
                <w:szCs w:val="22"/>
                <w:color w:val="auto"/>
              </w:rPr>
            </w:pPr>
          </w:p>
        </w:tc>
      </w:tr>
      <w:tr>
        <w:trPr>
          <w:trHeight w:val="224"/>
        </w:trPr>
        <w:tc>
          <w:tcPr>
            <w:tcW w:w="710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Warrants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Net carrying amount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12529"/>
        </w:rPr>
        <w:t>(1) Recorded on the condensed consolidated balance sheets as additional paid-in capital.</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and nine months ended September 30, 2020, amortization of debt discount and issuance costs was $50 and $148, respectively. The following table represents schedule of maturities of principal amount contained in the Notes as of September 30,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Principal Amount</w:t>
            </w: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Maturing</w:t>
            </w:r>
          </w:p>
        </w:tc>
      </w:tr>
      <w:tr>
        <w:trPr>
          <w:trHeight w:val="226"/>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1"/>
                <w:szCs w:val="21"/>
                <w:color w:val="auto"/>
              </w:rPr>
            </w:pPr>
          </w:p>
        </w:tc>
      </w:tr>
      <w:tr>
        <w:trPr>
          <w:trHeight w:val="24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FF0FC"/>
          </w:tcPr>
          <w:p>
            <w:pPr>
              <w:spacing w:after="0"/>
              <w:rPr>
                <w:sz w:val="21"/>
                <w:szCs w:val="21"/>
                <w:color w:val="auto"/>
              </w:rPr>
            </w:pPr>
          </w:p>
        </w:tc>
      </w:tr>
      <w:tr>
        <w:trPr>
          <w:trHeight w:val="24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Borders>
              <w:bottom w:val="single" w:sz="8" w:color="CFF0FC"/>
            </w:tcBorders>
          </w:tcPr>
          <w:p>
            <w:pPr>
              <w:spacing w:after="0"/>
              <w:rPr>
                <w:sz w:val="21"/>
                <w:szCs w:val="21"/>
                <w:color w:val="auto"/>
              </w:rPr>
            </w:pPr>
          </w:p>
        </w:tc>
      </w:tr>
      <w:tr>
        <w:trPr>
          <w:trHeight w:val="223"/>
        </w:trPr>
        <w:tc>
          <w:tcPr>
            <w:tcW w:w="5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amount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September 30, 2020 and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0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2920" w:type="dxa"/>
            <w:vAlign w:val="bottom"/>
            <w:gridSpan w:val="2"/>
          </w:tcPr>
          <w:p>
            <w:pPr>
              <w:jc w:val="right"/>
              <w:ind w:right="721"/>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9"/>
                <w:szCs w:val="19"/>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21"/>
                <w:szCs w:val="21"/>
                <w:color w:val="auto"/>
              </w:rPr>
            </w:pPr>
          </w:p>
        </w:tc>
      </w:tr>
      <w:tr>
        <w:trPr>
          <w:trHeight w:val="263"/>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2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2920" w:type="dxa"/>
            <w:vAlign w:val="bottom"/>
            <w:gridSpan w:val="2"/>
          </w:tcPr>
          <w:p>
            <w:pPr>
              <w:jc w:val="right"/>
              <w:ind w:right="721"/>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19"/>
                <w:szCs w:val="19"/>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nine months ended September 30, 2020 represents income tax expense recorded for jurisdictions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2019.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COLLABORATE Space, our powerful cloud-based collaboration solution,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spacing w:after="0" w:line="14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During April 2020, we introduced UNITE 20 Pro Webcam, which easily mounts on a PC or laptop to provide full 1080p30 image with an ultra wide-angle field-of-view up to 120</w:t>
      </w:r>
      <w:r>
        <w:rPr>
          <w:rFonts w:ascii="Arial" w:cs="Arial" w:eastAsia="Arial" w:hAnsi="Arial"/>
          <w:sz w:val="19"/>
          <w:szCs w:val="19"/>
          <w:color w:val="666666"/>
        </w:rPr>
        <w:t>°.</w:t>
      </w:r>
      <w:r>
        <w:rPr>
          <w:rFonts w:ascii="Arial" w:cs="Arial" w:eastAsia="Arial" w:hAnsi="Arial"/>
          <w:sz w:val="16"/>
          <w:szCs w:val="16"/>
          <w:color w:val="auto"/>
        </w:rPr>
        <w:t xml:space="preserve"> A super-high signal-to-noise ratio and advanced 2D and 3D noise reduction provides superior desktop camera video quality.</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During July 2020, we were awarded a significant new patent relating to beamforming microphone array technology by the US Patent and Trademark Office. ClearOne’s innovative new patent, US Patent No. 10,728,653 (the “’653 Patent”), describes a ceiling tile microphone that includes beamforming, acoustic echo cancellation, and adaptive acoustic processing that automatically adjusts to a room configuration. There is no language in the claims of the new patent limiting its scope to flush-mounted ceiling tile beamforming microphone arrays, as opposed to non-flush mounted ceiling tile beamforming microphone arrays. The ’653 Patent is a member of a family of patents and applications that includes US Patent No. 9,813,806. That patent family includes issued patents and patent applications that cover ceiling tile and wall tile embodiments of beamforming microphone arrays, as well as augmentation of beamforming microphone arrays with non-beamforming microphones.</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first nine months of 2020, we continued our efforts, primarily through litigation, to stop the infringement of our strategic patents. We also continued our programs to cut costs and to speed up product development that we believe will enable us to get back to a growth path.</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Overall revenue increased by 40% in the third quarter of 2020 when compared to the third quarter of 2019, primarily due to an increase in revenue from video products, microphones and personal audio conferencing products offset partially by a decrease in revenue from our professional audio products. Despite the negative impact of COVID-19 and the infringement of our patents by Shure on all professional installed products our new solutions incorporating Beamforming Microphone Array Ceiling Tile ("BMA-CT") resulted in overall Beamforming Microphone Array ("BMA") revenue continued to be significantly higher than last year. However, revenue from BMA products as well as from our pro audio products are far below the levels prior to infringement of our patents. Our revenue performance reflects an impact of the on-going harm of infringement of ClearOne’s patents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not withstanding a significant growth in revenue from video products this quarter. Our gross profit margin decreased to 41.8% during the third quarter of 2020 from 42.3% during the third quarter of 2019. Net loss decreased from $2.0 million in the third quarter of 2019 to $1.3 million in the third quarter of 2020. The decrease was mainly due to increase in gross margin through higher revenue and reduction in operating costs.</w:t>
      </w:r>
    </w:p>
    <w:p>
      <w:pPr>
        <w:spacing w:after="0" w:line="15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During the first nine months ended September 30, 2020 our revenues increased by 10% when compared to the nine months ended September 30, 2019. The increase in revenues were largely due to increase in revenue from video products partially offset by declines in revenue from microphones and audio conferencing products. Our gross profit margin increased to 43.8% during the first nine months of 2020 from 43.7% during the same nine months of 2019. Net loss decreased from $6.4 million in the first nine months of 2019 to $5.0 million in the first nine months of 2020. The decrease was mainly due to reduction in operating costs and increased gross margin.</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On September 1, 2020, the U.S. District Court of Northern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 - through its design choices - violated the injunction order by allowing integrators to install the MXA910-A in the enjoined flush configuration.” Ultimately, the Court ordered that “Shure shall no longer manufacture, market, or sell the MXA910...” . ClearOne’s motion to accuse Shure’s MXA910-US of infringing the ’806 Patent is still pending with the Court.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1940"/>
        <w:spacing w:after="0" w:line="440"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i w:val="1"/>
          <w:iCs w:val="1"/>
          <w:color w:val="auto"/>
        </w:rPr>
        <w:t>Industry conditions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Revenue from our video products are critical to our long-term growth due to significantly larger available market space for video products. We face intense competition in this market from well-established market leaders, emerging players rich with marketing funds and information technology giants offering free products and services. We expect our strategy of combining COLLABOATE Space, our cloud-based video conferencing product with COLLABORATE Live, our appliance-based media collaboration product, UNITE, our high-quality professional cameras, and our high-end audio conferencing technology will generate high growth in the near future. We believe we are also well positioned with our COLLABORATE Versa solutions incorporated with BMA-CT to capitalize on the acceleration of replacing large meeting rooms with huddle rooms.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derive a major portion of our revenue (approximately 46% for the year ended December 31, 2019)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December 2019, a novel strain of coronavirus (“COVID-19”) was first reported in Wuhan, China. The COVID-19 pandemic has continued to spread and has already caused severe global disruptions. The extent of COVID-19’s effect on our operational and financial performance will depend on future developments, including the duration, spread and intensity of the pandemic, all of which are uncertain and difficult to predict considering the rapidly evolving landscape. If the pandemic continues to evolve into a severe worldwide health crisis, the disease could have a material adverse effect on our business, results of operations, financial condition and cash flows and adversely impact the trading price of our common stock. During the third quarter of 2020, we saw an increase in revenue in U.S.A. that we believe a portion of which was attributable to government stimulus programs relating to COVID-19 and a utilization of our products by a growing remote workforce. Given the uncertainty of the COVID-19 pandemic, the company does not believe these results were indicative of any trend, and there remains great uncertainty and unpredictability in how the COVID-19 pandemic and government responses to it will continue to impact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remained almost the same at $0.16 million at September 30, 2020 compared to $0.17 million at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2020</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and nine months ended September 30, 2020 (“2020-Q3”) ("2020-YTD") and 2019 ("2019-Q3") ("2019-YTD"), respectively, together with the percentage of total revenue which each such item represents: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gridSpan w:val="7"/>
          </w:tcPr>
          <w:p>
            <w:pPr>
              <w:jc w:val="right"/>
              <w:ind w:right="83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700" w:type="dxa"/>
            <w:vAlign w:val="bottom"/>
            <w:gridSpan w:val="7"/>
          </w:tcPr>
          <w:p>
            <w:pPr>
              <w:jc w:val="right"/>
              <w:ind w:right="79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190"/>
              <w:spacing w:after="0"/>
              <w:rPr>
                <w:sz w:val="20"/>
                <w:szCs w:val="20"/>
                <w:color w:val="auto"/>
              </w:rPr>
            </w:pPr>
            <w:r>
              <w:rPr>
                <w:rFonts w:ascii="Arial" w:cs="Arial" w:eastAsia="Arial" w:hAnsi="Arial"/>
                <w:sz w:val="16"/>
                <w:szCs w:val="16"/>
                <w:b w:val="1"/>
                <w:bCs w:val="1"/>
                <w:color w:val="auto"/>
                <w:w w:val="91"/>
              </w:rPr>
              <w:t>Change 2020</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2020</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vs 2019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vs 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3,455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11,527</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10,537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1,907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4,932</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6,121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4,475</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4,330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(2,098)</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(6,593)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(1,956)</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(5,005)</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(6,358)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revenue increased to $8.4 million in 2020-Q3 compared to $6.0 million in 2019-Q3 primarily due to a 263% increase in video products revenue and 11% increase in microphones revenue partially offset by 5% decline in audio conferencing products revenue. Audio Conferencing category as a whole declined despite significant increase in revenues from personal conferencing products. Microphones growth continued to be led by our new solutions incorporating BMA-CT. During the third quarter of 2020, revenues from North America and Europe and Africa increased by 92% and 27%, respectively, while revenues from Asia Pacific, including the Middle East declined by 41%. Overall USA, Canada and parts of Europe registered impressive growths, while the Middle East and Japan saw significant declines.</w:t>
      </w:r>
    </w:p>
    <w:p>
      <w:pPr>
        <w:spacing w:after="0" w:line="14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During the nine months ended September 30, 2020 our revenues increased from $18.7 million to $20.5 million to compared to the same period in 2019 due to an increase in video products by 59%, partially offset by decline in other product categories, namely audio conferencing by 4% and microphones category by 1%. Even though microphones category declined in revenue our BMA products led by new solutions incorporating BMA-CT had significant growth compared to nine months ended September 2019. During the nine months ended September 30, 2020 revenues in Americas increased by 29% compared to the same period in 2019. Revenues in the Asia Pacific, including the Middle East declined by 28% and the revenues in Europe and Africa increased by 13%.</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although there can be no assurance, that we will return to a growth path if we are able to successfully implement our strategic initiatives focused on product innovation, cost reduction and defense of our intellectual property.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gross profit margin remained fairly consistent at 41.8% during 2020-Q3 compared to 42.3% during 2019-Q3. The gross profit margin was negatively impacted due to increase in share of lower margin products in the revenue mix, increased freight and tariff costs and increased inventory obsolescence costs, partially offset by a decrease in overhead costs as a percentage of revenue.</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gross profit margin remained fairly consistent at 43.8% during 2020-YTD from 43.7% during 2019-YTD. The gross profit margin was negatively impacted due to increase in share of lower margin products in the revenue mix, increased freight and tariff costs and increased inventory obsolescence costs, partially offset by a decrease in overhead costs as a percentage of revenue.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$1.3 million of wireless microphone-related finished goods and assemblies, $1.6 million of Converge Pro and Beamforming microphone array products, $0.4 million of network media streaming products and about $2.2 million of raw materials that will be used for manufacturing professional audio conferencing products. Any business changes that are adverse to these product lines could potentially impact our ability to sell our long-term inventory in addition to our current inventory.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$4.7 million for 2020-Q3 compared to $4.6 million for 2019-Q3. Total operating expenses were $13.7 million for 2020-YTD compared to $14.8 million for 2019-YTD.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S&amp;M expenses for 2020-Q3 decreased to $1.7 million from $1.9 million for 2019-Q3. The decrease was mainly due to decreases in trade-show related expenses, demonstration inventory costs and employee travel related expenses partially offset by an increase in sales commissions.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S&amp;M expenses for 2020-YTD decreased to $4.9 million from $6.1 million for 2019-YTD. The decrease was mainly due to decreases in trade-show related expenses, demonstration inventory costs and employee travel related expenses partially offset by an increase in sales commissions.</w:t>
      </w:r>
    </w:p>
    <w:p>
      <w:pPr>
        <w:spacing w:after="0" w:line="121"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R&amp;D expenses were approximately $1.5 million for 2020-Q3, as compared to $1.4 million for 2019-Q3. The increase was primarily due to increases in legal costs related to intellectual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remained consistent with approximately $4.3 million for 2020-YTD, and 2019-YTD.</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financing and human resources.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slightly from $1.3 million in 2019-Q3 to $1.4 million in 2020-Q3. The increase was primarily due to increases in legal expenses and depreciation and amortization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slightly from $4.3 million in 2019-YTD to $4.5 million in 2020-YTD. The increase was primarily due to increases in legal expenses and depreciation and amortization expenses partially offset by decline in audit and accounting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(expense), net includes interest income and foreign currency changes. Other income remained immaterial during the third quarter of 2020 and 2019 as well as during 2020-YTD and 2019-YTD.</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in the third quarter of 2020 was $108 thousand compared to no interest expense in the third quarter of 2019. Most of the interest expense was incurred due to issuance of senior convertibles notes with a face value of $3.0 million in December 2019.</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Interest Expense in 2020-YTD was $325 thousand compared to no interest expense in 2019-YTD. Most of the interest expense was incurred due to issuance of senior convertibles notes with a face value of $3.0 million in December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17"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Provision for income taxes</w:t>
      </w:r>
    </w:p>
    <w:p>
      <w:pPr>
        <w:jc w:val="both"/>
        <w:spacing w:after="0" w:line="246" w:lineRule="auto"/>
        <w:rPr>
          <w:sz w:val="20"/>
          <w:szCs w:val="20"/>
          <w:color w:val="auto"/>
        </w:rPr>
      </w:pPr>
      <w:r>
        <w:rPr>
          <w:rFonts w:ascii="Arial" w:cs="Arial" w:eastAsia="Arial" w:hAnsi="Arial"/>
          <w:sz w:val="18"/>
          <w:szCs w:val="18"/>
          <w:color w:val="auto"/>
        </w:rPr>
        <w:t>During 2020-YTD, we did not recognize any benefit from the losses incurred due to setting up of full valuation allowance. Provision for income taxes recognized for 2020-Q3 and 2020-YTD relates to foreign jurisdictions.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September 30, 2020, our cash and cash equivalents were approximately $5.6 million compared to $4.1 million as of December 31, 2019. Our working capital was $15.6 million and $18.9 million as of September 30, 2020 and December 31, 2019, respectively.</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by operating activities was approximately $0.3 million in 2020-YTD, a decrease of cash used of approximately $6.3 million from $6.6 million of cash used in operating activities in 2019-YTD. The increase in cash inflow was due to positive change in operating assets and liabilities of $4.4 million, increase in non-cash charges by $0.5 million and a decrease in net loss by $1.4 million.</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cash used in investing activities was $4.4 million for 2020-YTD compared to net cash used in investing activities of $2.6 million during the 2019-YTD, an increase in cash used of $1.8 million. The increase in cash used in investing activities was primarily due to an increase in capitalized patent defense costs by $2.4 million partially offset by a decrease in net cash outflows from marketable securities of approximately $0.6 million</w:t>
      </w:r>
    </w:p>
    <w:p>
      <w:pPr>
        <w:spacing w:after="0" w:line="13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2020-YTD we spent $5.6 million on legal costs related to the defense of our patents and capitalized the entire amount.</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$19.2 million from 2016 through September 30,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5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of - $9.9 million (net of issuance costs) in 2018 by issuing common stock, $2.7 million (net of issuances costs) in 2019 by issuing senior convertible notes, $1.5 million in April 2020 by borrowing through Paycheck Protection Program and $4.8 million in September 2020 by issuing common stock and warrants. In addition, we expect to generate additional cash as our inventory levels are brought down to historical levels.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November 16,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66" w:lineRule="auto"/>
        <w:rPr>
          <w:sz w:val="20"/>
          <w:szCs w:val="20"/>
          <w:color w:val="auto"/>
        </w:rPr>
      </w:pP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At September 30, 2020, we had open purchase orders of approximately $3.8 million mostly for purchase of inventory.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30, 2020, we had inventory totaling $14.1 million, of which non-current inventory accounted for $6.3 million. This compares to total inventories of $17.7 million and non-current inventory of $6.3 million as of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September 30, 2020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6"/>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Less Than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6"/>
                <w:szCs w:val="16"/>
                <w:b w:val="1"/>
                <w:bCs w:val="1"/>
                <w:color w:val="auto"/>
              </w:rPr>
              <w:t>More than 5</w:t>
            </w:r>
          </w:p>
        </w:tc>
        <w:tc>
          <w:tcPr>
            <w:tcW w:w="100" w:type="dxa"/>
            <w:vAlign w:val="bottom"/>
          </w:tcPr>
          <w:p>
            <w:pPr>
              <w:spacing w:after="0"/>
              <w:rPr>
                <w:sz w:val="17"/>
                <w:szCs w:val="17"/>
                <w:color w:val="auto"/>
              </w:rPr>
            </w:pPr>
          </w:p>
        </w:tc>
      </w:tr>
      <w:tr>
        <w:trPr>
          <w:trHeight w:val="213"/>
        </w:trPr>
        <w:tc>
          <w:tcPr>
            <w:tcW w:w="3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3"/>
              <w:spacing w:after="0"/>
              <w:rPr>
                <w:sz w:val="20"/>
                <w:szCs w:val="20"/>
                <w:color w:val="auto"/>
              </w:rPr>
            </w:pPr>
            <w:r>
              <w:rPr>
                <w:rFonts w:ascii="Arial" w:cs="Arial" w:eastAsia="Arial" w:hAnsi="Arial"/>
                <w:sz w:val="16"/>
                <w:szCs w:val="16"/>
                <w:b w:val="1"/>
                <w:bCs w:val="1"/>
                <w:color w:val="auto"/>
              </w:rPr>
              <w:t>1 Year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r>
      <w:tr>
        <w:trPr>
          <w:trHeight w:val="22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Payroll Protection Plan loan</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Purchase obligations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September 30, 2020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September 30,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September 30, 2020,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 is involved in litigation against Shure Incorporated (“Shure”) as further described in Part I, Item 3 of the Company’s Annual Report on Form 10-K for the year ended December 31, 2019 (the “Annual Report”), which information is incorporated herein by reference. The following recent developments amend and supplement the disclosure of the ongoing litigation proceedings against Shure as follows:</w:t>
      </w:r>
    </w:p>
    <w:p>
      <w:pPr>
        <w:spacing w:after="0" w:line="161" w:lineRule="exact"/>
        <w:rPr>
          <w:sz w:val="20"/>
          <w:szCs w:val="20"/>
          <w:color w:val="auto"/>
        </w:rPr>
      </w:pPr>
    </w:p>
    <w:p>
      <w:pPr>
        <w:jc w:val="both"/>
        <w:ind w:left="540"/>
        <w:spacing w:after="0" w:line="269" w:lineRule="auto"/>
        <w:rPr>
          <w:sz w:val="20"/>
          <w:szCs w:val="20"/>
          <w:color w:val="auto"/>
        </w:rPr>
      </w:pPr>
      <w:r>
        <w:rPr>
          <w:rFonts w:ascii="Arial" w:cs="Arial" w:eastAsia="Arial" w:hAnsi="Arial"/>
          <w:sz w:val="17"/>
          <w:szCs w:val="17"/>
          <w:color w:val="auto"/>
        </w:rPr>
        <w:t>Shure Incorporated v. ClearOne, Inc., 17-cv-3078 (N.D. of Illinois) - In this matter, the Company asserts that Shure’s MXA910 and MXA910-A infringe two ClearOne patents: U.S. Patent No. 9,635,186 (the “’186 Patent”) and U.S. Patent No. 9,813,806 (the “’806 Patent”). On July 9, 2020, the Company moved for summary judgment, or partial summary judgment, of infringement by Shure of the ’186 and ’806 patents, and Shure moved on the same day for summary judgment of invalidity of the ’186 and ’806 patents. On August 12,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 On September 2, 2020, the Company issued a press release announcing an order issued September 1, 2020 by Judge Edmond E. Chang of the U.S. District Court of the Northern District of Illinois holding, among other things, that “Shure has violated the preliminary injunction order and is found in contempt because it designed the MXA910-A in such a way that allows it to be easily installed flush in most ceiling grids.”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-1338580</wp:posOffset>
            </wp:positionV>
            <wp:extent cx="42545"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ClearOne, Inc. v. Shure Incorporated, IPR2019-00683. On August 14, 2020, the Patent Trial and Appeals Board (the “PTAB”) issued its final written decision in this matter, holding that all but two of the original claims in Shure’s U.S. Patent No. 9,565,493 (the “’493 Patent”), claims 6 and 34, are unpatentable in light of the Company’s U.S. Patent No. 9,813,806 and other prior art, and granting Shure’s request to amend 11 claims. On August 24, the Company filed a request for rehearing with the PTAB, arguing that the eleven amended claims are not patentable based upon the Company's allegation that Shure withheld from the PTAB two allegedly material references that render those claims unpatentable. Also on August 24, the Company filed a request for sanctions with the PTAB, arguing that Shure’s failure to disclose two material references to the PTAB violated Shure’s duty of candor. PTAB denied both the request for hearing and request for sanctions. The Company is considering whether to appeal the PTAB's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-1060450</wp:posOffset>
            </wp:positionV>
            <wp:extent cx="42545"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04" w:lineRule="exact"/>
        <w:rPr>
          <w:sz w:val="20"/>
          <w:szCs w:val="20"/>
          <w:color w:val="auto"/>
        </w:rPr>
      </w:pPr>
    </w:p>
    <w:p>
      <w:pPr>
        <w:jc w:val="both"/>
        <w:ind w:left="540"/>
        <w:spacing w:after="0" w:line="286" w:lineRule="auto"/>
        <w:rPr>
          <w:sz w:val="20"/>
          <w:szCs w:val="20"/>
          <w:color w:val="auto"/>
        </w:rPr>
      </w:pPr>
      <w:r>
        <w:rPr>
          <w:rFonts w:ascii="Arial" w:cs="Arial" w:eastAsia="Arial" w:hAnsi="Arial"/>
          <w:sz w:val="16"/>
          <w:szCs w:val="16"/>
          <w:color w:val="auto"/>
        </w:rPr>
        <w:t>Shure, Incorporated, et al. v. ClearOne, Inc., 19-cv-1343 (D. of Delaware). On April 14, 2020, Shure moved for a temporary restraining order and preliminary injunction to prevent the Company from selling the BMA CT and BMA CTH, alleging that these products infringed Shure’s U.S. Patent D865723 (the “D’723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D’723 Patent (“R&amp;R”). On May 8, Shure filed objections to the R&amp;R with the district court judge, and on May 15, the Company filed a response to Shure’s objections. Shure’s objections remain pending. Shure’s motion for a preliminary injunction also remains pending. On July 28, Judge Burke held a claim construction hearing on the D’723 Patent and issued a report and recommendation on claim construction in October 2020 that permitted Shure’s D’723 Patent claim to continue for now. Since neither party objected, the district court judge adopted the report and recommendation in November 2020. On August 24, the parties informed the Court by letter of the PTAB’s final written decision in IPR2019-00683. In that letter, Shure indicated that it intended to assert “some or all of the amended new claims . . . once the [PTAB] issues a certificate confirming those claims,” which is not expected to occur for several months. Shure also informed the Court that it “does not currently plan to assert original claims 6 and 34 in the present litigation” and that it “is currently considering whether it will appeal the [PTAB’s] decision as to the claims found unpatentable.” In light of its request for rehearing, the Company requested that the stay remain in place. Shure also asserts in this litigation that ClearOne is liable for false advertising relating to the BMA and MXA product lines. The Company in July 2020 filed counterclaims accused Shure of false advertising. Both parties’ claims are still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-2035810</wp:posOffset>
            </wp:positionV>
            <wp:extent cx="42545"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07" w:lineRule="exact"/>
        <w:rPr>
          <w:sz w:val="20"/>
          <w:szCs w:val="20"/>
          <w:color w:val="auto"/>
        </w:rPr>
      </w:pPr>
    </w:p>
    <w:p>
      <w:pPr>
        <w:jc w:val="both"/>
        <w:ind w:left="540"/>
        <w:spacing w:after="0" w:line="275" w:lineRule="auto"/>
        <w:rPr>
          <w:sz w:val="20"/>
          <w:szCs w:val="20"/>
          <w:color w:val="auto"/>
        </w:rPr>
      </w:pPr>
      <w:r>
        <w:rPr>
          <w:rFonts w:ascii="Arial" w:cs="Arial" w:eastAsia="Arial" w:hAnsi="Arial"/>
          <w:sz w:val="17"/>
          <w:szCs w:val="17"/>
          <w:color w:val="auto"/>
        </w:rPr>
        <w:t>ClearOne, Inc. v. Shure, Incorporated, et al., 19-cv-7285 (N.D. of Illinois) – In this matter, the Company sought a declaratory judgment of non-infringement of Shure’s D’723 Patent. The parties disputed where Shure’s D’723 Patent should be litigated. The Company argued that it should be litigated in this case in the Northern District of Illinois. Shure argued that it should be litigated in Case No. 19-cv-1343 in Delaware (discussed in the preceding section). The Delaware court decided that the dispute over the D’723 Patent should be decided in the District of Delaware. Therefore, the Company voluntarily dismissed its action in the Northern District of Illinois without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-658495</wp:posOffset>
            </wp:positionV>
            <wp:extent cx="42545"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29" w:lineRule="exact"/>
        <w:rPr>
          <w:sz w:val="20"/>
          <w:szCs w:val="20"/>
          <w:color w:val="auto"/>
        </w:rPr>
      </w:pPr>
    </w:p>
    <w:p>
      <w:pPr>
        <w:jc w:val="both"/>
        <w:ind w:left="540"/>
        <w:spacing w:after="0" w:line="279" w:lineRule="auto"/>
        <w:rPr>
          <w:sz w:val="20"/>
          <w:szCs w:val="20"/>
          <w:color w:val="auto"/>
        </w:rPr>
      </w:pPr>
      <w:r>
        <w:rPr>
          <w:rFonts w:ascii="Arial" w:cs="Arial" w:eastAsia="Arial" w:hAnsi="Arial"/>
          <w:sz w:val="17"/>
          <w:szCs w:val="17"/>
          <w:color w:val="auto"/>
        </w:rPr>
        <w:t>Shure, Incorporated v. ClearOne. Inc., PGR2020-00079 (PTAB). In this matter, Shure challenges the patentability of the Company’s U.S. Patent No. 10,728,653 in a post grant review proceeding before the PTAB. The petition was filed on July 28, 2020, and the Company may file a response within three months. The PTAB will decide whether to grant the petition to institute the proceeding within five months of the petition, and if the PTAB institutes the proceeding, a final determination must be made no more than one year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-524510</wp:posOffset>
            </wp:positionV>
            <wp:extent cx="42545"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risk factors set forth below supplement and should be read in conjunction the risk factors included in our Annual Report on Form 10-K for the fiscal year ended December 31, 2019.</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additional financing to fund future operations, which may not be available to us on acceptable terms or at all.</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September 30, 2020, we had approximately $5.6 million of cash and cash equivalents. Although we anticipate having sufficient cash on hand, cash from future operations and cash from the sale of marketable securities to fund our operations for the next twelve months, there can be no assurance that efforts to enforce our patents will be successful or that our marketing and sales efforts will progress as anticipated or that our cash generated from operations will be as expected,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firstLine="8"/>
        <w:spacing w:after="0" w:line="246"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required by this Item was included in the Company’s Current Report on Form 8-K as filed with the SEC on September 14, 2020 and is incorporated herein by reference.</w:t>
      </w:r>
    </w:p>
    <w:p>
      <w:pPr>
        <w:spacing w:after="0" w:line="14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tcBorders>
              <w:bottom w:val="single" w:sz="8" w:color="0000EE"/>
            </w:tcBorders>
            <w:gridSpan w:val="2"/>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Securities Purchase Agreement dated as of September 13, 2020 between ClearOne, Inc. and the purchasers a party thereto (filed as Exhibit</w:t>
              </w:r>
            </w:hyperlink>
          </w:p>
        </w:tc>
        <w:tc>
          <w:tcPr>
            <w:tcW w:w="180" w:type="dxa"/>
            <w:vAlign w:val="bottom"/>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10160" w:type="dxa"/>
            <w:vAlign w:val="bottom"/>
            <w:gridSpan w:val="3"/>
          </w:tcPr>
          <w:p>
            <w:pPr>
              <w:spacing w:after="0"/>
              <w:rPr>
                <w:rFonts w:ascii="Arial" w:cs="Arial" w:eastAsia="Arial" w:hAnsi="Arial"/>
                <w:sz w:val="18"/>
                <w:szCs w:val="18"/>
                <w:u w:val="single" w:color="auto"/>
                <w:color w:val="0000EE"/>
                <w:w w:val="93"/>
              </w:rPr>
            </w:pPr>
            <w:hyperlink r:id="rId50">
              <w:r>
                <w:rPr>
                  <w:rFonts w:ascii="Arial" w:cs="Arial" w:eastAsia="Arial" w:hAnsi="Arial"/>
                  <w:sz w:val="18"/>
                  <w:szCs w:val="18"/>
                  <w:u w:val="single" w:color="auto"/>
                  <w:color w:val="0000EE"/>
                  <w:w w:val="93"/>
                </w:rPr>
                <w:t>10.1 to the Company’s Current Report on Form 8-K as filed with the SEC on September 14, 2020 and incorporated herein by reference).</w:t>
              </w:r>
            </w:hyperlink>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rFonts w:ascii="Arial" w:cs="Arial" w:eastAsia="Arial" w:hAnsi="Arial"/>
                <w:sz w:val="18"/>
                <w:szCs w:val="18"/>
                <w:u w:val="single" w:color="auto"/>
                <w:color w:val="0000FF"/>
                <w:w w:val="90"/>
              </w:rPr>
            </w:pPr>
            <w:hyperlink w:anchor="page29">
              <w:r>
                <w:rPr>
                  <w:rFonts w:ascii="Arial" w:cs="Arial" w:eastAsia="Arial" w:hAnsi="Arial"/>
                  <w:sz w:val="18"/>
                  <w:szCs w:val="18"/>
                  <w:u w:val="single" w:color="auto"/>
                  <w:color w:val="0000FF"/>
                  <w:w w:val="90"/>
                </w:rPr>
                <w:t>Section 302</w:t>
              </w:r>
            </w:hyperlink>
          </w:p>
        </w:tc>
        <w:tc>
          <w:tcPr>
            <w:tcW w:w="9280" w:type="dxa"/>
            <w:vAlign w:val="bottom"/>
            <w:gridSpan w:val="2"/>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Certification of Chief Executive Officer (filed herewith)</w:t>
              </w:r>
            </w:hyperlink>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rFonts w:ascii="Arial" w:cs="Arial" w:eastAsia="Arial" w:hAnsi="Arial"/>
                <w:sz w:val="18"/>
                <w:szCs w:val="18"/>
                <w:u w:val="single" w:color="auto"/>
                <w:color w:val="0000FF"/>
                <w:w w:val="90"/>
              </w:rPr>
            </w:pPr>
            <w:hyperlink w:anchor="page30">
              <w:r>
                <w:rPr>
                  <w:rFonts w:ascii="Arial" w:cs="Arial" w:eastAsia="Arial" w:hAnsi="Arial"/>
                  <w:sz w:val="18"/>
                  <w:szCs w:val="18"/>
                  <w:u w:val="single" w:color="auto"/>
                  <w:color w:val="0000FF"/>
                  <w:w w:val="90"/>
                </w:rPr>
                <w:t>Section 302</w:t>
              </w:r>
            </w:hyperlink>
          </w:p>
        </w:tc>
        <w:tc>
          <w:tcPr>
            <w:tcW w:w="9280" w:type="dxa"/>
            <w:vAlign w:val="bottom"/>
            <w:gridSpan w:val="2"/>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Principal Financial Officer (filed herewith)</w:t>
              </w:r>
            </w:hyperlink>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rFonts w:ascii="Arial" w:cs="Arial" w:eastAsia="Arial" w:hAnsi="Arial"/>
                <w:sz w:val="18"/>
                <w:szCs w:val="18"/>
                <w:u w:val="single" w:color="auto"/>
                <w:color w:val="0000FF"/>
                <w:w w:val="90"/>
              </w:rPr>
            </w:pPr>
            <w:hyperlink w:anchor="page31">
              <w:r>
                <w:rPr>
                  <w:rFonts w:ascii="Arial" w:cs="Arial" w:eastAsia="Arial" w:hAnsi="Arial"/>
                  <w:sz w:val="18"/>
                  <w:szCs w:val="18"/>
                  <w:u w:val="single" w:color="auto"/>
                  <w:color w:val="0000FF"/>
                  <w:w w:val="90"/>
                </w:rPr>
                <w:t>Section 906</w:t>
              </w:r>
            </w:hyperlink>
          </w:p>
        </w:tc>
        <w:tc>
          <w:tcPr>
            <w:tcW w:w="9280" w:type="dxa"/>
            <w:vAlign w:val="bottom"/>
            <w:gridSpan w:val="2"/>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Chief Executive Officer (filed herewith)</w:t>
              </w:r>
            </w:hyperlink>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rFonts w:ascii="Arial" w:cs="Arial" w:eastAsia="Arial" w:hAnsi="Arial"/>
                <w:sz w:val="18"/>
                <w:szCs w:val="18"/>
                <w:u w:val="single" w:color="auto"/>
                <w:color w:val="0000FF"/>
                <w:w w:val="90"/>
              </w:rPr>
            </w:pPr>
            <w:hyperlink w:anchor="page32">
              <w:r>
                <w:rPr>
                  <w:rFonts w:ascii="Arial" w:cs="Arial" w:eastAsia="Arial" w:hAnsi="Arial"/>
                  <w:sz w:val="18"/>
                  <w:szCs w:val="18"/>
                  <w:u w:val="single" w:color="auto"/>
                  <w:color w:val="0000FF"/>
                  <w:w w:val="90"/>
                </w:rPr>
                <w:t>Section 906</w:t>
              </w:r>
            </w:hyperlink>
          </w:p>
        </w:tc>
        <w:tc>
          <w:tcPr>
            <w:tcW w:w="9280" w:type="dxa"/>
            <w:vAlign w:val="bottom"/>
            <w:gridSpan w:val="2"/>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Principal Financial Officer (filed herewith)</w:t>
              </w:r>
            </w:hyperlink>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18"/>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100" w:type="dxa"/>
            <w:vAlign w:val="bottom"/>
          </w:tcPr>
          <w:p>
            <w:pPr>
              <w:ind w:left="35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r>
      <w:tr>
        <w:trPr>
          <w:trHeight w:val="128"/>
        </w:trPr>
        <w:tc>
          <w:tcPr>
            <w:tcW w:w="10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November 16, 2020</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November 16, 2020</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Arial" w:cs="Arial" w:eastAsia="Arial" w:hAnsi="Arial"/>
                <w:sz w:val="18"/>
                <w:szCs w:val="18"/>
                <w:color w:val="auto"/>
              </w:rPr>
              <w:t>27</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200" w:hanging="192"/>
        <w:spacing w:after="0" w:line="308" w:lineRule="auto"/>
        <w:tabs>
          <w:tab w:leader="none" w:pos="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16, 2020</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200" w:hanging="192"/>
        <w:spacing w:after="0" w:line="308"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16, 2020</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16, 2020</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November 16, 2020</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0" Type="http://schemas.openxmlformats.org/officeDocument/2006/relationships/hyperlink" Target="http://www.sec.gov/Archives/edgar/data/840715/000175392620000290/ex101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2020-11-16T15:15:59Z</dcterms:created>
  <dcterms:modified xsi:type="dcterms:W3CDTF">2020-11-16T15:15:59Z</dcterms:modified>
</cp:coreProperties>
</file>