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t>August 28, 2020</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46" w:lineRule="exact"/>
        <w:rPr>
          <w:sz w:val="24"/>
          <w:szCs w:val="24"/>
          <w:color w:val="auto"/>
        </w:rPr>
      </w:pPr>
    </w:p>
    <w:tbl>
      <w:tblPr>
        <w:tblLayout w:type="fixed"/>
        <w:tblInd w:w="420" w:type="dxa"/>
        <w:tblCellMar>
          <w:top w:w="0" w:type="dxa"/>
          <w:left w:w="0" w:type="dxa"/>
          <w:bottom w:w="0" w:type="dxa"/>
          <w:right w:w="0" w:type="dxa"/>
        </w:tblCellMar>
      </w:tblPr>
      <w:tr>
        <w:trPr>
          <w:trHeight w:val="286"/>
        </w:trPr>
        <w:tc>
          <w:tcPr>
            <w:tcW w:w="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ClearOne, Inc. (the “Company”)</w:t>
            </w:r>
          </w:p>
        </w:tc>
      </w:tr>
      <w:tr>
        <w:trPr>
          <w:trHeight w:val="297"/>
        </w:trPr>
        <w:tc>
          <w:tcPr>
            <w:tcW w:w="68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7"/>
              </w:rPr>
              <w:t>Registration Statement on Form S-3</w:t>
            </w:r>
          </w:p>
        </w:tc>
      </w:tr>
      <w:tr>
        <w:trPr>
          <w:trHeight w:val="306"/>
        </w:trPr>
        <w:tc>
          <w:tcPr>
            <w:tcW w:w="680" w:type="dxa"/>
            <w:vAlign w:val="bottom"/>
          </w:tcPr>
          <w:p>
            <w:pPr>
              <w:spacing w:after="0"/>
              <w:rPr>
                <w:sz w:val="24"/>
                <w:szCs w:val="24"/>
                <w:color w:val="auto"/>
              </w:rPr>
            </w:pPr>
          </w:p>
        </w:tc>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(File No. 333-248412</w:t>
            </w:r>
          </w:p>
        </w:tc>
        <w:tc>
          <w:tcPr>
            <w:tcW w:w="1040" w:type="dxa"/>
            <w:vAlign w:val="bottom"/>
          </w:tcPr>
          <w:p>
            <w:pPr>
              <w:spacing w:after="0"/>
              <w:rPr>
                <w:sz w:val="24"/>
                <w:szCs w:val="24"/>
                <w:color w:val="auto"/>
              </w:rPr>
            </w:pPr>
          </w:p>
        </w:tc>
      </w:tr>
    </w:tbl>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jc w:val="both"/>
        <w:ind w:firstLine="810"/>
        <w:spacing w:after="0" w:line="239" w:lineRule="auto"/>
        <w:rPr>
          <w:sz w:val="20"/>
          <w:szCs w:val="20"/>
          <w:color w:val="auto"/>
        </w:rPr>
      </w:pPr>
      <w:r>
        <w:rPr>
          <w:rFonts w:ascii="Times New Roman" w:cs="Times New Roman" w:eastAsia="Times New Roman" w:hAnsi="Times New Roman"/>
          <w:sz w:val="22"/>
          <w:szCs w:val="22"/>
          <w:color w:val="auto"/>
        </w:rPr>
        <w:t xml:space="preserve">Pursuant to Rule 461 of the General Rules and Regulations under the Securities Act of 1933, as amended, the Company hereby requests that the effective date of the above-captioned Registration Statement be accelerated so that the Registration Statement may become effective at </w:t>
      </w:r>
      <w:r>
        <w:rPr>
          <w:rFonts w:ascii="Times New Roman" w:cs="Times New Roman" w:eastAsia="Times New Roman" w:hAnsi="Times New Roman"/>
          <w:sz w:val="22"/>
          <w:szCs w:val="22"/>
          <w:b w:val="1"/>
          <w:bCs w:val="1"/>
          <w:color w:val="auto"/>
        </w:rPr>
        <w:t>4:00 p.m.</w:t>
      </w:r>
      <w:r>
        <w:rPr>
          <w:rFonts w:ascii="Times New Roman" w:cs="Times New Roman" w:eastAsia="Times New Roman" w:hAnsi="Times New Roman"/>
          <w:sz w:val="22"/>
          <w:szCs w:val="22"/>
          <w:color w:val="auto"/>
        </w:rPr>
        <w:t xml:space="preserve"> Eastern Daylight Time, on </w:t>
      </w:r>
      <w:r>
        <w:rPr>
          <w:rFonts w:ascii="Times New Roman" w:cs="Times New Roman" w:eastAsia="Times New Roman" w:hAnsi="Times New Roman"/>
          <w:sz w:val="22"/>
          <w:szCs w:val="22"/>
          <w:b w:val="1"/>
          <w:bCs w:val="1"/>
          <w:color w:val="auto"/>
        </w:rPr>
        <w:t>Tuesday, September 1, 2020</w:t>
      </w:r>
      <w:r>
        <w:rPr>
          <w:rFonts w:ascii="Times New Roman" w:cs="Times New Roman" w:eastAsia="Times New Roman" w:hAnsi="Times New Roman"/>
          <w:sz w:val="22"/>
          <w:szCs w:val="22"/>
          <w:color w:val="auto"/>
        </w:rPr>
        <w:t xml:space="preserve"> or as soon thereafter as practicable.</w:t>
      </w:r>
    </w:p>
    <w:p>
      <w:pPr>
        <w:spacing w:after="0" w:line="7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connection herewith, the Company hereby acknowledges that:</w:t>
      </w:r>
    </w:p>
    <w:p>
      <w:pPr>
        <w:spacing w:after="0" w:line="139" w:lineRule="exact"/>
        <w:rPr>
          <w:sz w:val="24"/>
          <w:szCs w:val="24"/>
          <w:color w:val="auto"/>
        </w:rPr>
      </w:pPr>
    </w:p>
    <w:p>
      <w:pPr>
        <w:ind w:left="1040" w:right="220" w:hanging="418"/>
        <w:spacing w:after="0" w:line="244" w:lineRule="auto"/>
        <w:tabs>
          <w:tab w:leader="none" w:pos="10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Securities and Exchange Commission (the “Commission”), or the Commissions staff, acting pursuant to delegated authority, declare the filing effective, it does not foreclose the Commission from taking any action with respect to the filing;</w:t>
      </w:r>
    </w:p>
    <w:p>
      <w:pPr>
        <w:spacing w:after="0" w:line="11" w:lineRule="exact"/>
        <w:rPr>
          <w:rFonts w:ascii="Times New Roman" w:cs="Times New Roman" w:eastAsia="Times New Roman" w:hAnsi="Times New Roman"/>
          <w:sz w:val="22"/>
          <w:szCs w:val="22"/>
          <w:color w:val="auto"/>
        </w:rPr>
      </w:pPr>
    </w:p>
    <w:p>
      <w:pPr>
        <w:ind w:left="1040" w:right="420" w:hanging="418"/>
        <w:spacing w:after="0" w:line="244" w:lineRule="auto"/>
        <w:tabs>
          <w:tab w:leader="none" w:pos="10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1" w:lineRule="exact"/>
        <w:rPr>
          <w:rFonts w:ascii="Times New Roman" w:cs="Times New Roman" w:eastAsia="Times New Roman" w:hAnsi="Times New Roman"/>
          <w:sz w:val="22"/>
          <w:szCs w:val="22"/>
          <w:color w:val="auto"/>
        </w:rPr>
      </w:pPr>
    </w:p>
    <w:p>
      <w:pPr>
        <w:jc w:val="both"/>
        <w:ind w:left="1040" w:right="280" w:hanging="418"/>
        <w:spacing w:after="0" w:line="244" w:lineRule="auto"/>
        <w:tabs>
          <w:tab w:leader="none" w:pos="10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not assert comments from the Commission or the staff or the declaration of effectiveness of the above-captioned Registration Statement as a defense in any proceeding initiated by the Commission or any person under the federal securities laws of the United States.</w:t>
      </w:r>
    </w:p>
    <w:p>
      <w:pPr>
        <w:spacing w:after="0" w:line="200" w:lineRule="exact"/>
        <w:rPr>
          <w:sz w:val="24"/>
          <w:szCs w:val="24"/>
          <w:color w:val="auto"/>
        </w:rPr>
      </w:pPr>
    </w:p>
    <w:p>
      <w:pPr>
        <w:spacing w:after="0" w:line="32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Sincerely,</w:t>
      </w:r>
    </w:p>
    <w:p>
      <w:pPr>
        <w:spacing w:after="0" w:line="3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CLEARONE, INC.</w:t>
      </w:r>
    </w:p>
    <w:p>
      <w:pPr>
        <w:spacing w:after="0" w:line="345" w:lineRule="exact"/>
        <w:rPr>
          <w:sz w:val="24"/>
          <w:szCs w:val="24"/>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Zeynep Hakimoglu</w:t>
      </w:r>
    </w:p>
    <w:p>
      <w:pPr>
        <w:spacing w:after="0" w:line="44"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22"/>
          <w:szCs w:val="22"/>
          <w:color w:val="auto"/>
        </w:rPr>
        <w:t>Name: Zeynep Hakimoglu</w:t>
      </w:r>
    </w:p>
    <w:p>
      <w:pPr>
        <w:spacing w:after="0" w:line="44"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22"/>
          <w:szCs w:val="22"/>
          <w:color w:val="auto"/>
        </w:rPr>
        <w:t>Title: Chief Executive Officer</w:t>
      </w: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2020-09-30T23:07:25Z</dcterms:created>
  <dcterms:modified xsi:type="dcterms:W3CDTF">2020-09-30T23:07:25Z</dcterms:modified>
</cp:coreProperties>
</file>