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jc w:val="center"/>
        <w:ind w:right="2099"/>
        <w:spacing w:after="0"/>
        <w:rPr>
          <w:sz w:val="20"/>
          <w:szCs w:val="20"/>
          <w:color w:val="auto"/>
        </w:rPr>
      </w:pPr>
      <w:r>
        <w:rPr>
          <w:rFonts w:ascii="Courier New" w:cs="Courier New" w:eastAsia="Courier New" w:hAnsi="Courier New"/>
          <w:sz w:val="17"/>
          <w:szCs w:val="17"/>
          <w:color w:val="auto"/>
        </w:rPr>
        <w:t>UNITED STATES</w:t>
      </w: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78"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FORM 10-QSB</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198" w:lineRule="exact"/>
        <w:rPr>
          <w:sz w:val="24"/>
          <w:szCs w:val="24"/>
          <w:color w:val="auto"/>
        </w:rPr>
      </w:pPr>
    </w:p>
    <w:p>
      <w:pPr>
        <w:ind w:left="500" w:right="2199" w:hanging="497"/>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 the quarterly period ended March 31, 1998</w:t>
      </w:r>
    </w:p>
    <w:p>
      <w:pPr>
        <w:spacing w:after="0" w:line="19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500" w:right="2999" w:hanging="497"/>
        <w:spacing w:after="0" w:line="236" w:lineRule="auto"/>
        <w:tabs>
          <w:tab w:leader="none" w:pos="1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4"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For the transition period from _______________ to _______________</w:t>
      </w:r>
    </w:p>
    <w:p>
      <w:pPr>
        <w:spacing w:after="0" w:line="193"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Commission file number: 0-17219</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GENTNER COMMUNICATIONS CORPORATION</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jc w:val="center"/>
              <w:ind w:right="636"/>
              <w:spacing w:after="0"/>
              <w:rPr>
                <w:sz w:val="20"/>
                <w:szCs w:val="20"/>
                <w:color w:val="auto"/>
              </w:rPr>
            </w:pPr>
            <w:r>
              <w:rPr>
                <w:rFonts w:ascii="Courier New" w:cs="Courier New" w:eastAsia="Courier New" w:hAnsi="Courier New"/>
                <w:sz w:val="17"/>
                <w:szCs w:val="17"/>
                <w:color w:val="auto"/>
                <w:w w:val="97"/>
              </w:rPr>
              <w:t>UTAH</w:t>
            </w:r>
          </w:p>
        </w:tc>
        <w:tc>
          <w:tcPr>
            <w:tcW w:w="2600" w:type="dxa"/>
            <w:vAlign w:val="bottom"/>
          </w:tcPr>
          <w:p>
            <w:pPr>
              <w:ind w:left="1100"/>
              <w:spacing w:after="0"/>
              <w:rPr>
                <w:sz w:val="20"/>
                <w:szCs w:val="20"/>
                <w:color w:val="auto"/>
              </w:rPr>
            </w:pPr>
            <w:r>
              <w:rPr>
                <w:rFonts w:ascii="Courier New" w:cs="Courier New" w:eastAsia="Courier New" w:hAnsi="Courier New"/>
                <w:sz w:val="17"/>
                <w:szCs w:val="17"/>
                <w:color w:val="auto"/>
              </w:rPr>
              <w:t>87-0398877</w:t>
            </w:r>
          </w:p>
        </w:tc>
      </w:tr>
      <w:tr>
        <w:trPr>
          <w:trHeight w:val="193"/>
        </w:trPr>
        <w:tc>
          <w:tcPr>
            <w:tcW w:w="472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8"/>
              </w:rPr>
              <w:t>(State or other jurisdiction of</w:t>
            </w:r>
          </w:p>
        </w:tc>
        <w:tc>
          <w:tcPr>
            <w:tcW w:w="26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8"/>
              </w:rPr>
              <w:t>(IRS Employer</w:t>
            </w:r>
          </w:p>
        </w:tc>
      </w:tr>
      <w:tr>
        <w:trPr>
          <w:trHeight w:val="193"/>
        </w:trPr>
        <w:tc>
          <w:tcPr>
            <w:tcW w:w="4720" w:type="dxa"/>
            <w:vAlign w:val="bottom"/>
          </w:tcPr>
          <w:p>
            <w:pPr>
              <w:jc w:val="center"/>
              <w:ind w:right="616"/>
              <w:spacing w:after="0"/>
              <w:rPr>
                <w:sz w:val="20"/>
                <w:szCs w:val="20"/>
                <w:color w:val="auto"/>
              </w:rPr>
            </w:pPr>
            <w:r>
              <w:rPr>
                <w:rFonts w:ascii="Courier New" w:cs="Courier New" w:eastAsia="Courier New" w:hAnsi="Courier New"/>
                <w:sz w:val="17"/>
                <w:szCs w:val="17"/>
                <w:color w:val="auto"/>
                <w:w w:val="98"/>
              </w:rPr>
              <w:t>incorporation or organization)</w:t>
            </w:r>
          </w:p>
        </w:tc>
        <w:tc>
          <w:tcPr>
            <w:tcW w:w="26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8"/>
              </w:rPr>
              <w:t>Identification No.)</w:t>
            </w:r>
          </w:p>
        </w:tc>
      </w:tr>
      <w:tr>
        <w:trPr>
          <w:trHeight w:val="385"/>
        </w:trPr>
        <w:tc>
          <w:tcPr>
            <w:tcW w:w="472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8"/>
              </w:rPr>
              <w:t>1825 RESEARCH WAY, SALT LAKE CITY, UTAH</w:t>
            </w:r>
          </w:p>
        </w:tc>
        <w:tc>
          <w:tcPr>
            <w:tcW w:w="26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7"/>
              </w:rPr>
              <w:t>84119</w:t>
            </w:r>
          </w:p>
        </w:tc>
      </w:tr>
      <w:tr>
        <w:trPr>
          <w:trHeight w:val="193"/>
        </w:trPr>
        <w:tc>
          <w:tcPr>
            <w:tcW w:w="4720" w:type="dxa"/>
            <w:vAlign w:val="bottom"/>
          </w:tcPr>
          <w:p>
            <w:pPr>
              <w:jc w:val="center"/>
              <w:ind w:right="616"/>
              <w:spacing w:after="0"/>
              <w:rPr>
                <w:sz w:val="20"/>
                <w:szCs w:val="20"/>
                <w:color w:val="auto"/>
              </w:rPr>
            </w:pPr>
            <w:r>
              <w:rPr>
                <w:rFonts w:ascii="Courier New" w:cs="Courier New" w:eastAsia="Courier New" w:hAnsi="Courier New"/>
                <w:sz w:val="17"/>
                <w:szCs w:val="17"/>
                <w:color w:val="auto"/>
                <w:w w:val="98"/>
              </w:rPr>
              <w:t>(Address of principal executive offices)</w:t>
            </w:r>
          </w:p>
        </w:tc>
        <w:tc>
          <w:tcPr>
            <w:tcW w:w="2600" w:type="dxa"/>
            <w:vAlign w:val="bottom"/>
          </w:tcPr>
          <w:p>
            <w:pPr>
              <w:ind w:left="1100"/>
              <w:spacing w:after="0"/>
              <w:rPr>
                <w:sz w:val="20"/>
                <w:szCs w:val="20"/>
                <w:color w:val="auto"/>
              </w:rPr>
            </w:pPr>
            <w:r>
              <w:rPr>
                <w:rFonts w:ascii="Courier New" w:cs="Courier New" w:eastAsia="Courier New" w:hAnsi="Courier New"/>
                <w:sz w:val="17"/>
                <w:szCs w:val="17"/>
                <w:color w:val="auto"/>
              </w:rPr>
              <w:t>(Zip Code)</w:t>
            </w:r>
          </w:p>
        </w:tc>
      </w:tr>
    </w:tbl>
    <w:p>
      <w:pPr>
        <w:spacing w:after="0" w:line="386"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Registrant's telephone number, including area code: (801) 975-7200</w:t>
      </w:r>
    </w:p>
    <w:p>
      <w:pPr>
        <w:spacing w:after="0" w:line="391"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4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(Former name, former address and former fiscal year,</w:t>
      </w:r>
    </w:p>
    <w:p>
      <w:pPr>
        <w:ind w:left="2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if changed since last report.)</w:t>
      </w:r>
    </w:p>
    <w:p>
      <w:pPr>
        <w:spacing w:after="0" w:line="391" w:lineRule="exact"/>
        <w:rPr>
          <w:sz w:val="24"/>
          <w:szCs w:val="24"/>
          <w:color w:val="auto"/>
        </w:rPr>
      </w:pPr>
    </w:p>
    <w:p>
      <w:pPr>
        <w:ind w:right="2299" w:firstLine="100"/>
        <w:spacing w:after="0" w:line="257"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18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[X] Yes [ ] No</w:t>
      </w:r>
    </w:p>
    <w:p>
      <w:pPr>
        <w:spacing w:after="0" w:line="198"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State the number of shares outstanding of each of the issuer's classes of common stock as of the latest practicable date.</w:t>
      </w:r>
    </w:p>
    <w:p>
      <w:pPr>
        <w:sectPr>
          <w:pgSz w:w="11900" w:h="16838" w:orient="portrait"/>
          <w:cols w:equalWidth="0" w:num="1">
            <w:col w:w="10219"/>
          </w:cols>
          <w:pgMar w:left="240" w:top="239" w:right="1440" w:bottom="1440" w:gutter="0" w:footer="0" w:header="0"/>
        </w:sectPr>
      </w:pPr>
    </w:p>
    <w:p>
      <w:pPr>
        <w:spacing w:after="0" w:line="199"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CLASS OF COMMON STOCK</w:t>
      </w:r>
    </w:p>
    <w:p>
      <w:pPr>
        <w:spacing w:after="0" w:line="11" w:lineRule="exact"/>
        <w:rPr>
          <w:sz w:val="24"/>
          <w:szCs w:val="24"/>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$0.001 PAR VALUE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MAY 7, 1998</w:t>
      </w:r>
    </w:p>
    <w:p>
      <w:pPr>
        <w:ind w:left="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7,698,023 SHARES</w:t>
      </w:r>
    </w:p>
    <w:p>
      <w:pPr>
        <w:spacing w:after="0" w:line="198" w:lineRule="exact"/>
        <w:rPr>
          <w:sz w:val="24"/>
          <w:szCs w:val="24"/>
          <w:color w:val="auto"/>
        </w:rPr>
      </w:pPr>
    </w:p>
    <w:p>
      <w:pPr>
        <w:sectPr>
          <w:pgSz w:w="11900" w:h="16838" w:orient="portrait"/>
          <w:cols w:equalWidth="0" w:num="2">
            <w:col w:w="5200" w:space="720"/>
            <w:col w:w="4299"/>
          </w:cols>
          <w:pgMar w:left="240" w:top="23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Transitional Small Business Disclosure Format</w:t>
      </w:r>
    </w:p>
    <w:p>
      <w:pPr>
        <w:spacing w:after="0"/>
        <w:rPr>
          <w:sz w:val="20"/>
          <w:szCs w:val="20"/>
          <w:color w:val="auto"/>
        </w:rPr>
      </w:pPr>
      <w:r>
        <w:rPr>
          <w:rFonts w:ascii="Courier New" w:cs="Courier New" w:eastAsia="Courier New" w:hAnsi="Courier New"/>
          <w:sz w:val="17"/>
          <w:szCs w:val="17"/>
          <w:color w:val="auto"/>
        </w:rPr>
        <w:t>(check one)</w:t>
      </w:r>
    </w:p>
    <w:p>
      <w:pPr>
        <w:spacing w:after="0" w:line="198"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 ] Yes [X] No</w:t>
      </w:r>
    </w:p>
    <w:p>
      <w:pPr>
        <w:sectPr>
          <w:pgSz w:w="11900" w:h="16838" w:orient="portrait"/>
          <w:cols w:equalWidth="0" w:num="1">
            <w:col w:w="10219"/>
          </w:cols>
          <w:pgMar w:left="2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7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8020"/>
        <w:spacing w:after="0"/>
        <w:rPr>
          <w:sz w:val="20"/>
          <w:szCs w:val="20"/>
          <w:color w:val="auto"/>
        </w:rPr>
      </w:pPr>
      <w:r>
        <w:rPr>
          <w:rFonts w:ascii="Courier New" w:cs="Courier New" w:eastAsia="Courier New" w:hAnsi="Courier New"/>
          <w:sz w:val="17"/>
          <w:szCs w:val="17"/>
          <w:color w:val="auto"/>
        </w:rPr>
        <w:t>PAGE</w:t>
      </w:r>
    </w:p>
    <w:p>
      <w:pPr>
        <w:spacing w:after="0" w:line="6" w:lineRule="exact"/>
        <w:rPr>
          <w:sz w:val="20"/>
          <w:szCs w:val="20"/>
          <w:color w:val="auto"/>
        </w:rPr>
      </w:pPr>
    </w:p>
    <w:p>
      <w:pPr>
        <w:jc w:val="center"/>
        <w:ind w:left="8020"/>
        <w:spacing w:after="0"/>
        <w:rPr>
          <w:sz w:val="20"/>
          <w:szCs w:val="20"/>
          <w:color w:val="auto"/>
        </w:rPr>
      </w:pPr>
      <w:r>
        <w:rPr>
          <w:rFonts w:ascii="Courier New" w:cs="Courier New" w:eastAsia="Courier New" w:hAnsi="Courier New"/>
          <w:sz w:val="16"/>
          <w:szCs w:val="16"/>
          <w:color w:val="auto"/>
        </w:rPr>
        <w:t>NUMBER</w:t>
      </w:r>
    </w:p>
    <w:p>
      <w:pPr>
        <w:spacing w:after="0" w:line="11" w:lineRule="exact"/>
        <w:rPr>
          <w:sz w:val="20"/>
          <w:szCs w:val="20"/>
          <w:color w:val="auto"/>
        </w:rPr>
      </w:pPr>
    </w:p>
    <w:p>
      <w:pPr>
        <w:ind w:left="942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ind w:left="400"/>
              <w:spacing w:after="0"/>
              <w:rPr>
                <w:sz w:val="20"/>
                <w:szCs w:val="20"/>
                <w:color w:val="auto"/>
              </w:rPr>
            </w:pPr>
            <w:r>
              <w:rPr>
                <w:rFonts w:ascii="Courier New" w:cs="Courier New" w:eastAsia="Courier New" w:hAnsi="Courier New"/>
                <w:sz w:val="17"/>
                <w:szCs w:val="17"/>
                <w:color w:val="auto"/>
              </w:rPr>
              <w:t>Item 1. Financial</w:t>
            </w:r>
          </w:p>
        </w:tc>
        <w:tc>
          <w:tcPr>
            <w:tcW w:w="4060" w:type="dxa"/>
            <w:vAlign w:val="bottom"/>
          </w:tcPr>
          <w:p>
            <w:pPr>
              <w:jc w:val="right"/>
              <w:ind w:right="2952"/>
              <w:spacing w:after="0"/>
              <w:rPr>
                <w:sz w:val="20"/>
                <w:szCs w:val="20"/>
                <w:color w:val="auto"/>
              </w:rPr>
            </w:pPr>
            <w:r>
              <w:rPr>
                <w:rFonts w:ascii="Courier New" w:cs="Courier New" w:eastAsia="Courier New" w:hAnsi="Courier New"/>
                <w:sz w:val="17"/>
                <w:szCs w:val="17"/>
                <w:color w:val="auto"/>
                <w:w w:val="99"/>
              </w:rPr>
              <w:t>Statements</w:t>
            </w:r>
          </w:p>
        </w:tc>
        <w:tc>
          <w:tcPr>
            <w:tcW w:w="3500" w:type="dxa"/>
            <w:vAlign w:val="bottom"/>
          </w:tcPr>
          <w:p>
            <w:pPr>
              <w:spacing w:after="0"/>
              <w:rPr>
                <w:sz w:val="16"/>
                <w:szCs w:val="16"/>
                <w:color w:val="auto"/>
              </w:rPr>
            </w:pPr>
          </w:p>
        </w:tc>
      </w:tr>
      <w:tr>
        <w:trPr>
          <w:trHeight w:val="385"/>
        </w:trPr>
        <w:tc>
          <w:tcPr>
            <w:tcW w:w="622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Balance Sheets</w:t>
            </w:r>
          </w:p>
        </w:tc>
        <w:tc>
          <w:tcPr>
            <w:tcW w:w="3500" w:type="dxa"/>
            <w:vAlign w:val="bottom"/>
          </w:tcPr>
          <w:p>
            <w:pPr>
              <w:spacing w:after="0"/>
              <w:rPr>
                <w:sz w:val="24"/>
                <w:szCs w:val="24"/>
                <w:color w:val="auto"/>
              </w:rPr>
            </w:pPr>
          </w:p>
        </w:tc>
      </w:tr>
      <w:tr>
        <w:trPr>
          <w:trHeight w:val="385"/>
        </w:trPr>
        <w:tc>
          <w:tcPr>
            <w:tcW w:w="6220" w:type="dxa"/>
            <w:vAlign w:val="bottom"/>
            <w:gridSpan w:val="2"/>
          </w:tcPr>
          <w:p>
            <w:pPr>
              <w:ind w:left="1700"/>
              <w:spacing w:after="0"/>
              <w:rPr>
                <w:sz w:val="20"/>
                <w:szCs w:val="20"/>
                <w:color w:val="auto"/>
              </w:rPr>
            </w:pPr>
            <w:r>
              <w:rPr>
                <w:rFonts w:ascii="Courier New" w:cs="Courier New" w:eastAsia="Courier New" w:hAnsi="Courier New"/>
                <w:sz w:val="17"/>
                <w:szCs w:val="17"/>
                <w:color w:val="auto"/>
              </w:rPr>
              <w:t>March 31, 1998 (unaudited) and June 30, 1997</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w w:val="97"/>
              </w:rPr>
              <w:t>..................................3</w:t>
            </w:r>
          </w:p>
        </w:tc>
      </w:tr>
      <w:tr>
        <w:trPr>
          <w:trHeight w:val="385"/>
        </w:trPr>
        <w:tc>
          <w:tcPr>
            <w:tcW w:w="622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Statements of Operations</w:t>
            </w:r>
          </w:p>
        </w:tc>
        <w:tc>
          <w:tcPr>
            <w:tcW w:w="3500" w:type="dxa"/>
            <w:vAlign w:val="bottom"/>
          </w:tcPr>
          <w:p>
            <w:pPr>
              <w:spacing w:after="0"/>
              <w:rPr>
                <w:sz w:val="24"/>
                <w:szCs w:val="24"/>
                <w:color w:val="auto"/>
              </w:rPr>
            </w:pPr>
          </w:p>
        </w:tc>
      </w:tr>
      <w:tr>
        <w:trPr>
          <w:trHeight w:val="193"/>
        </w:trPr>
        <w:tc>
          <w:tcPr>
            <w:tcW w:w="6220" w:type="dxa"/>
            <w:vAlign w:val="bottom"/>
            <w:gridSpan w:val="2"/>
          </w:tcPr>
          <w:p>
            <w:pPr>
              <w:ind w:left="1700"/>
              <w:spacing w:after="0"/>
              <w:rPr>
                <w:sz w:val="20"/>
                <w:szCs w:val="20"/>
                <w:color w:val="auto"/>
              </w:rPr>
            </w:pPr>
            <w:r>
              <w:rPr>
                <w:rFonts w:ascii="Courier New" w:cs="Courier New" w:eastAsia="Courier New" w:hAnsi="Courier New"/>
                <w:sz w:val="17"/>
                <w:szCs w:val="17"/>
                <w:color w:val="auto"/>
              </w:rPr>
              <w:t>Three Months Ended March 31, 1998 and</w:t>
            </w:r>
          </w:p>
        </w:tc>
        <w:tc>
          <w:tcPr>
            <w:tcW w:w="3500" w:type="dxa"/>
            <w:vAlign w:val="bottom"/>
          </w:tcPr>
          <w:p>
            <w:pPr>
              <w:spacing w:after="0"/>
              <w:rPr>
                <w:sz w:val="16"/>
                <w:szCs w:val="16"/>
                <w:color w:val="auto"/>
              </w:rPr>
            </w:pPr>
          </w:p>
        </w:tc>
      </w:tr>
      <w:tr>
        <w:trPr>
          <w:trHeight w:val="193"/>
        </w:trPr>
        <w:tc>
          <w:tcPr>
            <w:tcW w:w="2160" w:type="dxa"/>
            <w:vAlign w:val="bottom"/>
          </w:tcPr>
          <w:p>
            <w:pPr>
              <w:ind w:left="1700"/>
              <w:spacing w:after="0"/>
              <w:rPr>
                <w:sz w:val="20"/>
                <w:szCs w:val="20"/>
                <w:color w:val="auto"/>
              </w:rPr>
            </w:pPr>
            <w:r>
              <w:rPr>
                <w:rFonts w:ascii="Courier New" w:cs="Courier New" w:eastAsia="Courier New" w:hAnsi="Courier New"/>
                <w:sz w:val="17"/>
                <w:szCs w:val="17"/>
                <w:color w:val="auto"/>
              </w:rPr>
              <w:t>1997</w:t>
            </w:r>
          </w:p>
        </w:tc>
        <w:tc>
          <w:tcPr>
            <w:tcW w:w="4060" w:type="dxa"/>
            <w:vAlign w:val="bottom"/>
          </w:tcPr>
          <w:p>
            <w:pPr>
              <w:jc w:val="right"/>
              <w:spacing w:after="0"/>
              <w:rPr>
                <w:sz w:val="20"/>
                <w:szCs w:val="20"/>
                <w:color w:val="auto"/>
              </w:rPr>
            </w:pPr>
            <w:r>
              <w:rPr>
                <w:rFonts w:ascii="Courier New" w:cs="Courier New" w:eastAsia="Courier New" w:hAnsi="Courier New"/>
                <w:sz w:val="11"/>
                <w:szCs w:val="11"/>
                <w:color w:val="auto"/>
                <w:w w:val="82"/>
              </w:rPr>
              <w:t>(unaudited)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385"/>
        </w:trPr>
        <w:tc>
          <w:tcPr>
            <w:tcW w:w="622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Statements of Operations</w:t>
            </w:r>
          </w:p>
        </w:tc>
        <w:tc>
          <w:tcPr>
            <w:tcW w:w="3500" w:type="dxa"/>
            <w:vAlign w:val="bottom"/>
          </w:tcPr>
          <w:p>
            <w:pPr>
              <w:spacing w:after="0"/>
              <w:rPr>
                <w:sz w:val="24"/>
                <w:szCs w:val="24"/>
                <w:color w:val="auto"/>
              </w:rPr>
            </w:pPr>
          </w:p>
        </w:tc>
      </w:tr>
      <w:tr>
        <w:trPr>
          <w:trHeight w:val="193"/>
        </w:trPr>
        <w:tc>
          <w:tcPr>
            <w:tcW w:w="6220" w:type="dxa"/>
            <w:vAlign w:val="bottom"/>
            <w:gridSpan w:val="2"/>
          </w:tcPr>
          <w:p>
            <w:pPr>
              <w:ind w:left="1700"/>
              <w:spacing w:after="0"/>
              <w:rPr>
                <w:sz w:val="20"/>
                <w:szCs w:val="20"/>
                <w:color w:val="auto"/>
              </w:rPr>
            </w:pPr>
            <w:r>
              <w:rPr>
                <w:rFonts w:ascii="Courier New" w:cs="Courier New" w:eastAsia="Courier New" w:hAnsi="Courier New"/>
                <w:sz w:val="17"/>
                <w:szCs w:val="17"/>
                <w:color w:val="auto"/>
              </w:rPr>
              <w:t>Nine Months Ended March 31, 1998 and</w:t>
            </w:r>
          </w:p>
        </w:tc>
        <w:tc>
          <w:tcPr>
            <w:tcW w:w="3500" w:type="dxa"/>
            <w:vAlign w:val="bottom"/>
          </w:tcPr>
          <w:p>
            <w:pPr>
              <w:spacing w:after="0"/>
              <w:rPr>
                <w:sz w:val="16"/>
                <w:szCs w:val="16"/>
                <w:color w:val="auto"/>
              </w:rPr>
            </w:pPr>
          </w:p>
        </w:tc>
      </w:tr>
      <w:tr>
        <w:trPr>
          <w:trHeight w:val="193"/>
        </w:trPr>
        <w:tc>
          <w:tcPr>
            <w:tcW w:w="2160" w:type="dxa"/>
            <w:vAlign w:val="bottom"/>
          </w:tcPr>
          <w:p>
            <w:pPr>
              <w:ind w:left="1700"/>
              <w:spacing w:after="0"/>
              <w:rPr>
                <w:sz w:val="20"/>
                <w:szCs w:val="20"/>
                <w:color w:val="auto"/>
              </w:rPr>
            </w:pPr>
            <w:r>
              <w:rPr>
                <w:rFonts w:ascii="Courier New" w:cs="Courier New" w:eastAsia="Courier New" w:hAnsi="Courier New"/>
                <w:sz w:val="17"/>
                <w:szCs w:val="17"/>
                <w:color w:val="auto"/>
              </w:rPr>
              <w:t>1997</w:t>
            </w:r>
          </w:p>
        </w:tc>
        <w:tc>
          <w:tcPr>
            <w:tcW w:w="4060" w:type="dxa"/>
            <w:vAlign w:val="bottom"/>
          </w:tcPr>
          <w:p>
            <w:pPr>
              <w:jc w:val="right"/>
              <w:spacing w:after="0"/>
              <w:rPr>
                <w:sz w:val="20"/>
                <w:szCs w:val="20"/>
                <w:color w:val="auto"/>
              </w:rPr>
            </w:pPr>
            <w:r>
              <w:rPr>
                <w:rFonts w:ascii="Courier New" w:cs="Courier New" w:eastAsia="Courier New" w:hAnsi="Courier New"/>
                <w:sz w:val="11"/>
                <w:szCs w:val="11"/>
                <w:color w:val="auto"/>
                <w:w w:val="82"/>
              </w:rPr>
              <w:t>(unaudited)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85"/>
        </w:trPr>
        <w:tc>
          <w:tcPr>
            <w:tcW w:w="622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Condensed Statements of Cash Flows</w:t>
            </w:r>
          </w:p>
        </w:tc>
        <w:tc>
          <w:tcPr>
            <w:tcW w:w="3500" w:type="dxa"/>
            <w:vAlign w:val="bottom"/>
          </w:tcPr>
          <w:p>
            <w:pPr>
              <w:spacing w:after="0"/>
              <w:rPr>
                <w:sz w:val="24"/>
                <w:szCs w:val="24"/>
                <w:color w:val="auto"/>
              </w:rPr>
            </w:pPr>
          </w:p>
        </w:tc>
      </w:tr>
      <w:tr>
        <w:trPr>
          <w:trHeight w:val="193"/>
        </w:trPr>
        <w:tc>
          <w:tcPr>
            <w:tcW w:w="6220" w:type="dxa"/>
            <w:vAlign w:val="bottom"/>
            <w:gridSpan w:val="2"/>
          </w:tcPr>
          <w:p>
            <w:pPr>
              <w:ind w:left="1700"/>
              <w:spacing w:after="0"/>
              <w:rPr>
                <w:sz w:val="20"/>
                <w:szCs w:val="20"/>
                <w:color w:val="auto"/>
              </w:rPr>
            </w:pPr>
            <w:r>
              <w:rPr>
                <w:rFonts w:ascii="Courier New" w:cs="Courier New" w:eastAsia="Courier New" w:hAnsi="Courier New"/>
                <w:sz w:val="17"/>
                <w:szCs w:val="17"/>
                <w:color w:val="auto"/>
              </w:rPr>
              <w:t>Nine Months Ended March 31, 1998 and</w:t>
            </w:r>
          </w:p>
        </w:tc>
        <w:tc>
          <w:tcPr>
            <w:tcW w:w="3500" w:type="dxa"/>
            <w:vAlign w:val="bottom"/>
          </w:tcPr>
          <w:p>
            <w:pPr>
              <w:spacing w:after="0"/>
              <w:rPr>
                <w:sz w:val="16"/>
                <w:szCs w:val="16"/>
                <w:color w:val="auto"/>
              </w:rPr>
            </w:pPr>
          </w:p>
        </w:tc>
      </w:tr>
      <w:tr>
        <w:trPr>
          <w:trHeight w:val="193"/>
        </w:trPr>
        <w:tc>
          <w:tcPr>
            <w:tcW w:w="2160" w:type="dxa"/>
            <w:vAlign w:val="bottom"/>
          </w:tcPr>
          <w:p>
            <w:pPr>
              <w:ind w:left="1700"/>
              <w:spacing w:after="0"/>
              <w:rPr>
                <w:sz w:val="20"/>
                <w:szCs w:val="20"/>
                <w:color w:val="auto"/>
              </w:rPr>
            </w:pPr>
            <w:r>
              <w:rPr>
                <w:rFonts w:ascii="Courier New" w:cs="Courier New" w:eastAsia="Courier New" w:hAnsi="Courier New"/>
                <w:sz w:val="17"/>
                <w:szCs w:val="17"/>
                <w:color w:val="auto"/>
              </w:rPr>
              <w:t>1997</w:t>
            </w:r>
          </w:p>
        </w:tc>
        <w:tc>
          <w:tcPr>
            <w:tcW w:w="4060" w:type="dxa"/>
            <w:vAlign w:val="bottom"/>
          </w:tcPr>
          <w:p>
            <w:pPr>
              <w:jc w:val="right"/>
              <w:spacing w:after="0"/>
              <w:rPr>
                <w:sz w:val="20"/>
                <w:szCs w:val="20"/>
                <w:color w:val="auto"/>
              </w:rPr>
            </w:pPr>
            <w:r>
              <w:rPr>
                <w:rFonts w:ascii="Courier New" w:cs="Courier New" w:eastAsia="Courier New" w:hAnsi="Courier New"/>
                <w:sz w:val="11"/>
                <w:szCs w:val="11"/>
                <w:color w:val="auto"/>
                <w:w w:val="82"/>
              </w:rPr>
              <w:t>(unaudited)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85"/>
        </w:trPr>
        <w:tc>
          <w:tcPr>
            <w:tcW w:w="6220" w:type="dxa"/>
            <w:vAlign w:val="bottom"/>
            <w:gridSpan w:val="2"/>
          </w:tcPr>
          <w:p>
            <w:pPr>
              <w:ind w:left="1300"/>
              <w:spacing w:after="0"/>
              <w:rPr>
                <w:sz w:val="20"/>
                <w:szCs w:val="20"/>
                <w:color w:val="auto"/>
              </w:rPr>
            </w:pPr>
            <w:r>
              <w:rPr>
                <w:rFonts w:ascii="Courier New" w:cs="Courier New" w:eastAsia="Courier New" w:hAnsi="Courier New"/>
                <w:sz w:val="14"/>
                <w:szCs w:val="14"/>
                <w:color w:val="auto"/>
                <w:w w:val="70"/>
              </w:rPr>
              <w:t>Notes to Financial Statements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385"/>
        </w:trPr>
        <w:tc>
          <w:tcPr>
            <w:tcW w:w="6220" w:type="dxa"/>
            <w:vAlign w:val="bottom"/>
            <w:gridSpan w:val="2"/>
          </w:tcPr>
          <w:p>
            <w:pPr>
              <w:ind w:left="400"/>
              <w:spacing w:after="0"/>
              <w:rPr>
                <w:sz w:val="20"/>
                <w:szCs w:val="20"/>
                <w:color w:val="auto"/>
              </w:rPr>
            </w:pPr>
            <w:r>
              <w:rPr>
                <w:rFonts w:ascii="Courier New" w:cs="Courier New" w:eastAsia="Courier New" w:hAnsi="Courier New"/>
                <w:sz w:val="17"/>
                <w:szCs w:val="17"/>
                <w:color w:val="auto"/>
                <w:w w:val="99"/>
              </w:rPr>
              <w:t>Item 2. Management's Discussion and Analysis of Financial</w:t>
            </w:r>
          </w:p>
        </w:tc>
        <w:tc>
          <w:tcPr>
            <w:tcW w:w="3500" w:type="dxa"/>
            <w:vAlign w:val="bottom"/>
          </w:tcPr>
          <w:p>
            <w:pPr>
              <w:spacing w:after="0"/>
              <w:rPr>
                <w:sz w:val="24"/>
                <w:szCs w:val="24"/>
                <w:color w:val="auto"/>
              </w:rPr>
            </w:pPr>
          </w:p>
        </w:tc>
      </w:tr>
      <w:tr>
        <w:trPr>
          <w:trHeight w:val="193"/>
        </w:trPr>
        <w:tc>
          <w:tcPr>
            <w:tcW w:w="6220" w:type="dxa"/>
            <w:vAlign w:val="bottom"/>
            <w:gridSpan w:val="2"/>
          </w:tcPr>
          <w:p>
            <w:pPr>
              <w:ind w:left="1300"/>
              <w:spacing w:after="0"/>
              <w:rPr>
                <w:sz w:val="20"/>
                <w:szCs w:val="20"/>
                <w:color w:val="auto"/>
              </w:rPr>
            </w:pPr>
            <w:r>
              <w:rPr>
                <w:rFonts w:ascii="Courier New" w:cs="Courier New" w:eastAsia="Courier New" w:hAnsi="Courier New"/>
                <w:sz w:val="14"/>
                <w:szCs w:val="14"/>
                <w:color w:val="auto"/>
                <w:w w:val="70"/>
              </w:rPr>
              <w:t>Condition and Results of Operations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578"/>
        </w:trPr>
        <w:tc>
          <w:tcPr>
            <w:tcW w:w="6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PART II - OTHER  INFORMATION ..................................................................</w:t>
            </w:r>
          </w:p>
        </w:tc>
        <w:tc>
          <w:tcPr>
            <w:tcW w:w="35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771"/>
        </w:trPr>
        <w:tc>
          <w:tcPr>
            <w:tcW w:w="2160" w:type="dxa"/>
            <w:vAlign w:val="bottom"/>
          </w:tcPr>
          <w:p>
            <w:pPr>
              <w:spacing w:after="0"/>
              <w:rPr>
                <w:sz w:val="24"/>
                <w:szCs w:val="24"/>
                <w:color w:val="auto"/>
              </w:rPr>
            </w:pPr>
          </w:p>
        </w:tc>
        <w:tc>
          <w:tcPr>
            <w:tcW w:w="4060" w:type="dxa"/>
            <w:vAlign w:val="bottom"/>
          </w:tcPr>
          <w:p>
            <w:pPr>
              <w:jc w:val="right"/>
              <w:ind w:right="2132"/>
              <w:spacing w:after="0"/>
              <w:rPr>
                <w:sz w:val="20"/>
                <w:szCs w:val="20"/>
                <w:color w:val="auto"/>
              </w:rPr>
            </w:pPr>
            <w:r>
              <w:rPr>
                <w:rFonts w:ascii="Courier New" w:cs="Courier New" w:eastAsia="Courier New" w:hAnsi="Courier New"/>
                <w:sz w:val="17"/>
                <w:szCs w:val="17"/>
                <w:color w:val="auto"/>
              </w:rPr>
              <w:t>2</w:t>
            </w:r>
          </w:p>
        </w:tc>
        <w:tc>
          <w:tcPr>
            <w:tcW w:w="350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8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2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8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MARCH 31,</w:t>
            </w:r>
          </w:p>
        </w:tc>
        <w:tc>
          <w:tcPr>
            <w:tcW w:w="460" w:type="dxa"/>
            <w:vAlign w:val="bottom"/>
          </w:tcPr>
          <w:p>
            <w:pPr>
              <w:spacing w:after="0"/>
              <w:rPr>
                <w:sz w:val="16"/>
                <w:szCs w:val="16"/>
                <w:color w:val="auto"/>
              </w:rPr>
            </w:pPr>
          </w:p>
        </w:tc>
        <w:tc>
          <w:tcPr>
            <w:tcW w:w="10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8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1998</w:t>
            </w:r>
          </w:p>
        </w:tc>
        <w:tc>
          <w:tcPr>
            <w:tcW w:w="460" w:type="dxa"/>
            <w:vAlign w:val="bottom"/>
          </w:tcPr>
          <w:p>
            <w:pPr>
              <w:spacing w:after="0"/>
              <w:rPr>
                <w:sz w:val="16"/>
                <w:szCs w:val="16"/>
                <w:color w:val="auto"/>
              </w:rPr>
            </w:pPr>
          </w:p>
        </w:tc>
        <w:tc>
          <w:tcPr>
            <w:tcW w:w="10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3116"/>
              <w:spacing w:after="0"/>
              <w:rPr>
                <w:sz w:val="20"/>
                <w:szCs w:val="20"/>
                <w:color w:val="auto"/>
              </w:rPr>
            </w:pPr>
            <w:r>
              <w:rPr>
                <w:rFonts w:ascii="Courier New" w:cs="Courier New" w:eastAsia="Courier New" w:hAnsi="Courier New"/>
                <w:sz w:val="17"/>
                <w:szCs w:val="17"/>
                <w:color w:val="auto"/>
              </w:rPr>
              <w:t>ASSETS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5"/>
        </w:trPr>
        <w:tc>
          <w:tcPr>
            <w:tcW w:w="83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Cash and cash equivalents ................................................</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59,904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63,992</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 receivable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1,703,461</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1,682,254</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Inventory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3,637,120</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2,668,761</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current assets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240,480</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136,177</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current assets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5,640,965</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4,551,184</w:t>
            </w:r>
          </w:p>
        </w:tc>
      </w:tr>
      <w:tr>
        <w:trPr>
          <w:trHeight w:val="385"/>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Property and equipment, net ....................................................</w:t>
            </w:r>
          </w:p>
        </w:tc>
        <w:tc>
          <w:tcPr>
            <w:tcW w:w="500" w:type="dxa"/>
            <w:vAlign w:val="bottom"/>
          </w:tcPr>
          <w:p>
            <w:pPr>
              <w:spacing w:after="0"/>
              <w:rPr>
                <w:sz w:val="24"/>
                <w:szCs w:val="24"/>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2,448,470</w:t>
            </w:r>
          </w:p>
        </w:tc>
        <w:tc>
          <w:tcPr>
            <w:tcW w:w="46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2,493,287</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Related party note receivable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132,345</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139,000</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Other assets, net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96,395</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152,383</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assets .......................................................</w:t>
            </w: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$ 8,318,175</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$ 7,335,854</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8320" w:type="dxa"/>
            <w:vAlign w:val="bottom"/>
          </w:tcPr>
          <w:p>
            <w:pPr>
              <w:jc w:val="right"/>
              <w:ind w:right="1616"/>
              <w:spacing w:after="0"/>
              <w:rPr>
                <w:sz w:val="20"/>
                <w:szCs w:val="20"/>
                <w:color w:val="auto"/>
              </w:rPr>
            </w:pPr>
            <w:r>
              <w:rPr>
                <w:rFonts w:ascii="Courier New" w:cs="Courier New" w:eastAsia="Courier New" w:hAnsi="Courier New"/>
                <w:sz w:val="17"/>
                <w:szCs w:val="17"/>
                <w:color w:val="auto"/>
              </w:rPr>
              <w:t>LIABILITIES AND SHAREHOLDERS' EQUITY</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83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Notes payable ............................................................</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560,342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722,997</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 payable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617,082</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471,072</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Accrued expenses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649,613</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356,446</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Current portion of long-term debt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278,195</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257,164</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Current portion of capital lease obligations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243,961</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254,951</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current liabilities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2,349,193</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2,062,630</w:t>
            </w:r>
          </w:p>
        </w:tc>
      </w:tr>
      <w:tr>
        <w:trPr>
          <w:trHeight w:val="385"/>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Long-term debt .................................................................</w:t>
            </w:r>
          </w:p>
        </w:tc>
        <w:tc>
          <w:tcPr>
            <w:tcW w:w="500" w:type="dxa"/>
            <w:vAlign w:val="bottom"/>
          </w:tcPr>
          <w:p>
            <w:pPr>
              <w:spacing w:after="0"/>
              <w:rPr>
                <w:sz w:val="24"/>
                <w:szCs w:val="24"/>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476,912</w:t>
            </w:r>
          </w:p>
        </w:tc>
        <w:tc>
          <w:tcPr>
            <w:tcW w:w="46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687,274</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8"/>
              </w:rPr>
              <w:t>Capital lease obligations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808,702</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784,354</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liabilities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3,634,807</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3,534,258</w:t>
            </w:r>
          </w:p>
        </w:tc>
      </w:tr>
      <w:tr>
        <w:trPr>
          <w:trHeight w:val="578"/>
        </w:trPr>
        <w:tc>
          <w:tcPr>
            <w:tcW w:w="83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Common stock, 50,000,000 shares authorized, par value $.001, 7,697,368 and</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8320" w:type="dxa"/>
            <w:vAlign w:val="bottom"/>
          </w:tcPr>
          <w:p>
            <w:pPr>
              <w:jc w:val="right"/>
              <w:ind w:right="3516"/>
              <w:spacing w:after="0"/>
              <w:rPr>
                <w:sz w:val="20"/>
                <w:szCs w:val="20"/>
                <w:color w:val="auto"/>
              </w:rPr>
            </w:pPr>
            <w:r>
              <w:rPr>
                <w:rFonts w:ascii="Courier New" w:cs="Courier New" w:eastAsia="Courier New" w:hAnsi="Courier New"/>
                <w:sz w:val="17"/>
                <w:szCs w:val="17"/>
                <w:color w:val="auto"/>
              </w:rPr>
              <w:t>7,663,405 shares issued and outstanding</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at March 31, 1998 and June 30, 1997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7,697</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7,663</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Additional paid-in capital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4,449,059</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4,423,482</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Retained earnings (accumulated deficit)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226,612</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(629,549)</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shareholders' equity .........................................</w:t>
            </w:r>
          </w:p>
        </w:tc>
        <w:tc>
          <w:tcPr>
            <w:tcW w:w="50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4,683,368</w:t>
            </w:r>
          </w:p>
        </w:tc>
        <w:tc>
          <w:tcPr>
            <w:tcW w:w="46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3,801,596</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83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Total liabilities and shareholders' equity .........................</w:t>
            </w: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$ 8,318,175</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$ 7,335,854</w:t>
            </w:r>
          </w:p>
        </w:tc>
      </w:tr>
      <w:tr>
        <w:trPr>
          <w:trHeight w:val="193"/>
        </w:trPr>
        <w:tc>
          <w:tcPr>
            <w:tcW w:w="8320" w:type="dxa"/>
            <w:vAlign w:val="bottom"/>
          </w:tcPr>
          <w:p>
            <w:pPr>
              <w:spacing w:after="0"/>
              <w:rPr>
                <w:sz w:val="16"/>
                <w:szCs w:val="16"/>
                <w:color w:val="auto"/>
              </w:rPr>
            </w:pPr>
          </w:p>
        </w:tc>
        <w:tc>
          <w:tcPr>
            <w:tcW w:w="17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1520"/>
          </w:cols>
          <w:pgMar w:left="240" w:top="303" w:right="1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303"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jc w:val="center"/>
        <w:ind w:right="219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(UNAUDITED)</w:t>
            </w:r>
          </w:p>
        </w:tc>
      </w:tr>
      <w:tr>
        <w:trPr>
          <w:trHeight w:val="193"/>
        </w:trPr>
        <w:tc>
          <w:tcPr>
            <w:tcW w:w="4960" w:type="dxa"/>
            <w:vAlign w:val="bottom"/>
          </w:tcPr>
          <w:p>
            <w:pPr>
              <w:spacing w:after="0"/>
              <w:rPr>
                <w:sz w:val="16"/>
                <w:szCs w:val="16"/>
                <w:color w:val="auto"/>
              </w:rPr>
            </w:pPr>
          </w:p>
        </w:tc>
        <w:tc>
          <w:tcPr>
            <w:tcW w:w="38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6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MARCH 31,</w:t>
            </w:r>
          </w:p>
        </w:tc>
      </w:tr>
      <w:tr>
        <w:trPr>
          <w:trHeight w:val="193"/>
        </w:trPr>
        <w:tc>
          <w:tcPr>
            <w:tcW w:w="4960" w:type="dxa"/>
            <w:vAlign w:val="bottom"/>
          </w:tcPr>
          <w:p>
            <w:pPr>
              <w:spacing w:after="0"/>
              <w:rPr>
                <w:sz w:val="16"/>
                <w:szCs w:val="16"/>
                <w:color w:val="auto"/>
              </w:rPr>
            </w:pPr>
          </w:p>
        </w:tc>
        <w:tc>
          <w:tcPr>
            <w:tcW w:w="3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1998</w:t>
            </w:r>
          </w:p>
        </w:tc>
        <w:tc>
          <w:tcPr>
            <w:tcW w:w="2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sales.......................................</w:t>
            </w:r>
          </w:p>
        </w:tc>
        <w:tc>
          <w:tcPr>
            <w:tcW w:w="16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$ 4,208,908</w:t>
            </w:r>
          </w:p>
        </w:tc>
        <w:tc>
          <w:tcPr>
            <w:tcW w:w="2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$ 3,340,279</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2,045,970</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1,751,973</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Gross profit..............................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2,162,938</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1,588,306</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1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Marketing and selling.....................</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846,125</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936,304</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General and administrative................</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546,045</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590,199</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Product development.......................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352,338</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309,987</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operating expenses............</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1,744,508</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1,836,490</w:t>
            </w:r>
          </w:p>
        </w:tc>
      </w:tr>
      <w:tr>
        <w:trPr>
          <w:trHeight w:val="385"/>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Operating income (loss).............</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418,430</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(248,184)</w:t>
            </w:r>
          </w:p>
        </w:tc>
      </w:tr>
      <w:tr>
        <w:trPr>
          <w:trHeight w:val="385"/>
        </w:trPr>
        <w:tc>
          <w:tcPr>
            <w:tcW w:w="49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6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income...........................</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3,257</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4,408</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expense..........................</w:t>
            </w:r>
          </w:p>
        </w:tc>
        <w:tc>
          <w:tcPr>
            <w:tcW w:w="16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(62,757)</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(49,571)</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net................................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1,529</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4,377</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other income (expense)........</w:t>
            </w:r>
          </w:p>
        </w:tc>
        <w:tc>
          <w:tcPr>
            <w:tcW w:w="16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(57,971)</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(40,786)</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(loss) before income taxes...............</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360,459</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(288,970)</w:t>
            </w:r>
          </w:p>
        </w:tc>
      </w:tr>
      <w:tr>
        <w:trPr>
          <w:trHeight w:val="385"/>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Provision for income taxes......................</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9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(loss)...................</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360,459</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  (288,970)</w:t>
            </w:r>
          </w:p>
        </w:tc>
      </w:tr>
      <w:tr>
        <w:trPr>
          <w:trHeight w:val="193"/>
        </w:trPr>
        <w:tc>
          <w:tcPr>
            <w:tcW w:w="4960" w:type="dxa"/>
            <w:vAlign w:val="bottom"/>
          </w:tcPr>
          <w:p>
            <w:pPr>
              <w:spacing w:after="0"/>
              <w:rPr>
                <w:sz w:val="16"/>
                <w:szCs w:val="16"/>
                <w:color w:val="auto"/>
              </w:rPr>
            </w:pP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Basic earnings (loss) per common share..........</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0.05</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3"/>
        </w:trPr>
        <w:tc>
          <w:tcPr>
            <w:tcW w:w="5020" w:type="dxa"/>
            <w:vAlign w:val="bottom"/>
          </w:tcPr>
          <w:p>
            <w:pPr>
              <w:spacing w:after="0"/>
              <w:rPr>
                <w:sz w:val="16"/>
                <w:szCs w:val="16"/>
                <w:color w:val="auto"/>
              </w:rPr>
            </w:pPr>
          </w:p>
        </w:tc>
        <w:tc>
          <w:tcPr>
            <w:tcW w:w="1940" w:type="dxa"/>
            <w:vAlign w:val="bottom"/>
            <w:gridSpan w:val="2"/>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spacing w:after="0"/>
              <w:rPr>
                <w:sz w:val="20"/>
                <w:szCs w:val="20"/>
                <w:color w:val="auto"/>
              </w:rPr>
            </w:pPr>
            <w:r>
              <w:rPr>
                <w:rFonts w:ascii="Courier New" w:cs="Courier New" w:eastAsia="Courier New" w:hAnsi="Courier New"/>
                <w:sz w:val="17"/>
                <w:szCs w:val="17"/>
                <w:color w:val="auto"/>
              </w:rPr>
              <w:t>Diluted earnings (loss) per common share........</w:t>
            </w:r>
          </w:p>
        </w:tc>
        <w:tc>
          <w:tcPr>
            <w:tcW w:w="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0.04</w:t>
            </w:r>
          </w:p>
        </w:tc>
        <w:tc>
          <w:tcPr>
            <w:tcW w:w="10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3"/>
        </w:trPr>
        <w:tc>
          <w:tcPr>
            <w:tcW w:w="5020" w:type="dxa"/>
            <w:vAlign w:val="bottom"/>
          </w:tcPr>
          <w:p>
            <w:pPr>
              <w:spacing w:after="0"/>
              <w:rPr>
                <w:sz w:val="16"/>
                <w:szCs w:val="16"/>
                <w:color w:val="auto"/>
              </w:rPr>
            </w:pPr>
          </w:p>
        </w:tc>
        <w:tc>
          <w:tcPr>
            <w:tcW w:w="1940" w:type="dxa"/>
            <w:vAlign w:val="bottom"/>
            <w:gridSpan w:val="2"/>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See accompanying notes</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NINE MONTHS ENDED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MARCH 31,</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060" w:type="dxa"/>
            <w:vAlign w:val="bottom"/>
          </w:tcPr>
          <w:p>
            <w:pPr>
              <w:spacing w:after="0"/>
              <w:rPr>
                <w:sz w:val="16"/>
                <w:szCs w:val="16"/>
                <w:color w:val="auto"/>
              </w:rPr>
            </w:pPr>
          </w:p>
        </w:tc>
        <w:tc>
          <w:tcPr>
            <w:tcW w:w="396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right"/>
              <w:ind w:right="1616"/>
              <w:spacing w:after="0"/>
              <w:rPr>
                <w:sz w:val="20"/>
                <w:szCs w:val="20"/>
                <w:color w:val="auto"/>
              </w:rPr>
            </w:pPr>
            <w:r>
              <w:rPr>
                <w:rFonts w:ascii="Courier New" w:cs="Courier New" w:eastAsia="Courier New" w:hAnsi="Courier New"/>
                <w:sz w:val="17"/>
                <w:szCs w:val="17"/>
                <w:color w:val="auto"/>
              </w:rPr>
              <w:t>1998</w:t>
            </w:r>
          </w:p>
        </w:tc>
        <w:tc>
          <w:tcPr>
            <w:tcW w:w="20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Net sales........................................</w:t>
            </w: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$ 11,934,700</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9,838,158</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Cost of goods sold...............................</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5,672,251</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5,222,302</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6,262,449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4,615,856</w:t>
            </w:r>
          </w:p>
        </w:tc>
      </w:tr>
      <w:tr>
        <w:trPr>
          <w:trHeight w:val="385"/>
        </w:trPr>
        <w:tc>
          <w:tcPr>
            <w:tcW w:w="506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Marketing and selling......................</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2,352,336</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2,747,481</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General and administrative.................</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1,891,539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1,488,153</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Product development........................</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996,658</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737,128</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operating expenses.............</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5,240,533</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4,972,762</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Operating income (loss)..............</w:t>
            </w:r>
          </w:p>
        </w:tc>
        <w:tc>
          <w:tcPr>
            <w:tcW w:w="460" w:type="dxa"/>
            <w:vAlign w:val="bottom"/>
          </w:tcPr>
          <w:p>
            <w:pPr>
              <w:spacing w:after="0"/>
              <w:rPr>
                <w:sz w:val="24"/>
                <w:szCs w:val="24"/>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5"/>
              </w:rPr>
              <w:t>1,021,916</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(356,906)</w:t>
            </w:r>
          </w:p>
        </w:tc>
      </w:tr>
      <w:tr>
        <w:trPr>
          <w:trHeight w:val="385"/>
        </w:trPr>
        <w:tc>
          <w:tcPr>
            <w:tcW w:w="50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income............................</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10,469</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4,408</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Interest expense...........................</w:t>
            </w:r>
          </w:p>
        </w:tc>
        <w:tc>
          <w:tcPr>
            <w:tcW w:w="460" w:type="dxa"/>
            <w:vAlign w:val="bottom"/>
          </w:tcPr>
          <w:p>
            <w:pPr>
              <w:spacing w:after="0"/>
              <w:rPr>
                <w:sz w:val="16"/>
                <w:szCs w:val="16"/>
                <w:color w:val="auto"/>
              </w:rPr>
            </w:pPr>
          </w:p>
        </w:tc>
        <w:tc>
          <w:tcPr>
            <w:tcW w:w="22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(187,108)</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(123,558)</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 net.................................</w:t>
            </w:r>
          </w:p>
        </w:tc>
        <w:tc>
          <w:tcPr>
            <w:tcW w:w="460" w:type="dxa"/>
            <w:vAlign w:val="bottom"/>
          </w:tcPr>
          <w:p>
            <w:pPr>
              <w:spacing w:after="0"/>
              <w:rPr>
                <w:sz w:val="16"/>
                <w:szCs w:val="16"/>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10,883</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(16,814)</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193"/>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other income (expense).........</w:t>
            </w:r>
          </w:p>
        </w:tc>
        <w:tc>
          <w:tcPr>
            <w:tcW w:w="460" w:type="dxa"/>
            <w:vAlign w:val="bottom"/>
          </w:tcPr>
          <w:p>
            <w:pPr>
              <w:spacing w:after="0"/>
              <w:rPr>
                <w:sz w:val="16"/>
                <w:szCs w:val="16"/>
                <w:color w:val="auto"/>
              </w:rPr>
            </w:pPr>
          </w:p>
        </w:tc>
        <w:tc>
          <w:tcPr>
            <w:tcW w:w="22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(165,756)</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(135,964)</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Income (loss) before income taxes................</w:t>
            </w:r>
          </w:p>
        </w:tc>
        <w:tc>
          <w:tcPr>
            <w:tcW w:w="460" w:type="dxa"/>
            <w:vAlign w:val="bottom"/>
          </w:tcPr>
          <w:p>
            <w:pPr>
              <w:spacing w:after="0"/>
              <w:rPr>
                <w:sz w:val="24"/>
                <w:szCs w:val="24"/>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856,160</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(492,870)</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Provision for income taxes.......................</w:t>
            </w:r>
          </w:p>
        </w:tc>
        <w:tc>
          <w:tcPr>
            <w:tcW w:w="460" w:type="dxa"/>
            <w:vAlign w:val="bottom"/>
          </w:tcPr>
          <w:p>
            <w:pPr>
              <w:spacing w:after="0"/>
              <w:rPr>
                <w:sz w:val="24"/>
                <w:szCs w:val="24"/>
                <w:color w:val="auto"/>
              </w:rPr>
            </w:pP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 (loss)....................</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856,160</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(492,870)</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578"/>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Basic earnings (loss) per common share...........</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0.11</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r>
        <w:trPr>
          <w:trHeight w:val="385"/>
        </w:trPr>
        <w:tc>
          <w:tcPr>
            <w:tcW w:w="5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Diluted earnings (loss) per common share.........</w:t>
            </w:r>
          </w:p>
        </w:tc>
        <w:tc>
          <w:tcPr>
            <w:tcW w:w="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0.11</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r>
      <w:tr>
        <w:trPr>
          <w:trHeight w:val="193"/>
        </w:trPr>
        <w:tc>
          <w:tcPr>
            <w:tcW w:w="5060" w:type="dxa"/>
            <w:vAlign w:val="bottom"/>
          </w:tcPr>
          <w:p>
            <w:pPr>
              <w:spacing w:after="0"/>
              <w:rPr>
                <w:sz w:val="16"/>
                <w:szCs w:val="16"/>
                <w:color w:val="auto"/>
              </w:rPr>
            </w:pPr>
          </w:p>
        </w:tc>
        <w:tc>
          <w:tcPr>
            <w:tcW w:w="26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7320" w:type="dxa"/>
            <w:vAlign w:val="bottom"/>
          </w:tcPr>
          <w:p>
            <w:pPr>
              <w:jc w:val="right"/>
              <w:ind w:right="6836"/>
              <w:spacing w:after="0"/>
              <w:rPr>
                <w:sz w:val="20"/>
                <w:szCs w:val="20"/>
                <w:color w:val="auto"/>
              </w:rPr>
            </w:pPr>
            <w:r>
              <w:rPr>
                <w:rFonts w:ascii="Courier New" w:cs="Courier New" w:eastAsia="Courier New" w:hAnsi="Courier New"/>
                <w:sz w:val="17"/>
                <w:szCs w:val="17"/>
                <w:color w:val="auto"/>
              </w:rPr>
              <w:t>6</w:t>
            </w:r>
          </w:p>
        </w:tc>
        <w:tc>
          <w:tcPr>
            <w:tcW w:w="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78"/>
        </w:trPr>
        <w:tc>
          <w:tcPr>
            <w:tcW w:w="732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GENTNER COMMUNICATIONS CORPORATION</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5"/>
        </w:trPr>
        <w:tc>
          <w:tcPr>
            <w:tcW w:w="732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CONDENSED STATEMENTS OF CASH FLOWS</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1"/>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NINE MONTHS ENDED</w:t>
            </w:r>
          </w:p>
        </w:tc>
        <w:tc>
          <w:tcPr>
            <w:tcW w:w="1140" w:type="dxa"/>
            <w:vAlign w:val="bottom"/>
          </w:tcPr>
          <w:p>
            <w:pPr>
              <w:spacing w:after="0"/>
              <w:rPr>
                <w:sz w:val="16"/>
                <w:szCs w:val="16"/>
                <w:color w:val="auto"/>
              </w:rPr>
            </w:pPr>
          </w:p>
        </w:tc>
      </w:tr>
      <w:tr>
        <w:trPr>
          <w:trHeight w:val="193"/>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MARCH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3"/>
        </w:trPr>
        <w:tc>
          <w:tcPr>
            <w:tcW w:w="7320" w:type="dxa"/>
            <w:vAlign w:val="bottom"/>
          </w:tcPr>
          <w:p>
            <w:pPr>
              <w:spacing w:after="0"/>
              <w:rPr>
                <w:sz w:val="16"/>
                <w:szCs w:val="16"/>
                <w:color w:val="auto"/>
              </w:rPr>
            </w:pPr>
          </w:p>
        </w:tc>
        <w:tc>
          <w:tcPr>
            <w:tcW w:w="400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jc w:val="right"/>
              <w:ind w:right="1516"/>
              <w:spacing w:after="0"/>
              <w:rPr>
                <w:sz w:val="20"/>
                <w:szCs w:val="20"/>
                <w:color w:val="auto"/>
              </w:rPr>
            </w:pPr>
            <w:r>
              <w:rPr>
                <w:rFonts w:ascii="Courier New" w:cs="Courier New" w:eastAsia="Courier New" w:hAnsi="Courier New"/>
                <w:sz w:val="17"/>
                <w:szCs w:val="17"/>
                <w:color w:val="auto"/>
              </w:rPr>
              <w:t>1998</w:t>
            </w:r>
          </w:p>
        </w:tc>
        <w:tc>
          <w:tcPr>
            <w:tcW w:w="26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Cash received from customers.....................................</w:t>
            </w: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$ 11,905,707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9,727,056</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Cash paid to suppliers and employees.............................</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w w:val="96"/>
              </w:rPr>
              <w:t>(10,978,904)</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(8,918,092)</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Interest received................................................</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10,469</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1,227</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Interest paid....................................................</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(188,755)</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(124,382)</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Income taxes refunded (paid).....................................</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(900)</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24,100</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00" w:type="dxa"/>
            <w:vAlign w:val="bottom"/>
          </w:tcPr>
          <w:p>
            <w:pPr>
              <w:spacing w:after="0"/>
              <w:rPr>
                <w:sz w:val="24"/>
                <w:szCs w:val="24"/>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747,617</w:t>
            </w:r>
          </w:p>
        </w:tc>
        <w:tc>
          <w:tcPr>
            <w:tcW w:w="26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709,909</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Purchases of property and equipment..............................</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(243,730)</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(742,931)</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Issuance of note receivable......................................</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(139,745)</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Decrease (increase) in other assets..............................</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17,987</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(74,226)</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used in investing activities......................</w:t>
            </w:r>
          </w:p>
        </w:tc>
        <w:tc>
          <w:tcPr>
            <w:tcW w:w="300" w:type="dxa"/>
            <w:vAlign w:val="bottom"/>
          </w:tcPr>
          <w:p>
            <w:pPr>
              <w:spacing w:after="0"/>
              <w:rPr>
                <w:sz w:val="24"/>
                <w:szCs w:val="24"/>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(225,743)</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(956,902)</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Proceeds from stock option exercises.............................</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25,611</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borrowings (repayments) under line of credit.................</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(162,655)</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196,329</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Proceeds from issuance of long-term debt.........................</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425,195</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Principal payments of capital lease obligations..................</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(199,586)</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(141,820)</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Principal payments of long-term debt.............................</w:t>
            </w:r>
          </w:p>
        </w:tc>
        <w:tc>
          <w:tcPr>
            <w:tcW w:w="300" w:type="dxa"/>
            <w:vAlign w:val="bottom"/>
          </w:tcPr>
          <w:p>
            <w:pPr>
              <w:spacing w:after="0"/>
              <w:rPr>
                <w:sz w:val="16"/>
                <w:szCs w:val="16"/>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(189,332)</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(153,522)</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Net cash (used in) provided by financing activities........</w:t>
            </w:r>
          </w:p>
        </w:tc>
        <w:tc>
          <w:tcPr>
            <w:tcW w:w="300" w:type="dxa"/>
            <w:vAlign w:val="bottom"/>
          </w:tcPr>
          <w:p>
            <w:pPr>
              <w:spacing w:after="0"/>
              <w:rPr>
                <w:sz w:val="24"/>
                <w:szCs w:val="24"/>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(525,962)</w:t>
            </w:r>
          </w:p>
        </w:tc>
        <w:tc>
          <w:tcPr>
            <w:tcW w:w="26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326,182</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Net (decrease) increase in cash........................................</w:t>
            </w:r>
          </w:p>
        </w:tc>
        <w:tc>
          <w:tcPr>
            <w:tcW w:w="300" w:type="dxa"/>
            <w:vAlign w:val="bottom"/>
          </w:tcPr>
          <w:p>
            <w:pPr>
              <w:spacing w:after="0"/>
              <w:rPr>
                <w:sz w:val="24"/>
                <w:szCs w:val="24"/>
                <w:color w:val="auto"/>
              </w:rPr>
            </w:pPr>
          </w:p>
        </w:tc>
        <w:tc>
          <w:tcPr>
            <w:tcW w:w="2300" w:type="dxa"/>
            <w:vAlign w:val="bottom"/>
          </w:tcPr>
          <w:p>
            <w:pPr>
              <w:jc w:val="right"/>
              <w:ind w:right="1016"/>
              <w:spacing w:after="0"/>
              <w:rPr>
                <w:sz w:val="20"/>
                <w:szCs w:val="20"/>
                <w:color w:val="auto"/>
              </w:rPr>
            </w:pPr>
            <w:r>
              <w:rPr>
                <w:rFonts w:ascii="Courier New" w:cs="Courier New" w:eastAsia="Courier New" w:hAnsi="Courier New"/>
                <w:sz w:val="17"/>
                <w:szCs w:val="17"/>
                <w:color w:val="auto"/>
              </w:rPr>
              <w:t>(4,088)</w:t>
            </w:r>
          </w:p>
        </w:tc>
        <w:tc>
          <w:tcPr>
            <w:tcW w:w="26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79,189</w:t>
            </w: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Cash at the beginning of the year......................................</w:t>
            </w:r>
          </w:p>
        </w:tc>
        <w:tc>
          <w:tcPr>
            <w:tcW w:w="300" w:type="dxa"/>
            <w:vAlign w:val="bottom"/>
          </w:tcPr>
          <w:p>
            <w:pPr>
              <w:spacing w:after="0"/>
              <w:rPr>
                <w:sz w:val="16"/>
                <w:szCs w:val="16"/>
                <w:color w:val="auto"/>
              </w:rPr>
            </w:pP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63,992</w:t>
            </w:r>
          </w:p>
        </w:tc>
        <w:tc>
          <w:tcPr>
            <w:tcW w:w="26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213,763</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Cash at the end of the period..........................................</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59,904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292,952</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7320" w:type="dxa"/>
            <w:vAlign w:val="bottom"/>
          </w:tcPr>
          <w:p>
            <w:pPr>
              <w:spacing w:after="0"/>
              <w:rPr>
                <w:sz w:val="20"/>
                <w:szCs w:val="20"/>
                <w:color w:val="auto"/>
              </w:rPr>
            </w:pPr>
            <w:r>
              <w:rPr>
                <w:rFonts w:ascii="Courier New" w:cs="Courier New" w:eastAsia="Courier New" w:hAnsi="Courier New"/>
                <w:sz w:val="17"/>
                <w:szCs w:val="17"/>
                <w:color w:val="auto"/>
              </w:rPr>
              <w:t>Supplemental disclosure of cash flow information:</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7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Property and equipment financed by capital leases................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3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212,945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417,698</w:t>
            </w:r>
          </w:p>
        </w:tc>
      </w:tr>
      <w:tr>
        <w:trPr>
          <w:trHeight w:val="193"/>
        </w:trPr>
        <w:tc>
          <w:tcPr>
            <w:tcW w:w="7320" w:type="dxa"/>
            <w:vAlign w:val="bottom"/>
          </w:tcPr>
          <w:p>
            <w:pPr>
              <w:spacing w:after="0"/>
              <w:rPr>
                <w:sz w:val="16"/>
                <w:szCs w:val="16"/>
                <w:color w:val="auto"/>
              </w:rPr>
            </w:pPr>
          </w:p>
        </w:tc>
        <w:tc>
          <w:tcPr>
            <w:tcW w:w="260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86"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See accompanying notes</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1320"/>
          </w:cols>
          <w:pgMar w:left="240" w:top="303" w:right="3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ind w:left="230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NOTES TO FINANCIAL STATEMENTS</w:t>
      </w:r>
    </w:p>
    <w:p>
      <w:pPr>
        <w:ind w:left="3320"/>
        <w:spacing w:after="0"/>
        <w:rPr>
          <w:sz w:val="20"/>
          <w:szCs w:val="20"/>
          <w:color w:val="auto"/>
        </w:rPr>
      </w:pPr>
      <w:r>
        <w:rPr>
          <w:rFonts w:ascii="Courier New" w:cs="Courier New" w:eastAsia="Courier New" w:hAnsi="Courier New"/>
          <w:sz w:val="17"/>
          <w:szCs w:val="17"/>
          <w:color w:val="auto"/>
        </w:rPr>
        <w:t>MARCH 31, 1998</w:t>
      </w:r>
    </w:p>
    <w:p>
      <w:pPr>
        <w:ind w:left="3520"/>
        <w:spacing w:after="0"/>
        <w:rPr>
          <w:sz w:val="20"/>
          <w:szCs w:val="20"/>
          <w:color w:val="auto"/>
        </w:rPr>
      </w:pPr>
      <w:r>
        <w:rPr>
          <w:rFonts w:ascii="Courier New" w:cs="Courier New" w:eastAsia="Courier New" w:hAnsi="Courier New"/>
          <w:sz w:val="17"/>
          <w:szCs w:val="17"/>
          <w:color w:val="auto"/>
        </w:rPr>
        <w:t>(UNAUDITED)</w:t>
      </w:r>
    </w:p>
    <w:p>
      <w:pPr>
        <w:spacing w:after="0" w:line="386" w:lineRule="exact"/>
        <w:rPr>
          <w:sz w:val="20"/>
          <w:szCs w:val="20"/>
          <w:color w:val="auto"/>
        </w:rPr>
      </w:pP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8" w:lineRule="exact"/>
        <w:rPr>
          <w:sz w:val="20"/>
          <w:szCs w:val="20"/>
          <w:color w:val="auto"/>
        </w:rPr>
      </w:pPr>
    </w:p>
    <w:p>
      <w:pPr>
        <w:ind w:right="2199" w:firstLine="1102"/>
        <w:spacing w:after="0" w:line="256"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1997 Annual Report and Form 10-KSB.</w:t>
      </w:r>
    </w:p>
    <w:p>
      <w:pPr>
        <w:spacing w:after="0" w:line="188" w:lineRule="exact"/>
        <w:rPr>
          <w:sz w:val="20"/>
          <w:szCs w:val="20"/>
          <w:color w:val="auto"/>
        </w:rPr>
      </w:pPr>
    </w:p>
    <w:p>
      <w:pPr>
        <w:ind w:right="2399" w:firstLine="1102"/>
        <w:spacing w:after="0" w:line="257"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82" w:lineRule="exact"/>
        <w:rPr>
          <w:sz w:val="20"/>
          <w:szCs w:val="20"/>
          <w:color w:val="auto"/>
        </w:rPr>
      </w:pPr>
    </w:p>
    <w:p>
      <w:pPr>
        <w:ind w:left="400" w:hanging="397"/>
        <w:spacing w:after="0"/>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(LOSS) PER COMMON SHARE</w:t>
      </w:r>
    </w:p>
    <w:p>
      <w:pPr>
        <w:spacing w:after="0" w:line="198"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Earnings (loss) per common share was calculated using the modified treasury stock method. The weighted average number of common shares outstanding was 8,129,428 and 7,662,375 respectively, for the three months ended March 31, 1998 and 1997. For the nine-month periods then ended, the amounts were 8,052,754 and 7,662,375, respectively. For the year ended June 30, 1997, stock options and warrants to purchase common stock have been excluded from the presented computation of per share amounts inasmuch as the effects are either immaterial or antidilutive.</w:t>
      </w:r>
    </w:p>
    <w:p>
      <w:pPr>
        <w:spacing w:after="0" w:line="200"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In 1997, the Financial Accounting Standards Board issued Statement of Financial Accountings Standards No. 128, Earnings per Share. Statement 128 replaced the previously reported primary and fully diluted earnings per share with basic and diluted earnings per share. Unlike primary earnings per share, basic earnings per share excludes any dilutive effects of options, warrants, and convertible securities. Diluted earnings per share is very similar to the previously reported fully diluted earnings per share. The Company has adopted FAS 128. All earnings per share amounts for all periods have been presented, and where necessary, restated to conform to the Statement 128 requirements.</w:t>
      </w:r>
    </w:p>
    <w:p>
      <w:pPr>
        <w:spacing w:after="0" w:line="196" w:lineRule="exact"/>
        <w:rPr>
          <w:sz w:val="20"/>
          <w:szCs w:val="20"/>
          <w:color w:val="auto"/>
        </w:rPr>
      </w:pPr>
    </w:p>
    <w:p>
      <w:pPr>
        <w:ind w:left="400" w:hanging="397"/>
        <w:spacing w:after="0"/>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INVENTORY</w:t>
      </w:r>
    </w:p>
    <w:p>
      <w:pPr>
        <w:spacing w:after="0" w:line="19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Inventory is summarized as follows: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00" w:type="dxa"/>
            <w:vAlign w:val="bottom"/>
          </w:tcPr>
          <w:p>
            <w:pPr>
              <w:spacing w:after="0"/>
              <w:rPr>
                <w:sz w:val="16"/>
                <w:szCs w:val="16"/>
                <w:color w:val="auto"/>
              </w:rPr>
            </w:pPr>
          </w:p>
        </w:tc>
        <w:tc>
          <w:tcPr>
            <w:tcW w:w="2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(Unaudited)</w:t>
            </w:r>
          </w:p>
        </w:tc>
        <w:tc>
          <w:tcPr>
            <w:tcW w:w="1560" w:type="dxa"/>
            <w:vAlign w:val="bottom"/>
          </w:tcPr>
          <w:p>
            <w:pPr>
              <w:spacing w:after="0"/>
              <w:rPr>
                <w:sz w:val="16"/>
                <w:szCs w:val="16"/>
                <w:color w:val="auto"/>
              </w:rPr>
            </w:pPr>
          </w:p>
        </w:tc>
      </w:tr>
      <w:tr>
        <w:trPr>
          <w:trHeight w:val="193"/>
        </w:trPr>
        <w:tc>
          <w:tcPr>
            <w:tcW w:w="3100" w:type="dxa"/>
            <w:vAlign w:val="bottom"/>
          </w:tcPr>
          <w:p>
            <w:pPr>
              <w:spacing w:after="0"/>
              <w:rPr>
                <w:sz w:val="16"/>
                <w:szCs w:val="16"/>
                <w:color w:val="auto"/>
              </w:rPr>
            </w:pPr>
          </w:p>
        </w:tc>
        <w:tc>
          <w:tcPr>
            <w:tcW w:w="226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March 31,</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3100" w:type="dxa"/>
            <w:vAlign w:val="bottom"/>
          </w:tcPr>
          <w:p>
            <w:pPr>
              <w:spacing w:after="0"/>
              <w:rPr>
                <w:sz w:val="16"/>
                <w:szCs w:val="16"/>
                <w:color w:val="auto"/>
              </w:rPr>
            </w:pPr>
          </w:p>
        </w:tc>
        <w:tc>
          <w:tcPr>
            <w:tcW w:w="2260" w:type="dxa"/>
            <w:vAlign w:val="bottom"/>
          </w:tcPr>
          <w:p>
            <w:pPr>
              <w:jc w:val="right"/>
              <w:ind w:right="756"/>
              <w:spacing w:after="0"/>
              <w:rPr>
                <w:sz w:val="20"/>
                <w:szCs w:val="20"/>
                <w:color w:val="auto"/>
              </w:rPr>
            </w:pPr>
            <w:r>
              <w:rPr>
                <w:rFonts w:ascii="Courier New" w:cs="Courier New" w:eastAsia="Courier New" w:hAnsi="Courier New"/>
                <w:sz w:val="17"/>
                <w:szCs w:val="17"/>
                <w:color w:val="auto"/>
              </w:rPr>
              <w:t>1998</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3100" w:type="dxa"/>
            <w:vAlign w:val="bottom"/>
          </w:tcPr>
          <w:p>
            <w:pPr>
              <w:spacing w:after="0"/>
              <w:rPr>
                <w:sz w:val="16"/>
                <w:szCs w:val="16"/>
                <w:color w:val="auto"/>
              </w:rPr>
            </w:pP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10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$1,018,583</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  897,481</w:t>
            </w:r>
          </w:p>
        </w:tc>
      </w:tr>
      <w:tr>
        <w:trPr>
          <w:trHeight w:val="193"/>
        </w:trPr>
        <w:tc>
          <w:tcPr>
            <w:tcW w:w="3100" w:type="dxa"/>
            <w:vAlign w:val="bottom"/>
          </w:tcPr>
          <w:p>
            <w:pPr>
              <w:spacing w:after="0"/>
              <w:rPr>
                <w:sz w:val="20"/>
                <w:szCs w:val="20"/>
                <w:color w:val="auto"/>
              </w:rPr>
            </w:pPr>
            <w:r>
              <w:rPr>
                <w:rFonts w:ascii="Courier New" w:cs="Courier New" w:eastAsia="Courier New" w:hAnsi="Courier New"/>
                <w:sz w:val="17"/>
                <w:szCs w:val="17"/>
                <w:color w:val="auto"/>
              </w:rPr>
              <w:t>Work in progress</w:t>
            </w: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1,074,329</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648,712</w:t>
            </w:r>
          </w:p>
        </w:tc>
      </w:tr>
      <w:tr>
        <w:trPr>
          <w:trHeight w:val="193"/>
        </w:trPr>
        <w:tc>
          <w:tcPr>
            <w:tcW w:w="310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1,544,208</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1,122,568</w:t>
            </w:r>
          </w:p>
        </w:tc>
      </w:tr>
      <w:tr>
        <w:trPr>
          <w:trHeight w:val="193"/>
        </w:trPr>
        <w:tc>
          <w:tcPr>
            <w:tcW w:w="3100" w:type="dxa"/>
            <w:vAlign w:val="bottom"/>
          </w:tcPr>
          <w:p>
            <w:pPr>
              <w:spacing w:after="0"/>
              <w:rPr>
                <w:sz w:val="16"/>
                <w:szCs w:val="16"/>
                <w:color w:val="auto"/>
              </w:rPr>
            </w:pP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100" w:type="dxa"/>
            <w:vAlign w:val="bottom"/>
          </w:tcPr>
          <w:p>
            <w:pPr>
              <w:ind w:left="1000"/>
              <w:spacing w:after="0"/>
              <w:rPr>
                <w:sz w:val="20"/>
                <w:szCs w:val="20"/>
                <w:color w:val="auto"/>
              </w:rPr>
            </w:pPr>
            <w:r>
              <w:rPr>
                <w:rFonts w:ascii="Courier New" w:cs="Courier New" w:eastAsia="Courier New" w:hAnsi="Courier New"/>
                <w:sz w:val="17"/>
                <w:szCs w:val="17"/>
                <w:color w:val="auto"/>
              </w:rPr>
              <w:t>Total inventory</w:t>
            </w: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$3,637,120</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$2,668,761</w:t>
            </w:r>
          </w:p>
        </w:tc>
      </w:tr>
      <w:tr>
        <w:trPr>
          <w:trHeight w:val="193"/>
        </w:trPr>
        <w:tc>
          <w:tcPr>
            <w:tcW w:w="3100" w:type="dxa"/>
            <w:vAlign w:val="bottom"/>
          </w:tcPr>
          <w:p>
            <w:pPr>
              <w:spacing w:after="0"/>
              <w:rPr>
                <w:sz w:val="16"/>
                <w:szCs w:val="16"/>
                <w:color w:val="auto"/>
              </w:rPr>
            </w:pPr>
          </w:p>
        </w:tc>
        <w:tc>
          <w:tcPr>
            <w:tcW w:w="226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37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w:t>
      </w:r>
    </w:p>
    <w:p>
      <w:pPr>
        <w:jc w:val="center"/>
        <w:ind w:right="2099"/>
        <w:spacing w:after="0"/>
        <w:rPr>
          <w:sz w:val="20"/>
          <w:szCs w:val="20"/>
          <w:color w:val="auto"/>
        </w:rPr>
      </w:pPr>
      <w:r>
        <w:rPr>
          <w:rFonts w:ascii="Courier New" w:cs="Courier New" w:eastAsia="Courier New" w:hAnsi="Courier New"/>
          <w:sz w:val="17"/>
          <w:szCs w:val="17"/>
          <w:color w:val="auto"/>
        </w:rPr>
        <w:t>CONDITION AND RESULTS OF OPERATIONS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8" w:lineRule="exact"/>
        <w:rPr>
          <w:sz w:val="20"/>
          <w:szCs w:val="20"/>
          <w:color w:val="auto"/>
        </w:rPr>
      </w:pPr>
    </w:p>
    <w:p>
      <w:pPr>
        <w:ind w:right="2299" w:firstLine="1102"/>
        <w:spacing w:after="0" w:line="239" w:lineRule="auto"/>
        <w:rPr>
          <w:sz w:val="20"/>
          <w:szCs w:val="20"/>
          <w:color w:val="auto"/>
        </w:rPr>
      </w:pPr>
      <w:r>
        <w:rPr>
          <w:rFonts w:ascii="Courier New" w:cs="Courier New" w:eastAsia="Courier New" w:hAnsi="Courier New"/>
          <w:sz w:val="17"/>
          <w:szCs w:val="17"/>
          <w:color w:val="auto"/>
        </w:rPr>
        <w:t>Sales for the three months ended March 31, 1998 increased 26% compared to the same three-month period last year. This growth is primarily due to a 36% increase in Teleconferencing operations (including both product and service). Year-to-date sales increased 21% as compared to the same nine-month period in the previous year. Year-to-date growth is also due to sales increases in Teleconferencing operations.</w:t>
      </w:r>
    </w:p>
    <w:p>
      <w:pPr>
        <w:spacing w:after="0" w:line="198"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Sales in Teleconferencing operations increased 36% comparing third quarter of this fiscal year to the same quarter last year. This increase is due to increased sales in the Company's Teleconferencing Service, which experienced a 88% sales growth over the same quarter last fiscal year. This increase in sales is a result of the Company expanding its sales staff, who are aggressively marketing its conference calling service. Continued strong sales of Teleconferencing products also contributed to Teleconferencing operations growth. The Teleconferencing operations increased 47% comparing the nine-month period ending March 31, 1998 to the same period last year. The Teleconferencing Service sales increased 133% year-to-date as compared to the same period of the prior year, due to the increase in product sales.</w:t>
      </w:r>
    </w:p>
    <w:p>
      <w:pPr>
        <w:spacing w:after="0" w:line="203" w:lineRule="exact"/>
        <w:rPr>
          <w:sz w:val="20"/>
          <w:szCs w:val="20"/>
          <w:color w:val="auto"/>
        </w:rPr>
      </w:pPr>
    </w:p>
    <w:p>
      <w:pPr>
        <w:ind w:right="2199" w:firstLine="1102"/>
        <w:spacing w:after="0" w:line="255" w:lineRule="auto"/>
        <w:rPr>
          <w:sz w:val="20"/>
          <w:szCs w:val="20"/>
          <w:color w:val="auto"/>
        </w:rPr>
      </w:pPr>
      <w:r>
        <w:rPr>
          <w:rFonts w:ascii="Courier New" w:cs="Courier New" w:eastAsia="Courier New" w:hAnsi="Courier New"/>
          <w:sz w:val="16"/>
          <w:szCs w:val="16"/>
          <w:color w:val="auto"/>
        </w:rPr>
        <w:t>Broadcast sales increased 20% in the third quarter of this year as compared to the third quarter of last year. While the domestic market for telephone interface products may be shrinking due to radio and television station consolidation, the Company has experienced sales growth internationally for its telephone interface products. The Company's line of new telephone hybrids has counteracted the effects of the shrinking domestic market. Telephone hybrids are used to connect telephone line audio to professional audio equipment. In Remote Management Systems (historically referred to as Remote Site Control), the Company saw GSC3000 sales increase significantly when comparing third quarters, year over year. GSC3000 monitors and adjusts the settings at one or more remote sites using one networked system. Additionally, using the GSC3000 an engineer can manually adjust the settings at the remote site via a telephone or a personal computer, if necessary. The growth in the Remote Management Systems product line can be attributed to ongoing software improvements, the new voice interface module for the GSC3000, and the increasing awareness of the diverse applications for these products. The voice interface allows an engineer to call the remote equipment from any telephone, check on its status, and make adjustments using only the telephone. Sales in Broadcast operations increased 6% year-to-date as compared to the same period last year. This increase is due to the growth in Remote Management Systems.</w:t>
      </w:r>
    </w:p>
    <w:p>
      <w:pPr>
        <w:spacing w:after="0" w:line="388" w:lineRule="exact"/>
        <w:rPr>
          <w:sz w:val="20"/>
          <w:szCs w:val="20"/>
          <w:color w:val="auto"/>
        </w:rPr>
      </w:pPr>
    </w:p>
    <w:p>
      <w:pPr>
        <w:ind w:right="2299" w:firstLine="1102"/>
        <w:spacing w:after="0" w:line="239" w:lineRule="auto"/>
        <w:rPr>
          <w:sz w:val="20"/>
          <w:szCs w:val="20"/>
          <w:color w:val="auto"/>
        </w:rPr>
      </w:pPr>
      <w:r>
        <w:rPr>
          <w:rFonts w:ascii="Courier New" w:cs="Courier New" w:eastAsia="Courier New" w:hAnsi="Courier New"/>
          <w:sz w:val="17"/>
          <w:szCs w:val="17"/>
          <w:color w:val="auto"/>
        </w:rPr>
        <w:t>Assistive Listening Systems products continue to show sales growth. ALS sales grew 45% for the three-month period ended March 31, 1998 as compared to the same period last year. This increase is a result of product enhancements and additional OEM agreements with companies that want the Company to produce their private label ALS products. ALS sales grew 40% for the nine-month period ended March 31, 1998 as compared to the same period ending March 31, 1997. The year-to-date growth is also due to product enhancements and additional OEM agreements.</w:t>
      </w:r>
    </w:p>
    <w:p>
      <w:pPr>
        <w:spacing w:after="0" w:line="200"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The Company's gross profit margin percentage was 51% for the third quarter of this year, compared to 48% for the same quarter last year. This increase is primarily due to price increases at the beginning of this fiscal year, aggressive vendor pricing, new products with higher gross profit margins, a different product mix, and a critical focus on improving manufacturing processes. The Company's rapidly expanding conference calling service has a lower gross profit margin than its manufacturing operations. As conference calling becomes a higher percentage of total sales, this could negatively impact the Company's overall gross profit margin. Year-to-date gross profit margin is 52% as compared to 47% for the same period last year. The increase in the year-to-date gross profit margin is also due to price increases at the beginning of this fiscal year, aggressive vendor pricing, new products with higher gross profit margins, a different product mix, and a critical focus on improving manufacturing processes.</w:t>
      </w:r>
    </w:p>
    <w:p>
      <w:pPr>
        <w:sectPr>
          <w:pgSz w:w="11900" w:h="16838" w:orient="portrait"/>
          <w:cols w:equalWidth="0" w:num="1">
            <w:col w:w="10219"/>
          </w:cols>
          <w:pgMar w:left="240" w:top="303" w:right="1440" w:bottom="1440" w:gutter="0" w:footer="0" w:header="0"/>
        </w:sect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37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w:t>
      </w:r>
    </w:p>
    <w:p>
      <w:pPr>
        <w:jc w:val="center"/>
        <w:ind w:right="2099"/>
        <w:spacing w:after="0"/>
        <w:rPr>
          <w:sz w:val="20"/>
          <w:szCs w:val="20"/>
          <w:color w:val="auto"/>
        </w:rPr>
      </w:pPr>
      <w:r>
        <w:rPr>
          <w:rFonts w:ascii="Courier New" w:cs="Courier New" w:eastAsia="Courier New" w:hAnsi="Courier New"/>
          <w:sz w:val="17"/>
          <w:szCs w:val="17"/>
          <w:color w:val="auto"/>
        </w:rPr>
        <w:t>CONDITION AND RESULTS OF OPERATIONS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(continued)</w:t>
      </w:r>
    </w:p>
    <w:p>
      <w:pPr>
        <w:spacing w:after="0" w:line="198" w:lineRule="exact"/>
        <w:rPr>
          <w:sz w:val="20"/>
          <w:szCs w:val="20"/>
          <w:color w:val="auto"/>
        </w:rPr>
      </w:pPr>
    </w:p>
    <w:p>
      <w:pPr>
        <w:ind w:right="2299" w:firstLine="1102"/>
        <w:spacing w:after="0" w:line="239" w:lineRule="auto"/>
        <w:rPr>
          <w:sz w:val="20"/>
          <w:szCs w:val="20"/>
          <w:color w:val="auto"/>
        </w:rPr>
      </w:pPr>
      <w:r>
        <w:rPr>
          <w:rFonts w:ascii="Courier New" w:cs="Courier New" w:eastAsia="Courier New" w:hAnsi="Courier New"/>
          <w:sz w:val="17"/>
          <w:szCs w:val="17"/>
          <w:color w:val="auto"/>
        </w:rPr>
        <w:t>Operating expenses for the quarter decreased 5% when comparing the same periods of this year to last year. One of the most significant portions of this decline came in Sales &amp; Marketing expenses, which decreased 10% comparing third quarter this year to third quarter last year. Year-to-date operating expenses grew 5% when comparing the same periods of this year to last year. Growth in year-to-date operating expenses resulted from the severance package associated with the departure of the Company's prior President and Chief Executive Officer (the "CEO Severance Package"), and increased expenses in the Product Development area.</w:t>
      </w:r>
    </w:p>
    <w:p>
      <w:pPr>
        <w:spacing w:after="0" w:line="201" w:lineRule="exact"/>
        <w:rPr>
          <w:sz w:val="20"/>
          <w:szCs w:val="20"/>
          <w:color w:val="auto"/>
        </w:rPr>
      </w:pPr>
    </w:p>
    <w:p>
      <w:pPr>
        <w:ind w:right="2299" w:firstLine="1102"/>
        <w:spacing w:after="0" w:line="256" w:lineRule="auto"/>
        <w:rPr>
          <w:sz w:val="20"/>
          <w:szCs w:val="20"/>
          <w:color w:val="auto"/>
        </w:rPr>
      </w:pPr>
      <w:r>
        <w:rPr>
          <w:rFonts w:ascii="Courier New" w:cs="Courier New" w:eastAsia="Courier New" w:hAnsi="Courier New"/>
          <w:sz w:val="16"/>
          <w:szCs w:val="16"/>
          <w:color w:val="auto"/>
        </w:rPr>
        <w:t>Sales and Marketing third quarter expenses decreased 10% over the prior year's third quarter. This decrease is primarily due to the Company bringing all advertising development and expenditures in house. Additionally, last year, the Company had significant advertising expenses associated with a national campaign for its conference calling service. There was also a decrease of 14% when comparing year-to-date expenses for this year to the same period last year. This decrease is also due to the reduction of advertising expenses, as well as the closing of the Company's California and New Jersey offices.</w:t>
      </w:r>
    </w:p>
    <w:p>
      <w:pPr>
        <w:spacing w:after="0" w:line="188" w:lineRule="exact"/>
        <w:rPr>
          <w:sz w:val="20"/>
          <w:szCs w:val="20"/>
          <w:color w:val="auto"/>
        </w:rPr>
      </w:pPr>
    </w:p>
    <w:p>
      <w:pPr>
        <w:ind w:right="2199" w:firstLine="1102"/>
        <w:spacing w:after="0" w:line="256" w:lineRule="auto"/>
        <w:rPr>
          <w:sz w:val="20"/>
          <w:szCs w:val="20"/>
          <w:color w:val="auto"/>
        </w:rPr>
      </w:pPr>
      <w:r>
        <w:rPr>
          <w:rFonts w:ascii="Courier New" w:cs="Courier New" w:eastAsia="Courier New" w:hAnsi="Courier New"/>
          <w:sz w:val="16"/>
          <w:szCs w:val="16"/>
          <w:color w:val="auto"/>
        </w:rPr>
        <w:t>Third quarter General and Administrative expenses are down 7% compared to the same period last year. This third quarter decrease is primarily due to the reduction of personnel. The year-to-date expenses are up 27% when comparing fiscal 1998 to the same period last year. The year-to-date increase is due to the CEO Severance Package, and the Company's move to an expanded facility in November 1996. This facility is about twice the size of the Company's former facility, which has resulted in an increase in occupancy costs. The increase is also due to the Company writing off certain deferred expenses associated with the Company's warrants that expired in September of 1997.</w:t>
      </w:r>
    </w:p>
    <w:p>
      <w:pPr>
        <w:spacing w:after="0" w:line="187" w:lineRule="exact"/>
        <w:rPr>
          <w:sz w:val="20"/>
          <w:szCs w:val="20"/>
          <w:color w:val="auto"/>
        </w:rPr>
      </w:pPr>
    </w:p>
    <w:p>
      <w:pPr>
        <w:ind w:right="2499" w:firstLine="1102"/>
        <w:spacing w:after="0" w:line="239" w:lineRule="auto"/>
        <w:rPr>
          <w:sz w:val="20"/>
          <w:szCs w:val="20"/>
          <w:color w:val="auto"/>
        </w:rPr>
      </w:pPr>
      <w:r>
        <w:rPr>
          <w:rFonts w:ascii="Courier New" w:cs="Courier New" w:eastAsia="Courier New" w:hAnsi="Courier New"/>
          <w:sz w:val="17"/>
          <w:szCs w:val="17"/>
          <w:color w:val="auto"/>
        </w:rPr>
        <w:t>Product Development expenses increased 14% in the third quarter of this fiscal year compared to the third quarter last year. This increase is a result of increased personnel and product compliance activities. It also increased 35% year-to-date, compared to last year-to-date. This increase is essentially due to hiring additional engineers to facilitate product development.</w:t>
      </w:r>
    </w:p>
    <w:p>
      <w:pPr>
        <w:spacing w:after="0" w:line="198" w:lineRule="exact"/>
        <w:rPr>
          <w:sz w:val="20"/>
          <w:szCs w:val="20"/>
          <w:color w:val="auto"/>
        </w:rPr>
      </w:pPr>
    </w:p>
    <w:p>
      <w:pPr>
        <w:ind w:right="2399" w:firstLine="1102"/>
        <w:spacing w:after="0" w:line="239" w:lineRule="auto"/>
        <w:rPr>
          <w:sz w:val="20"/>
          <w:szCs w:val="20"/>
          <w:color w:val="auto"/>
        </w:rPr>
      </w:pPr>
      <w:r>
        <w:rPr>
          <w:rFonts w:ascii="Courier New" w:cs="Courier New" w:eastAsia="Courier New" w:hAnsi="Courier New"/>
          <w:sz w:val="17"/>
          <w:szCs w:val="17"/>
          <w:color w:val="auto"/>
        </w:rPr>
        <w:t>Interest expense for the quarter is up 27% compared to the same quarter last year. This increase is due to higher debt balances at the end of the third quarter of 1998 as compared to the end of the third quarter of 1997. The facility expansion was financed through leases and notes that were established in the third and fourth quarters of last fiscal year. Interest expense increased 51% for the nine-month period ending March 31, 1998 as compared to the same period last year. This increase was also due to increased debt balances to finance the facility expansion.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Liquidity</w:t>
      </w:r>
    </w:p>
    <w:p>
      <w:pPr>
        <w:spacing w:after="0" w:line="198"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The Company's current ratio increased from 2.21:1 on June 30, 1997 to 2.40:1 on March 31, 1998. This increase in current ratio was caused primarily by an increase in inventory. Inventory increased because of raw material purchases and elevated levels of work-in-process for a new product line that the Company began shipping in April of 1998. That new product is the AP800, an audioconferencing system which combines echo cancellation, audio processing, microphone mixing and audio network control in one unit. The Company expects the inventory to decrease as orders for the AP800 are filled. Other factors affecting the current ratio include a decrease in the outstanding balance on the Company's line-of-credit account.</w:t>
      </w:r>
    </w:p>
    <w:p>
      <w:pPr>
        <w:spacing w:after="0" w:line="202" w:lineRule="exact"/>
        <w:rPr>
          <w:sz w:val="20"/>
          <w:szCs w:val="20"/>
          <w:color w:val="auto"/>
        </w:rPr>
      </w:pPr>
    </w:p>
    <w:p>
      <w:pPr>
        <w:ind w:right="2299" w:firstLine="1102"/>
        <w:spacing w:after="0" w:line="259" w:lineRule="auto"/>
        <w:rPr>
          <w:sz w:val="20"/>
          <w:szCs w:val="20"/>
          <w:color w:val="auto"/>
        </w:rPr>
      </w:pPr>
      <w:r>
        <w:rPr>
          <w:rFonts w:ascii="Courier New" w:cs="Courier New" w:eastAsia="Courier New" w:hAnsi="Courier New"/>
          <w:sz w:val="16"/>
          <w:szCs w:val="16"/>
          <w:color w:val="auto"/>
        </w:rPr>
        <w:t>The Company has an outstanding line of credit of $2.0 million, which is secured by the Company's accounts receivable. The interest rate on the line is a variable interest rate (anywhere from three to five basis points</w:t>
      </w:r>
    </w:p>
    <w:p>
      <w:pPr>
        <w:sectPr>
          <w:pgSz w:w="11900" w:h="16838" w:orient="portrait"/>
          <w:cols w:equalWidth="0" w:num="1">
            <w:col w:w="10219"/>
          </w:cols>
          <w:pgMar w:left="240" w:top="303" w:right="1440" w:bottom="1440" w:gutter="0" w:footer="0" w:header="0"/>
        </w:sectPr>
      </w:pPr>
    </w:p>
    <w:p>
      <w:pPr>
        <w:spacing w:after="0" w:line="37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37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MANAGEMENT'S DISCUSSION AND ANALYSIS OF FINANCIAL</w:t>
      </w:r>
    </w:p>
    <w:p>
      <w:pPr>
        <w:jc w:val="center"/>
        <w:ind w:right="2099"/>
        <w:spacing w:after="0"/>
        <w:rPr>
          <w:sz w:val="20"/>
          <w:szCs w:val="20"/>
          <w:color w:val="auto"/>
        </w:rPr>
      </w:pPr>
      <w:r>
        <w:rPr>
          <w:rFonts w:ascii="Courier New" w:cs="Courier New" w:eastAsia="Courier New" w:hAnsi="Courier New"/>
          <w:sz w:val="17"/>
          <w:szCs w:val="17"/>
          <w:color w:val="auto"/>
        </w:rPr>
        <w:t>CONDITION AND RESULTS OF OPERATIONS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 and Liquidity (continued)</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over the London Interbank Offered Rate (LIBOR)). As of March 31, 1998 the outstanding balance was $560,000 and the interest rate was 9.68%. This line has a one-year term, expiring in December of 1998.</w:t>
      </w:r>
    </w:p>
    <w:p>
      <w:pPr>
        <w:spacing w:after="0" w:line="200" w:lineRule="exact"/>
        <w:rPr>
          <w:sz w:val="20"/>
          <w:szCs w:val="20"/>
          <w:color w:val="auto"/>
        </w:rPr>
      </w:pPr>
    </w:p>
    <w:p>
      <w:pPr>
        <w:ind w:right="2199" w:firstLine="1102"/>
        <w:spacing w:after="0" w:line="238" w:lineRule="auto"/>
        <w:rPr>
          <w:sz w:val="20"/>
          <w:szCs w:val="20"/>
          <w:color w:val="auto"/>
        </w:rPr>
      </w:pPr>
      <w:r>
        <w:rPr>
          <w:rFonts w:ascii="Courier New" w:cs="Courier New" w:eastAsia="Courier New" w:hAnsi="Courier New"/>
          <w:sz w:val="17"/>
          <w:szCs w:val="17"/>
          <w:color w:val="auto"/>
        </w:rPr>
        <w:t>The Company continues to experience strong operating cash flows. Increasing sales and profitability have contributed to positive operating cash flows. As sales continue to increase, the Company expects to achieve its business plan through a combination of internally generated funds and short-term or long-term borrowings, if necessary.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 and Risk Factors</w:t>
      </w:r>
    </w:p>
    <w:p>
      <w:pPr>
        <w:spacing w:after="0" w:line="198" w:lineRule="exact"/>
        <w:rPr>
          <w:sz w:val="20"/>
          <w:szCs w:val="20"/>
          <w:color w:val="auto"/>
        </w:rPr>
      </w:pPr>
    </w:p>
    <w:p>
      <w:pPr>
        <w:ind w:right="2299" w:firstLine="1102"/>
        <w:spacing w:after="0" w:line="238" w:lineRule="auto"/>
        <w:rPr>
          <w:sz w:val="20"/>
          <w:szCs w:val="20"/>
          <w:color w:val="auto"/>
        </w:rPr>
      </w:pPr>
      <w:r>
        <w:rPr>
          <w:rFonts w:ascii="Courier New" w:cs="Courier New" w:eastAsia="Courier New" w:hAnsi="Courier New"/>
          <w:sz w:val="17"/>
          <w:szCs w:val="17"/>
          <w:color w:val="auto"/>
        </w:rPr>
        <w:t>To the extent any statement presented herein deals with information that is not historical, such statement is necessarily forward looking. As such, it is subject to occurrence of many events outside of the Company's control. Please see a detailed list of the risk factors that are outlined in the Company's 1997 Annual Report and Form 10-KSB.</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78"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PART II - OTHER INFORMATION</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3" w:lineRule="exact"/>
        <w:rPr>
          <w:sz w:val="20"/>
          <w:szCs w:val="20"/>
          <w:color w:val="auto"/>
        </w:rPr>
      </w:pPr>
    </w:p>
    <w:p>
      <w:pPr>
        <w:ind w:left="1700" w:hanging="595"/>
        <w:spacing w:after="0"/>
        <w:tabs>
          <w:tab w:leader="none" w:pos="1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Exhibits Required by Item 601 of Regulation S-B</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The following exhibit is hereby incorporated by reference from the Company's Annual Report on Form 10-K for the fiscal year ended June 30, 1989. The exhibit number shown as appeared in the 1989 Form 10-K as originally filed.</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3"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br w:type="column"/>
      </w:r>
    </w:p>
    <w:p>
      <w:pPr>
        <w:ind w:right="2899"/>
        <w:spacing w:after="0" w:line="236" w:lineRule="auto"/>
        <w:rPr>
          <w:sz w:val="20"/>
          <w:szCs w:val="20"/>
          <w:color w:val="auto"/>
        </w:rPr>
      </w:pPr>
      <w:r>
        <w:rPr>
          <w:rFonts w:ascii="Courier New" w:cs="Courier New" w:eastAsia="Courier New" w:hAnsi="Courier New"/>
          <w:sz w:val="17"/>
          <w:szCs w:val="17"/>
          <w:color w:val="auto"/>
        </w:rPr>
        <w:t>Articles of Incorporation and all amendments thereto through March 1, 1998. (Page 10)</w:t>
      </w:r>
    </w:p>
    <w:p>
      <w:pPr>
        <w:spacing w:after="0" w:line="199"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ind w:right="2299"/>
        <w:spacing w:after="0" w:line="237" w:lineRule="auto"/>
        <w:rPr>
          <w:sz w:val="20"/>
          <w:szCs w:val="20"/>
          <w:color w:val="auto"/>
        </w:rPr>
      </w:pPr>
      <w:r>
        <w:rPr>
          <w:rFonts w:ascii="Courier New" w:cs="Courier New" w:eastAsia="Courier New" w:hAnsi="Courier New"/>
          <w:sz w:val="17"/>
          <w:szCs w:val="17"/>
          <w:color w:val="auto"/>
        </w:rPr>
        <w:t>The following exhibit is hereby incorporated by reference from the Company's Annual Report on Form 10-K for the fiscal year ended June 30, 1989. The exhibit number shown as appeared in the 1989 Form 10-K as originally filed.</w:t>
      </w:r>
    </w:p>
    <w:p>
      <w:pPr>
        <w:sectPr>
          <w:pgSz w:w="11900" w:h="16838" w:orient="portrait"/>
          <w:cols w:equalWidth="0" w:num="1">
            <w:col w:w="10219"/>
          </w:cols>
          <w:pgMar w:left="240" w:top="303"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3"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Amendment to Articles of Incorporation, dated July 1, 1991.</w:t>
      </w:r>
    </w:p>
    <w:p>
      <w:pPr>
        <w:spacing w:after="0" w:line="200"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The following exhibit is hereby incorporated by reference from the Company's Form 10-KSB for the fiscal year ended June 30, 1993. The exhibit number shown as appeared in the 1993 Form 10-KSB as originally filed.</w:t>
      </w:r>
    </w:p>
    <w:p>
      <w:pPr>
        <w:sectPr>
          <w:pgSz w:w="11900" w:h="16838" w:orient="portrait"/>
          <w:cols w:equalWidth="0" w:num="1">
            <w:col w:w="10219"/>
          </w:cols>
          <w:pgMar w:left="240" w:top="303"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3"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Bylaws, as amended on August 24, 1993. (Page 16)</w:t>
      </w:r>
    </w:p>
    <w:p>
      <w:pPr>
        <w:spacing w:after="0" w:line="200"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document is filed as an Exhibit to this Form 10-QSB.</w:t>
      </w:r>
    </w:p>
    <w:p>
      <w:pPr>
        <w:sectPr>
          <w:pgSz w:w="11900" w:h="16838" w:orient="portrait"/>
          <w:cols w:equalWidth="0" w:num="1">
            <w:col w:w="10219"/>
          </w:cols>
          <w:pgMar w:left="240" w:top="30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3"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br w:type="column"/>
      </w:r>
    </w:p>
    <w:p>
      <w:pPr>
        <w:ind w:right="2699"/>
        <w:spacing w:after="0" w:line="236" w:lineRule="auto"/>
        <w:rPr>
          <w:sz w:val="20"/>
          <w:szCs w:val="20"/>
          <w:color w:val="auto"/>
        </w:rPr>
      </w:pPr>
      <w:r>
        <w:rPr>
          <w:rFonts w:ascii="Courier New" w:cs="Courier New" w:eastAsia="Courier New" w:hAnsi="Courier New"/>
          <w:sz w:val="17"/>
          <w:szCs w:val="17"/>
          <w:color w:val="auto"/>
        </w:rPr>
        <w:t>Severance Agreement between Russell D. Gentner and the Company, dated as of December 12, 1997.</w:t>
      </w:r>
    </w:p>
    <w:p>
      <w:pPr>
        <w:spacing w:after="0" w:line="200" w:lineRule="exact"/>
        <w:rPr>
          <w:sz w:val="20"/>
          <w:szCs w:val="20"/>
          <w:color w:val="auto"/>
        </w:rPr>
      </w:pPr>
    </w:p>
    <w:p>
      <w:pPr>
        <w:sectPr>
          <w:pgSz w:w="11900" w:h="16838" w:orient="portrait"/>
          <w:cols w:equalWidth="0" w:num="2">
            <w:col w:w="1380" w:space="720"/>
            <w:col w:w="8119"/>
          </w:cols>
          <w:pgMar w:left="240" w:top="303" w:right="1440" w:bottom="1440" w:gutter="0" w:footer="0" w:header="0"/>
          <w:type w:val="continuous"/>
        </w:sectPr>
      </w:pPr>
    </w:p>
    <w:p>
      <w:pPr>
        <w:spacing w:after="0" w:line="192" w:lineRule="exact"/>
        <w:rPr>
          <w:sz w:val="20"/>
          <w:szCs w:val="20"/>
          <w:color w:val="auto"/>
        </w:rPr>
      </w:pPr>
    </w:p>
    <w:p>
      <w:pPr>
        <w:ind w:right="2199" w:firstLine="3"/>
        <w:spacing w:after="0" w:line="237" w:lineRule="auto"/>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 this Form 10-KSB by reference to other filings pursuant to the provisions of Rule 12B-32 under the Securities Exchange Act of 1934.</w:t>
      </w:r>
    </w:p>
    <w:p>
      <w:pPr>
        <w:spacing w:after="0" w:line="200" w:lineRule="exact"/>
        <w:rPr>
          <w:sz w:val="20"/>
          <w:szCs w:val="20"/>
          <w:color w:val="auto"/>
        </w:rPr>
      </w:pPr>
    </w:p>
    <w:p>
      <w:pPr>
        <w:ind w:right="2299" w:firstLine="3"/>
        <w:spacing w:after="0" w:line="238" w:lineRule="auto"/>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Denotes exhibits specifically incorporated into this Form 10-KSB by reference (and their page location in such filing), pursuant to Regulation S B, Section 228. These documents are located under File No. 0-17219 and are located at the Securities and Exchange Commission, Public Reference Branch, 450 5th St., N.W., Washington, DC 20549.</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3"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12</w:t>
      </w:r>
    </w:p>
    <w:p>
      <w:pPr>
        <w:spacing w:after="0" w:line="198" w:lineRule="exact"/>
        <w:rPr>
          <w:sz w:val="20"/>
          <w:szCs w:val="20"/>
          <w:color w:val="auto"/>
        </w:rPr>
      </w:pPr>
    </w:p>
    <w:p>
      <w:pPr>
        <w:ind w:left="1800" w:right="6599" w:hanging="995"/>
        <w:spacing w:after="0" w:line="713" w:lineRule="auto"/>
        <w:tabs>
          <w:tab w:leader="none" w:pos="13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199"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919"/>
          </w:cols>
          <w:pgMar w:left="5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378"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jc w:val="both"/>
        <w:ind w:right="2399" w:firstLine="11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registrant has duly caused this report to be signed on its behalf by the undersigned thereunto duly authorized.</w:t>
      </w:r>
    </w:p>
    <w:p>
      <w:pPr>
        <w:spacing w:after="0" w:line="195"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GENTNER COMMUNICATIONS CORPORATION</w:t>
      </w:r>
    </w:p>
    <w:p>
      <w:pPr>
        <w:spacing w:after="0" w:line="38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/s/ Susie Strohm</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Susie Strohm</w:t>
      </w:r>
    </w:p>
    <w:p>
      <w:pPr>
        <w:ind w:left="4420"/>
        <w:spacing w:after="0"/>
        <w:rPr>
          <w:sz w:val="20"/>
          <w:szCs w:val="20"/>
          <w:color w:val="auto"/>
        </w:rPr>
      </w:pPr>
      <w:r>
        <w:rPr>
          <w:rFonts w:ascii="Courier New" w:cs="Courier New" w:eastAsia="Courier New" w:hAnsi="Courier New"/>
          <w:sz w:val="17"/>
          <w:szCs w:val="17"/>
          <w:color w:val="auto"/>
        </w:rPr>
        <w:t>Vice President, Finance</w:t>
      </w:r>
    </w:p>
    <w:p>
      <w:pPr>
        <w:spacing w:after="0" w:line="38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May 7, 1998</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10</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SEVERANCE AGREEMENT</w:t>
      </w:r>
    </w:p>
    <w:p>
      <w:pPr>
        <w:spacing w:after="0" w:line="391" w:lineRule="exact"/>
        <w:rPr>
          <w:sz w:val="20"/>
          <w:szCs w:val="20"/>
          <w:color w:val="auto"/>
        </w:rPr>
      </w:pPr>
    </w:p>
    <w:p>
      <w:pPr>
        <w:ind w:right="2299" w:firstLine="1102"/>
        <w:spacing w:after="0" w:line="238" w:lineRule="auto"/>
        <w:rPr>
          <w:sz w:val="20"/>
          <w:szCs w:val="20"/>
          <w:color w:val="auto"/>
        </w:rPr>
      </w:pPr>
      <w:r>
        <w:rPr>
          <w:rFonts w:ascii="Courier New" w:cs="Courier New" w:eastAsia="Courier New" w:hAnsi="Courier New"/>
          <w:sz w:val="17"/>
          <w:szCs w:val="17"/>
          <w:color w:val="auto"/>
        </w:rPr>
        <w:t>This Severance Agreement (the "Agreement") is entered into effective as of the 12th day of December, 1997, by and between Gentner Communications Corporation, a Utah corporation (the "Company"), and Russell D. Gentner, a resident of the State of Utah ("Mr. Gentner").</w:t>
      </w:r>
    </w:p>
    <w:p>
      <w:pPr>
        <w:spacing w:after="0" w:line="200" w:lineRule="exact"/>
        <w:rPr>
          <w:sz w:val="20"/>
          <w:szCs w:val="20"/>
          <w:color w:val="auto"/>
        </w:rPr>
      </w:pPr>
    </w:p>
    <w:p>
      <w:pPr>
        <w:jc w:val="both"/>
        <w:ind w:right="2299" w:firstLine="1102"/>
        <w:spacing w:after="0" w:line="237" w:lineRule="auto"/>
        <w:rPr>
          <w:sz w:val="20"/>
          <w:szCs w:val="20"/>
          <w:color w:val="auto"/>
        </w:rPr>
      </w:pPr>
      <w:r>
        <w:rPr>
          <w:rFonts w:ascii="Courier New" w:cs="Courier New" w:eastAsia="Courier New" w:hAnsi="Courier New"/>
          <w:sz w:val="17"/>
          <w:szCs w:val="17"/>
          <w:color w:val="auto"/>
        </w:rPr>
        <w:t>WHEREAS, Mr. Gentner has been the Chairman of the Board of Directors ("Chairman"), President, Chief Executive Officer of the Company, and a Director of the Company; and</w:t>
      </w:r>
    </w:p>
    <w:p>
      <w:pPr>
        <w:spacing w:after="0" w:line="200" w:lineRule="exact"/>
        <w:rPr>
          <w:sz w:val="20"/>
          <w:szCs w:val="20"/>
          <w:color w:val="auto"/>
        </w:rPr>
      </w:pPr>
    </w:p>
    <w:p>
      <w:pPr>
        <w:ind w:right="2299" w:firstLine="1102"/>
        <w:spacing w:after="0" w:line="259" w:lineRule="auto"/>
        <w:rPr>
          <w:sz w:val="20"/>
          <w:szCs w:val="20"/>
          <w:color w:val="auto"/>
        </w:rPr>
      </w:pPr>
      <w:r>
        <w:rPr>
          <w:rFonts w:ascii="Courier New" w:cs="Courier New" w:eastAsia="Courier New" w:hAnsi="Courier New"/>
          <w:sz w:val="16"/>
          <w:szCs w:val="16"/>
          <w:color w:val="auto"/>
        </w:rPr>
        <w:t>WHEREAS, the Board of Directors of the Company and Mr. Gentner have negotiated the terms and conditions of Mr. Gentner's departure from all Company offices and the Board of Directors, on the terms set forth in this Agreement;</w:t>
      </w:r>
    </w:p>
    <w:p>
      <w:pPr>
        <w:spacing w:after="0" w:line="184" w:lineRule="exact"/>
        <w:rPr>
          <w:sz w:val="20"/>
          <w:szCs w:val="20"/>
          <w:color w:val="auto"/>
        </w:rPr>
      </w:pPr>
    </w:p>
    <w:p>
      <w:pPr>
        <w:ind w:right="2299" w:firstLine="1102"/>
        <w:spacing w:after="0" w:line="238" w:lineRule="auto"/>
        <w:rPr>
          <w:sz w:val="20"/>
          <w:szCs w:val="20"/>
          <w:color w:val="auto"/>
        </w:rPr>
      </w:pPr>
      <w:r>
        <w:rPr>
          <w:rFonts w:ascii="Courier New" w:cs="Courier New" w:eastAsia="Courier New" w:hAnsi="Courier New"/>
          <w:sz w:val="17"/>
          <w:szCs w:val="17"/>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200" w:lineRule="exact"/>
        <w:rPr>
          <w:sz w:val="20"/>
          <w:szCs w:val="20"/>
          <w:color w:val="auto"/>
        </w:rPr>
      </w:pPr>
    </w:p>
    <w:p>
      <w:pPr>
        <w:ind w:right="2199" w:firstLine="3"/>
        <w:spacing w:after="0" w:line="238" w:lineRule="auto"/>
        <w:tabs>
          <w:tab w:leader="none" w:pos="11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Resignation from All Offices. Mr. Gentner hereby resigns as President and Chief Executive Officer of the Company, as of the date hereof. Mr. Gentner will resign as a Director and as Chairman effective the date of the Closing (as defined below).</w:t>
      </w:r>
    </w:p>
    <w:p>
      <w:pPr>
        <w:spacing w:after="0" w:line="199" w:lineRule="exact"/>
        <w:rPr>
          <w:rFonts w:ascii="Courier New" w:cs="Courier New" w:eastAsia="Courier New" w:hAnsi="Courier New"/>
          <w:sz w:val="17"/>
          <w:szCs w:val="17"/>
          <w:color w:val="auto"/>
        </w:rPr>
      </w:pPr>
    </w:p>
    <w:p>
      <w:pPr>
        <w:ind w:right="2799" w:firstLine="3"/>
        <w:spacing w:after="0" w:line="238" w:lineRule="auto"/>
        <w:tabs>
          <w:tab w:leader="none" w:pos="110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Severance Package. In connection with the termination of Mr. Gentner's relationship with the Company, the Company has delivered or will deliver at or prior to the Closing, the following items described in this Section 2:</w:t>
      </w:r>
    </w:p>
    <w:p>
      <w:pPr>
        <w:spacing w:after="0" w:line="200" w:lineRule="exact"/>
        <w:rPr>
          <w:sz w:val="20"/>
          <w:szCs w:val="20"/>
          <w:color w:val="auto"/>
        </w:rPr>
      </w:pPr>
    </w:p>
    <w:p>
      <w:pPr>
        <w:ind w:right="2199" w:firstLine="1102"/>
        <w:spacing w:after="0" w:line="238" w:lineRule="auto"/>
        <w:rPr>
          <w:sz w:val="20"/>
          <w:szCs w:val="20"/>
          <w:color w:val="auto"/>
        </w:rPr>
      </w:pPr>
      <w:r>
        <w:rPr>
          <w:rFonts w:ascii="Courier New" w:cs="Courier New" w:eastAsia="Courier New" w:hAnsi="Courier New"/>
          <w:sz w:val="17"/>
          <w:szCs w:val="17"/>
          <w:color w:val="auto"/>
        </w:rPr>
        <w:t>2.1 Mr. Gentner has received $38,261.30 in salary between the date of this Agreement and the Closing. At the Closing, he will receive an additional $15,692.64 in salary ("Additional Salary"); thereafter, he will receive no further salary or bonus from the Company;</w:t>
      </w:r>
    </w:p>
    <w:p>
      <w:pPr>
        <w:spacing w:after="0" w:line="200" w:lineRule="exact"/>
        <w:rPr>
          <w:sz w:val="20"/>
          <w:szCs w:val="20"/>
          <w:color w:val="auto"/>
        </w:rPr>
      </w:pPr>
    </w:p>
    <w:p>
      <w:pPr>
        <w:ind w:right="2499" w:firstLine="1102"/>
        <w:spacing w:after="0" w:line="236" w:lineRule="auto"/>
        <w:rPr>
          <w:sz w:val="20"/>
          <w:szCs w:val="20"/>
          <w:color w:val="auto"/>
        </w:rPr>
      </w:pPr>
      <w:r>
        <w:rPr>
          <w:rFonts w:ascii="Courier New" w:cs="Courier New" w:eastAsia="Courier New" w:hAnsi="Courier New"/>
          <w:sz w:val="17"/>
          <w:szCs w:val="17"/>
          <w:color w:val="auto"/>
        </w:rPr>
        <w:t>2.2 Mr. Gentner will retain his split dollar life insurance policy and the Company will release its lien thereon as of the Closing;</w:t>
      </w:r>
    </w:p>
    <w:p>
      <w:pPr>
        <w:spacing w:after="0" w:line="199" w:lineRule="exact"/>
        <w:rPr>
          <w:sz w:val="20"/>
          <w:szCs w:val="20"/>
          <w:color w:val="auto"/>
        </w:rPr>
      </w:pPr>
    </w:p>
    <w:p>
      <w:pPr>
        <w:ind w:right="2499" w:firstLine="1102"/>
        <w:spacing w:after="0" w:line="236" w:lineRule="auto"/>
        <w:rPr>
          <w:sz w:val="20"/>
          <w:szCs w:val="20"/>
          <w:color w:val="auto"/>
        </w:rPr>
      </w:pPr>
      <w:r>
        <w:rPr>
          <w:rFonts w:ascii="Courier New" w:cs="Courier New" w:eastAsia="Courier New" w:hAnsi="Courier New"/>
          <w:sz w:val="17"/>
          <w:szCs w:val="17"/>
          <w:color w:val="auto"/>
        </w:rPr>
        <w:t>2.3 The Company will transfer to Mr. Gentner the title to the 1993 Nissan Pathfinder that the Company currently provides to Mr. Gentner;</w:t>
      </w:r>
    </w:p>
    <w:p>
      <w:pPr>
        <w:spacing w:after="0" w:line="199" w:lineRule="exact"/>
        <w:rPr>
          <w:sz w:val="20"/>
          <w:szCs w:val="20"/>
          <w:color w:val="auto"/>
        </w:rPr>
      </w:pPr>
    </w:p>
    <w:p>
      <w:pPr>
        <w:ind w:right="2199" w:firstLine="1102"/>
        <w:spacing w:after="0" w:line="238" w:lineRule="auto"/>
        <w:rPr>
          <w:sz w:val="20"/>
          <w:szCs w:val="20"/>
          <w:color w:val="auto"/>
        </w:rPr>
      </w:pPr>
      <w:r>
        <w:rPr>
          <w:rFonts w:ascii="Courier New" w:cs="Courier New" w:eastAsia="Courier New" w:hAnsi="Courier New"/>
          <w:sz w:val="17"/>
          <w:szCs w:val="17"/>
          <w:color w:val="auto"/>
        </w:rPr>
        <w:t>2.4 The Micron lap top computer issued and the cellular phone and electronic organizer previously issued to Mr. Gentner as an employee, all right, title and interest thereto to pass automatically to Mr. Gentner at the Closing without further action of the parties; and</w:t>
      </w:r>
    </w:p>
    <w:p>
      <w:pPr>
        <w:spacing w:after="0" w:line="200" w:lineRule="exact"/>
        <w:rPr>
          <w:sz w:val="20"/>
          <w:szCs w:val="20"/>
          <w:color w:val="auto"/>
        </w:rPr>
      </w:pPr>
    </w:p>
    <w:p>
      <w:pPr>
        <w:ind w:right="2899" w:firstLine="1102"/>
        <w:spacing w:after="0" w:line="236" w:lineRule="auto"/>
        <w:rPr>
          <w:sz w:val="20"/>
          <w:szCs w:val="20"/>
          <w:color w:val="auto"/>
        </w:rPr>
      </w:pPr>
      <w:r>
        <w:rPr>
          <w:rFonts w:ascii="Courier New" w:cs="Courier New" w:eastAsia="Courier New" w:hAnsi="Courier New"/>
          <w:sz w:val="17"/>
          <w:szCs w:val="17"/>
          <w:color w:val="auto"/>
        </w:rPr>
        <w:t>2.5 The parties agree that the value of the items set forth in Sections 2.3 and 2.4 is $13,000.00.</w:t>
      </w:r>
    </w:p>
    <w:p>
      <w:pPr>
        <w:spacing w:after="0" w:line="199" w:lineRule="exact"/>
        <w:rPr>
          <w:sz w:val="20"/>
          <w:szCs w:val="20"/>
          <w:color w:val="auto"/>
        </w:rPr>
      </w:pPr>
    </w:p>
    <w:p>
      <w:pPr>
        <w:ind w:right="2299" w:firstLine="3"/>
        <w:spacing w:after="0" w:line="255" w:lineRule="auto"/>
        <w:tabs>
          <w:tab w:leader="none" w:pos="11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Payments. Mr. Gentner acknowledges that, as of the date hereof, he has received full and complete payment to him of all salary, benefits, accrued vacation days, insurance payments, and other entitlements earned by Mr. Gentner in connection with his employment through December 12,</w:t>
      </w:r>
    </w:p>
    <w:p>
      <w:pPr>
        <w:ind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1997 except for normal employee withholdings. Mr. Gentner further acknowledges that he is not entitled to any other payments from the Company, except as set forth herein. The Company acknowledges that Mr. Gentner is not obligated to the Company for further payments or the return of Company property to which he is not entitled.</w:t>
      </w:r>
    </w:p>
    <w:p>
      <w:pPr>
        <w:spacing w:after="0" w:line="201" w:lineRule="exact"/>
        <w:rPr>
          <w:rFonts w:ascii="Courier New" w:cs="Courier New" w:eastAsia="Courier New" w:hAnsi="Courier New"/>
          <w:sz w:val="16"/>
          <w:szCs w:val="16"/>
          <w:color w:val="auto"/>
        </w:rPr>
      </w:pPr>
    </w:p>
    <w:p>
      <w:pPr>
        <w:ind w:right="2399" w:firstLine="3"/>
        <w:spacing w:after="0" w:line="257" w:lineRule="auto"/>
        <w:tabs>
          <w:tab w:leader="none" w:pos="110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Mr. Gentner acknowledges that he is bound by an obligation of confidentiality to the Company. To the extent that Mr. Gentner possesses materials containing confidential information of the Company he has, or as of the Closing will, return such materials to the Company.</w:t>
      </w:r>
    </w:p>
    <w:p>
      <w:pPr>
        <w:spacing w:after="0" w:line="187" w:lineRule="exact"/>
        <w:rPr>
          <w:rFonts w:ascii="Courier New" w:cs="Courier New" w:eastAsia="Courier New" w:hAnsi="Courier New"/>
          <w:sz w:val="16"/>
          <w:szCs w:val="16"/>
          <w:color w:val="auto"/>
        </w:rPr>
      </w:pPr>
    </w:p>
    <w:p>
      <w:pPr>
        <w:ind w:right="2199" w:firstLine="3"/>
        <w:spacing w:after="0" w:line="239" w:lineRule="auto"/>
        <w:tabs>
          <w:tab w:leader="none" w:pos="110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Inventions. Mr. Gentner hereby assigns all "employment inventions", if any, to the Company that he has developed in the course of this employment by the Company. Mr. Gentner will execute all instruments as may be reasonably requested by the Company to give full effect to the assignment set forth in this section. For purposes hereof, "employment inventions" shall have the meaning set forth in Section 34-39-2 of the Utah Employment Inventions Act.</w:t>
      </w:r>
    </w:p>
    <w:p>
      <w:pPr>
        <w:sectPr>
          <w:pgSz w:w="11900" w:h="16838" w:orient="portrait"/>
          <w:cols w:equalWidth="0" w:num="1">
            <w:col w:w="10219"/>
          </w:cols>
          <w:pgMar w:left="240" w:top="13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2</w:t>
      </w:r>
    </w:p>
    <w:p>
      <w:pPr>
        <w:spacing w:after="0" w:line="193" w:lineRule="exact"/>
        <w:rPr>
          <w:sz w:val="20"/>
          <w:szCs w:val="20"/>
          <w:color w:val="auto"/>
        </w:rPr>
      </w:pPr>
    </w:p>
    <w:p>
      <w:pPr>
        <w:ind w:left="1100" w:hanging="1097"/>
        <w:spacing w:after="0"/>
        <w:tabs>
          <w:tab w:leader="none" w:pos="11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Covenant Not to Compete.</w:t>
      </w:r>
    </w:p>
    <w:p>
      <w:pPr>
        <w:spacing w:after="0" w:line="198" w:lineRule="exact"/>
        <w:rPr>
          <w:sz w:val="20"/>
          <w:szCs w:val="20"/>
          <w:color w:val="auto"/>
        </w:rPr>
      </w:pPr>
    </w:p>
    <w:p>
      <w:pPr>
        <w:ind w:right="2199" w:firstLine="1102"/>
        <w:spacing w:after="0" w:line="255" w:lineRule="auto"/>
        <w:rPr>
          <w:sz w:val="20"/>
          <w:szCs w:val="20"/>
          <w:color w:val="auto"/>
        </w:rPr>
      </w:pPr>
      <w:r>
        <w:rPr>
          <w:rFonts w:ascii="Courier New" w:cs="Courier New" w:eastAsia="Courier New" w:hAnsi="Courier New"/>
          <w:sz w:val="16"/>
          <w:szCs w:val="16"/>
          <w:color w:val="auto"/>
        </w:rPr>
        <w:t>6.1 Mr. Gentner agrees that from the date hereof through June 30, 1998 (the "Non-Compete Period"), he will not compete with the Company. For purposes hereof, "compete" means owning, managing, operating or controlling, or participating in the ownership, management, operation or control, or being connected with or having any interest in, as a stockholder, director, officer, employee, agent, consultant, sole proprietor, partner or otherwise, of any business (other than the Company) which markets and sells the following products or services: teleconferencing echo cancellation products including products directly competing with the AP-800, broadcast telephone products, remote site control products, assistive listening products, and conference calling services (each, a "Competing Business"). Provided, however, that this prohibition shall not apply to ownership of less than one percent (1%) of the voting stock in companies whose stock is traded on a national securities exchange or in the over the counter market. Additionally, during the Non-Compete Period, Mr. Gentner agrees that he will not solicit employees of the Company for the purpose of inducing them to leave the Company's employ. During the Non-Compete Period, Mr. Gentner agrees that he will not solicit the Company's customers, sales representatives, and dealers for the purpose of providing them with products or services competing with those of the Company described above.</w:t>
      </w:r>
    </w:p>
    <w:p>
      <w:pPr>
        <w:spacing w:after="0" w:line="196" w:lineRule="exact"/>
        <w:rPr>
          <w:sz w:val="20"/>
          <w:szCs w:val="20"/>
          <w:color w:val="auto"/>
        </w:rPr>
      </w:pPr>
    </w:p>
    <w:p>
      <w:pPr>
        <w:ind w:right="2199" w:firstLine="1102"/>
        <w:spacing w:after="0" w:line="255" w:lineRule="auto"/>
        <w:rPr>
          <w:sz w:val="20"/>
          <w:szCs w:val="20"/>
          <w:color w:val="auto"/>
        </w:rPr>
      </w:pPr>
      <w:r>
        <w:rPr>
          <w:rFonts w:ascii="Courier New" w:cs="Courier New" w:eastAsia="Courier New" w:hAnsi="Courier New"/>
          <w:sz w:val="16"/>
          <w:szCs w:val="16"/>
          <w:color w:val="auto"/>
        </w:rPr>
        <w:t>6.2 Mr. Gentner may not use the name "Gentner" as a part of the name, "dba", "aka", or otherwise, in any Competing Business. However, in the event the Company ceases to use the name "Gentner" in the name of the Company and as a brand name, Mr. Gentner may freely use the name "Gentner" at any time subsequent to 24 months after the Company ceases final use of the name. In the event that Mr. Gentner thereafter uses the name the Company may not revert to the use of the name "Gentner". In addition, Mr. Gentner hereby grants to the Company an irrevocable license to the use of the name "Gentner". Such license shall cover any and all intellectual property rights that Mr. Gentner may have in the name "Gentner", including common law or registered trademarks, whether now existing or hereafter obtained. The Company agrees that it will only use the "Gentner" name in association with products and services of a high quality.</w:t>
      </w:r>
    </w:p>
    <w:p>
      <w:pPr>
        <w:spacing w:after="0" w:line="189" w:lineRule="exact"/>
        <w:rPr>
          <w:sz w:val="20"/>
          <w:szCs w:val="20"/>
          <w:color w:val="auto"/>
        </w:rPr>
      </w:pPr>
    </w:p>
    <w:p>
      <w:pPr>
        <w:ind w:left="1100" w:hanging="1097"/>
        <w:spacing w:after="0"/>
        <w:tabs>
          <w:tab w:leader="none" w:pos="11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of Claims.</w:t>
      </w:r>
    </w:p>
    <w:p>
      <w:pPr>
        <w:spacing w:after="0" w:line="198"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7.1 Mr. Gentner, on behalf of himself and each of his partners, affiliates, associates, agents, representatives, predecessors, successors, and assigns, past, present, and future, hereby releases and forever discharges the Company and each of its respective affiliates, associates, officers, directors, shareholders, employees, attorneys, accountants, insurers, agents, representatives, predecessors, successors, and assigns, past, present, and future, from any and all legal claims, demands, liens, agreements, contracts, covenants, actions, suits, causes of action, obligations, controversies, debts, costs, expenses, damages, judgments, orders, and liabilities of whatever kind or nature in law, equity, or otherwise, whether now known or unknown, suspected or unsuspected, concealed or hidden, of any kind or nature whatsoever arising from his separation from the Company, employment by the Company, service as a director and officer of the Company, and for which Mr. Gentner had actual knowledge.</w:t>
      </w:r>
    </w:p>
    <w:p>
      <w:pPr>
        <w:spacing w:after="0" w:line="206" w:lineRule="exact"/>
        <w:rPr>
          <w:sz w:val="20"/>
          <w:szCs w:val="20"/>
          <w:color w:val="auto"/>
        </w:rPr>
      </w:pPr>
    </w:p>
    <w:p>
      <w:pPr>
        <w:ind w:right="2199" w:firstLine="1102"/>
        <w:spacing w:after="0" w:line="239" w:lineRule="auto"/>
        <w:rPr>
          <w:sz w:val="20"/>
          <w:szCs w:val="20"/>
          <w:color w:val="auto"/>
        </w:rPr>
      </w:pPr>
      <w:r>
        <w:rPr>
          <w:rFonts w:ascii="Courier New" w:cs="Courier New" w:eastAsia="Courier New" w:hAnsi="Courier New"/>
          <w:sz w:val="17"/>
          <w:szCs w:val="17"/>
          <w:color w:val="auto"/>
        </w:rPr>
        <w:t>7.2 The Company on behalf of itself, board of directors, officers, its employees, attorneys, accountants, insurers, associates, agents, representatives, predecessors, successors, and assigns, past present, and future, hereby releases and forever discharges Mr. Gentner from any and all legal claims, demands, liens, agreements, contracts, covenants, actions, suits, causes of action, obligations, controversies, debts, costs, expenses, damages, judgments, orders, and liabilities of whatever kind or nature in law, equity, or otherwise, arising from Mr. Gentner's service to the Company as an employee, officer, director or shareholder, and of which the Board of Directors had actual knowledge.</w:t>
      </w:r>
    </w:p>
    <w:p>
      <w:pPr>
        <w:spacing w:after="0" w:line="197" w:lineRule="exact"/>
        <w:rPr>
          <w:sz w:val="20"/>
          <w:szCs w:val="20"/>
          <w:color w:val="auto"/>
        </w:rPr>
      </w:pPr>
    </w:p>
    <w:p>
      <w:pPr>
        <w:ind w:left="1100" w:hanging="1097"/>
        <w:spacing w:after="0"/>
        <w:tabs>
          <w:tab w:leader="none" w:pos="11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Closing and Conditions to Closing.</w:t>
      </w:r>
    </w:p>
    <w:p>
      <w:pPr>
        <w:spacing w:after="0" w:line="198" w:lineRule="exact"/>
        <w:rPr>
          <w:sz w:val="20"/>
          <w:szCs w:val="20"/>
          <w:color w:val="auto"/>
        </w:rPr>
      </w:pPr>
    </w:p>
    <w:p>
      <w:pPr>
        <w:jc w:val="both"/>
        <w:ind w:right="2499" w:firstLine="1303"/>
        <w:spacing w:after="0" w:line="259" w:lineRule="auto"/>
        <w:rPr>
          <w:sz w:val="20"/>
          <w:szCs w:val="20"/>
          <w:color w:val="auto"/>
        </w:rPr>
      </w:pPr>
      <w:r>
        <w:rPr>
          <w:rFonts w:ascii="Courier New" w:cs="Courier New" w:eastAsia="Courier New" w:hAnsi="Courier New"/>
          <w:sz w:val="16"/>
          <w:szCs w:val="16"/>
          <w:color w:val="auto"/>
        </w:rPr>
        <w:t>8.1 The "Closing" of the matters described herein shall occur at the offices of Jones, Waldo, Holbrook &amp; McDonough, P.C. on April 15, 1998 at 5:00 P.M., or such other date and time mutually agreeable to the parties.</w:t>
      </w:r>
    </w:p>
    <w:p>
      <w:pPr>
        <w:spacing w:after="0" w:line="179"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8.2 The Company's conditions to Closing are as follows:</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8.2.1 execution and delivery of this Agreement;</w:t>
      </w:r>
    </w:p>
    <w:p>
      <w:pPr>
        <w:spacing w:after="0" w:line="198" w:lineRule="exact"/>
        <w:rPr>
          <w:sz w:val="20"/>
          <w:szCs w:val="20"/>
          <w:color w:val="auto"/>
        </w:rPr>
      </w:pPr>
    </w:p>
    <w:p>
      <w:pPr>
        <w:ind w:left="1300" w:right="2199" w:firstLine="802"/>
        <w:spacing w:after="0" w:line="238" w:lineRule="auto"/>
        <w:rPr>
          <w:sz w:val="20"/>
          <w:szCs w:val="20"/>
          <w:color w:val="auto"/>
        </w:rPr>
      </w:pPr>
      <w:r>
        <w:rPr>
          <w:rFonts w:ascii="Courier New" w:cs="Courier New" w:eastAsia="Courier New" w:hAnsi="Courier New"/>
          <w:sz w:val="17"/>
          <w:szCs w:val="17"/>
          <w:color w:val="auto"/>
        </w:rPr>
        <w:t>8.2.2 the simultaneous closing of the transactions described in and contemplated by that certain Stock and Options Purchase Agreement between Mr. Gentner and E. Christine Gentner, as the "Seller" thereunder, and Edward Dallin Bagley as the "Purchaser" thereunder (the "Purchase</w:t>
      </w:r>
    </w:p>
    <w:p>
      <w:pPr>
        <w:sectPr>
          <w:pgSz w:w="11900" w:h="16838" w:orient="portrait"/>
          <w:cols w:equalWidth="0" w:num="1">
            <w:col w:w="10219"/>
          </w:cols>
          <w:pgMar w:left="240" w:top="303" w:right="1440" w:bottom="555"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3</w:t>
      </w:r>
    </w:p>
    <w:p>
      <w:pPr>
        <w:spacing w:after="0" w:line="391" w:lineRule="exact"/>
        <w:rPr>
          <w:sz w:val="20"/>
          <w:szCs w:val="20"/>
          <w:color w:val="auto"/>
        </w:rPr>
      </w:pPr>
    </w:p>
    <w:p>
      <w:pPr>
        <w:jc w:val="both"/>
        <w:ind w:left="1300" w:right="2899"/>
        <w:spacing w:after="0" w:line="259" w:lineRule="auto"/>
        <w:rPr>
          <w:sz w:val="20"/>
          <w:szCs w:val="20"/>
          <w:color w:val="auto"/>
        </w:rPr>
      </w:pPr>
      <w:r>
        <w:rPr>
          <w:rFonts w:ascii="Courier New" w:cs="Courier New" w:eastAsia="Courier New" w:hAnsi="Courier New"/>
          <w:sz w:val="16"/>
          <w:szCs w:val="16"/>
          <w:color w:val="auto"/>
        </w:rPr>
        <w:t>Agreement"), pursuant to which Mr. Gentner (and E. Christine Gentner, as applicable) will sell all Shares and Options (as defined therein) held by them in the Company to Purchaser;</w:t>
      </w:r>
    </w:p>
    <w:p>
      <w:pPr>
        <w:spacing w:after="0" w:line="184" w:lineRule="exact"/>
        <w:rPr>
          <w:sz w:val="20"/>
          <w:szCs w:val="20"/>
          <w:color w:val="auto"/>
        </w:rPr>
      </w:pPr>
    </w:p>
    <w:p>
      <w:pPr>
        <w:ind w:left="1300" w:right="2399" w:firstLine="802"/>
        <w:spacing w:after="0" w:line="236" w:lineRule="auto"/>
        <w:rPr>
          <w:sz w:val="20"/>
          <w:szCs w:val="20"/>
          <w:color w:val="auto"/>
        </w:rPr>
      </w:pPr>
      <w:r>
        <w:rPr>
          <w:rFonts w:ascii="Courier New" w:cs="Courier New" w:eastAsia="Courier New" w:hAnsi="Courier New"/>
          <w:sz w:val="17"/>
          <w:szCs w:val="17"/>
          <w:color w:val="auto"/>
        </w:rPr>
        <w:t>8.2.3 receipt of Mr. Gentner's resignation from the Board of Directors dated as of the date hereof; and</w:t>
      </w:r>
    </w:p>
    <w:p>
      <w:pPr>
        <w:spacing w:after="0" w:line="199" w:lineRule="exact"/>
        <w:rPr>
          <w:sz w:val="20"/>
          <w:szCs w:val="20"/>
          <w:color w:val="auto"/>
        </w:rPr>
      </w:pPr>
    </w:p>
    <w:p>
      <w:pPr>
        <w:ind w:left="1300" w:right="2299" w:firstLine="802"/>
        <w:spacing w:after="0" w:line="236" w:lineRule="auto"/>
        <w:rPr>
          <w:sz w:val="20"/>
          <w:szCs w:val="20"/>
          <w:color w:val="auto"/>
        </w:rPr>
      </w:pPr>
      <w:r>
        <w:rPr>
          <w:rFonts w:ascii="Courier New" w:cs="Courier New" w:eastAsia="Courier New" w:hAnsi="Courier New"/>
          <w:sz w:val="17"/>
          <w:szCs w:val="17"/>
          <w:color w:val="auto"/>
        </w:rPr>
        <w:t>8.2.4 approval of this Agreement by the Board of Directors of the Company.</w:t>
      </w:r>
    </w:p>
    <w:p>
      <w:pPr>
        <w:spacing w:after="0" w:line="19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8.3 Mr. Gentner's conditions to Closing are as follows:</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8.3.1 execution and delivery of this Agreement;</w:t>
      </w:r>
    </w:p>
    <w:p>
      <w:pPr>
        <w:spacing w:after="0" w:line="198" w:lineRule="exact"/>
        <w:rPr>
          <w:sz w:val="20"/>
          <w:szCs w:val="20"/>
          <w:color w:val="auto"/>
        </w:rPr>
      </w:pPr>
    </w:p>
    <w:p>
      <w:pPr>
        <w:ind w:left="1300" w:right="2699" w:firstLine="802"/>
        <w:spacing w:after="0" w:line="236" w:lineRule="auto"/>
        <w:rPr>
          <w:sz w:val="20"/>
          <w:szCs w:val="20"/>
          <w:color w:val="auto"/>
        </w:rPr>
      </w:pPr>
      <w:r>
        <w:rPr>
          <w:rFonts w:ascii="Courier New" w:cs="Courier New" w:eastAsia="Courier New" w:hAnsi="Courier New"/>
          <w:sz w:val="17"/>
          <w:szCs w:val="17"/>
          <w:color w:val="auto"/>
        </w:rPr>
        <w:t>8.3.2 the simultaneous closing of the transactions set forth in the Purchase Agreement;</w:t>
      </w:r>
    </w:p>
    <w:p>
      <w:pPr>
        <w:spacing w:after="0" w:line="19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8.3.3 delivery of a payroll check for the Additional</w:t>
      </w:r>
    </w:p>
    <w:p>
      <w:pPr>
        <w:ind w:left="1300"/>
        <w:spacing w:after="0"/>
        <w:rPr>
          <w:sz w:val="20"/>
          <w:szCs w:val="20"/>
          <w:color w:val="auto"/>
        </w:rPr>
      </w:pPr>
      <w:r>
        <w:rPr>
          <w:rFonts w:ascii="Courier New" w:cs="Courier New" w:eastAsia="Courier New" w:hAnsi="Courier New"/>
          <w:sz w:val="17"/>
          <w:szCs w:val="17"/>
          <w:color w:val="auto"/>
        </w:rPr>
        <w:t>Salary;</w:t>
      </w:r>
    </w:p>
    <w:p>
      <w:pPr>
        <w:spacing w:after="0" w:line="198" w:lineRule="exact"/>
        <w:rPr>
          <w:sz w:val="20"/>
          <w:szCs w:val="20"/>
          <w:color w:val="auto"/>
        </w:rPr>
      </w:pPr>
    </w:p>
    <w:p>
      <w:pPr>
        <w:jc w:val="both"/>
        <w:ind w:left="1300" w:right="2499" w:firstLine="802"/>
        <w:spacing w:after="0" w:line="237" w:lineRule="auto"/>
        <w:rPr>
          <w:sz w:val="20"/>
          <w:szCs w:val="20"/>
          <w:color w:val="auto"/>
        </w:rPr>
      </w:pPr>
      <w:r>
        <w:rPr>
          <w:rFonts w:ascii="Courier New" w:cs="Courier New" w:eastAsia="Courier New" w:hAnsi="Courier New"/>
          <w:sz w:val="17"/>
          <w:szCs w:val="17"/>
          <w:color w:val="auto"/>
        </w:rPr>
        <w:t>8.3.4 delivery of the title or other mutually acceptable instruments for the Nissan Pathfinder described in Section 2.3, above;</w:t>
      </w:r>
    </w:p>
    <w:p>
      <w:pPr>
        <w:spacing w:after="0" w:line="200" w:lineRule="exact"/>
        <w:rPr>
          <w:sz w:val="20"/>
          <w:szCs w:val="20"/>
          <w:color w:val="auto"/>
        </w:rPr>
      </w:pPr>
    </w:p>
    <w:p>
      <w:pPr>
        <w:ind w:left="1300" w:right="2299" w:firstLine="802"/>
        <w:spacing w:after="0" w:line="236" w:lineRule="auto"/>
        <w:rPr>
          <w:sz w:val="20"/>
          <w:szCs w:val="20"/>
          <w:color w:val="auto"/>
        </w:rPr>
      </w:pPr>
      <w:r>
        <w:rPr>
          <w:rFonts w:ascii="Courier New" w:cs="Courier New" w:eastAsia="Courier New" w:hAnsi="Courier New"/>
          <w:sz w:val="17"/>
          <w:szCs w:val="17"/>
          <w:color w:val="auto"/>
        </w:rPr>
        <w:t>8.3.5 execution and delivery of the Written Consent of the Compensation Committee of the Board of Directors; and</w:t>
      </w:r>
    </w:p>
    <w:p>
      <w:pPr>
        <w:spacing w:after="0" w:line="199" w:lineRule="exact"/>
        <w:rPr>
          <w:sz w:val="20"/>
          <w:szCs w:val="20"/>
          <w:color w:val="auto"/>
        </w:rPr>
      </w:pPr>
    </w:p>
    <w:p>
      <w:pPr>
        <w:jc w:val="both"/>
        <w:ind w:left="1300" w:right="2199" w:firstLine="802"/>
        <w:spacing w:after="0" w:line="237" w:lineRule="auto"/>
        <w:rPr>
          <w:sz w:val="20"/>
          <w:szCs w:val="20"/>
          <w:color w:val="auto"/>
        </w:rPr>
      </w:pPr>
      <w:r>
        <w:rPr>
          <w:rFonts w:ascii="Courier New" w:cs="Courier New" w:eastAsia="Courier New" w:hAnsi="Courier New"/>
          <w:sz w:val="17"/>
          <w:szCs w:val="17"/>
          <w:color w:val="auto"/>
        </w:rPr>
        <w:t>8.3.6 a letter from the Company Vice President for Finance stating that the Company's lien described in Section 2.2, above, is released.</w:t>
      </w:r>
    </w:p>
    <w:p>
      <w:pPr>
        <w:spacing w:after="0" w:line="200" w:lineRule="exact"/>
        <w:rPr>
          <w:sz w:val="20"/>
          <w:szCs w:val="20"/>
          <w:color w:val="auto"/>
        </w:rPr>
      </w:pPr>
    </w:p>
    <w:p>
      <w:pPr>
        <w:ind w:right="2199" w:firstLine="3"/>
        <w:spacing w:after="0" w:line="239" w:lineRule="auto"/>
        <w:tabs>
          <w:tab w:leader="none" w:pos="13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Post-Separation Actions. The parties desire to provide for an amicable separation and, accordingly, covenant and agree that after the date hereof they shall not do anything to disparage or impair the business or business reputation of the other party. In this regard, the parties have agreed to the statement attached hereto as Exhibit A. The preceding sentences shall not preclude either party from making legally required disclosures. The parties agree that liquidated damages of $5,000 per incident shall apply to a breach of this Section.</w:t>
      </w:r>
    </w:p>
    <w:p>
      <w:pPr>
        <w:spacing w:after="0" w:line="194" w:lineRule="exact"/>
        <w:rPr>
          <w:rFonts w:ascii="Courier New" w:cs="Courier New" w:eastAsia="Courier New" w:hAnsi="Courier New"/>
          <w:sz w:val="17"/>
          <w:szCs w:val="17"/>
          <w:color w:val="auto"/>
        </w:rPr>
      </w:pPr>
    </w:p>
    <w:p>
      <w:pPr>
        <w:ind w:left="1300" w:hanging="1297"/>
        <w:spacing w:after="0"/>
        <w:tabs>
          <w:tab w:leader="none" w:pos="13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199" w:firstLine="1303"/>
        <w:spacing w:after="0" w:line="256" w:lineRule="auto"/>
        <w:rPr>
          <w:sz w:val="20"/>
          <w:szCs w:val="20"/>
          <w:color w:val="auto"/>
        </w:rPr>
      </w:pPr>
      <w:r>
        <w:rPr>
          <w:rFonts w:ascii="Courier New" w:cs="Courier New" w:eastAsia="Courier New" w:hAnsi="Courier New"/>
          <w:sz w:val="16"/>
          <w:szCs w:val="16"/>
          <w:color w:val="auto"/>
        </w:rPr>
        <w:t>10.1 Non-Assignment of Claims. Mr. Gentner and the Company represent and warrant that they have not assigned or transferred or attempted to assign or transfer to anyone any right, suit, demand, action, or cause of action based upon or arising out of or pertaining to or concerning or connected with any of the matters or things released herein. Each party shall indemnify and hold harmless the other from and against any and all actions or causes of action based upon or arising in connection with any such assignment or transfer or any attempted assignment or transfer or any such action or other matter.</w:t>
      </w:r>
    </w:p>
    <w:p>
      <w:pPr>
        <w:spacing w:after="0" w:line="188" w:lineRule="exact"/>
        <w:rPr>
          <w:sz w:val="20"/>
          <w:szCs w:val="20"/>
          <w:color w:val="auto"/>
        </w:rPr>
      </w:pPr>
    </w:p>
    <w:p>
      <w:pPr>
        <w:ind w:right="2299" w:firstLine="1303"/>
        <w:spacing w:after="0" w:line="238" w:lineRule="auto"/>
        <w:rPr>
          <w:sz w:val="20"/>
          <w:szCs w:val="20"/>
          <w:color w:val="auto"/>
        </w:rPr>
      </w:pPr>
      <w:r>
        <w:rPr>
          <w:rFonts w:ascii="Courier New" w:cs="Courier New" w:eastAsia="Courier New" w:hAnsi="Courier New"/>
          <w:sz w:val="17"/>
          <w:szCs w:val="17"/>
          <w:color w:val="auto"/>
        </w:rPr>
        <w:t>10.2 Notices. All notices and other communications given hereunder shall be deemed to have been duly given when delivered in person, by mail (registered or certified postage prepaid, return receipt requested) by telefax, or by overnight courier, to the respective parties, as follows</w:t>
      </w:r>
    </w:p>
    <w:p>
      <w:pPr>
        <w:spacing w:after="0" w:line="194" w:lineRule="exact"/>
        <w:rPr>
          <w:sz w:val="20"/>
          <w:szCs w:val="20"/>
          <w:color w:val="auto"/>
        </w:rPr>
      </w:pPr>
    </w:p>
    <w:p>
      <w:pPr>
        <w:ind w:left="1300"/>
        <w:spacing w:after="0"/>
        <w:tabs>
          <w:tab w:leader="none" w:pos="3080" w:val="left"/>
        </w:tabs>
        <w:rPr>
          <w:sz w:val="20"/>
          <w:szCs w:val="20"/>
          <w:color w:val="auto"/>
        </w:rPr>
      </w:pPr>
      <w:r>
        <w:rPr>
          <w:rFonts w:ascii="Courier New" w:cs="Courier New" w:eastAsia="Courier New" w:hAnsi="Courier New"/>
          <w:sz w:val="17"/>
          <w:szCs w:val="17"/>
          <w:color w:val="auto"/>
        </w:rPr>
        <w:t>To the Company:</w:t>
      </w:r>
      <w:r>
        <w:rPr>
          <w:sz w:val="20"/>
          <w:szCs w:val="20"/>
          <w:color w:val="auto"/>
        </w:rPr>
        <w:tab/>
      </w:r>
      <w:r>
        <w:rPr>
          <w:rFonts w:ascii="Courier New" w:cs="Courier New" w:eastAsia="Courier New" w:hAnsi="Courier New"/>
          <w:sz w:val="16"/>
          <w:szCs w:val="16"/>
          <w:color w:val="auto"/>
        </w:rPr>
        <w:t>Gentner Communications Corporation</w:t>
      </w:r>
    </w:p>
    <w:p>
      <w:pPr>
        <w:ind w:left="3620"/>
        <w:spacing w:after="0"/>
        <w:rPr>
          <w:sz w:val="20"/>
          <w:szCs w:val="20"/>
          <w:color w:val="auto"/>
        </w:rPr>
      </w:pPr>
      <w:r>
        <w:rPr>
          <w:rFonts w:ascii="Courier New" w:cs="Courier New" w:eastAsia="Courier New" w:hAnsi="Courier New"/>
          <w:sz w:val="17"/>
          <w:szCs w:val="17"/>
          <w:color w:val="auto"/>
        </w:rPr>
        <w:t>1825 Research Way</w:t>
      </w:r>
    </w:p>
    <w:p>
      <w:pPr>
        <w:ind w:left="3620"/>
        <w:spacing w:after="0"/>
        <w:rPr>
          <w:sz w:val="20"/>
          <w:szCs w:val="20"/>
          <w:color w:val="auto"/>
        </w:rPr>
      </w:pPr>
      <w:r>
        <w:rPr>
          <w:rFonts w:ascii="Courier New" w:cs="Courier New" w:eastAsia="Courier New" w:hAnsi="Courier New"/>
          <w:sz w:val="17"/>
          <w:szCs w:val="17"/>
          <w:color w:val="auto"/>
        </w:rPr>
        <w:t>Salt Lake City, UT 84119</w:t>
      </w:r>
    </w:p>
    <w:p>
      <w:pPr>
        <w:ind w:left="3620"/>
        <w:spacing w:after="0"/>
        <w:rPr>
          <w:sz w:val="20"/>
          <w:szCs w:val="20"/>
          <w:color w:val="auto"/>
        </w:rPr>
      </w:pPr>
      <w:r>
        <w:rPr>
          <w:rFonts w:ascii="Courier New" w:cs="Courier New" w:eastAsia="Courier New" w:hAnsi="Courier New"/>
          <w:sz w:val="17"/>
          <w:szCs w:val="17"/>
          <w:color w:val="auto"/>
        </w:rPr>
        <w:t>Fax: 801-977-0087</w:t>
      </w:r>
    </w:p>
    <w:p>
      <w:pPr>
        <w:ind w:left="3620"/>
        <w:spacing w:after="0"/>
        <w:rPr>
          <w:sz w:val="20"/>
          <w:szCs w:val="20"/>
          <w:color w:val="auto"/>
        </w:rPr>
      </w:pPr>
      <w:r>
        <w:rPr>
          <w:rFonts w:ascii="Courier New" w:cs="Courier New" w:eastAsia="Courier New" w:hAnsi="Courier New"/>
          <w:sz w:val="17"/>
          <w:szCs w:val="17"/>
          <w:color w:val="auto"/>
        </w:rPr>
        <w:t>Attention: Frances Flood, President</w:t>
      </w:r>
    </w:p>
    <w:p>
      <w:pPr>
        <w:spacing w:after="0" w:line="198" w:lineRule="exact"/>
        <w:rPr>
          <w:sz w:val="20"/>
          <w:szCs w:val="20"/>
          <w:color w:val="auto"/>
        </w:rPr>
      </w:pPr>
    </w:p>
    <w:p>
      <w:pPr>
        <w:ind w:left="3100" w:right="3099" w:hanging="2304"/>
        <w:spacing w:after="0" w:line="238" w:lineRule="auto"/>
        <w:tabs>
          <w:tab w:leader="none" w:pos="3080" w:val="left"/>
        </w:tabs>
        <w:rPr>
          <w:sz w:val="20"/>
          <w:szCs w:val="20"/>
          <w:color w:val="auto"/>
        </w:rPr>
      </w:pPr>
      <w:r>
        <w:rPr>
          <w:rFonts w:ascii="Courier New" w:cs="Courier New" w:eastAsia="Courier New" w:hAnsi="Courier New"/>
          <w:sz w:val="17"/>
          <w:szCs w:val="17"/>
          <w:color w:val="auto"/>
        </w:rPr>
        <w:t>With a copy to:</w:t>
        <w:tab/>
        <w:t>Jones, Waldo, Holbrook &amp; McDonough, P.C. 170 South Main St., Suite 1500 Salt Lake City, UT 84101-1644 Fax: 801-328-0537</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Attention: Ronald S. Poelman, Esq.</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4</w:t>
      </w:r>
    </w:p>
    <w:p>
      <w:pPr>
        <w:spacing w:after="0" w:line="193" w:lineRule="exact"/>
        <w:rPr>
          <w:sz w:val="20"/>
          <w:szCs w:val="20"/>
          <w:color w:val="auto"/>
        </w:rPr>
      </w:pPr>
    </w:p>
    <w:p>
      <w:pPr>
        <w:ind w:left="1300"/>
        <w:spacing w:after="0"/>
        <w:tabs>
          <w:tab w:leader="none" w:pos="3080" w:val="left"/>
        </w:tabs>
        <w:rPr>
          <w:sz w:val="20"/>
          <w:szCs w:val="20"/>
          <w:color w:val="auto"/>
        </w:rPr>
      </w:pPr>
      <w:r>
        <w:rPr>
          <w:rFonts w:ascii="Courier New" w:cs="Courier New" w:eastAsia="Courier New" w:hAnsi="Courier New"/>
          <w:sz w:val="17"/>
          <w:szCs w:val="17"/>
          <w:color w:val="auto"/>
        </w:rPr>
        <w:t>To Mr. Gentner:</w:t>
      </w:r>
      <w:r>
        <w:rPr>
          <w:sz w:val="20"/>
          <w:szCs w:val="20"/>
          <w:color w:val="auto"/>
        </w:rPr>
        <w:tab/>
      </w:r>
      <w:r>
        <w:rPr>
          <w:rFonts w:ascii="Courier New" w:cs="Courier New" w:eastAsia="Courier New" w:hAnsi="Courier New"/>
          <w:sz w:val="16"/>
          <w:szCs w:val="16"/>
          <w:color w:val="auto"/>
        </w:rPr>
        <w:t>Russell D. Gentner</w:t>
      </w:r>
    </w:p>
    <w:p>
      <w:pPr>
        <w:ind w:left="3620"/>
        <w:spacing w:after="0"/>
        <w:rPr>
          <w:sz w:val="20"/>
          <w:szCs w:val="20"/>
          <w:color w:val="auto"/>
        </w:rPr>
      </w:pPr>
      <w:r>
        <w:rPr>
          <w:rFonts w:ascii="Courier New" w:cs="Courier New" w:eastAsia="Courier New" w:hAnsi="Courier New"/>
          <w:sz w:val="17"/>
          <w:szCs w:val="17"/>
          <w:color w:val="auto"/>
        </w:rPr>
        <w:t>2534 Lark Spur Drive</w:t>
      </w:r>
    </w:p>
    <w:p>
      <w:pPr>
        <w:ind w:left="3620"/>
        <w:spacing w:after="0"/>
        <w:tabs>
          <w:tab w:leader="none" w:pos="5100" w:val="left"/>
        </w:tabs>
        <w:rPr>
          <w:sz w:val="20"/>
          <w:szCs w:val="20"/>
          <w:color w:val="auto"/>
        </w:rPr>
      </w:pPr>
      <w:r>
        <w:rPr>
          <w:rFonts w:ascii="Courier New" w:cs="Courier New" w:eastAsia="Courier New" w:hAnsi="Courier New"/>
          <w:sz w:val="17"/>
          <w:szCs w:val="17"/>
          <w:color w:val="auto"/>
        </w:rPr>
        <w:t>Park City, UT</w:t>
      </w:r>
      <w:r>
        <w:rPr>
          <w:sz w:val="20"/>
          <w:szCs w:val="20"/>
          <w:color w:val="auto"/>
        </w:rPr>
        <w:tab/>
      </w:r>
      <w:r>
        <w:rPr>
          <w:rFonts w:ascii="Courier New" w:cs="Courier New" w:eastAsia="Courier New" w:hAnsi="Courier New"/>
          <w:sz w:val="16"/>
          <w:szCs w:val="16"/>
          <w:color w:val="auto"/>
        </w:rPr>
        <w:t>84068</w:t>
      </w:r>
    </w:p>
    <w:p>
      <w:pPr>
        <w:ind w:left="3620"/>
        <w:spacing w:after="0"/>
        <w:rPr>
          <w:sz w:val="20"/>
          <w:szCs w:val="20"/>
          <w:color w:val="auto"/>
        </w:rPr>
      </w:pPr>
      <w:r>
        <w:rPr>
          <w:rFonts w:ascii="Courier New" w:cs="Courier New" w:eastAsia="Courier New" w:hAnsi="Courier New"/>
          <w:sz w:val="17"/>
          <w:szCs w:val="17"/>
          <w:color w:val="auto"/>
        </w:rPr>
        <w:t>Fax: 435-649-2610</w:t>
      </w:r>
    </w:p>
    <w:p>
      <w:pPr>
        <w:spacing w:after="0" w:line="386" w:lineRule="exact"/>
        <w:rPr>
          <w:sz w:val="20"/>
          <w:szCs w:val="20"/>
          <w:color w:val="auto"/>
        </w:rPr>
      </w:pPr>
    </w:p>
    <w:p>
      <w:pPr>
        <w:ind w:left="1300"/>
        <w:spacing w:after="0"/>
        <w:tabs>
          <w:tab w:leader="none" w:pos="3080" w:val="left"/>
        </w:tabs>
        <w:rPr>
          <w:sz w:val="20"/>
          <w:szCs w:val="20"/>
          <w:color w:val="auto"/>
        </w:rPr>
      </w:pPr>
      <w:r>
        <w:rPr>
          <w:rFonts w:ascii="Courier New" w:cs="Courier New" w:eastAsia="Courier New" w:hAnsi="Courier New"/>
          <w:sz w:val="17"/>
          <w:szCs w:val="17"/>
          <w:color w:val="auto"/>
        </w:rPr>
        <w:t>With a copy to:</w:t>
      </w:r>
      <w:r>
        <w:rPr>
          <w:sz w:val="20"/>
          <w:szCs w:val="20"/>
          <w:color w:val="auto"/>
        </w:rPr>
        <w:tab/>
      </w:r>
      <w:r>
        <w:rPr>
          <w:rFonts w:ascii="Courier New" w:cs="Courier New" w:eastAsia="Courier New" w:hAnsi="Courier New"/>
          <w:sz w:val="16"/>
          <w:szCs w:val="16"/>
          <w:color w:val="auto"/>
        </w:rPr>
        <w:t>Tesch, Thompson &amp; Vance, L.C.</w:t>
      </w:r>
    </w:p>
    <w:p>
      <w:pPr>
        <w:ind w:left="3620"/>
        <w:spacing w:after="0"/>
        <w:rPr>
          <w:sz w:val="20"/>
          <w:szCs w:val="20"/>
          <w:color w:val="auto"/>
        </w:rPr>
      </w:pPr>
      <w:r>
        <w:rPr>
          <w:rFonts w:ascii="Courier New" w:cs="Courier New" w:eastAsia="Courier New" w:hAnsi="Courier New"/>
          <w:sz w:val="17"/>
          <w:szCs w:val="17"/>
          <w:color w:val="auto"/>
        </w:rPr>
        <w:t>314 Main St., Suite 201</w:t>
      </w:r>
    </w:p>
    <w:p>
      <w:pPr>
        <w:ind w:left="3620"/>
        <w:spacing w:after="0"/>
        <w:rPr>
          <w:sz w:val="20"/>
          <w:szCs w:val="20"/>
          <w:color w:val="auto"/>
        </w:rPr>
      </w:pPr>
      <w:r>
        <w:rPr>
          <w:rFonts w:ascii="Courier New" w:cs="Courier New" w:eastAsia="Courier New" w:hAnsi="Courier New"/>
          <w:sz w:val="17"/>
          <w:szCs w:val="17"/>
          <w:color w:val="auto"/>
        </w:rPr>
        <w:t>Park City, UT 84060-3390</w:t>
      </w:r>
    </w:p>
    <w:p>
      <w:pPr>
        <w:ind w:left="3620"/>
        <w:spacing w:after="0"/>
        <w:rPr>
          <w:sz w:val="20"/>
          <w:szCs w:val="20"/>
          <w:color w:val="auto"/>
        </w:rPr>
      </w:pPr>
      <w:r>
        <w:rPr>
          <w:rFonts w:ascii="Courier New" w:cs="Courier New" w:eastAsia="Courier New" w:hAnsi="Courier New"/>
          <w:sz w:val="17"/>
          <w:szCs w:val="17"/>
          <w:color w:val="auto"/>
        </w:rPr>
        <w:t>Fax: 435-649-2561</w:t>
      </w:r>
    </w:p>
    <w:p>
      <w:pPr>
        <w:ind w:left="3620"/>
        <w:spacing w:after="0"/>
        <w:rPr>
          <w:sz w:val="20"/>
          <w:szCs w:val="20"/>
          <w:color w:val="auto"/>
        </w:rPr>
      </w:pPr>
      <w:r>
        <w:rPr>
          <w:rFonts w:ascii="Courier New" w:cs="Courier New" w:eastAsia="Courier New" w:hAnsi="Courier New"/>
          <w:sz w:val="17"/>
          <w:szCs w:val="17"/>
          <w:color w:val="auto"/>
        </w:rPr>
        <w:t>Attention: Joseph Tesch, Esq.</w:t>
      </w:r>
    </w:p>
    <w:p>
      <w:pPr>
        <w:spacing w:after="0" w:line="198"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Notice shall be deemed given on the date of delivery in person, on the date indicated on the return receipt in the case of notice by mail, and on the date of receipt of a correct electronic acknowledgment in the case of notice by telefax. Any party may change its address for notice by a notice duly given as aforesaid.</w:t>
      </w:r>
    </w:p>
    <w:p>
      <w:pPr>
        <w:spacing w:after="0" w:line="202" w:lineRule="exact"/>
        <w:rPr>
          <w:sz w:val="20"/>
          <w:szCs w:val="20"/>
          <w:color w:val="auto"/>
        </w:rPr>
      </w:pPr>
    </w:p>
    <w:p>
      <w:pPr>
        <w:ind w:right="2299" w:firstLine="1303"/>
        <w:spacing w:after="0" w:line="238" w:lineRule="auto"/>
        <w:rPr>
          <w:sz w:val="20"/>
          <w:szCs w:val="20"/>
          <w:color w:val="auto"/>
        </w:rPr>
      </w:pPr>
      <w:r>
        <w:rPr>
          <w:rFonts w:ascii="Courier New" w:cs="Courier New" w:eastAsia="Courier New" w:hAnsi="Courier New"/>
          <w:sz w:val="17"/>
          <w:szCs w:val="17"/>
          <w:color w:val="auto"/>
        </w:rPr>
        <w:t>10.3 Entire Agreement. This Agreement constitutes the final agreement of the parties hereto in relation to the matters set forth herein and supersedes any prior written or oral negotiation, correspondence, or understandings relating to the matters contemplated herein.</w:t>
      </w:r>
    </w:p>
    <w:p>
      <w:pPr>
        <w:spacing w:after="0" w:line="200" w:lineRule="exact"/>
        <w:rPr>
          <w:sz w:val="20"/>
          <w:szCs w:val="20"/>
          <w:color w:val="auto"/>
        </w:rPr>
      </w:pPr>
    </w:p>
    <w:p>
      <w:pPr>
        <w:ind w:right="2199" w:firstLine="1303"/>
        <w:spacing w:after="0" w:line="238" w:lineRule="auto"/>
        <w:rPr>
          <w:sz w:val="20"/>
          <w:szCs w:val="20"/>
          <w:color w:val="auto"/>
        </w:rPr>
      </w:pPr>
      <w:r>
        <w:rPr>
          <w:rFonts w:ascii="Courier New" w:cs="Courier New" w:eastAsia="Courier New" w:hAnsi="Courier New"/>
          <w:sz w:val="17"/>
          <w:szCs w:val="17"/>
          <w:color w:val="auto"/>
        </w:rPr>
        <w:t>10.4 Successors and Assigns. This Agreement shall be the obligation of Pledgor and shall be binding upon its respective heirs, personal representatives, successors, and permitted assigns. This Agreement may only be assigned with the consent of all of the parties hereto.</w:t>
      </w:r>
    </w:p>
    <w:p>
      <w:pPr>
        <w:spacing w:after="0" w:line="200" w:lineRule="exact"/>
        <w:rPr>
          <w:sz w:val="20"/>
          <w:szCs w:val="20"/>
          <w:color w:val="auto"/>
        </w:rPr>
      </w:pPr>
    </w:p>
    <w:p>
      <w:pPr>
        <w:ind w:right="2399" w:firstLine="1303"/>
        <w:spacing w:after="0" w:line="257" w:lineRule="auto"/>
        <w:rPr>
          <w:sz w:val="20"/>
          <w:szCs w:val="20"/>
          <w:color w:val="auto"/>
        </w:rPr>
      </w:pPr>
      <w:r>
        <w:rPr>
          <w:rFonts w:ascii="Courier New" w:cs="Courier New" w:eastAsia="Courier New" w:hAnsi="Courier New"/>
          <w:sz w:val="16"/>
          <w:szCs w:val="16"/>
          <w:color w:val="auto"/>
        </w:rPr>
        <w:t>10.5 Attorneys' Fees. If any action is brought by either party to enforce the terms of this Agreement, the prevailing party shall be entitled to reimbursement from the non-prevailing party for all expenses incurred in connection with such action, including reasonable attorneys' fees.</w:t>
      </w:r>
    </w:p>
    <w:p>
      <w:pPr>
        <w:spacing w:after="0" w:line="187" w:lineRule="exact"/>
        <w:rPr>
          <w:sz w:val="20"/>
          <w:szCs w:val="20"/>
          <w:color w:val="auto"/>
        </w:rPr>
      </w:pPr>
    </w:p>
    <w:p>
      <w:pPr>
        <w:ind w:right="2299" w:firstLine="1303"/>
        <w:spacing w:after="0" w:line="238" w:lineRule="auto"/>
        <w:rPr>
          <w:sz w:val="20"/>
          <w:szCs w:val="20"/>
          <w:color w:val="auto"/>
        </w:rPr>
      </w:pPr>
      <w:r>
        <w:rPr>
          <w:rFonts w:ascii="Courier New" w:cs="Courier New" w:eastAsia="Courier New" w:hAnsi="Courier New"/>
          <w:sz w:val="17"/>
          <w:szCs w:val="17"/>
          <w:color w:val="auto"/>
        </w:rPr>
        <w:t>10.6 Further Assurances. The parties intend this Agreement to be a complete and final settlement of all matters between them. Accordingly, each party agrees to execute such further documents and to take such further actions as may be necessary or desirable to finally and fully settle all matters which have arisen or which may subsequently arise between them.</w:t>
      </w:r>
    </w:p>
    <w:p>
      <w:pPr>
        <w:spacing w:after="0" w:line="202" w:lineRule="exact"/>
        <w:rPr>
          <w:sz w:val="20"/>
          <w:szCs w:val="20"/>
          <w:color w:val="auto"/>
        </w:rPr>
      </w:pPr>
    </w:p>
    <w:p>
      <w:pPr>
        <w:jc w:val="both"/>
        <w:ind w:right="2399" w:firstLine="1303"/>
        <w:spacing w:after="0" w:line="255" w:lineRule="auto"/>
        <w:rPr>
          <w:sz w:val="20"/>
          <w:szCs w:val="20"/>
          <w:color w:val="auto"/>
        </w:rPr>
      </w:pPr>
      <w:r>
        <w:rPr>
          <w:rFonts w:ascii="Courier New" w:cs="Courier New" w:eastAsia="Courier New" w:hAnsi="Courier New"/>
          <w:sz w:val="16"/>
          <w:szCs w:val="16"/>
          <w:color w:val="auto"/>
        </w:rPr>
        <w:t>10.7 Equitable Remedies. Each party acknowledges and agrees that the breach or threatened breach of certain provisions of this Agreement would cause irreparable harm for which damages at law would be an inadequate remedy.</w:t>
      </w:r>
    </w:p>
    <w:p>
      <w:pPr>
        <w:ind w:right="2199"/>
        <w:spacing w:after="0" w:line="239" w:lineRule="auto"/>
        <w:rPr>
          <w:sz w:val="20"/>
          <w:szCs w:val="20"/>
          <w:color w:val="auto"/>
        </w:rPr>
      </w:pPr>
      <w:r>
        <w:rPr>
          <w:rFonts w:ascii="Courier New" w:cs="Courier New" w:eastAsia="Courier New" w:hAnsi="Courier New"/>
          <w:sz w:val="17"/>
          <w:szCs w:val="17"/>
          <w:color w:val="auto"/>
        </w:rPr>
        <w:t>Accordingly, each party hereby agrees that, in any such instance, the threatened or injured party shall be entitled to seek injunctive or other equitable relief in addition to any other remedy to which he (or it) may be entitled, including money damages. Moreover, other than the right to seek immediate injunctive relief, the parties agree that all disputes and alleged breaches of this agreement shall first be submitted to binding arbitration Salt Lake City, Utah, in accordance with the applicable rules and regulations of the American Arbitration Association.</w:t>
      </w:r>
    </w:p>
    <w:p>
      <w:pPr>
        <w:spacing w:after="0" w:line="200" w:lineRule="exact"/>
        <w:rPr>
          <w:sz w:val="20"/>
          <w:szCs w:val="20"/>
          <w:color w:val="auto"/>
        </w:rPr>
      </w:pPr>
    </w:p>
    <w:p>
      <w:pPr>
        <w:ind w:right="2299" w:firstLine="1303"/>
        <w:spacing w:after="0" w:line="237" w:lineRule="auto"/>
        <w:rPr>
          <w:sz w:val="20"/>
          <w:szCs w:val="20"/>
          <w:color w:val="auto"/>
        </w:rPr>
      </w:pPr>
      <w:r>
        <w:rPr>
          <w:rFonts w:ascii="Courier New" w:cs="Courier New" w:eastAsia="Courier New" w:hAnsi="Courier New"/>
          <w:sz w:val="17"/>
          <w:szCs w:val="17"/>
          <w:color w:val="auto"/>
        </w:rPr>
        <w:t>10.8 Severability. If any provision of this Agreement is found to be unenforceable by a court of competent jurisdiction, the remaining provisions shall nevertheless remain in full force and effect.</w:t>
      </w:r>
    </w:p>
    <w:p>
      <w:pPr>
        <w:spacing w:after="0" w:line="200" w:lineRule="exact"/>
        <w:rPr>
          <w:sz w:val="20"/>
          <w:szCs w:val="20"/>
          <w:color w:val="auto"/>
        </w:rPr>
      </w:pPr>
    </w:p>
    <w:p>
      <w:pPr>
        <w:ind w:right="2299" w:firstLine="1303"/>
        <w:spacing w:after="0" w:line="239" w:lineRule="auto"/>
        <w:rPr>
          <w:sz w:val="20"/>
          <w:szCs w:val="20"/>
          <w:color w:val="auto"/>
        </w:rPr>
      </w:pPr>
      <w:r>
        <w:rPr>
          <w:rFonts w:ascii="Courier New" w:cs="Courier New" w:eastAsia="Courier New" w:hAnsi="Courier New"/>
          <w:sz w:val="17"/>
          <w:szCs w:val="17"/>
          <w:color w:val="auto"/>
        </w:rPr>
        <w:t>10.9 Entire Agreement. This Agreement constitutes the full and complete understanding of the parties hereto with respect to the subject matter covered herein and supersedes all prior oral or written understandings and agreements with respect thereto. No modification or amendment to this Agreement shall be effective unless it is contained in a written document that is signed by both parties.</w:t>
      </w:r>
    </w:p>
    <w:p>
      <w:pPr>
        <w:spacing w:after="0" w:line="198" w:lineRule="exact"/>
        <w:rPr>
          <w:sz w:val="20"/>
          <w:szCs w:val="20"/>
          <w:color w:val="auto"/>
        </w:rPr>
      </w:pPr>
    </w:p>
    <w:p>
      <w:pPr>
        <w:ind w:right="3099" w:firstLine="1303"/>
        <w:spacing w:after="0" w:line="236" w:lineRule="auto"/>
        <w:rPr>
          <w:sz w:val="20"/>
          <w:szCs w:val="20"/>
          <w:color w:val="auto"/>
        </w:rPr>
      </w:pPr>
      <w:r>
        <w:rPr>
          <w:rFonts w:ascii="Courier New" w:cs="Courier New" w:eastAsia="Courier New" w:hAnsi="Courier New"/>
          <w:sz w:val="17"/>
          <w:szCs w:val="17"/>
          <w:color w:val="auto"/>
        </w:rPr>
        <w:t>10.10 Governing Law., This Agreement shall be governed and construed in accordance with the laws of the State of Utah.</w:t>
      </w:r>
    </w:p>
    <w:p>
      <w:pPr>
        <w:spacing w:after="0" w:line="199" w:lineRule="exact"/>
        <w:rPr>
          <w:sz w:val="20"/>
          <w:szCs w:val="20"/>
          <w:color w:val="auto"/>
        </w:rPr>
      </w:pPr>
    </w:p>
    <w:p>
      <w:pPr>
        <w:ind w:right="2599" w:firstLine="1303"/>
        <w:spacing w:after="0" w:line="262" w:lineRule="auto"/>
        <w:rPr>
          <w:sz w:val="20"/>
          <w:szCs w:val="20"/>
          <w:color w:val="auto"/>
        </w:rPr>
      </w:pPr>
      <w:r>
        <w:rPr>
          <w:rFonts w:ascii="Courier New" w:cs="Courier New" w:eastAsia="Courier New" w:hAnsi="Courier New"/>
          <w:sz w:val="16"/>
          <w:szCs w:val="16"/>
          <w:color w:val="auto"/>
        </w:rPr>
        <w:t>IN WITNESS WHEREOF, the parties have each signed this Agreement either personally or by his (or its) duly authorized representative.</w:t>
      </w:r>
    </w:p>
    <w:p>
      <w:pPr>
        <w:spacing w:after="0" w:line="370"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GENTNER COMMUNICATIONS CORPORATION</w:t>
      </w:r>
    </w:p>
    <w:p>
      <w:pPr>
        <w:sectPr>
          <w:pgSz w:w="11900" w:h="16838" w:orient="portrait"/>
          <w:cols w:equalWidth="0" w:num="1">
            <w:col w:w="10219"/>
          </w:cols>
          <w:pgMar w:left="240" w:top="303" w:right="1440" w:bottom="1130" w:gutter="0" w:footer="0" w:header="0"/>
        </w:sect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Russell D. Gentner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Russell D. Gentner</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/s/ Frances M. Flood</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Frances M. Flood, President</w:t>
      </w:r>
    </w:p>
    <w:p>
      <w:pPr>
        <w:sectPr>
          <w:pgSz w:w="11900" w:h="16838" w:orient="portrait"/>
          <w:cols w:equalWidth="0" w:num="2">
            <w:col w:w="3700" w:space="720"/>
            <w:col w:w="5799"/>
          </w:cols>
          <w:pgMar w:left="240" w:top="303" w:right="1440" w:bottom="113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w:t>
      </w: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Gentner Communications Announces Change in Board of Directors</w:t>
      </w:r>
    </w:p>
    <w:p>
      <w:pPr>
        <w:spacing w:after="0" w:line="198" w:lineRule="exact"/>
        <w:rPr>
          <w:sz w:val="20"/>
          <w:szCs w:val="20"/>
          <w:color w:val="auto"/>
        </w:rPr>
      </w:pPr>
    </w:p>
    <w:p>
      <w:pPr>
        <w:jc w:val="both"/>
        <w:ind w:right="2199"/>
        <w:spacing w:after="0" w:line="238" w:lineRule="auto"/>
        <w:rPr>
          <w:sz w:val="20"/>
          <w:szCs w:val="20"/>
          <w:color w:val="auto"/>
        </w:rPr>
      </w:pPr>
      <w:r>
        <w:rPr>
          <w:rFonts w:ascii="Courier New" w:cs="Courier New" w:eastAsia="Courier New" w:hAnsi="Courier New"/>
          <w:sz w:val="17"/>
          <w:szCs w:val="17"/>
          <w:color w:val="auto"/>
        </w:rPr>
        <w:t>Salt Lake City, Utah -- Gentner Communications announced today that former Chief Executive Officer and President, Russell D. Gentner has resigned his position as Chairman and member of the Board of Directors, and is no longer associated with the Company in any way.</w:t>
      </w:r>
    </w:p>
    <w:p>
      <w:pPr>
        <w:spacing w:after="0" w:line="200"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7"/>
          <w:szCs w:val="17"/>
          <w:color w:val="auto"/>
        </w:rPr>
        <w:t>Mr. Gentner's resignation is effective immediately. A board meeting is scheduled in the near future.</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Gentner Communications Corporation develops and manufactures audio solutions for the broadcast, teleconferencing, and assistive listening markets. Gentner's mission is to help build synergistic relationships between people who are geographically separated by providing customers with total audio solutions. The Company has a wide product and service mix featuring telephone interface products, audio conferencing products, assistive listening systems, and a nationwide conference calling service, 1-800-LETS-MEET(TM).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Frances M. Flood, President</w:t>
      </w:r>
    </w:p>
    <w:p>
      <w:pPr>
        <w:spacing w:after="0"/>
        <w:rPr>
          <w:sz w:val="20"/>
          <w:szCs w:val="20"/>
          <w:color w:val="auto"/>
        </w:rPr>
      </w:pPr>
      <w:r>
        <w:rPr>
          <w:rFonts w:ascii="Courier New" w:cs="Courier New" w:eastAsia="Courier New" w:hAnsi="Courier New"/>
          <w:sz w:val="17"/>
          <w:szCs w:val="17"/>
          <w:color w:val="auto"/>
        </w:rPr>
        <w:t>801-974-3651</w:t>
      </w:r>
    </w:p>
    <w:p>
      <w:pPr>
        <w:spacing w:after="0"/>
        <w:rPr>
          <w:sz w:val="20"/>
          <w:szCs w:val="20"/>
          <w:color w:val="auto"/>
        </w:rPr>
      </w:pPr>
      <w:r>
        <w:rPr>
          <w:rFonts w:ascii="Courier New" w:cs="Courier New" w:eastAsia="Courier New" w:hAnsi="Courier New"/>
          <w:sz w:val="17"/>
          <w:szCs w:val="17"/>
          <w:color w:val="auto"/>
        </w:rPr>
        <w:t>fflood@gentner.com</w:t>
      </w:r>
    </w:p>
    <w:p>
      <w:pPr>
        <w:sectPr>
          <w:pgSz w:w="11900" w:h="16838" w:orient="portrait"/>
          <w:cols w:equalWidth="0" w:num="1">
            <w:col w:w="10219"/>
          </w:cols>
          <w:pgMar w:left="240" w:top="303" w:right="1440" w:bottom="1440" w:gutter="0" w:footer="0" w:header="0"/>
        </w:sectPr>
      </w:pPr>
    </w:p>
    <w:bookmarkStart w:id="18" w:name="page19"/>
    <w:bookmarkEnd w:id="18"/>
    <w:p>
      <w:pPr>
        <w:ind w:left="80"/>
        <w:spacing w:after="0"/>
        <w:rPr>
          <w:sz w:val="20"/>
          <w:szCs w:val="20"/>
          <w:color w:val="auto"/>
        </w:rPr>
      </w:pPr>
      <w:r>
        <w:rPr>
          <w:rFonts w:ascii="Courier New" w:cs="Courier New" w:eastAsia="Courier New" w:hAnsi="Courier New"/>
          <w:sz w:val="17"/>
          <w:szCs w:val="17"/>
          <w:color w:val="auto"/>
        </w:rPr>
        <w:t>5</w:t>
      </w:r>
    </w:p>
    <w:p>
      <w:pPr>
        <w:spacing w:after="0" w:line="198" w:lineRule="exact"/>
        <w:rPr>
          <w:sz w:val="20"/>
          <w:szCs w:val="20"/>
          <w:color w:val="auto"/>
        </w:rPr>
      </w:pPr>
    </w:p>
    <w:p>
      <w:pPr>
        <w:ind w:right="2579"/>
        <w:spacing w:after="0" w:line="236" w:lineRule="auto"/>
        <w:rPr>
          <w:sz w:val="20"/>
          <w:szCs w:val="20"/>
          <w:color w:val="auto"/>
        </w:rPr>
      </w:pPr>
      <w:r>
        <w:rPr>
          <w:rFonts w:ascii="Courier New" w:cs="Courier New" w:eastAsia="Courier New" w:hAnsi="Courier New"/>
          <w:sz w:val="17"/>
          <w:szCs w:val="17"/>
          <w:color w:val="auto"/>
        </w:rPr>
        <w:t>THIS SCHEDULE CONTAINS SUMMARY FINANCIAL INFORMATION EXTRACTED FROM (A) FORM 10-QSB FOR THE QUARTER ENDED MARCH 31, 1998.</w:t>
      </w:r>
    </w:p>
    <w:p>
      <w:pPr>
        <w:spacing w:after="0" w:line="194"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w:t>
      </w:r>
    </w:p>
    <w:p>
      <w:pPr>
        <w:spacing w:after="0" w:line="386"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3-MOS</w:t>
      </w:r>
    </w:p>
    <w:p>
      <w:pPr>
        <w:ind w:left="2580"/>
        <w:spacing w:after="0"/>
        <w:rPr>
          <w:sz w:val="20"/>
          <w:szCs w:val="20"/>
          <w:color w:val="auto"/>
        </w:rPr>
      </w:pPr>
      <w:r>
        <w:rPr>
          <w:rFonts w:ascii="Courier New" w:cs="Courier New" w:eastAsia="Courier New" w:hAnsi="Courier New"/>
          <w:sz w:val="17"/>
          <w:szCs w:val="17"/>
          <w:color w:val="auto"/>
        </w:rPr>
        <w:t>JUN-30-1998</w:t>
      </w:r>
    </w:p>
    <w:p>
      <w:pPr>
        <w:ind w:left="2880"/>
        <w:spacing w:after="0"/>
        <w:rPr>
          <w:sz w:val="20"/>
          <w:szCs w:val="20"/>
          <w:color w:val="auto"/>
        </w:rPr>
      </w:pPr>
      <w:r>
        <w:rPr>
          <w:rFonts w:ascii="Courier New" w:cs="Courier New" w:eastAsia="Courier New" w:hAnsi="Courier New"/>
          <w:sz w:val="17"/>
          <w:szCs w:val="17"/>
          <w:color w:val="auto"/>
        </w:rPr>
        <w:t>JAN-01-1998</w:t>
      </w:r>
    </w:p>
    <w:p>
      <w:pPr>
        <w:ind w:left="3080"/>
        <w:spacing w:after="0"/>
        <w:rPr>
          <w:sz w:val="20"/>
          <w:szCs w:val="20"/>
          <w:color w:val="auto"/>
        </w:rPr>
      </w:pPr>
      <w:r>
        <w:rPr>
          <w:rFonts w:ascii="Courier New" w:cs="Courier New" w:eastAsia="Courier New" w:hAnsi="Courier New"/>
          <w:sz w:val="17"/>
          <w:szCs w:val="17"/>
          <w:color w:val="auto"/>
        </w:rPr>
        <w:t>MAR-31-1998</w:t>
      </w:r>
    </w:p>
    <w:p>
      <w:pPr>
        <w:ind w:left="4200"/>
        <w:spacing w:after="0"/>
        <w:rPr>
          <w:sz w:val="20"/>
          <w:szCs w:val="20"/>
          <w:color w:val="auto"/>
        </w:rPr>
      </w:pPr>
      <w:r>
        <w:rPr>
          <w:rFonts w:ascii="Courier New" w:cs="Courier New" w:eastAsia="Courier New" w:hAnsi="Courier New"/>
          <w:sz w:val="17"/>
          <w:szCs w:val="17"/>
          <w:color w:val="auto"/>
        </w:rPr>
        <w:t>59,904</w:t>
      </w:r>
    </w:p>
    <w:p>
      <w:pPr>
        <w:ind w:left="4100"/>
        <w:spacing w:after="0"/>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1,703,461</w:t>
      </w:r>
    </w:p>
    <w:p>
      <w:pPr>
        <w:ind w:left="4100"/>
        <w:spacing w:after="0"/>
        <w:rPr>
          <w:sz w:val="20"/>
          <w:szCs w:val="20"/>
          <w:color w:val="auto"/>
        </w:rPr>
      </w:pPr>
      <w:r>
        <w:rPr>
          <w:rFonts w:ascii="Courier New" w:cs="Courier New" w:eastAsia="Courier New" w:hAnsi="Courier New"/>
          <w:sz w:val="17"/>
          <w:szCs w:val="17"/>
          <w:color w:val="auto"/>
        </w:rPr>
        <w:t>0</w:t>
      </w:r>
    </w:p>
    <w:p>
      <w:pPr>
        <w:ind w:left="3400"/>
        <w:spacing w:after="0"/>
        <w:rPr>
          <w:sz w:val="20"/>
          <w:szCs w:val="20"/>
          <w:color w:val="auto"/>
        </w:rPr>
      </w:pPr>
      <w:r>
        <w:rPr>
          <w:rFonts w:ascii="Courier New" w:cs="Courier New" w:eastAsia="Courier New" w:hAnsi="Courier New"/>
          <w:sz w:val="17"/>
          <w:szCs w:val="17"/>
          <w:color w:val="auto"/>
        </w:rPr>
        <w:t>3,637,120</w:t>
      </w:r>
    </w:p>
    <w:p>
      <w:pPr>
        <w:ind w:left="2880"/>
        <w:spacing w:after="0"/>
        <w:rPr>
          <w:sz w:val="20"/>
          <w:szCs w:val="20"/>
          <w:color w:val="auto"/>
        </w:rPr>
      </w:pPr>
      <w:r>
        <w:rPr>
          <w:rFonts w:ascii="Courier New" w:cs="Courier New" w:eastAsia="Courier New" w:hAnsi="Courier New"/>
          <w:sz w:val="17"/>
          <w:szCs w:val="17"/>
          <w:color w:val="auto"/>
        </w:rPr>
        <w:t>5,640,965</w:t>
      </w:r>
    </w:p>
    <w:p>
      <w:pPr>
        <w:ind w:left="3900"/>
        <w:spacing w:after="0"/>
        <w:rPr>
          <w:sz w:val="20"/>
          <w:szCs w:val="20"/>
          <w:color w:val="auto"/>
        </w:rPr>
      </w:pPr>
      <w:r>
        <w:rPr>
          <w:rFonts w:ascii="Courier New" w:cs="Courier New" w:eastAsia="Courier New" w:hAnsi="Courier New"/>
          <w:sz w:val="17"/>
          <w:szCs w:val="17"/>
          <w:color w:val="auto"/>
        </w:rPr>
        <w:t>2,448,470</w:t>
      </w:r>
    </w:p>
    <w:p>
      <w:pPr>
        <w:ind w:left="3900"/>
        <w:spacing w:after="0"/>
        <w:rPr>
          <w:sz w:val="20"/>
          <w:szCs w:val="20"/>
          <w:color w:val="auto"/>
        </w:rPr>
      </w:pPr>
      <w:r>
        <w:rPr>
          <w:rFonts w:ascii="Courier New" w:cs="Courier New" w:eastAsia="Courier New" w:hAnsi="Courier New"/>
          <w:sz w:val="17"/>
          <w:szCs w:val="17"/>
          <w:color w:val="auto"/>
        </w:rPr>
        <w:t>0</w:t>
      </w:r>
    </w:p>
    <w:p>
      <w:pPr>
        <w:ind w:left="3080"/>
        <w:spacing w:after="0"/>
        <w:rPr>
          <w:sz w:val="20"/>
          <w:szCs w:val="20"/>
          <w:color w:val="auto"/>
        </w:rPr>
      </w:pPr>
      <w:r>
        <w:rPr>
          <w:rFonts w:ascii="Courier New" w:cs="Courier New" w:eastAsia="Courier New" w:hAnsi="Courier New"/>
          <w:sz w:val="17"/>
          <w:szCs w:val="17"/>
          <w:color w:val="auto"/>
        </w:rPr>
        <w:t>8,318,175</w:t>
      </w:r>
    </w:p>
    <w:p>
      <w:pPr>
        <w:ind w:left="2380"/>
        <w:spacing w:after="0"/>
        <w:rPr>
          <w:sz w:val="20"/>
          <w:szCs w:val="20"/>
          <w:color w:val="auto"/>
        </w:rPr>
      </w:pPr>
      <w:r>
        <w:rPr>
          <w:rFonts w:ascii="Courier New" w:cs="Courier New" w:eastAsia="Courier New" w:hAnsi="Courier New"/>
          <w:sz w:val="17"/>
          <w:szCs w:val="17"/>
          <w:color w:val="auto"/>
        </w:rPr>
        <w:t>2,349,193</w:t>
      </w:r>
    </w:p>
    <w:p>
      <w:pPr>
        <w:ind w:left="4600"/>
        <w:spacing w:after="0"/>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0</w:t>
      </w:r>
    </w:p>
    <w:p>
      <w:pPr>
        <w:ind w:left="4200"/>
        <w:spacing w:after="0"/>
        <w:rPr>
          <w:sz w:val="20"/>
          <w:szCs w:val="20"/>
          <w:color w:val="auto"/>
        </w:rPr>
      </w:pPr>
      <w:r>
        <w:rPr>
          <w:rFonts w:ascii="Courier New" w:cs="Courier New" w:eastAsia="Courier New" w:hAnsi="Courier New"/>
          <w:sz w:val="17"/>
          <w:szCs w:val="17"/>
          <w:color w:val="auto"/>
        </w:rPr>
        <w:t>0</w:t>
      </w:r>
    </w:p>
    <w:p>
      <w:pPr>
        <w:ind w:left="4100"/>
        <w:spacing w:after="0"/>
        <w:rPr>
          <w:sz w:val="20"/>
          <w:szCs w:val="20"/>
          <w:color w:val="auto"/>
        </w:rPr>
      </w:pPr>
      <w:r>
        <w:rPr>
          <w:rFonts w:ascii="Courier New" w:cs="Courier New" w:eastAsia="Courier New" w:hAnsi="Courier New"/>
          <w:sz w:val="17"/>
          <w:szCs w:val="17"/>
          <w:color w:val="auto"/>
        </w:rPr>
        <w:t>7,697</w:t>
      </w:r>
    </w:p>
    <w:p>
      <w:pPr>
        <w:ind w:left="3500"/>
        <w:spacing w:after="0"/>
        <w:rPr>
          <w:sz w:val="20"/>
          <w:szCs w:val="20"/>
          <w:color w:val="auto"/>
        </w:rPr>
      </w:pPr>
      <w:r>
        <w:rPr>
          <w:rFonts w:ascii="Courier New" w:cs="Courier New" w:eastAsia="Courier New" w:hAnsi="Courier New"/>
          <w:sz w:val="17"/>
          <w:szCs w:val="17"/>
          <w:color w:val="auto"/>
        </w:rPr>
        <w:t>4,675,671</w:t>
      </w:r>
    </w:p>
    <w:p>
      <w:pPr>
        <w:ind w:left="1680"/>
        <w:spacing w:after="0"/>
        <w:rPr>
          <w:sz w:val="20"/>
          <w:szCs w:val="20"/>
          <w:color w:val="auto"/>
        </w:rPr>
      </w:pPr>
      <w:r>
        <w:rPr>
          <w:rFonts w:ascii="Courier New" w:cs="Courier New" w:eastAsia="Courier New" w:hAnsi="Courier New"/>
          <w:sz w:val="17"/>
          <w:szCs w:val="17"/>
          <w:color w:val="auto"/>
        </w:rPr>
        <w:t>8,318,175</w:t>
      </w:r>
    </w:p>
    <w:p>
      <w:pPr>
        <w:ind w:left="3800"/>
        <w:spacing w:after="0"/>
        <w:rPr>
          <w:sz w:val="20"/>
          <w:szCs w:val="20"/>
          <w:color w:val="auto"/>
        </w:rPr>
      </w:pPr>
      <w:r>
        <w:rPr>
          <w:rFonts w:ascii="Courier New" w:cs="Courier New" w:eastAsia="Courier New" w:hAnsi="Courier New"/>
          <w:sz w:val="17"/>
          <w:szCs w:val="17"/>
          <w:color w:val="auto"/>
        </w:rPr>
        <w:t>4,208,908</w:t>
      </w:r>
    </w:p>
    <w:p>
      <w:pPr>
        <w:ind w:left="2880"/>
        <w:spacing w:after="0"/>
        <w:rPr>
          <w:sz w:val="20"/>
          <w:szCs w:val="20"/>
          <w:color w:val="auto"/>
        </w:rPr>
      </w:pPr>
      <w:r>
        <w:rPr>
          <w:rFonts w:ascii="Courier New" w:cs="Courier New" w:eastAsia="Courier New" w:hAnsi="Courier New"/>
          <w:sz w:val="17"/>
          <w:szCs w:val="17"/>
          <w:color w:val="auto"/>
        </w:rPr>
        <w:t>4,213,694</w:t>
      </w:r>
    </w:p>
    <w:p>
      <w:pPr>
        <w:ind w:left="4000"/>
        <w:spacing w:after="0"/>
        <w:rPr>
          <w:sz w:val="20"/>
          <w:szCs w:val="20"/>
          <w:color w:val="auto"/>
        </w:rPr>
      </w:pPr>
      <w:r>
        <w:rPr>
          <w:rFonts w:ascii="Courier New" w:cs="Courier New" w:eastAsia="Courier New" w:hAnsi="Courier New"/>
          <w:sz w:val="17"/>
          <w:szCs w:val="17"/>
          <w:color w:val="auto"/>
        </w:rPr>
        <w:t>2,045,970</w:t>
      </w:r>
    </w:p>
    <w:p>
      <w:pPr>
        <w:ind w:left="3180"/>
        <w:spacing w:after="0"/>
        <w:rPr>
          <w:sz w:val="20"/>
          <w:szCs w:val="20"/>
          <w:color w:val="auto"/>
        </w:rPr>
      </w:pPr>
      <w:r>
        <w:rPr>
          <w:rFonts w:ascii="Courier New" w:cs="Courier New" w:eastAsia="Courier New" w:hAnsi="Courier New"/>
          <w:sz w:val="17"/>
          <w:szCs w:val="17"/>
          <w:color w:val="auto"/>
        </w:rPr>
        <w:t>1,744,508</w:t>
      </w:r>
    </w:p>
    <w:p>
      <w:pPr>
        <w:ind w:left="3700"/>
        <w:spacing w:after="0"/>
        <w:rPr>
          <w:sz w:val="20"/>
          <w:szCs w:val="20"/>
          <w:color w:val="auto"/>
        </w:rPr>
      </w:pPr>
      <w:r>
        <w:rPr>
          <w:rFonts w:ascii="Courier New" w:cs="Courier New" w:eastAsia="Courier New" w:hAnsi="Courier New"/>
          <w:sz w:val="17"/>
          <w:szCs w:val="17"/>
          <w:color w:val="auto"/>
        </w:rPr>
        <w:t>0</w:t>
      </w:r>
    </w:p>
    <w:p>
      <w:pPr>
        <w:ind w:left="3700"/>
        <w:spacing w:after="0"/>
        <w:rPr>
          <w:sz w:val="20"/>
          <w:szCs w:val="20"/>
          <w:color w:val="auto"/>
        </w:rPr>
      </w:pPr>
      <w:r>
        <w:rPr>
          <w:rFonts w:ascii="Courier New" w:cs="Courier New" w:eastAsia="Courier New" w:hAnsi="Courier New"/>
          <w:sz w:val="17"/>
          <w:szCs w:val="17"/>
          <w:color w:val="auto"/>
        </w:rPr>
        <w:t>0</w:t>
      </w:r>
    </w:p>
    <w:p>
      <w:pPr>
        <w:ind w:left="2980"/>
        <w:spacing w:after="0"/>
        <w:rPr>
          <w:sz w:val="20"/>
          <w:szCs w:val="20"/>
          <w:color w:val="auto"/>
        </w:rPr>
      </w:pPr>
      <w:r>
        <w:rPr>
          <w:rFonts w:ascii="Courier New" w:cs="Courier New" w:eastAsia="Courier New" w:hAnsi="Courier New"/>
          <w:sz w:val="17"/>
          <w:szCs w:val="17"/>
          <w:color w:val="auto"/>
        </w:rPr>
        <w:t>62,757</w:t>
      </w:r>
    </w:p>
    <w:p>
      <w:pPr>
        <w:ind w:left="3180"/>
        <w:spacing w:after="0"/>
        <w:rPr>
          <w:sz w:val="20"/>
          <w:szCs w:val="20"/>
          <w:color w:val="auto"/>
        </w:rPr>
      </w:pPr>
      <w:r>
        <w:rPr>
          <w:rFonts w:ascii="Courier New" w:cs="Courier New" w:eastAsia="Courier New" w:hAnsi="Courier New"/>
          <w:sz w:val="17"/>
          <w:szCs w:val="17"/>
          <w:color w:val="auto"/>
        </w:rPr>
        <w:t>360,459</w:t>
      </w:r>
    </w:p>
    <w:p>
      <w:pPr>
        <w:ind w:left="4100"/>
        <w:spacing w:after="0"/>
        <w:rPr>
          <w:sz w:val="20"/>
          <w:szCs w:val="20"/>
          <w:color w:val="auto"/>
        </w:rPr>
      </w:pPr>
      <w:r>
        <w:rPr>
          <w:rFonts w:ascii="Courier New" w:cs="Courier New" w:eastAsia="Courier New" w:hAnsi="Courier New"/>
          <w:sz w:val="17"/>
          <w:szCs w:val="17"/>
          <w:color w:val="auto"/>
        </w:rPr>
        <w:t>0</w:t>
      </w:r>
    </w:p>
    <w:p>
      <w:pPr>
        <w:ind w:left="2780"/>
        <w:spacing w:after="0"/>
        <w:rPr>
          <w:sz w:val="20"/>
          <w:szCs w:val="20"/>
          <w:color w:val="auto"/>
        </w:rPr>
      </w:pPr>
      <w:r>
        <w:rPr>
          <w:rFonts w:ascii="Courier New" w:cs="Courier New" w:eastAsia="Courier New" w:hAnsi="Courier New"/>
          <w:sz w:val="17"/>
          <w:szCs w:val="17"/>
          <w:color w:val="auto"/>
        </w:rPr>
        <w:t>360,459</w:t>
      </w:r>
    </w:p>
    <w:p>
      <w:pPr>
        <w:ind w:left="390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4400"/>
        <w:spacing w:after="0"/>
        <w:rPr>
          <w:sz w:val="20"/>
          <w:szCs w:val="20"/>
          <w:color w:val="auto"/>
        </w:rPr>
      </w:pPr>
      <w:r>
        <w:rPr>
          <w:rFonts w:ascii="Courier New" w:cs="Courier New" w:eastAsia="Courier New" w:hAnsi="Courier New"/>
          <w:sz w:val="17"/>
          <w:szCs w:val="17"/>
          <w:color w:val="auto"/>
        </w:rPr>
        <w:t>0</w:t>
      </w:r>
    </w:p>
    <w:p>
      <w:pPr>
        <w:ind w:left="3500"/>
        <w:spacing w:after="0"/>
        <w:rPr>
          <w:sz w:val="20"/>
          <w:szCs w:val="20"/>
          <w:color w:val="auto"/>
        </w:rPr>
      </w:pPr>
      <w:r>
        <w:rPr>
          <w:rFonts w:ascii="Courier New" w:cs="Courier New" w:eastAsia="Courier New" w:hAnsi="Courier New"/>
          <w:sz w:val="17"/>
          <w:szCs w:val="17"/>
          <w:color w:val="auto"/>
        </w:rPr>
        <w:t>360,459</w:t>
      </w:r>
    </w:p>
    <w:p>
      <w:pPr>
        <w:ind w:left="3700"/>
        <w:spacing w:after="0"/>
        <w:rPr>
          <w:sz w:val="20"/>
          <w:szCs w:val="20"/>
          <w:color w:val="auto"/>
        </w:rPr>
      </w:pPr>
      <w:r>
        <w:rPr>
          <w:rFonts w:ascii="Courier New" w:cs="Courier New" w:eastAsia="Courier New" w:hAnsi="Courier New"/>
          <w:sz w:val="17"/>
          <w:szCs w:val="17"/>
          <w:color w:val="auto"/>
        </w:rPr>
        <w:t>0.05</w:t>
      </w:r>
    </w:p>
    <w:p>
      <w:pPr>
        <w:ind w:left="3700"/>
        <w:spacing w:after="0"/>
        <w:rPr>
          <w:sz w:val="20"/>
          <w:szCs w:val="20"/>
          <w:color w:val="auto"/>
        </w:rPr>
      </w:pPr>
      <w:r>
        <w:rPr>
          <w:rFonts w:ascii="Courier New" w:cs="Courier New" w:eastAsia="Courier New" w:hAnsi="Courier New"/>
          <w:sz w:val="17"/>
          <w:szCs w:val="17"/>
          <w:color w:val="auto"/>
        </w:rPr>
        <w:t>0.04</w:t>
      </w:r>
    </w:p>
    <w:sectPr>
      <w:pgSz w:w="11900" w:h="16838" w:orient="portrait"/>
      <w:cols w:equalWidth="0" w:num="1">
        <w:col w:w="10199"/>
      </w:cols>
      <w:pgMar w:left="260" w:top="5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6"/>
    </w:lvl>
  </w:abstractNum>
  <w:abstractNum w:abstractNumId="13">
    <w:nsid w:val="1BEFD79F"/>
    <w:multiLevelType w:val="hybridMultilevel"/>
    <w:lvl w:ilvl="0">
      <w:lvlJc w:val="left"/>
      <w:lvlText w:val="%1."/>
      <w:numFmt w:val="decimal"/>
      <w:start w:val="7"/>
    </w:lvl>
  </w:abstractNum>
  <w:abstractNum w:abstractNumId="14">
    <w:nsid w:val="41A7C4C9"/>
    <w:multiLevelType w:val="hybridMultilevel"/>
    <w:lvl w:ilvl="0">
      <w:lvlJc w:val="left"/>
      <w:lvlText w:val="%1."/>
      <w:numFmt w:val="decimal"/>
      <w:start w:val="8"/>
    </w:lvl>
  </w:abstractNum>
  <w:abstractNum w:abstractNumId="15">
    <w:nsid w:val="6B68079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2019-12-13T17:47:55Z</dcterms:created>
  <dcterms:modified xsi:type="dcterms:W3CDTF">2019-12-13T17:47:55Z</dcterms:modified>
</cp:coreProperties>
</file>