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uto" w:line="288" w:before="0" w:after="0"/>
        <w:ind w:left="144" w:right="144" w:hanging="0"/>
        <w:jc w:val="center"/>
        <w:rPr>
          <w:rFonts w:ascii="Times New Roman" w:hAnsi="Times New Roman"/>
          <w:b/>
          <w:sz w:val="24"/>
        </w:rPr>
      </w:pPr>
      <w:bookmarkStart w:id="0" w:name="clro-20260630.htm"/>
      <w:bookmarkStart w:id="1" w:name="ksclro20260630"/>
      <w:bookmarkEnd w:id="0"/>
      <w:bookmarkEnd w:id="1"/>
      <w:r>
        <w:rPr>
          <w:rFonts w:ascii="Times New Roman" w:hAnsi="Times New Roman"/>
          <w:b/>
          <w:sz w:val="24"/>
        </w:rPr>
        <w:t>UNITED STATES SECURITIES AND EXCHANGE COMMISSION</w:t>
      </w:r>
    </w:p>
    <w:p>
      <w:pPr>
        <w:pStyle w:val="TextBody"/>
        <w:bidi w:val="0"/>
        <w:spacing w:lineRule="auto" w:line="288" w:before="0" w:after="0"/>
        <w:ind w:left="438" w:right="438" w:hanging="0"/>
        <w:jc w:val="center"/>
        <w:rPr>
          <w:rFonts w:ascii="Times New Roman" w:hAnsi="Times New Roman"/>
          <w:b/>
          <w:sz w:val="20"/>
        </w:rPr>
      </w:pPr>
      <w:r>
        <w:rPr>
          <w:rFonts w:ascii="Times New Roman" w:hAnsi="Times New Roman"/>
          <w:b/>
          <w:sz w:val="20"/>
        </w:rPr>
        <w:t>WASHINGTON, D.C. 20549</w:t>
      </w:r>
    </w:p>
    <w:p>
      <w:pPr>
        <w:pStyle w:val="TextBody"/>
        <w:bidi w:val="0"/>
        <w:spacing w:lineRule="auto" w:line="288" w:before="0" w:after="0"/>
        <w:ind w:left="438" w:right="438" w:hanging="0"/>
        <w:jc w:val="center"/>
        <w:rPr/>
      </w:pPr>
      <w:r>
        <w:rPr/>
        <w:t> </w:t>
      </w:r>
    </w:p>
    <w:p>
      <w:pPr>
        <w:pStyle w:val="TextBody"/>
        <w:bidi w:val="0"/>
        <w:spacing w:lineRule="auto" w:line="288" w:before="0" w:after="0"/>
        <w:ind w:left="438" w:right="438" w:hanging="0"/>
        <w:jc w:val="center"/>
        <w:rPr>
          <w:rFonts w:ascii="Times New Roman" w:hAnsi="Times New Roman"/>
          <w:b/>
          <w:sz w:val="36"/>
        </w:rPr>
      </w:pPr>
      <w:r>
        <w:rPr>
          <w:rFonts w:ascii="Times New Roman" w:hAnsi="Times New Roman"/>
          <w:b/>
          <w:sz w:val="36"/>
        </w:rPr>
        <w:t>Form 10-Q</w:t>
      </w:r>
    </w:p>
    <w:p>
      <w:pPr>
        <w:pStyle w:val="TextBody"/>
        <w:bidi w:val="0"/>
        <w:spacing w:lineRule="auto" w:line="288" w:before="0" w:after="0"/>
        <w:ind w:left="438" w:right="438" w:hanging="0"/>
        <w:jc w:val="center"/>
        <w:rPr/>
      </w:pPr>
      <w:r>
        <w:rPr/>
        <w:t> </w:t>
      </w:r>
    </w:p>
    <w:p>
      <w:pPr>
        <w:pStyle w:val="TextBody"/>
        <w:bidi w:val="0"/>
        <w:spacing w:lineRule="auto" w:line="288" w:before="0" w:after="0"/>
        <w:ind w:left="504" w:right="144" w:hanging="0"/>
        <w:jc w:val="both"/>
        <w:rPr>
          <w:rFonts w:ascii="Times New Roman" w:hAnsi="Times New Roman"/>
          <w:sz w:val="20"/>
        </w:rPr>
      </w:pPr>
      <w:r>
        <w:rPr>
          <w:rFonts w:ascii="Times New Roman" w:hAnsi="Times New Roman"/>
          <w:sz w:val="20"/>
        </w:rPr>
        <w:t>(Mark One)</w:t>
      </w:r>
    </w:p>
    <w:p>
      <w:pPr>
        <w:pStyle w:val="TextBody"/>
        <w:bidi w:val="0"/>
        <w:spacing w:lineRule="auto" w:line="288" w:before="0" w:after="0"/>
        <w:ind w:left="504" w:right="144" w:hanging="0"/>
        <w:jc w:val="both"/>
        <w:rPr/>
      </w:pPr>
      <w:r>
        <w:rPr/>
        <w:t> </w:t>
      </w:r>
    </w:p>
    <w:tbl>
      <w:tblPr>
        <w:tblW w:w="5000" w:type="pct"/>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QUARTERLY REPORT PURSUANT TO SECTION 13 OR 15(D) OF THE SECURITIES EXCHANGE ACT OF 1934</w:t>
            </w:r>
          </w:p>
        </w:tc>
      </w:tr>
      <w:tr>
        <w:trPr/>
        <w:tc>
          <w:tcPr>
            <w:tcW w:w="245"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both"/>
              <w:rPr/>
            </w:pPr>
            <w:r>
              <w:rPr>
                <w:rFonts w:ascii="Times New Roman" w:hAnsi="Times New Roman"/>
                <w:sz w:val="20"/>
              </w:rPr>
              <w:t xml:space="preserve">For the quarterly period ended </w:t>
            </w:r>
            <w:r>
              <w:rPr>
                <w:rFonts w:ascii="Times New Roman" w:hAnsi="Times New Roman"/>
                <w:sz w:val="20"/>
                <w:u w:val="single"/>
              </w:rPr>
              <w:t>June 30, 2026</w:t>
            </w:r>
          </w:p>
        </w:tc>
      </w:tr>
      <w:tr>
        <w:trPr/>
        <w:tc>
          <w:tcPr>
            <w:tcW w:w="245"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both"/>
              <w:rPr/>
            </w:pPr>
            <w:r>
              <w:rPr/>
              <w:t> </w:t>
            </w:r>
          </w:p>
        </w:tc>
      </w:tr>
      <w:tr>
        <w:trPr/>
        <w:tc>
          <w:tcPr>
            <w:tcW w:w="245" w:type="dxa"/>
            <w:tcBorders/>
            <w:vAlign w:val="center"/>
          </w:tcPr>
          <w:p>
            <w:pPr>
              <w:pStyle w:val="TableContents"/>
              <w:bidi w:val="0"/>
              <w:spacing w:before="0" w:after="0"/>
              <w:ind w:left="0" w:right="0" w:hanging="0"/>
              <w:jc w:val="left"/>
              <w:rPr/>
            </w:pPr>
            <w:r>
              <w:rPr/>
              <w:t>☐</w:t>
            </w:r>
          </w:p>
        </w:tc>
        <w:tc>
          <w:tcPr>
            <w:tcW w:w="9960"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TRANSITION REPORT PURSUANT TO SECTION 13 OR 15(d) OF THE SECURITIES EXCHANGE ACT OF 1934</w:t>
            </w:r>
          </w:p>
        </w:tc>
      </w:tr>
      <w:tr>
        <w:trPr/>
        <w:tc>
          <w:tcPr>
            <w:tcW w:w="245"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For the transition period _______ to _______</w:t>
            </w:r>
          </w:p>
        </w:tc>
      </w:tr>
    </w:tbl>
    <w:p>
      <w:pPr>
        <w:pStyle w:val="TextBody"/>
        <w:bidi w:val="0"/>
        <w:spacing w:lineRule="auto" w:line="288" w:before="0" w:after="0"/>
        <w:ind w:left="438" w:right="438" w:firstLine="55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Commission file number:</w:t>
      </w:r>
      <w:r>
        <w:rPr>
          <w:rFonts w:ascii="Times New Roman" w:hAnsi="Times New Roman"/>
          <w:b/>
          <w:sz w:val="20"/>
          <w:u w:val="single"/>
        </w:rPr>
        <w:t>001-33660</w:t>
      </w:r>
    </w:p>
    <w:p>
      <w:pPr>
        <w:pStyle w:val="TextBody"/>
        <w:bidi w:val="0"/>
        <w:spacing w:lineRule="auto" w:line="288" w:before="0" w:after="0"/>
        <w:ind w:left="144" w:right="144" w:hanging="0"/>
        <w:jc w:val="center"/>
        <w:rPr>
          <w:rFonts w:ascii="Times New Roman" w:hAnsi="Times New Roman"/>
          <w:b/>
          <w:sz w:val="36"/>
        </w:rPr>
      </w:pPr>
      <w:r>
        <w:rPr>
          <w:rFonts w:ascii="Times New Roman" w:hAnsi="Times New Roman"/>
          <w:b/>
          <w:sz w:val="36"/>
        </w:rPr>
        <w:t>CLEARONE, INC.</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(Exact name of registrant as specified in its charter)</w:t>
      </w:r>
    </w:p>
    <w:p>
      <w:pPr>
        <w:pStyle w:val="TextBody"/>
        <w:bidi w:val="0"/>
        <w:spacing w:lineRule="auto" w:line="288" w:before="0" w:after="0"/>
        <w:ind w:left="144" w:right="144" w:hanging="0"/>
        <w:jc w:val="center"/>
        <w:rPr/>
      </w:pPr>
      <w:r>
        <w:rPr/>
        <w:t> </w:t>
      </w:r>
    </w:p>
    <w:tbl>
      <w:tblPr>
        <w:tblW w:w="5000" w:type="pct"/>
        <w:jc w:val="left"/>
        <w:tblInd w:w="0" w:type="dxa"/>
        <w:tblLayout w:type="fixed"/>
        <w:tblCellMar>
          <w:top w:w="0" w:type="dxa"/>
          <w:left w:w="0" w:type="dxa"/>
          <w:bottom w:w="0" w:type="dxa"/>
          <w:right w:w="0" w:type="dxa"/>
        </w:tblCellMar>
      </w:tblPr>
      <w:tblGrid>
        <w:gridCol w:w="6061"/>
        <w:gridCol w:w="75"/>
        <w:gridCol w:w="4069"/>
      </w:tblGrid>
      <w:tr>
        <w:trPr/>
        <w:tc>
          <w:tcPr>
            <w:tcW w:w="6061"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Nevada</w:t>
            </w:r>
          </w:p>
        </w:tc>
        <w:tc>
          <w:tcPr>
            <w:tcW w:w="75" w:type="dxa"/>
            <w:tcBorders/>
            <w:vAlign w:val="center"/>
          </w:tcPr>
          <w:p>
            <w:pPr>
              <w:pStyle w:val="TableContents"/>
              <w:bidi w:val="0"/>
              <w:spacing w:before="0" w:after="0"/>
              <w:ind w:left="0" w:right="0" w:hanging="0"/>
              <w:jc w:val="center"/>
              <w:rPr/>
            </w:pPr>
            <w:r>
              <w:rPr/>
              <w:t> </w:t>
            </w:r>
          </w:p>
        </w:tc>
        <w:tc>
          <w:tcPr>
            <w:tcW w:w="4069"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87-0398877</w:t>
            </w:r>
          </w:p>
        </w:tc>
      </w:tr>
      <w:tr>
        <w:trPr/>
        <w:tc>
          <w:tcPr>
            <w:tcW w:w="6061" w:type="dxa"/>
            <w:tcBorders/>
            <w:vAlign w:val="center"/>
          </w:tcPr>
          <w:p>
            <w:pPr>
              <w:pStyle w:val="TableContents"/>
              <w:bidi w:val="0"/>
              <w:spacing w:lineRule="auto" w:line="288" w:before="0" w:after="0"/>
              <w:ind w:left="0" w:right="0" w:hanging="0"/>
              <w:jc w:val="center"/>
              <w:rPr>
                <w:rFonts w:ascii="Times New Roman" w:hAnsi="Times New Roman"/>
                <w:sz w:val="20"/>
              </w:rPr>
            </w:pPr>
            <w:r>
              <w:rPr>
                <w:rFonts w:ascii="Times New Roman" w:hAnsi="Times New Roman"/>
                <w:sz w:val="20"/>
              </w:rPr>
              <w:t>(</w:t>
            </w:r>
            <w:r>
              <w:rPr>
                <w:rFonts w:ascii="times new roman;times" w:hAnsi="times new roman;times"/>
                <w:color w:val="000000"/>
                <w:sz w:val="20"/>
              </w:rPr>
              <w:t>State or other jurisdiction of incorporation</w:t>
            </w:r>
            <w:r>
              <w:rPr>
                <w:rFonts w:ascii="Times New Roman" w:hAnsi="Times New Roman"/>
                <w:sz w:val="20"/>
              </w:rPr>
              <w:t>)</w:t>
            </w:r>
          </w:p>
        </w:tc>
        <w:tc>
          <w:tcPr>
            <w:tcW w:w="75" w:type="dxa"/>
            <w:tcBorders/>
            <w:vAlign w:val="center"/>
          </w:tcPr>
          <w:p>
            <w:pPr>
              <w:pStyle w:val="TableContents"/>
              <w:bidi w:val="0"/>
              <w:spacing w:before="0" w:after="0"/>
              <w:ind w:left="0" w:right="0" w:hanging="0"/>
              <w:jc w:val="center"/>
              <w:rPr/>
            </w:pPr>
            <w:r>
              <w:rPr/>
              <w:t> </w:t>
            </w:r>
          </w:p>
        </w:tc>
        <w:tc>
          <w:tcPr>
            <w:tcW w:w="4069"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(I.R.S. employer identification number)</w:t>
            </w:r>
          </w:p>
        </w:tc>
      </w:tr>
      <w:tr>
        <w:trPr/>
        <w:tc>
          <w:tcPr>
            <w:tcW w:w="6061" w:type="dxa"/>
            <w:tcBorders/>
            <w:vAlign w:val="center"/>
          </w:tcPr>
          <w:p>
            <w:pPr>
              <w:pStyle w:val="TableContents"/>
              <w:bidi w:val="0"/>
              <w:spacing w:before="0" w:after="0"/>
              <w:ind w:left="0" w:right="0" w:hanging="0"/>
              <w:jc w:val="center"/>
              <w:rPr/>
            </w:pPr>
            <w:r>
              <w:rPr/>
              <w:t> </w:t>
            </w:r>
          </w:p>
        </w:tc>
        <w:tc>
          <w:tcPr>
            <w:tcW w:w="75" w:type="dxa"/>
            <w:tcBorders/>
            <w:vAlign w:val="center"/>
          </w:tcPr>
          <w:p>
            <w:pPr>
              <w:pStyle w:val="TableContents"/>
              <w:bidi w:val="0"/>
              <w:spacing w:before="0" w:after="0"/>
              <w:ind w:left="0" w:right="0" w:hanging="0"/>
              <w:jc w:val="center"/>
              <w:rPr/>
            </w:pPr>
            <w:r>
              <w:rPr/>
              <w:t> </w:t>
            </w:r>
          </w:p>
        </w:tc>
        <w:tc>
          <w:tcPr>
            <w:tcW w:w="4069" w:type="dxa"/>
            <w:tcBorders/>
            <w:vAlign w:val="center"/>
          </w:tcPr>
          <w:p>
            <w:pPr>
              <w:pStyle w:val="TableContents"/>
              <w:bidi w:val="0"/>
              <w:spacing w:before="0" w:after="0"/>
              <w:ind w:left="0" w:right="0" w:hanging="0"/>
              <w:jc w:val="center"/>
              <w:rPr/>
            </w:pPr>
            <w:r>
              <w:rPr/>
              <w:t> </w:t>
            </w:r>
          </w:p>
        </w:tc>
      </w:tr>
      <w:tr>
        <w:trPr/>
        <w:tc>
          <w:tcPr>
            <w:tcW w:w="6061"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7533 S CENTER VIEW CT #5311, WEST JORDAN, UT</w:t>
            </w:r>
          </w:p>
        </w:tc>
        <w:tc>
          <w:tcPr>
            <w:tcW w:w="75" w:type="dxa"/>
            <w:tcBorders/>
            <w:vAlign w:val="center"/>
          </w:tcPr>
          <w:p>
            <w:pPr>
              <w:pStyle w:val="TableContents"/>
              <w:bidi w:val="0"/>
              <w:spacing w:before="0" w:after="0"/>
              <w:ind w:left="0" w:right="0" w:hanging="0"/>
              <w:jc w:val="center"/>
              <w:rPr/>
            </w:pPr>
            <w:r>
              <w:rPr/>
              <w:t> </w:t>
            </w:r>
          </w:p>
        </w:tc>
        <w:tc>
          <w:tcPr>
            <w:tcW w:w="4069"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84084</w:t>
            </w:r>
          </w:p>
        </w:tc>
      </w:tr>
      <w:tr>
        <w:trPr/>
        <w:tc>
          <w:tcPr>
            <w:tcW w:w="6061"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(Address of principal executive offices)</w:t>
            </w:r>
          </w:p>
        </w:tc>
        <w:tc>
          <w:tcPr>
            <w:tcW w:w="75" w:type="dxa"/>
            <w:tcBorders/>
            <w:vAlign w:val="center"/>
          </w:tcPr>
          <w:p>
            <w:pPr>
              <w:pStyle w:val="TableContents"/>
              <w:bidi w:val="0"/>
              <w:spacing w:before="0" w:after="0"/>
              <w:ind w:left="0" w:right="0" w:hanging="0"/>
              <w:jc w:val="center"/>
              <w:rPr/>
            </w:pPr>
            <w:r>
              <w:rPr/>
              <w:t> </w:t>
            </w:r>
          </w:p>
        </w:tc>
        <w:tc>
          <w:tcPr>
            <w:tcW w:w="4069"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(Zip Code)</w:t>
            </w:r>
          </w:p>
        </w:tc>
      </w:tr>
    </w:tbl>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Registrant’s telephone number, including area code: </w:t>
      </w:r>
      <w:r>
        <w:rPr>
          <w:rFonts w:ascii="Times New Roman" w:hAnsi="Times New Roman"/>
          <w:sz w:val="20"/>
          <w:u w:val="single"/>
        </w:rPr>
        <w:t>(801) 975-7200</w:t>
      </w:r>
    </w:p>
    <w:p>
      <w:pPr>
        <w:pStyle w:val="TextBody"/>
        <w:bidi w:val="0"/>
        <w:spacing w:lineRule="auto" w:line="288" w:before="0" w:after="0"/>
        <w:ind w:left="0" w:right="0" w:hanging="0"/>
        <w:jc w:val="center"/>
        <w:rPr/>
      </w:pPr>
      <w:r>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Securities registered pursuant to Section</w:t>
      </w:r>
      <w:r>
        <w:rPr>
          <w:rFonts w:ascii="times new roman;times" w:hAnsi="times new roman;times"/>
          <w:b w:val="false"/>
          <w:i w:val="false"/>
          <w:caps w:val="false"/>
          <w:smallCaps w:val="false"/>
          <w:color w:val="000000"/>
          <w:spacing w:val="0"/>
          <w:sz w:val="20"/>
        </w:rPr>
        <w:t> </w:t>
      </w:r>
      <w:r>
        <w:rPr>
          <w:rFonts w:ascii="Times New Roman" w:hAnsi="Times New Roman"/>
          <w:b w:val="false"/>
          <w:i w:val="false"/>
          <w:caps w:val="false"/>
          <w:smallCaps w:val="false"/>
          <w:color w:val="000000"/>
          <w:spacing w:val="0"/>
          <w:sz w:val="20"/>
        </w:rPr>
        <w:t>12(b) of the Act:</w:t>
      </w:r>
    </w:p>
    <w:p>
      <w:pPr>
        <w:pStyle w:val="TextBody"/>
        <w:widowControl/>
        <w:bidi w:val="0"/>
        <w:spacing w:before="0" w:after="0"/>
        <w:ind w:left="144" w:right="144" w:hanging="0"/>
        <w:jc w:val="left"/>
        <w:rPr>
          <w:caps w:val="false"/>
          <w:smallCaps w:val="false"/>
          <w:color w:val="000000"/>
          <w:spacing w:val="0"/>
        </w:rPr>
      </w:pPr>
      <w:r>
        <w:rPr>
          <w:caps w:val="false"/>
          <w:smallCaps w:val="false"/>
          <w:color w:val="000000"/>
          <w:spacing w:val="0"/>
        </w:rPr>
        <w:t> </w:t>
      </w:r>
    </w:p>
    <w:tbl>
      <w:tblPr>
        <w:tblW w:w="5000" w:type="pct"/>
        <w:jc w:val="left"/>
        <w:tblInd w:w="0" w:type="dxa"/>
        <w:tblLayout w:type="fixed"/>
        <w:tblCellMar>
          <w:top w:w="0" w:type="dxa"/>
          <w:left w:w="0" w:type="dxa"/>
          <w:bottom w:w="0" w:type="dxa"/>
          <w:right w:w="0" w:type="dxa"/>
        </w:tblCellMar>
      </w:tblPr>
      <w:tblGrid>
        <w:gridCol w:w="3913"/>
        <w:gridCol w:w="134"/>
        <w:gridCol w:w="1809"/>
        <w:gridCol w:w="134"/>
        <w:gridCol w:w="4215"/>
      </w:tblGrid>
      <w:tr>
        <w:trPr/>
        <w:tc>
          <w:tcPr>
            <w:tcW w:w="3913"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Title of each class</w:t>
            </w:r>
          </w:p>
        </w:tc>
        <w:tc>
          <w:tcPr>
            <w:tcW w:w="134" w:type="dxa"/>
            <w:tcBorders/>
            <w:vAlign w:val="center"/>
          </w:tcPr>
          <w:p>
            <w:pPr>
              <w:pStyle w:val="TableContents"/>
              <w:bidi w:val="0"/>
              <w:spacing w:before="0" w:after="0"/>
              <w:ind w:left="0" w:right="0" w:hanging="0"/>
              <w:jc w:val="left"/>
              <w:rPr/>
            </w:pPr>
            <w:r>
              <w:rPr/>
              <w:t>  </w:t>
            </w:r>
          </w:p>
        </w:tc>
        <w:tc>
          <w:tcPr>
            <w:tcW w:w="1809" w:type="dxa"/>
            <w:tcBorders/>
            <w:vAlign w:val="center"/>
          </w:tcPr>
          <w:p>
            <w:pPr>
              <w:pStyle w:val="TableContents"/>
              <w:bidi w:val="0"/>
              <w:spacing w:before="0" w:after="0"/>
              <w:ind w:left="0" w:right="0" w:hanging="0"/>
              <w:jc w:val="center"/>
              <w:rPr/>
            </w:pPr>
            <w:r>
              <w:rPr>
                <w:rFonts w:ascii="Times New Roman" w:hAnsi="Times New Roman"/>
                <w:b/>
                <w:sz w:val="20"/>
              </w:rPr>
              <w:t>Trading</w:t>
            </w:r>
            <w:r>
              <w:rPr/>
              <w:t> </w:t>
            </w:r>
            <w:r>
              <w:rPr>
                <w:rFonts w:ascii="Times New Roman" w:hAnsi="Times New Roman"/>
                <w:b/>
                <w:sz w:val="20"/>
              </w:rPr>
              <w:t>Symbol(s)</w:t>
            </w:r>
          </w:p>
        </w:tc>
        <w:tc>
          <w:tcPr>
            <w:tcW w:w="134" w:type="dxa"/>
            <w:tcBorders/>
            <w:vAlign w:val="center"/>
          </w:tcPr>
          <w:p>
            <w:pPr>
              <w:pStyle w:val="TableContents"/>
              <w:bidi w:val="0"/>
              <w:spacing w:before="0" w:after="0"/>
              <w:ind w:left="0" w:right="0" w:hanging="0"/>
              <w:jc w:val="left"/>
              <w:rPr/>
            </w:pPr>
            <w:r>
              <w:rPr/>
              <w:t>  </w:t>
            </w:r>
          </w:p>
        </w:tc>
        <w:tc>
          <w:tcPr>
            <w:tcW w:w="4215" w:type="dxa"/>
            <w:tcBorders/>
            <w:vAlign w:val="center"/>
          </w:tcPr>
          <w:p>
            <w:pPr>
              <w:pStyle w:val="TableContents"/>
              <w:bidi w:val="0"/>
              <w:spacing w:before="0" w:after="0"/>
              <w:ind w:left="0" w:right="0" w:hanging="0"/>
              <w:jc w:val="center"/>
              <w:rPr/>
            </w:pPr>
            <w:r>
              <w:rPr>
                <w:rFonts w:ascii="Times New Roman" w:hAnsi="Times New Roman"/>
                <w:b/>
                <w:sz w:val="20"/>
              </w:rPr>
              <w:t>Name</w:t>
            </w:r>
            <w:r>
              <w:rPr/>
              <w:t> </w:t>
            </w:r>
            <w:r>
              <w:rPr>
                <w:rFonts w:ascii="Times New Roman" w:hAnsi="Times New Roman"/>
                <w:b/>
                <w:sz w:val="20"/>
              </w:rPr>
              <w:t>of</w:t>
            </w:r>
            <w:r>
              <w:rPr/>
              <w:t> </w:t>
            </w:r>
            <w:r>
              <w:rPr>
                <w:rFonts w:ascii="Times New Roman" w:hAnsi="Times New Roman"/>
                <w:b/>
                <w:sz w:val="20"/>
              </w:rPr>
              <w:t>each</w:t>
            </w:r>
            <w:r>
              <w:rPr/>
              <w:t> </w:t>
            </w:r>
            <w:r>
              <w:rPr>
                <w:rFonts w:ascii="Times New Roman" w:hAnsi="Times New Roman"/>
                <w:b/>
                <w:sz w:val="20"/>
              </w:rPr>
              <w:t>exchange on</w:t>
            </w:r>
            <w:r>
              <w:rPr/>
              <w:t> </w:t>
            </w:r>
            <w:r>
              <w:rPr>
                <w:rFonts w:ascii="Times New Roman" w:hAnsi="Times New Roman"/>
                <w:b/>
                <w:sz w:val="20"/>
              </w:rPr>
              <w:t>which</w:t>
            </w:r>
            <w:r>
              <w:rPr/>
              <w:t> </w:t>
            </w:r>
            <w:r>
              <w:rPr>
                <w:rFonts w:ascii="Times New Roman" w:hAnsi="Times New Roman"/>
                <w:b/>
                <w:sz w:val="20"/>
              </w:rPr>
              <w:t>registered</w:t>
            </w:r>
          </w:p>
        </w:tc>
      </w:tr>
      <w:tr>
        <w:trPr/>
        <w:tc>
          <w:tcPr>
            <w:tcW w:w="3913" w:type="dxa"/>
            <w:tcBorders/>
            <w:vAlign w:val="center"/>
          </w:tcPr>
          <w:p>
            <w:pPr>
              <w:pStyle w:val="TableContents"/>
              <w:bidi w:val="0"/>
              <w:spacing w:before="0" w:after="0"/>
              <w:ind w:left="0" w:right="0" w:hanging="0"/>
              <w:jc w:val="center"/>
              <w:rPr>
                <w:rFonts w:ascii="times new roman;times" w:hAnsi="times new roman;times"/>
                <w:color w:val="000000"/>
                <w:sz w:val="20"/>
              </w:rPr>
            </w:pPr>
            <w:r>
              <w:rPr>
                <w:rFonts w:ascii="times new roman;times" w:hAnsi="times new roman;times"/>
                <w:color w:val="000000"/>
                <w:sz w:val="20"/>
              </w:rPr>
              <w:t>Common Stock, par value $0.001 per share</w:t>
            </w:r>
          </w:p>
        </w:tc>
        <w:tc>
          <w:tcPr>
            <w:tcW w:w="134" w:type="dxa"/>
            <w:tcBorders/>
            <w:vAlign w:val="center"/>
          </w:tcPr>
          <w:p>
            <w:pPr>
              <w:pStyle w:val="TableContents"/>
              <w:bidi w:val="0"/>
              <w:spacing w:before="0" w:after="0"/>
              <w:ind w:left="0" w:right="0" w:hanging="0"/>
              <w:jc w:val="left"/>
              <w:rPr/>
            </w:pPr>
            <w:r>
              <w:rPr/>
              <w:t> </w:t>
            </w:r>
          </w:p>
        </w:tc>
        <w:tc>
          <w:tcPr>
            <w:tcW w:w="1809"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CLRO</w:t>
            </w:r>
          </w:p>
        </w:tc>
        <w:tc>
          <w:tcPr>
            <w:tcW w:w="134" w:type="dxa"/>
            <w:tcBorders/>
            <w:vAlign w:val="center"/>
          </w:tcPr>
          <w:p>
            <w:pPr>
              <w:pStyle w:val="TableContents"/>
              <w:bidi w:val="0"/>
              <w:spacing w:before="0" w:after="0"/>
              <w:ind w:left="0" w:right="0" w:hanging="0"/>
              <w:jc w:val="left"/>
              <w:rPr/>
            </w:pPr>
            <w:r>
              <w:rPr/>
              <w:t> </w:t>
            </w:r>
          </w:p>
        </w:tc>
        <w:tc>
          <w:tcPr>
            <w:tcW w:w="4215" w:type="dxa"/>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The NASDAQ Capital Market</w:t>
            </w:r>
          </w:p>
        </w:tc>
      </w:tr>
    </w:tbl>
    <w:p>
      <w:pPr>
        <w:pStyle w:val="TextBody"/>
        <w:widowControl/>
        <w:bidi w:val="0"/>
        <w:spacing w:before="0" w:after="0"/>
        <w:ind w:left="144" w:right="144" w:hanging="0"/>
        <w:jc w:val="left"/>
        <w:rPr>
          <w:caps w:val="false"/>
          <w:smallCaps w:val="false"/>
          <w:color w:val="000000"/>
          <w:spacing w:val="0"/>
        </w:rPr>
      </w:pPr>
      <w:r>
        <w:rPr>
          <w:caps w:val="false"/>
          <w:smallCaps w:val="false"/>
          <w:color w:val="000000"/>
          <w:spacing w:val="0"/>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Indicate by check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r>
        <w:rPr>
          <w:rFonts w:ascii="times new roman;times" w:hAnsi="times new roman;times"/>
          <w:sz w:val="20"/>
        </w:rPr>
        <w:t xml:space="preserve"> ☒ </w:t>
      </w:r>
      <w:r>
        <w:rPr>
          <w:rFonts w:ascii="Times New Roman" w:hAnsi="Times New Roman"/>
          <w:sz w:val="20"/>
        </w:rPr>
        <w:t>Yes</w:t>
      </w:r>
      <w:r>
        <w:rPr>
          <w:rFonts w:ascii="times new roman;times" w:hAnsi="times new roman;times"/>
          <w:sz w:val="20"/>
        </w:rPr>
        <w:t> ☐ </w:t>
      </w:r>
      <w:r>
        <w:rPr>
          <w:rFonts w:ascii="Times New Roman" w:hAnsi="Times New Roman"/>
          <w:sz w:val="20"/>
        </w:rPr>
        <w:t>No</w:t>
      </w:r>
      <w:r>
        <w:rPr>
          <w:rFonts w:ascii="times new roman;times" w:hAnsi="times new roman;times"/>
          <w:sz w:val="20"/>
        </w:rPr>
        <w:t> </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times" w:hAnsi="times new roman;times"/>
          <w:sz w:val="20"/>
        </w:rPr>
        <w:t> </w:t>
      </w:r>
      <w:r>
        <w:rPr>
          <w:rFonts w:ascii="Times New Roman" w:hAnsi="Times New Roman"/>
          <w:sz w:val="20"/>
        </w:rPr>
        <w:t>Yes</w:t>
      </w:r>
      <w:r>
        <w:rPr>
          <w:rFonts w:ascii="times new roman;times" w:hAnsi="times new roman;times"/>
          <w:sz w:val="20"/>
        </w:rPr>
        <w:t xml:space="preserve"> ☐ </w:t>
      </w:r>
      <w:r>
        <w:rPr>
          <w:rFonts w:ascii="Times New Roman" w:hAnsi="Times New Roman"/>
          <w:sz w:val="20"/>
        </w:rPr>
        <w:t>No</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lineRule="auto" w:line="288" w:before="0" w:after="0"/>
        <w:ind w:left="144" w:right="144" w:hanging="0"/>
        <w:jc w:val="both"/>
        <w:rPr/>
      </w:pPr>
      <w:r>
        <w:rPr/>
        <w:t> </w:t>
      </w:r>
    </w:p>
    <w:tbl>
      <w:tblPr>
        <w:tblW w:w="5000" w:type="pct"/>
        <w:jc w:val="left"/>
        <w:tblInd w:w="0" w:type="dxa"/>
        <w:tblLayout w:type="fixed"/>
        <w:tblCellMar>
          <w:top w:w="0" w:type="dxa"/>
          <w:left w:w="0" w:type="dxa"/>
          <w:bottom w:w="0" w:type="dxa"/>
          <w:right w:w="0" w:type="dxa"/>
        </w:tblCellMar>
      </w:tblPr>
      <w:tblGrid>
        <w:gridCol w:w="4654"/>
        <w:gridCol w:w="5551"/>
      </w:tblGrid>
      <w:tr>
        <w:trPr/>
        <w:tc>
          <w:tcPr>
            <w:tcW w:w="4654" w:type="dxa"/>
            <w:tcBorders/>
            <w:vAlign w:val="bottom"/>
          </w:tcPr>
          <w:p>
            <w:pPr>
              <w:pStyle w:val="TableContents"/>
              <w:bidi w:val="0"/>
              <w:spacing w:lineRule="auto" w:line="288" w:before="0" w:after="0"/>
              <w:ind w:left="0" w:right="0" w:hanging="0"/>
              <w:jc w:val="both"/>
              <w:rPr/>
            </w:pPr>
            <w:r>
              <w:rPr>
                <w:rFonts w:ascii="Times New Roman" w:hAnsi="Times New Roman"/>
                <w:sz w:val="20"/>
              </w:rPr>
              <w:t xml:space="preserve">Large Accelerated Filer </w:t>
            </w:r>
            <w:r>
              <w:rPr/>
              <w:t>☐</w:t>
            </w:r>
          </w:p>
        </w:tc>
        <w:tc>
          <w:tcPr>
            <w:tcW w:w="5551" w:type="dxa"/>
            <w:tcBorders/>
            <w:vAlign w:val="bottom"/>
          </w:tcPr>
          <w:p>
            <w:pPr>
              <w:pStyle w:val="TableContents"/>
              <w:bidi w:val="0"/>
              <w:spacing w:before="0" w:after="0"/>
              <w:ind w:left="0" w:right="0" w:hanging="0"/>
              <w:jc w:val="both"/>
              <w:rPr/>
            </w:pPr>
            <w:r>
              <w:rPr>
                <w:rFonts w:ascii="Times New Roman" w:hAnsi="Times New Roman"/>
                <w:sz w:val="20"/>
              </w:rPr>
              <w:t xml:space="preserve">Accelerated Filer </w:t>
            </w:r>
            <w:r>
              <w:rPr/>
              <w:t>☐ </w:t>
            </w:r>
          </w:p>
        </w:tc>
      </w:tr>
      <w:tr>
        <w:trPr/>
        <w:tc>
          <w:tcPr>
            <w:tcW w:w="4654" w:type="dxa"/>
            <w:tcBorders/>
            <w:vAlign w:val="bottom"/>
          </w:tcPr>
          <w:p>
            <w:pPr>
              <w:pStyle w:val="TableContents"/>
              <w:bidi w:val="0"/>
              <w:spacing w:before="0" w:after="0"/>
              <w:ind w:left="0" w:right="0" w:hanging="0"/>
              <w:jc w:val="both"/>
              <w:rPr>
                <w:rFonts w:ascii="MS Mincho" w:hAnsi="MS Mincho"/>
              </w:rPr>
            </w:pPr>
            <w:r>
              <w:rPr>
                <w:rFonts w:ascii="Times New Roman" w:hAnsi="Times New Roman"/>
                <w:sz w:val="20"/>
              </w:rPr>
              <w:t xml:space="preserve">Non-Accelerated Filer </w:t>
            </w:r>
            <w:r>
              <w:rPr>
                <w:rFonts w:ascii="MS Mincho" w:hAnsi="MS Mincho"/>
              </w:rPr>
              <w:t>☒</w:t>
            </w:r>
          </w:p>
        </w:tc>
        <w:tc>
          <w:tcPr>
            <w:tcW w:w="5551" w:type="dxa"/>
            <w:tcBorders/>
            <w:vAlign w:val="bottom"/>
          </w:tcPr>
          <w:p>
            <w:pPr>
              <w:pStyle w:val="TableContents"/>
              <w:bidi w:val="0"/>
              <w:spacing w:before="0" w:after="0"/>
              <w:ind w:left="0" w:right="0" w:hanging="0"/>
              <w:jc w:val="both"/>
              <w:rPr>
                <w:rFonts w:ascii="Times New Roman" w:hAnsi="Times New Roman"/>
                <w:sz w:val="20"/>
              </w:rPr>
            </w:pPr>
            <w:r>
              <w:rPr>
                <w:rFonts w:ascii="Times New Roman" w:hAnsi="Times New Roman"/>
                <w:sz w:val="20"/>
              </w:rPr>
              <w:t>Smaller Reporting Company ☒</w:t>
            </w:r>
          </w:p>
        </w:tc>
      </w:tr>
      <w:tr>
        <w:trPr/>
        <w:tc>
          <w:tcPr>
            <w:tcW w:w="4654" w:type="dxa"/>
            <w:tcBorders/>
            <w:vAlign w:val="bottom"/>
          </w:tcPr>
          <w:p>
            <w:pPr>
              <w:pStyle w:val="TableContents"/>
              <w:bidi w:val="0"/>
              <w:spacing w:before="0" w:after="0"/>
              <w:ind w:left="0" w:right="0" w:hanging="0"/>
              <w:jc w:val="left"/>
              <w:rPr/>
            </w:pPr>
            <w:r>
              <w:rPr/>
              <w:t> </w:t>
            </w:r>
          </w:p>
        </w:tc>
        <w:tc>
          <w:tcPr>
            <w:tcW w:w="5551" w:type="dxa"/>
            <w:tcBorders/>
            <w:vAlign w:val="bottom"/>
          </w:tcPr>
          <w:p>
            <w:pPr>
              <w:pStyle w:val="TableContents"/>
              <w:bidi w:val="0"/>
              <w:spacing w:before="0" w:after="0"/>
              <w:ind w:left="0" w:right="0" w:hanging="0"/>
              <w:jc w:val="both"/>
              <w:rPr/>
            </w:pPr>
            <w:r>
              <w:rPr>
                <w:rFonts w:ascii="Times New Roman" w:hAnsi="Times New Roman"/>
                <w:sz w:val="20"/>
              </w:rPr>
              <w:t>Emerging Growth Company ☐</w:t>
            </w:r>
            <w:r>
              <w:rPr/>
              <w:t> </w:t>
            </w:r>
          </w:p>
        </w:tc>
      </w:tr>
    </w:tbl>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 Yes ☐ No</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Indicate by check mark whether the registrant is a shell company (as defined in Rule 12b-2 of the Exchange Act). </w:t>
      </w:r>
      <w:r>
        <w:rPr>
          <w:rFonts w:ascii="times new roman;times" w:hAnsi="times new roman;times"/>
          <w:sz w:val="20"/>
        </w:rPr>
        <w:t xml:space="preserve">☐ </w:t>
      </w:r>
      <w:r>
        <w:rPr>
          <w:rFonts w:ascii="Times New Roman" w:hAnsi="Times New Roman"/>
          <w:sz w:val="20"/>
        </w:rPr>
        <w:t xml:space="preserve">Yes </w:t>
      </w:r>
      <w:r>
        <w:rPr>
          <w:rFonts w:ascii="times new roman;times" w:hAnsi="times new roman;times"/>
          <w:sz w:val="20"/>
        </w:rPr>
        <w:t>☒</w:t>
      </w:r>
      <w:r>
        <w:rPr>
          <w:rFonts w:ascii="times new roman;times" w:hAnsi="times new roman;times"/>
          <w:sz w:val="20"/>
        </w:rPr>
        <w:t xml:space="preserve"> </w:t>
      </w:r>
      <w:r>
        <w:rPr>
          <w:rFonts w:ascii="Times New Roman" w:hAnsi="Times New Roman"/>
          <w:sz w:val="20"/>
        </w:rPr>
        <w:t>No</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The number of shares of ClearOne, Inc. common stock outstanding as of </w:t>
      </w:r>
      <w:bookmarkStart w:id="2" w:name="fs_K50ATAP8PC00000000000000000000FM"/>
      <w:bookmarkEnd w:id="2"/>
      <w:r>
        <w:rPr>
          <w:rFonts w:ascii="Times New Roman" w:hAnsi="Times New Roman"/>
          <w:sz w:val="20"/>
        </w:rPr>
        <w:t xml:space="preserve">August 14, 2026 was </w:t>
      </w:r>
      <w:r>
        <w:rPr>
          <w:rFonts w:ascii="Times New Roman" w:hAnsi="Times New Roman"/>
          <w:sz w:val="20"/>
        </w:rPr>
        <w:t>2,675,412</w:t>
      </w:r>
      <w:r>
        <w:rPr>
          <w:rFonts w:ascii="Times New Roman" w:hAnsi="Times New Roman"/>
          <w:sz w:val="20"/>
        </w:rPr>
        <w:t>.</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3" w:name="PageBreakNo1"/>
            <w:bookmarkEnd w:id="3"/>
            <w:r>
              <w:rPr>
                <w:sz w:val="20"/>
              </w:rPr>
              <w:t>1</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r>
    </w:p>
    <w:p>
      <w:pPr>
        <w:pStyle w:val="TextBody"/>
        <w:bidi w:val="0"/>
        <w:spacing w:lineRule="auto" w:line="288" w:before="0" w:after="0"/>
        <w:ind w:left="0" w:right="0" w:hanging="0"/>
        <w:jc w:val="center"/>
        <w:rPr/>
      </w:pPr>
      <w:r>
        <w:rPr/>
        <w:t> </w:t>
      </w:r>
      <w:r>
        <w:rPr>
          <w:rFonts w:ascii="Times New Roman" w:hAnsi="Times New Roman"/>
          <w:b/>
          <w:sz w:val="20"/>
        </w:rPr>
        <w:t>CLEARONE, INC.</w:t>
      </w:r>
    </w:p>
    <w:p>
      <w:pPr>
        <w:pStyle w:val="TextBody"/>
        <w:widowControl/>
        <w:bidi w:val="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QUARTERLY REPORT ON FORM 10-Q FOR THE QUARTER ENDED</w:t>
      </w:r>
      <w:r>
        <w:rPr>
          <w:rFonts w:ascii="Times New Roman" w:hAnsi="Times New Roman"/>
          <w:b/>
          <w:i w:val="false"/>
          <w:caps w:val="false"/>
          <w:smallCaps w:val="false"/>
          <w:color w:val="000000"/>
          <w:spacing w:val="0"/>
          <w:sz w:val="20"/>
        </w:rPr>
        <w:t> </w:t>
      </w:r>
      <w:bookmarkStart w:id="4" w:name="fs_MSJDBGBTDC00000000000000000000FM"/>
      <w:bookmarkEnd w:id="4"/>
      <w:r>
        <w:rPr>
          <w:rFonts w:ascii="Times New Roman" w:hAnsi="Times New Roman"/>
          <w:b/>
          <w:i w:val="false"/>
          <w:caps w:val="false"/>
          <w:smallCaps w:val="false"/>
          <w:color w:val="000000"/>
          <w:spacing w:val="0"/>
          <w:sz w:val="20"/>
        </w:rPr>
        <w:t>JUNE 30, 2026</w:t>
      </w:r>
    </w:p>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center"/>
        <w:rPr>
          <w:rFonts w:ascii="times new roman;times" w:hAnsi="times new roman;times"/>
          <w:sz w:val="20"/>
        </w:rPr>
      </w:pPr>
      <w:r>
        <w:rPr>
          <w:rFonts w:ascii="Times New Roman" w:hAnsi="Times New Roman"/>
          <w:b/>
          <w:sz w:val="20"/>
        </w:rPr>
        <w:t>INDEX</w:t>
      </w:r>
      <w:r>
        <w:rPr>
          <w:rFonts w:ascii="times new roman;times" w:hAnsi="times new roman;times"/>
          <w:sz w:val="20"/>
        </w:rPr>
        <w:t>​</w:t>
      </w:r>
    </w:p>
    <w:p>
      <w:pPr>
        <w:pStyle w:val="Normal"/>
        <w:bidi w:val="0"/>
        <w:spacing w:before="0" w:after="0"/>
        <w:jc w:val="left"/>
        <w:rPr>
          <w:sz w:val="4"/>
          <w:szCs w:val="4"/>
        </w:rPr>
      </w:pPr>
      <w:r>
        <w:rPr>
          <w:sz w:val="4"/>
          <w:szCs w:val="4"/>
        </w:rPr>
      </w:r>
      <w:bookmarkStart w:id="5" w:name="TOC"/>
      <w:bookmarkStart w:id="6" w:name="TOC"/>
      <w:bookmarkEnd w:id="6"/>
    </w:p>
    <w:tbl>
      <w:tblPr>
        <w:tblW w:w="10205" w:type="dxa"/>
        <w:jc w:val="left"/>
        <w:tblInd w:w="0" w:type="dxa"/>
        <w:tblLayout w:type="fixed"/>
        <w:tblCellMar>
          <w:top w:w="0" w:type="dxa"/>
          <w:left w:w="0" w:type="dxa"/>
          <w:bottom w:w="0" w:type="dxa"/>
          <w:right w:w="0" w:type="dxa"/>
        </w:tblCellMar>
      </w:tblPr>
      <w:tblGrid>
        <w:gridCol w:w="627"/>
        <w:gridCol w:w="9317"/>
        <w:gridCol w:w="261"/>
      </w:tblGrid>
      <w:tr>
        <w:trPr/>
        <w:tc>
          <w:tcPr>
            <w:tcW w:w="627" w:type="dxa"/>
            <w:tcBorders/>
            <w:vAlign w:val="center"/>
          </w:tcPr>
          <w:p>
            <w:pPr>
              <w:pStyle w:val="TableContents"/>
              <w:bidi w:val="0"/>
              <w:spacing w:before="0" w:after="283"/>
              <w:jc w:val="left"/>
              <w:rPr>
                <w:sz w:val="4"/>
                <w:szCs w:val="4"/>
              </w:rPr>
            </w:pPr>
            <w:r>
              <w:rPr>
                <w:sz w:val="4"/>
                <w:szCs w:val="4"/>
              </w:rPr>
            </w:r>
          </w:p>
        </w:tc>
        <w:tc>
          <w:tcPr>
            <w:tcW w:w="9317" w:type="dxa"/>
            <w:tcBorders/>
            <w:vAlign w:val="center"/>
          </w:tcPr>
          <w:p>
            <w:pPr>
              <w:pStyle w:val="TableContents"/>
              <w:bidi w:val="0"/>
              <w:spacing w:before="0" w:after="0"/>
              <w:ind w:left="0" w:right="0" w:hanging="0"/>
              <w:jc w:val="center"/>
              <w:rPr/>
            </w:pPr>
            <w:r>
              <w:rPr/>
            </w:r>
          </w:p>
        </w:tc>
        <w:tc>
          <w:tcPr>
            <w:tcW w:w="261" w:type="dxa"/>
            <w:tcBorders/>
            <w:vAlign w:val="center"/>
          </w:tcPr>
          <w:p>
            <w:pPr>
              <w:pStyle w:val="TableContents"/>
              <w:bidi w:val="0"/>
              <w:spacing w:before="0" w:after="0"/>
              <w:ind w:left="0" w:right="0" w:hanging="0"/>
              <w:jc w:val="center"/>
              <w:rPr/>
            </w:pPr>
            <w:r>
              <w:rPr/>
            </w:r>
          </w:p>
        </w:tc>
      </w:tr>
      <w:tr>
        <w:trPr/>
        <w:tc>
          <w:tcPr>
            <w:tcW w:w="627" w:type="dxa"/>
            <w:tcBorders/>
            <w:shd w:fill="CCEEFF" w:val="clear"/>
            <w:vAlign w:val="center"/>
          </w:tcPr>
          <w:p>
            <w:pPr>
              <w:pStyle w:val="TableContents"/>
              <w:bidi w:val="0"/>
              <w:spacing w:before="0" w:after="283"/>
              <w:jc w:val="left"/>
              <w:rPr/>
            </w:pPr>
            <w:r>
              <w:rPr/>
            </w:r>
            <w:bookmarkStart w:id="7" w:name="BM_BA_ITXHYI3BG000000000000000000000"/>
            <w:bookmarkStart w:id="8" w:name="BM_BA_ITXHYI3BG000000000000000000000"/>
            <w:bookmarkEnd w:id="8"/>
          </w:p>
        </w:tc>
        <w:tc>
          <w:tcPr>
            <w:tcW w:w="9317" w:type="dxa"/>
            <w:tcBorders/>
            <w:shd w:fill="CCEEFF" w:val="clear"/>
            <w:vAlign w:val="center"/>
          </w:tcPr>
          <w:p>
            <w:pPr>
              <w:pStyle w:val="TableContents"/>
              <w:bidi w:val="0"/>
              <w:spacing w:before="0" w:after="283"/>
              <w:jc w:val="left"/>
              <w:rPr/>
            </w:pPr>
            <w:hyperlink w:anchor="BA_ITXHYI3BG000000000000000000000">
              <w:r>
                <w:rPr>
                  <w:rStyle w:val="InternetLink"/>
                  <w:b/>
                  <w:color w:val="0000FF"/>
                  <w:sz w:val="20"/>
                </w:rPr>
                <w:t>PART I - FINANCIAL INFORMATION</w:t>
              </w:r>
            </w:hyperlink>
          </w:p>
        </w:tc>
        <w:tc>
          <w:tcPr>
            <w:tcW w:w="261" w:type="dxa"/>
            <w:tcBorders/>
            <w:shd w:fill="CCEEFF" w:val="clear"/>
            <w:vAlign w:val="center"/>
          </w:tcPr>
          <w:p>
            <w:pPr>
              <w:pStyle w:val="TableContents"/>
              <w:bidi w:val="0"/>
              <w:spacing w:before="0" w:after="283"/>
              <w:jc w:val="left"/>
              <w:rPr/>
            </w:pPr>
            <w:r>
              <w:rPr/>
            </w:r>
          </w:p>
        </w:tc>
      </w:tr>
      <w:tr>
        <w:trPr/>
        <w:tc>
          <w:tcPr>
            <w:tcW w:w="627" w:type="dxa"/>
            <w:tcBorders/>
            <w:vAlign w:val="center"/>
          </w:tcPr>
          <w:p>
            <w:pPr>
              <w:pStyle w:val="TableContents"/>
              <w:bidi w:val="0"/>
              <w:spacing w:before="0" w:after="283"/>
              <w:jc w:val="left"/>
              <w:rPr/>
            </w:pPr>
            <w:r>
              <w:rPr/>
            </w:r>
          </w:p>
        </w:tc>
        <w:tc>
          <w:tcPr>
            <w:tcW w:w="9317"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27" w:type="dxa"/>
            <w:tcBorders/>
            <w:shd w:fill="CCEEFF" w:val="clear"/>
            <w:vAlign w:val="center"/>
          </w:tcPr>
          <w:p>
            <w:pPr>
              <w:pStyle w:val="TableContents"/>
              <w:bidi w:val="0"/>
              <w:spacing w:before="0" w:after="283"/>
              <w:jc w:val="left"/>
              <w:rPr>
                <w:sz w:val="20"/>
              </w:rPr>
            </w:pPr>
            <w:r>
              <w:rPr>
                <w:sz w:val="20"/>
              </w:rPr>
              <w:t>Item 1.</w:t>
            </w:r>
            <w:bookmarkStart w:id="9" w:name="BM_BB_DACLJMO6HS00000000000000000000"/>
            <w:bookmarkEnd w:id="9"/>
          </w:p>
        </w:tc>
        <w:tc>
          <w:tcPr>
            <w:tcW w:w="9317" w:type="dxa"/>
            <w:tcBorders/>
            <w:shd w:fill="CCEEFF" w:val="clear"/>
            <w:vAlign w:val="center"/>
          </w:tcPr>
          <w:p>
            <w:pPr>
              <w:pStyle w:val="TableContents"/>
              <w:bidi w:val="0"/>
              <w:spacing w:before="0" w:after="283"/>
              <w:jc w:val="left"/>
              <w:rPr/>
            </w:pPr>
            <w:hyperlink w:anchor="BB_DACLJMO6HS00000000000000000000">
              <w:r>
                <w:rPr>
                  <w:rStyle w:val="InternetLink"/>
                  <w:color w:val="0000FF"/>
                  <w:sz w:val="20"/>
                </w:rPr>
                <w:t>Financial Statements</w:t>
              </w:r>
            </w:hyperlink>
            <w:bookmarkStart w:id="10" w:name="BMP_BB_DACLJMO6HS00000000000000000000"/>
            <w:bookmarkEnd w:id="10"/>
          </w:p>
        </w:tc>
        <w:tc>
          <w:tcPr>
            <w:tcW w:w="261" w:type="dxa"/>
            <w:tcBorders/>
            <w:shd w:fill="CCEEFF" w:val="clear"/>
            <w:vAlign w:val="center"/>
          </w:tcPr>
          <w:p>
            <w:pPr>
              <w:pStyle w:val="TableContents"/>
              <w:bidi w:val="0"/>
              <w:spacing w:before="0" w:after="283"/>
              <w:jc w:val="center"/>
              <w:rPr/>
            </w:pPr>
            <w:r>
              <w:rPr/>
              <w:t>3</w:t>
            </w:r>
          </w:p>
        </w:tc>
      </w:tr>
      <w:tr>
        <w:trPr/>
        <w:tc>
          <w:tcPr>
            <w:tcW w:w="627" w:type="dxa"/>
            <w:tcBorders/>
            <w:vAlign w:val="center"/>
          </w:tcPr>
          <w:p>
            <w:pPr>
              <w:pStyle w:val="TableContents"/>
              <w:bidi w:val="0"/>
              <w:spacing w:before="0" w:after="283"/>
              <w:jc w:val="left"/>
              <w:rPr/>
            </w:pPr>
            <w:r>
              <w:rPr/>
            </w:r>
          </w:p>
        </w:tc>
        <w:tc>
          <w:tcPr>
            <w:tcW w:w="9317"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27" w:type="dxa"/>
            <w:tcBorders/>
            <w:shd w:fill="CCEEFF" w:val="clear"/>
            <w:vAlign w:val="center"/>
          </w:tcPr>
          <w:p>
            <w:pPr>
              <w:pStyle w:val="TableContents"/>
              <w:bidi w:val="0"/>
              <w:spacing w:before="0" w:after="283"/>
              <w:jc w:val="left"/>
              <w:rPr/>
            </w:pPr>
            <w:r>
              <w:rPr/>
            </w:r>
            <w:bookmarkStart w:id="11" w:name="BM_BC_67A6VPX3U800000000000000000000"/>
            <w:bookmarkStart w:id="12" w:name="BM_BC_67A6VPX3U800000000000000000000"/>
            <w:bookmarkEnd w:id="12"/>
          </w:p>
        </w:tc>
        <w:tc>
          <w:tcPr>
            <w:tcW w:w="9317" w:type="dxa"/>
            <w:tcBorders/>
            <w:shd w:fill="CCEEFF" w:val="clear"/>
            <w:vAlign w:val="center"/>
          </w:tcPr>
          <w:p>
            <w:pPr>
              <w:pStyle w:val="TableContents"/>
              <w:bidi w:val="0"/>
              <w:spacing w:before="0" w:after="283"/>
              <w:jc w:val="left"/>
              <w:rPr/>
            </w:pPr>
            <w:hyperlink w:anchor="BC_67A6VPX3U800000000000000000000">
              <w:r>
                <w:rPr>
                  <w:rStyle w:val="InternetLink"/>
                  <w:color w:val="0000FF"/>
                  <w:sz w:val="20"/>
                </w:rPr>
                <w:t xml:space="preserve">Unaudited Condensed Consolidated Balance Sheets as of </w:t>
              </w:r>
            </w:hyperlink>
            <w:hyperlink w:anchor="BC_67A6VPX3U800000000000000000000">
              <w:bookmarkStart w:id="13" w:name="fs_OFDEGAQOUO00000000000000000000FM"/>
              <w:bookmarkEnd w:id="13"/>
              <w:r>
                <w:rPr>
                  <w:rStyle w:val="InternetLink"/>
                  <w:color w:val="0000FF"/>
                  <w:sz w:val="20"/>
                </w:rPr>
                <w:t xml:space="preserve">June 30, 2026 and </w:t>
              </w:r>
            </w:hyperlink>
            <w:hyperlink w:anchor="BC_67A6VPX3U800000000000000000000">
              <w:bookmarkStart w:id="14" w:name="fs_DDML08DINK00000000000000000000FM"/>
              <w:bookmarkEnd w:id="14"/>
              <w:r>
                <w:rPr>
                  <w:rStyle w:val="InternetLink"/>
                  <w:color w:val="0000FF"/>
                  <w:sz w:val="20"/>
                </w:rPr>
                <w:t>December 31, 2025</w:t>
              </w:r>
            </w:hyperlink>
            <w:bookmarkStart w:id="15" w:name="BMP_BC_67A6VPX3U800000000000000000000"/>
            <w:bookmarkEnd w:id="15"/>
          </w:p>
        </w:tc>
        <w:tc>
          <w:tcPr>
            <w:tcW w:w="261" w:type="dxa"/>
            <w:tcBorders/>
            <w:shd w:fill="CCEEFF" w:val="clear"/>
            <w:vAlign w:val="center"/>
          </w:tcPr>
          <w:p>
            <w:pPr>
              <w:pStyle w:val="TableContents"/>
              <w:bidi w:val="0"/>
              <w:spacing w:before="0" w:after="283"/>
              <w:jc w:val="center"/>
              <w:rPr/>
            </w:pPr>
            <w:r>
              <w:rPr/>
              <w:t>3</w:t>
            </w:r>
          </w:p>
        </w:tc>
      </w:tr>
      <w:tr>
        <w:trPr/>
        <w:tc>
          <w:tcPr>
            <w:tcW w:w="627" w:type="dxa"/>
            <w:tcBorders/>
            <w:vAlign w:val="center"/>
          </w:tcPr>
          <w:p>
            <w:pPr>
              <w:pStyle w:val="TableContents"/>
              <w:bidi w:val="0"/>
              <w:spacing w:before="0" w:after="283"/>
              <w:jc w:val="left"/>
              <w:rPr/>
            </w:pPr>
            <w:r>
              <w:rPr/>
            </w:r>
          </w:p>
        </w:tc>
        <w:tc>
          <w:tcPr>
            <w:tcW w:w="9317"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27" w:type="dxa"/>
            <w:tcBorders/>
            <w:shd w:fill="CCEEFF" w:val="clear"/>
            <w:vAlign w:val="center"/>
          </w:tcPr>
          <w:p>
            <w:pPr>
              <w:pStyle w:val="TableContents"/>
              <w:bidi w:val="0"/>
              <w:spacing w:before="0" w:after="283"/>
              <w:jc w:val="left"/>
              <w:rPr/>
            </w:pPr>
            <w:r>
              <w:rPr/>
            </w:r>
            <w:bookmarkStart w:id="16" w:name="BM_BD_G3RUEUCU2O00000000000000000000"/>
            <w:bookmarkStart w:id="17" w:name="BM_BD_G3RUEUCU2O00000000000000000000"/>
            <w:bookmarkEnd w:id="17"/>
          </w:p>
        </w:tc>
        <w:tc>
          <w:tcPr>
            <w:tcW w:w="9317" w:type="dxa"/>
            <w:tcBorders/>
            <w:shd w:fill="CCEEFF" w:val="clear"/>
            <w:vAlign w:val="center"/>
          </w:tcPr>
          <w:p>
            <w:pPr>
              <w:pStyle w:val="TableContents"/>
              <w:bidi w:val="0"/>
              <w:spacing w:before="0" w:after="283"/>
              <w:jc w:val="left"/>
              <w:rPr/>
            </w:pPr>
            <w:hyperlink w:anchor="BD_G3RUEUCU2O00000000000000000000">
              <w:r>
                <w:rPr>
                  <w:rStyle w:val="InternetLink"/>
                  <w:color w:val="0000FF"/>
                  <w:sz w:val="20"/>
                </w:rPr>
                <w:t xml:space="preserve">Unaudited Condensed Consolidated Statements of Operations and Comprehensive Loss for the </w:t>
              </w:r>
            </w:hyperlink>
            <w:hyperlink w:anchor="BD_G3RUEUCU2O00000000000000000000">
              <w:bookmarkStart w:id="18" w:name="fs_XV37K182UO00000000000000000000FM"/>
              <w:bookmarkEnd w:id="18"/>
              <w:r>
                <w:rPr>
                  <w:rStyle w:val="InternetLink"/>
                  <w:color w:val="0000FF"/>
                  <w:sz w:val="20"/>
                </w:rPr>
                <w:t xml:space="preserve">three and six months ended </w:t>
              </w:r>
            </w:hyperlink>
            <w:hyperlink w:anchor="BD_G3RUEUCU2O00000000000000000000">
              <w:bookmarkStart w:id="19" w:name="fs_VNIVK7G1HS00000000000000000000FM"/>
              <w:bookmarkEnd w:id="19"/>
              <w:r>
                <w:rPr>
                  <w:rStyle w:val="InternetLink"/>
                  <w:color w:val="0000FF"/>
                  <w:sz w:val="20"/>
                </w:rPr>
                <w:t>June 30, 2026</w:t>
              </w:r>
            </w:hyperlink>
            <w:hyperlink w:anchor="BD_G3RUEUCU2O00000000000000000000">
              <w:r>
                <w:rPr>
                  <w:rStyle w:val="InternetLink"/>
                  <w:color w:val="0000FF"/>
                  <w:sz w:val="20"/>
                </w:rPr>
                <w:t xml:space="preserve"> and </w:t>
              </w:r>
            </w:hyperlink>
            <w:hyperlink w:anchor="BD_G3RUEUCU2O00000000000000000000">
              <w:bookmarkStart w:id="20" w:name="fs_LYGM04YSUO00000000000000000000FM"/>
              <w:bookmarkEnd w:id="20"/>
              <w:r>
                <w:rPr>
                  <w:rStyle w:val="InternetLink"/>
                  <w:color w:val="0000FF"/>
                  <w:sz w:val="20"/>
                </w:rPr>
                <w:t>2025</w:t>
              </w:r>
            </w:hyperlink>
            <w:bookmarkStart w:id="21" w:name="BMP_BD_G3RUEUCU2O00000000000000000000"/>
            <w:bookmarkEnd w:id="21"/>
          </w:p>
        </w:tc>
        <w:tc>
          <w:tcPr>
            <w:tcW w:w="261" w:type="dxa"/>
            <w:tcBorders/>
            <w:shd w:fill="CCEEFF" w:val="clear"/>
            <w:vAlign w:val="center"/>
          </w:tcPr>
          <w:p>
            <w:pPr>
              <w:pStyle w:val="TableContents"/>
              <w:bidi w:val="0"/>
              <w:spacing w:before="0" w:after="283"/>
              <w:jc w:val="center"/>
              <w:rPr/>
            </w:pPr>
            <w:r>
              <w:rPr/>
              <w:t>4</w:t>
            </w:r>
          </w:p>
        </w:tc>
      </w:tr>
      <w:tr>
        <w:trPr/>
        <w:tc>
          <w:tcPr>
            <w:tcW w:w="627" w:type="dxa"/>
            <w:tcBorders/>
            <w:vAlign w:val="center"/>
          </w:tcPr>
          <w:p>
            <w:pPr>
              <w:pStyle w:val="TableContents"/>
              <w:bidi w:val="0"/>
              <w:spacing w:before="0" w:after="283"/>
              <w:jc w:val="left"/>
              <w:rPr/>
            </w:pPr>
            <w:r>
              <w:rPr/>
            </w:r>
          </w:p>
        </w:tc>
        <w:tc>
          <w:tcPr>
            <w:tcW w:w="9317"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27" w:type="dxa"/>
            <w:tcBorders/>
            <w:shd w:fill="CCEEFF" w:val="clear"/>
            <w:vAlign w:val="center"/>
          </w:tcPr>
          <w:p>
            <w:pPr>
              <w:pStyle w:val="TableContents"/>
              <w:bidi w:val="0"/>
              <w:spacing w:before="0" w:after="283"/>
              <w:jc w:val="left"/>
              <w:rPr/>
            </w:pPr>
            <w:r>
              <w:rPr/>
            </w:r>
            <w:bookmarkStart w:id="22" w:name="BM_BE_OCDKM4QLA800000000000000000000"/>
            <w:bookmarkStart w:id="23" w:name="BM_BE_OCDKM4QLA800000000000000000000"/>
            <w:bookmarkEnd w:id="23"/>
          </w:p>
        </w:tc>
        <w:tc>
          <w:tcPr>
            <w:tcW w:w="9317" w:type="dxa"/>
            <w:tcBorders/>
            <w:shd w:fill="CCEEFF" w:val="clear"/>
            <w:vAlign w:val="center"/>
          </w:tcPr>
          <w:p>
            <w:pPr>
              <w:pStyle w:val="TableContents"/>
              <w:bidi w:val="0"/>
              <w:spacing w:before="0" w:after="283"/>
              <w:jc w:val="left"/>
              <w:rPr/>
            </w:pPr>
            <w:hyperlink w:anchor="BE_OCDKM4QLA800000000000000000000">
              <w:r>
                <w:rPr>
                  <w:rStyle w:val="InternetLink"/>
                  <w:color w:val="0000FF"/>
                  <w:sz w:val="20"/>
                </w:rPr>
                <w:t xml:space="preserve">Unaudited Condensed Consolidated Statements of Cash Flows for the </w:t>
              </w:r>
            </w:hyperlink>
            <w:hyperlink w:anchor="BE_OCDKM4QLA800000000000000000000">
              <w:bookmarkStart w:id="24" w:name="fs_GKT6FT0G2800000000000000000000FM"/>
              <w:bookmarkEnd w:id="24"/>
              <w:r>
                <w:rPr>
                  <w:rStyle w:val="InternetLink"/>
                  <w:color w:val="0000FF"/>
                  <w:sz w:val="20"/>
                </w:rPr>
                <w:t xml:space="preserve">Six Months Ended June 30, 2026 and </w:t>
              </w:r>
            </w:hyperlink>
            <w:hyperlink w:anchor="BE_OCDKM4QLA800000000000000000000">
              <w:bookmarkStart w:id="25" w:name="fs_0RVFIR75YO00000000000000000000FM"/>
              <w:bookmarkEnd w:id="25"/>
              <w:r>
                <w:rPr>
                  <w:rStyle w:val="InternetLink"/>
                  <w:color w:val="0000FF"/>
                  <w:sz w:val="20"/>
                </w:rPr>
                <w:t>2025</w:t>
              </w:r>
            </w:hyperlink>
            <w:bookmarkStart w:id="26" w:name="BMP_BE_OCDKM4QLA800000000000000000000"/>
            <w:bookmarkEnd w:id="26"/>
          </w:p>
        </w:tc>
        <w:tc>
          <w:tcPr>
            <w:tcW w:w="261" w:type="dxa"/>
            <w:tcBorders/>
            <w:shd w:fill="CCEEFF" w:val="clear"/>
            <w:vAlign w:val="center"/>
          </w:tcPr>
          <w:p>
            <w:pPr>
              <w:pStyle w:val="TableContents"/>
              <w:bidi w:val="0"/>
              <w:spacing w:before="0" w:after="283"/>
              <w:jc w:val="center"/>
              <w:rPr/>
            </w:pPr>
            <w:r>
              <w:rPr/>
              <w:t>5</w:t>
            </w:r>
          </w:p>
        </w:tc>
      </w:tr>
      <w:tr>
        <w:trPr/>
        <w:tc>
          <w:tcPr>
            <w:tcW w:w="627" w:type="dxa"/>
            <w:tcBorders/>
            <w:vAlign w:val="center"/>
          </w:tcPr>
          <w:p>
            <w:pPr>
              <w:pStyle w:val="TableContents"/>
              <w:bidi w:val="0"/>
              <w:spacing w:before="0" w:after="283"/>
              <w:jc w:val="left"/>
              <w:rPr/>
            </w:pPr>
            <w:r>
              <w:rPr/>
            </w:r>
          </w:p>
        </w:tc>
        <w:tc>
          <w:tcPr>
            <w:tcW w:w="9317"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27" w:type="dxa"/>
            <w:tcBorders/>
            <w:shd w:fill="CCEEFF" w:val="clear"/>
            <w:vAlign w:val="center"/>
          </w:tcPr>
          <w:p>
            <w:pPr>
              <w:pStyle w:val="TableContents"/>
              <w:bidi w:val="0"/>
              <w:spacing w:before="0" w:after="283"/>
              <w:jc w:val="left"/>
              <w:rPr/>
            </w:pPr>
            <w:r>
              <w:rPr/>
            </w:r>
            <w:bookmarkStart w:id="27" w:name="BM_BF_IMSU8UN3GG00000000000000000000"/>
            <w:bookmarkStart w:id="28" w:name="BM_BF_IMSU8UN3GG00000000000000000000"/>
            <w:bookmarkEnd w:id="28"/>
          </w:p>
        </w:tc>
        <w:tc>
          <w:tcPr>
            <w:tcW w:w="9317" w:type="dxa"/>
            <w:tcBorders/>
            <w:shd w:fill="CCEEFF" w:val="clear"/>
            <w:vAlign w:val="center"/>
          </w:tcPr>
          <w:p>
            <w:pPr>
              <w:pStyle w:val="TableContents"/>
              <w:bidi w:val="0"/>
              <w:spacing w:before="0" w:after="283"/>
              <w:jc w:val="left"/>
              <w:rPr/>
            </w:pPr>
            <w:hyperlink w:anchor="BF_IMSU8UN3GG00000000000000000000">
              <w:r>
                <w:rPr>
                  <w:rStyle w:val="InternetLink"/>
                  <w:color w:val="0000FF"/>
                  <w:sz w:val="20"/>
                </w:rPr>
                <w:t>Unaudited Notes to Condensed Consolidated Financial Statements</w:t>
              </w:r>
            </w:hyperlink>
            <w:bookmarkStart w:id="29" w:name="BMP_BF_IMSU8UN3GG00000000000000000000"/>
            <w:bookmarkEnd w:id="29"/>
          </w:p>
        </w:tc>
        <w:tc>
          <w:tcPr>
            <w:tcW w:w="261" w:type="dxa"/>
            <w:tcBorders/>
            <w:shd w:fill="CCEEFF" w:val="clear"/>
            <w:vAlign w:val="center"/>
          </w:tcPr>
          <w:p>
            <w:pPr>
              <w:pStyle w:val="TableContents"/>
              <w:bidi w:val="0"/>
              <w:spacing w:before="0" w:after="283"/>
              <w:jc w:val="center"/>
              <w:rPr/>
            </w:pPr>
            <w:r>
              <w:rPr/>
              <w:t>7</w:t>
            </w:r>
          </w:p>
        </w:tc>
      </w:tr>
      <w:tr>
        <w:trPr/>
        <w:tc>
          <w:tcPr>
            <w:tcW w:w="627" w:type="dxa"/>
            <w:tcBorders/>
            <w:vAlign w:val="center"/>
          </w:tcPr>
          <w:p>
            <w:pPr>
              <w:pStyle w:val="TableContents"/>
              <w:bidi w:val="0"/>
              <w:spacing w:before="0" w:after="283"/>
              <w:jc w:val="left"/>
              <w:rPr/>
            </w:pPr>
            <w:r>
              <w:rPr/>
            </w:r>
          </w:p>
        </w:tc>
        <w:tc>
          <w:tcPr>
            <w:tcW w:w="9317"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27"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2.</w:t>
            </w:r>
            <w:bookmarkStart w:id="30" w:name="BM_BG_ZROYRYR1OG00000000000000000000"/>
            <w:bookmarkEnd w:id="30"/>
          </w:p>
        </w:tc>
        <w:tc>
          <w:tcPr>
            <w:tcW w:w="9317" w:type="dxa"/>
            <w:tcBorders/>
            <w:shd w:fill="CCEEFF" w:val="clear"/>
            <w:vAlign w:val="center"/>
          </w:tcPr>
          <w:p>
            <w:pPr>
              <w:pStyle w:val="TableContents"/>
              <w:bidi w:val="0"/>
              <w:spacing w:before="0" w:after="283"/>
              <w:jc w:val="left"/>
              <w:rPr/>
            </w:pPr>
            <w:hyperlink w:anchor="BG_ZROYRYR1OG00000000000000000000">
              <w:r>
                <w:rPr>
                  <w:rStyle w:val="InternetLink"/>
                  <w:color w:val="0000FF"/>
                  <w:sz w:val="20"/>
                </w:rPr>
                <w:t>Management’s Discussion and Analysis of Financial Condition and Results of Operations</w:t>
              </w:r>
            </w:hyperlink>
            <w:bookmarkStart w:id="31" w:name="BMP_BG_ZROYRYR1OG00000000000000000000"/>
            <w:bookmarkEnd w:id="31"/>
          </w:p>
        </w:tc>
        <w:tc>
          <w:tcPr>
            <w:tcW w:w="261" w:type="dxa"/>
            <w:tcBorders/>
            <w:shd w:fill="CCEEFF" w:val="clear"/>
            <w:vAlign w:val="center"/>
          </w:tcPr>
          <w:p>
            <w:pPr>
              <w:pStyle w:val="TableContents"/>
              <w:bidi w:val="0"/>
              <w:spacing w:before="0" w:after="283"/>
              <w:jc w:val="center"/>
              <w:rPr/>
            </w:pPr>
            <w:r>
              <w:rPr/>
              <w:t>25</w:t>
            </w:r>
          </w:p>
        </w:tc>
      </w:tr>
      <w:tr>
        <w:trPr/>
        <w:tc>
          <w:tcPr>
            <w:tcW w:w="627" w:type="dxa"/>
            <w:tcBorders/>
            <w:vAlign w:val="center"/>
          </w:tcPr>
          <w:p>
            <w:pPr>
              <w:pStyle w:val="TableContents"/>
              <w:bidi w:val="0"/>
              <w:spacing w:before="0" w:after="283"/>
              <w:jc w:val="left"/>
              <w:rPr/>
            </w:pPr>
            <w:r>
              <w:rPr/>
            </w:r>
          </w:p>
        </w:tc>
        <w:tc>
          <w:tcPr>
            <w:tcW w:w="9317"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27"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3.</w:t>
            </w:r>
            <w:bookmarkStart w:id="32" w:name="BM_BH_U66773D7WW00000000000000000000"/>
            <w:bookmarkEnd w:id="32"/>
          </w:p>
        </w:tc>
        <w:tc>
          <w:tcPr>
            <w:tcW w:w="9317" w:type="dxa"/>
            <w:tcBorders/>
            <w:shd w:fill="CCEEFF" w:val="clear"/>
            <w:vAlign w:val="center"/>
          </w:tcPr>
          <w:p>
            <w:pPr>
              <w:pStyle w:val="TableContents"/>
              <w:bidi w:val="0"/>
              <w:spacing w:before="0" w:after="283"/>
              <w:jc w:val="left"/>
              <w:rPr/>
            </w:pPr>
            <w:hyperlink w:anchor="BH_U66773D7WW00000000000000000000">
              <w:r>
                <w:rPr>
                  <w:rStyle w:val="InternetLink"/>
                  <w:color w:val="0000FF"/>
                  <w:sz w:val="20"/>
                </w:rPr>
                <w:t>Quantitative and Qualitative Disclosures About Market Risk</w:t>
              </w:r>
            </w:hyperlink>
            <w:bookmarkStart w:id="33" w:name="BMP_BH_U66773D7WW00000000000000000000"/>
            <w:bookmarkEnd w:id="33"/>
          </w:p>
        </w:tc>
        <w:tc>
          <w:tcPr>
            <w:tcW w:w="261" w:type="dxa"/>
            <w:tcBorders/>
            <w:shd w:fill="CCEEFF" w:val="clear"/>
            <w:vAlign w:val="center"/>
          </w:tcPr>
          <w:p>
            <w:pPr>
              <w:pStyle w:val="TableContents"/>
              <w:bidi w:val="0"/>
              <w:spacing w:before="0" w:after="283"/>
              <w:jc w:val="center"/>
              <w:rPr/>
            </w:pPr>
            <w:r>
              <w:rPr/>
              <w:t>34</w:t>
            </w:r>
          </w:p>
        </w:tc>
      </w:tr>
      <w:tr>
        <w:trPr/>
        <w:tc>
          <w:tcPr>
            <w:tcW w:w="627" w:type="dxa"/>
            <w:tcBorders/>
            <w:vAlign w:val="center"/>
          </w:tcPr>
          <w:p>
            <w:pPr>
              <w:pStyle w:val="TableContents"/>
              <w:bidi w:val="0"/>
              <w:spacing w:before="0" w:after="283"/>
              <w:jc w:val="left"/>
              <w:rPr/>
            </w:pPr>
            <w:r>
              <w:rPr/>
            </w:r>
          </w:p>
        </w:tc>
        <w:tc>
          <w:tcPr>
            <w:tcW w:w="9317"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27"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4.</w:t>
            </w:r>
            <w:bookmarkStart w:id="34" w:name="BM_BI_L8KHXR82WW00000000000000000000"/>
            <w:bookmarkEnd w:id="34"/>
          </w:p>
        </w:tc>
        <w:tc>
          <w:tcPr>
            <w:tcW w:w="9317" w:type="dxa"/>
            <w:tcBorders/>
            <w:shd w:fill="CCEEFF" w:val="clear"/>
            <w:vAlign w:val="center"/>
          </w:tcPr>
          <w:p>
            <w:pPr>
              <w:pStyle w:val="TableContents"/>
              <w:bidi w:val="0"/>
              <w:spacing w:before="0" w:after="283"/>
              <w:jc w:val="left"/>
              <w:rPr/>
            </w:pPr>
            <w:hyperlink w:anchor="BI_L8KHXR82WW00000000000000000000">
              <w:r>
                <w:rPr>
                  <w:rStyle w:val="InternetLink"/>
                  <w:color w:val="0000FF"/>
                  <w:sz w:val="20"/>
                </w:rPr>
                <w:t>Controls and Procedures</w:t>
              </w:r>
            </w:hyperlink>
            <w:bookmarkStart w:id="35" w:name="BMP_BI_L8KHXR82WW00000000000000000000"/>
            <w:bookmarkEnd w:id="35"/>
          </w:p>
        </w:tc>
        <w:tc>
          <w:tcPr>
            <w:tcW w:w="261" w:type="dxa"/>
            <w:tcBorders/>
            <w:shd w:fill="CCEEFF" w:val="clear"/>
            <w:vAlign w:val="center"/>
          </w:tcPr>
          <w:p>
            <w:pPr>
              <w:pStyle w:val="TableContents"/>
              <w:bidi w:val="0"/>
              <w:spacing w:before="0" w:after="283"/>
              <w:jc w:val="center"/>
              <w:rPr/>
            </w:pPr>
            <w:r>
              <w:rPr/>
              <w:t>34</w:t>
            </w:r>
          </w:p>
        </w:tc>
      </w:tr>
      <w:tr>
        <w:trPr/>
        <w:tc>
          <w:tcPr>
            <w:tcW w:w="627" w:type="dxa"/>
            <w:tcBorders/>
            <w:vAlign w:val="center"/>
          </w:tcPr>
          <w:p>
            <w:pPr>
              <w:pStyle w:val="TableContents"/>
              <w:bidi w:val="0"/>
              <w:spacing w:before="0" w:after="283"/>
              <w:jc w:val="left"/>
              <w:rPr/>
            </w:pPr>
            <w:r>
              <w:rPr/>
            </w:r>
          </w:p>
        </w:tc>
        <w:tc>
          <w:tcPr>
            <w:tcW w:w="9317"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27" w:type="dxa"/>
            <w:tcBorders/>
            <w:shd w:fill="CCEEFF" w:val="clear"/>
            <w:vAlign w:val="center"/>
          </w:tcPr>
          <w:p>
            <w:pPr>
              <w:pStyle w:val="TableContents"/>
              <w:bidi w:val="0"/>
              <w:spacing w:before="0" w:after="283"/>
              <w:jc w:val="left"/>
              <w:rPr/>
            </w:pPr>
            <w:r>
              <w:rPr/>
            </w:r>
            <w:bookmarkStart w:id="36" w:name="BM_BJ_TSTI5UOPUO00000000000000000000"/>
            <w:bookmarkStart w:id="37" w:name="BM_BJ_TSTI5UOPUO00000000000000000000"/>
            <w:bookmarkEnd w:id="37"/>
          </w:p>
        </w:tc>
        <w:tc>
          <w:tcPr>
            <w:tcW w:w="9317" w:type="dxa"/>
            <w:tcBorders/>
            <w:shd w:fill="CCEEFF" w:val="clear"/>
            <w:vAlign w:val="center"/>
          </w:tcPr>
          <w:p>
            <w:pPr>
              <w:pStyle w:val="TableContents"/>
              <w:bidi w:val="0"/>
              <w:spacing w:before="0" w:after="283"/>
              <w:jc w:val="left"/>
              <w:rPr/>
            </w:pPr>
            <w:hyperlink w:anchor="BJ_TSTI5UOPUO00000000000000000000">
              <w:r>
                <w:rPr>
                  <w:rStyle w:val="InternetLink"/>
                  <w:b/>
                  <w:color w:val="0000FF"/>
                  <w:sz w:val="20"/>
                </w:rPr>
                <w:t>PART II - OTHER INFORMATION</w:t>
              </w:r>
            </w:hyperlink>
          </w:p>
        </w:tc>
        <w:tc>
          <w:tcPr>
            <w:tcW w:w="261" w:type="dxa"/>
            <w:tcBorders/>
            <w:shd w:fill="CCEEFF" w:val="clear"/>
            <w:vAlign w:val="center"/>
          </w:tcPr>
          <w:p>
            <w:pPr>
              <w:pStyle w:val="TableContents"/>
              <w:bidi w:val="0"/>
              <w:spacing w:before="0" w:after="283"/>
              <w:jc w:val="left"/>
              <w:rPr/>
            </w:pPr>
            <w:r>
              <w:rPr/>
            </w:r>
          </w:p>
        </w:tc>
      </w:tr>
      <w:tr>
        <w:trPr/>
        <w:tc>
          <w:tcPr>
            <w:tcW w:w="627" w:type="dxa"/>
            <w:tcBorders/>
            <w:vAlign w:val="center"/>
          </w:tcPr>
          <w:p>
            <w:pPr>
              <w:pStyle w:val="TableContents"/>
              <w:bidi w:val="0"/>
              <w:spacing w:before="0" w:after="283"/>
              <w:jc w:val="left"/>
              <w:rPr/>
            </w:pPr>
            <w:r>
              <w:rPr/>
            </w:r>
          </w:p>
        </w:tc>
        <w:tc>
          <w:tcPr>
            <w:tcW w:w="9317"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27"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w:t>
            </w:r>
            <w:bookmarkStart w:id="38" w:name="BM_BK_UH0QH1ST6800000000000000000000"/>
            <w:bookmarkEnd w:id="38"/>
          </w:p>
        </w:tc>
        <w:tc>
          <w:tcPr>
            <w:tcW w:w="9317" w:type="dxa"/>
            <w:tcBorders/>
            <w:shd w:fill="CCEEFF" w:val="clear"/>
            <w:vAlign w:val="center"/>
          </w:tcPr>
          <w:p>
            <w:pPr>
              <w:pStyle w:val="TableContents"/>
              <w:bidi w:val="0"/>
              <w:spacing w:before="0" w:after="283"/>
              <w:jc w:val="left"/>
              <w:rPr/>
            </w:pPr>
            <w:hyperlink w:anchor="BK_UH0QH1ST6800000000000000000000">
              <w:r>
                <w:rPr>
                  <w:rStyle w:val="InternetLink"/>
                  <w:color w:val="0000FF"/>
                  <w:sz w:val="20"/>
                </w:rPr>
                <w:t>Legal Proceedings</w:t>
              </w:r>
            </w:hyperlink>
            <w:bookmarkStart w:id="39" w:name="BMP_BK_UH0QH1ST6800000000000000000000"/>
            <w:bookmarkEnd w:id="39"/>
          </w:p>
        </w:tc>
        <w:tc>
          <w:tcPr>
            <w:tcW w:w="261" w:type="dxa"/>
            <w:tcBorders/>
            <w:shd w:fill="CCEEFF" w:val="clear"/>
            <w:vAlign w:val="center"/>
          </w:tcPr>
          <w:p>
            <w:pPr>
              <w:pStyle w:val="TableContents"/>
              <w:bidi w:val="0"/>
              <w:spacing w:before="0" w:after="283"/>
              <w:jc w:val="center"/>
              <w:rPr/>
            </w:pPr>
            <w:r>
              <w:rPr/>
              <w:t>34</w:t>
            </w:r>
          </w:p>
        </w:tc>
      </w:tr>
      <w:tr>
        <w:trPr/>
        <w:tc>
          <w:tcPr>
            <w:tcW w:w="627" w:type="dxa"/>
            <w:tcBorders/>
            <w:vAlign w:val="center"/>
          </w:tcPr>
          <w:p>
            <w:pPr>
              <w:pStyle w:val="TableContents"/>
              <w:bidi w:val="0"/>
              <w:spacing w:before="0" w:after="283"/>
              <w:jc w:val="left"/>
              <w:rPr/>
            </w:pPr>
            <w:r>
              <w:rPr/>
            </w:r>
          </w:p>
        </w:tc>
        <w:tc>
          <w:tcPr>
            <w:tcW w:w="9317"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27"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1A.</w:t>
            </w:r>
            <w:bookmarkStart w:id="40" w:name="BM_BL_C8C33AXDV400000000000000000000"/>
            <w:bookmarkEnd w:id="40"/>
          </w:p>
        </w:tc>
        <w:tc>
          <w:tcPr>
            <w:tcW w:w="9317" w:type="dxa"/>
            <w:tcBorders/>
            <w:shd w:fill="CCEEFF" w:val="clear"/>
            <w:vAlign w:val="center"/>
          </w:tcPr>
          <w:p>
            <w:pPr>
              <w:pStyle w:val="TableContents"/>
              <w:bidi w:val="0"/>
              <w:spacing w:before="0" w:after="283"/>
              <w:jc w:val="left"/>
              <w:rPr/>
            </w:pPr>
            <w:hyperlink w:anchor="BL_C8C33AXDV400000000000000000000">
              <w:r>
                <w:rPr>
                  <w:rStyle w:val="InternetLink"/>
                  <w:color w:val="0000FF"/>
                  <w:sz w:val="20"/>
                </w:rPr>
                <w:t>Risk Factors</w:t>
              </w:r>
            </w:hyperlink>
            <w:bookmarkStart w:id="41" w:name="BMP_BL_C8C33AXDV400000000000000000000"/>
            <w:bookmarkEnd w:id="41"/>
          </w:p>
        </w:tc>
        <w:tc>
          <w:tcPr>
            <w:tcW w:w="261" w:type="dxa"/>
            <w:tcBorders/>
            <w:shd w:fill="CCEEFF" w:val="clear"/>
            <w:vAlign w:val="center"/>
          </w:tcPr>
          <w:p>
            <w:pPr>
              <w:pStyle w:val="TableContents"/>
              <w:bidi w:val="0"/>
              <w:spacing w:before="0" w:after="283"/>
              <w:jc w:val="center"/>
              <w:rPr/>
            </w:pPr>
            <w:r>
              <w:rPr/>
              <w:t>34</w:t>
            </w:r>
          </w:p>
        </w:tc>
      </w:tr>
      <w:tr>
        <w:trPr/>
        <w:tc>
          <w:tcPr>
            <w:tcW w:w="627" w:type="dxa"/>
            <w:tcBorders/>
            <w:vAlign w:val="center"/>
          </w:tcPr>
          <w:p>
            <w:pPr>
              <w:pStyle w:val="TableContents"/>
              <w:bidi w:val="0"/>
              <w:spacing w:before="0" w:after="283"/>
              <w:jc w:val="left"/>
              <w:rPr/>
            </w:pPr>
            <w:r>
              <w:rPr/>
            </w:r>
          </w:p>
        </w:tc>
        <w:tc>
          <w:tcPr>
            <w:tcW w:w="9317"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27"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2.</w:t>
            </w:r>
            <w:bookmarkStart w:id="42" w:name="BM_BM_PXV2XAM1KG00000000000000000000"/>
            <w:bookmarkEnd w:id="42"/>
          </w:p>
        </w:tc>
        <w:tc>
          <w:tcPr>
            <w:tcW w:w="9317" w:type="dxa"/>
            <w:tcBorders/>
            <w:shd w:fill="CCEEFF" w:val="clear"/>
            <w:vAlign w:val="center"/>
          </w:tcPr>
          <w:p>
            <w:pPr>
              <w:pStyle w:val="TableContents"/>
              <w:bidi w:val="0"/>
              <w:spacing w:before="0" w:after="283"/>
              <w:jc w:val="left"/>
              <w:rPr/>
            </w:pPr>
            <w:hyperlink w:anchor="BM_PXV2XAM1KG00000000000000000000">
              <w:r>
                <w:rPr>
                  <w:rStyle w:val="InternetLink"/>
                  <w:color w:val="0000FF"/>
                  <w:sz w:val="20"/>
                </w:rPr>
                <w:t>Unregistered Sales of Equity Securities and Use of Proceeds</w:t>
              </w:r>
            </w:hyperlink>
            <w:bookmarkStart w:id="43" w:name="BMP_BM_PXV2XAM1KG00000000000000000000"/>
            <w:bookmarkEnd w:id="43"/>
          </w:p>
        </w:tc>
        <w:tc>
          <w:tcPr>
            <w:tcW w:w="261" w:type="dxa"/>
            <w:tcBorders/>
            <w:shd w:fill="CCEEFF" w:val="clear"/>
            <w:vAlign w:val="center"/>
          </w:tcPr>
          <w:p>
            <w:pPr>
              <w:pStyle w:val="TableContents"/>
              <w:bidi w:val="0"/>
              <w:spacing w:before="0" w:after="283"/>
              <w:jc w:val="center"/>
              <w:rPr/>
            </w:pPr>
            <w:r>
              <w:rPr/>
              <w:t>37</w:t>
            </w:r>
          </w:p>
        </w:tc>
      </w:tr>
      <w:tr>
        <w:trPr/>
        <w:tc>
          <w:tcPr>
            <w:tcW w:w="627" w:type="dxa"/>
            <w:tcBorders/>
            <w:vAlign w:val="center"/>
          </w:tcPr>
          <w:p>
            <w:pPr>
              <w:pStyle w:val="TableContents"/>
              <w:bidi w:val="0"/>
              <w:spacing w:before="0" w:after="283"/>
              <w:jc w:val="left"/>
              <w:rPr/>
            </w:pPr>
            <w:r>
              <w:rPr/>
            </w:r>
          </w:p>
        </w:tc>
        <w:tc>
          <w:tcPr>
            <w:tcW w:w="9317"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27"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3.</w:t>
            </w:r>
            <w:bookmarkStart w:id="44" w:name="BM_BN_EVKECWSW2800000000000000000000"/>
            <w:bookmarkEnd w:id="44"/>
          </w:p>
        </w:tc>
        <w:tc>
          <w:tcPr>
            <w:tcW w:w="9317" w:type="dxa"/>
            <w:tcBorders/>
            <w:shd w:fill="CCEEFF" w:val="clear"/>
            <w:vAlign w:val="center"/>
          </w:tcPr>
          <w:p>
            <w:pPr>
              <w:pStyle w:val="TableContents"/>
              <w:bidi w:val="0"/>
              <w:spacing w:before="0" w:after="283"/>
              <w:jc w:val="left"/>
              <w:rPr/>
            </w:pPr>
            <w:hyperlink w:anchor="BN_EVKECWSW2800000000000000000000">
              <w:r>
                <w:rPr>
                  <w:rStyle w:val="InternetLink"/>
                  <w:color w:val="0000FF"/>
                  <w:sz w:val="20"/>
                </w:rPr>
                <w:t>Defaults Upon Senior Securities</w:t>
              </w:r>
            </w:hyperlink>
            <w:bookmarkStart w:id="45" w:name="BMP_BN_EVKECWSW2800000000000000000000"/>
            <w:bookmarkEnd w:id="45"/>
          </w:p>
        </w:tc>
        <w:tc>
          <w:tcPr>
            <w:tcW w:w="261" w:type="dxa"/>
            <w:tcBorders/>
            <w:shd w:fill="CCEEFF" w:val="clear"/>
            <w:vAlign w:val="center"/>
          </w:tcPr>
          <w:p>
            <w:pPr>
              <w:pStyle w:val="TableContents"/>
              <w:bidi w:val="0"/>
              <w:spacing w:before="0" w:after="283"/>
              <w:jc w:val="center"/>
              <w:rPr/>
            </w:pPr>
            <w:r>
              <w:rPr/>
              <w:t>37</w:t>
            </w:r>
          </w:p>
        </w:tc>
      </w:tr>
      <w:tr>
        <w:trPr/>
        <w:tc>
          <w:tcPr>
            <w:tcW w:w="627" w:type="dxa"/>
            <w:tcBorders/>
            <w:vAlign w:val="center"/>
          </w:tcPr>
          <w:p>
            <w:pPr>
              <w:pStyle w:val="TableContents"/>
              <w:bidi w:val="0"/>
              <w:spacing w:before="0" w:after="283"/>
              <w:jc w:val="left"/>
              <w:rPr/>
            </w:pPr>
            <w:r>
              <w:rPr/>
            </w:r>
          </w:p>
        </w:tc>
        <w:tc>
          <w:tcPr>
            <w:tcW w:w="9317"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27"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4.</w:t>
            </w:r>
            <w:bookmarkStart w:id="46" w:name="BM_BO_VVB037J0C000000000000000000000"/>
            <w:bookmarkEnd w:id="46"/>
          </w:p>
        </w:tc>
        <w:tc>
          <w:tcPr>
            <w:tcW w:w="9317" w:type="dxa"/>
            <w:tcBorders/>
            <w:shd w:fill="CCEEFF" w:val="clear"/>
            <w:vAlign w:val="center"/>
          </w:tcPr>
          <w:p>
            <w:pPr>
              <w:pStyle w:val="TableContents"/>
              <w:bidi w:val="0"/>
              <w:spacing w:before="0" w:after="283"/>
              <w:jc w:val="left"/>
              <w:rPr/>
            </w:pPr>
            <w:hyperlink w:anchor="BO_VVB037J0C000000000000000000000">
              <w:r>
                <w:rPr>
                  <w:rStyle w:val="InternetLink"/>
                  <w:color w:val="0000FF"/>
                  <w:sz w:val="20"/>
                </w:rPr>
                <w:t>Mine Safety Disclosures</w:t>
              </w:r>
            </w:hyperlink>
            <w:bookmarkStart w:id="47" w:name="BMP_BO_VVB037J0C000000000000000000000"/>
            <w:bookmarkEnd w:id="47"/>
          </w:p>
        </w:tc>
        <w:tc>
          <w:tcPr>
            <w:tcW w:w="261" w:type="dxa"/>
            <w:tcBorders/>
            <w:shd w:fill="CCEEFF" w:val="clear"/>
            <w:vAlign w:val="center"/>
          </w:tcPr>
          <w:p>
            <w:pPr>
              <w:pStyle w:val="TableContents"/>
              <w:bidi w:val="0"/>
              <w:spacing w:before="0" w:after="283"/>
              <w:jc w:val="center"/>
              <w:rPr/>
            </w:pPr>
            <w:r>
              <w:rPr/>
              <w:t>37</w:t>
            </w:r>
          </w:p>
        </w:tc>
      </w:tr>
      <w:tr>
        <w:trPr/>
        <w:tc>
          <w:tcPr>
            <w:tcW w:w="627" w:type="dxa"/>
            <w:tcBorders/>
            <w:vAlign w:val="center"/>
          </w:tcPr>
          <w:p>
            <w:pPr>
              <w:pStyle w:val="TableContents"/>
              <w:bidi w:val="0"/>
              <w:spacing w:before="0" w:after="283"/>
              <w:jc w:val="left"/>
              <w:rPr/>
            </w:pPr>
            <w:r>
              <w:rPr/>
            </w:r>
          </w:p>
        </w:tc>
        <w:tc>
          <w:tcPr>
            <w:tcW w:w="9317"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27"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5.</w:t>
            </w:r>
            <w:bookmarkStart w:id="48" w:name="BM_BP_0LWBX5JVNK00000000000000000000"/>
            <w:bookmarkEnd w:id="48"/>
          </w:p>
        </w:tc>
        <w:tc>
          <w:tcPr>
            <w:tcW w:w="9317" w:type="dxa"/>
            <w:tcBorders/>
            <w:shd w:fill="CCEEFF" w:val="clear"/>
            <w:vAlign w:val="center"/>
          </w:tcPr>
          <w:p>
            <w:pPr>
              <w:pStyle w:val="TableContents"/>
              <w:bidi w:val="0"/>
              <w:spacing w:before="0" w:after="283"/>
              <w:jc w:val="left"/>
              <w:rPr/>
            </w:pPr>
            <w:hyperlink w:anchor="BP_0LWBX5JVNK00000000000000000000">
              <w:r>
                <w:rPr>
                  <w:rStyle w:val="InternetLink"/>
                  <w:color w:val="0000FF"/>
                  <w:sz w:val="20"/>
                </w:rPr>
                <w:t>Other Information</w:t>
              </w:r>
            </w:hyperlink>
            <w:bookmarkStart w:id="49" w:name="BMP_BP_0LWBX5JVNK00000000000000000000"/>
            <w:bookmarkEnd w:id="49"/>
          </w:p>
        </w:tc>
        <w:tc>
          <w:tcPr>
            <w:tcW w:w="261" w:type="dxa"/>
            <w:tcBorders/>
            <w:shd w:fill="CCEEFF" w:val="clear"/>
            <w:vAlign w:val="center"/>
          </w:tcPr>
          <w:p>
            <w:pPr>
              <w:pStyle w:val="TableContents"/>
              <w:bidi w:val="0"/>
              <w:spacing w:before="0" w:after="283"/>
              <w:jc w:val="center"/>
              <w:rPr/>
            </w:pPr>
            <w:r>
              <w:rPr/>
              <w:t>37</w:t>
            </w:r>
          </w:p>
        </w:tc>
      </w:tr>
      <w:tr>
        <w:trPr/>
        <w:tc>
          <w:tcPr>
            <w:tcW w:w="627" w:type="dxa"/>
            <w:tcBorders/>
            <w:vAlign w:val="center"/>
          </w:tcPr>
          <w:p>
            <w:pPr>
              <w:pStyle w:val="TableContents"/>
              <w:bidi w:val="0"/>
              <w:spacing w:before="0" w:after="283"/>
              <w:jc w:val="left"/>
              <w:rPr/>
            </w:pPr>
            <w:r>
              <w:rPr/>
            </w:r>
          </w:p>
        </w:tc>
        <w:tc>
          <w:tcPr>
            <w:tcW w:w="9317" w:type="dxa"/>
            <w:tcBorders/>
            <w:vAlign w:val="center"/>
          </w:tcPr>
          <w:p>
            <w:pPr>
              <w:pStyle w:val="TableContents"/>
              <w:bidi w:val="0"/>
              <w:spacing w:before="0" w:after="283"/>
              <w:jc w:val="left"/>
              <w:rPr/>
            </w:pPr>
            <w:r>
              <w:rPr/>
            </w:r>
          </w:p>
        </w:tc>
        <w:tc>
          <w:tcPr>
            <w:tcW w:w="261" w:type="dxa"/>
            <w:tcBorders/>
            <w:vAlign w:val="center"/>
          </w:tcPr>
          <w:p>
            <w:pPr>
              <w:pStyle w:val="TableContents"/>
              <w:bidi w:val="0"/>
              <w:spacing w:before="0" w:after="283"/>
              <w:jc w:val="left"/>
              <w:rPr/>
            </w:pPr>
            <w:r>
              <w:rPr/>
            </w:r>
          </w:p>
        </w:tc>
      </w:tr>
      <w:tr>
        <w:trPr/>
        <w:tc>
          <w:tcPr>
            <w:tcW w:w="627"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Item 6.</w:t>
            </w:r>
            <w:bookmarkStart w:id="50" w:name="BM_Bit6_1272025194021232"/>
            <w:bookmarkEnd w:id="50"/>
          </w:p>
        </w:tc>
        <w:tc>
          <w:tcPr>
            <w:tcW w:w="9317" w:type="dxa"/>
            <w:tcBorders/>
            <w:shd w:fill="CCEEFF" w:val="clear"/>
            <w:vAlign w:val="center"/>
          </w:tcPr>
          <w:p>
            <w:pPr>
              <w:pStyle w:val="TableContents"/>
              <w:bidi w:val="0"/>
              <w:spacing w:before="0" w:after="283"/>
              <w:jc w:val="left"/>
              <w:rPr/>
            </w:pPr>
            <w:hyperlink w:anchor="Bit6_1272025202146458">
              <w:r>
                <w:rPr>
                  <w:rStyle w:val="InternetLink"/>
                  <w:color w:val="0000FF"/>
                  <w:sz w:val="20"/>
                </w:rPr>
                <w:t>Exhibits</w:t>
              </w:r>
            </w:hyperlink>
            <w:bookmarkStart w:id="51" w:name="BMP_Bit6_1272025202146458"/>
            <w:bookmarkEnd w:id="51"/>
          </w:p>
        </w:tc>
        <w:tc>
          <w:tcPr>
            <w:tcW w:w="261" w:type="dxa"/>
            <w:tcBorders/>
            <w:shd w:fill="CCEEFF" w:val="clear"/>
            <w:vAlign w:val="center"/>
          </w:tcPr>
          <w:p>
            <w:pPr>
              <w:pStyle w:val="TableContents"/>
              <w:bidi w:val="0"/>
              <w:spacing w:before="0" w:after="283"/>
              <w:jc w:val="center"/>
              <w:rPr/>
            </w:pPr>
            <w:r>
              <w:rPr/>
              <w:t>38</w:t>
            </w:r>
          </w:p>
        </w:tc>
      </w:tr>
    </w:tbl>
    <w:p>
      <w:pPr>
        <w:pStyle w:val="TextBody"/>
        <w:bidi w:val="0"/>
        <w:spacing w:before="0" w:after="0"/>
        <w:ind w:left="144" w:right="144" w:hanging="0"/>
        <w:jc w:val="center"/>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52" w:name="PageBreakNo2"/>
            <w:bookmarkEnd w:id="52"/>
            <w:r>
              <w:rPr>
                <w:sz w:val="20"/>
              </w:rPr>
              <w:t>2</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200" w:after="200"/>
        <w:ind w:left="0" w:right="0" w:hanging="0"/>
        <w:jc w:val="both"/>
        <w:rPr/>
      </w:pPr>
      <w:hyperlink r:id="rId2">
        <w:bookmarkStart w:id="53" w:name="BA_ITXHYI3BG000000000000000000000"/>
        <w:bookmarkEnd w:id="53"/>
        <w:r>
          <w:rPr>
            <w:rStyle w:val="InternetLink"/>
            <w:rFonts w:ascii="Times New Roman" w:hAnsi="Times New Roman"/>
            <w:b/>
            <w:strike w:val="false"/>
            <w:dstrike w:val="false"/>
            <w:color w:val="000000"/>
            <w:sz w:val="20"/>
            <w:u w:val="none"/>
            <w:effect w:val="none"/>
          </w:rPr>
          <w:t>PART I - FINANCIAL INFORMATION</w:t>
        </w:r>
      </w:hyperlink>
    </w:p>
    <w:p>
      <w:pPr>
        <w:pStyle w:val="TextBody"/>
        <w:bidi w:val="0"/>
        <w:spacing w:lineRule="auto" w:line="288"/>
        <w:ind w:left="0" w:right="0" w:hanging="0"/>
        <w:jc w:val="both"/>
        <w:rPr/>
      </w:pPr>
      <w:hyperlink r:id="rId3">
        <w:bookmarkStart w:id="54" w:name="BB_DACLJMO6HS00000000000000000000"/>
        <w:bookmarkEnd w:id="54"/>
        <w:r>
          <w:rPr>
            <w:rStyle w:val="InternetLink"/>
            <w:rFonts w:ascii="Times New Roman" w:hAnsi="Times New Roman"/>
            <w:b/>
            <w:strike w:val="false"/>
            <w:dstrike w:val="false"/>
            <w:color w:val="000000"/>
            <w:sz w:val="20"/>
            <w:u w:val="none"/>
            <w:effect w:val="none"/>
          </w:rPr>
          <w:t xml:space="preserve">Item </w:t>
        </w:r>
      </w:hyperlink>
      <w:hyperlink r:id="rId4">
        <w:bookmarkStart w:id="55" w:name="fs_ZX1F4AO7NK00000000000000000000fs"/>
        <w:bookmarkEnd w:id="55"/>
        <w:r>
          <w:rPr>
            <w:rStyle w:val="InternetLink"/>
            <w:rFonts w:ascii="Times New Roman" w:hAnsi="Times New Roman"/>
            <w:b/>
            <w:strike w:val="false"/>
            <w:dstrike w:val="false"/>
            <w:color w:val="000000"/>
            <w:sz w:val="20"/>
            <w:u w:val="none"/>
            <w:effect w:val="none"/>
          </w:rPr>
          <w:t>1</w:t>
        </w:r>
      </w:hyperlink>
      <w:hyperlink r:id="rId5">
        <w:r>
          <w:rPr>
            <w:rStyle w:val="InternetLink"/>
            <w:rFonts w:ascii="Times New Roman" w:hAnsi="Times New Roman"/>
            <w:b/>
            <w:strike w:val="false"/>
            <w:dstrike w:val="false"/>
            <w:color w:val="000000"/>
            <w:sz w:val="20"/>
            <w:u w:val="none"/>
            <w:effect w:val="none"/>
          </w:rPr>
          <w:t>. FINANCIAL STATEMENTS</w:t>
        </w:r>
      </w:hyperlink>
    </w:p>
    <w:p>
      <w:pPr>
        <w:pStyle w:val="TextBody"/>
        <w:bidi w:val="0"/>
        <w:spacing w:lineRule="auto" w:line="288" w:before="200" w:after="0"/>
        <w:ind w:left="144" w:right="144"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6">
        <w:bookmarkStart w:id="56" w:name="BC_67A6VPX3U800000000000000000000"/>
        <w:bookmarkEnd w:id="56"/>
        <w:r>
          <w:rPr>
            <w:rStyle w:val="InternetLink"/>
            <w:rFonts w:ascii="Times New Roman" w:hAnsi="Times New Roman"/>
            <w:b/>
            <w:strike w:val="false"/>
            <w:dstrike w:val="false"/>
            <w:color w:val="000000"/>
            <w:sz w:val="20"/>
            <w:u w:val="none"/>
            <w:effect w:val="none"/>
          </w:rPr>
          <w:t>UNAUDITED CONDENSED CONSOLIDATED BALANCE SHEETS</w:t>
        </w:r>
      </w:hyperlink>
    </w:p>
    <w:p>
      <w:pPr>
        <w:pStyle w:val="TextBody"/>
        <w:bidi w:val="0"/>
        <w:spacing w:lineRule="auto" w:line="288" w:before="0" w:after="200"/>
        <w:ind w:left="144" w:right="144" w:hanging="0"/>
        <w:jc w:val="center"/>
        <w:rPr>
          <w:rFonts w:ascii="Times New Roman" w:hAnsi="Times New Roman"/>
          <w:sz w:val="20"/>
        </w:rPr>
      </w:pPr>
      <w:r>
        <w:rPr>
          <w:rFonts w:ascii="Times New Roman" w:hAnsi="Times New Roman"/>
          <w:sz w:val="20"/>
        </w:rPr>
        <w:t>(Dollars in thousands, except par value)</w:t>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491"/>
        <w:gridCol w:w="23"/>
        <w:gridCol w:w="206"/>
        <w:gridCol w:w="854"/>
        <w:gridCol w:w="95"/>
        <w:gridCol w:w="23"/>
        <w:gridCol w:w="250"/>
        <w:gridCol w:w="1130"/>
        <w:gridCol w:w="133"/>
      </w:tblGrid>
      <w:tr>
        <w:trPr/>
        <w:tc>
          <w:tcPr>
            <w:tcW w:w="7491"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1060" w:type="dxa"/>
            <w:gridSpan w:val="2"/>
            <w:tcBorders/>
            <w:vAlign w:val="center"/>
          </w:tcPr>
          <w:p>
            <w:pPr>
              <w:pStyle w:val="TableContents"/>
              <w:bidi w:val="0"/>
              <w:spacing w:before="0" w:after="0"/>
              <w:ind w:left="0" w:right="0" w:hanging="0"/>
              <w:jc w:val="center"/>
              <w:rPr>
                <w:rFonts w:ascii="Times New Roman" w:hAnsi="Times New Roman"/>
                <w:b/>
                <w:sz w:val="20"/>
              </w:rPr>
            </w:pPr>
            <w:bookmarkStart w:id="57" w:name="fs_E9YN51KTWW00000000000000000000FM"/>
            <w:bookmarkEnd w:id="57"/>
            <w:r>
              <w:rPr>
                <w:rFonts w:ascii="Times New Roman" w:hAnsi="Times New Roman"/>
                <w:b/>
                <w:sz w:val="20"/>
              </w:rPr>
              <w:t xml:space="preserve">June 30, 2026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1380" w:type="dxa"/>
            <w:gridSpan w:val="2"/>
            <w:tcBorders/>
            <w:vAlign w:val="center"/>
          </w:tcPr>
          <w:p>
            <w:pPr>
              <w:pStyle w:val="TableContents"/>
              <w:bidi w:val="0"/>
              <w:spacing w:before="0" w:after="0"/>
              <w:ind w:left="0" w:right="0" w:hanging="0"/>
              <w:jc w:val="center"/>
              <w:rPr>
                <w:rFonts w:ascii="Times New Roman" w:hAnsi="Times New Roman"/>
                <w:b/>
                <w:sz w:val="20"/>
              </w:rPr>
            </w:pPr>
            <w:bookmarkStart w:id="58" w:name="fs_QS6X4K1V8000000000000000000000FM"/>
            <w:bookmarkEnd w:id="58"/>
            <w:r>
              <w:rPr>
                <w:rFonts w:ascii="Times New Roman" w:hAnsi="Times New Roman"/>
                <w:b/>
                <w:sz w:val="20"/>
              </w:rPr>
              <w:t xml:space="preserve">December 31, 2025 </w:t>
            </w:r>
          </w:p>
        </w:tc>
        <w:tc>
          <w:tcPr>
            <w:tcW w:w="133" w:type="dxa"/>
            <w:tcBorders/>
            <w:vAlign w:val="center"/>
          </w:tcPr>
          <w:p>
            <w:pPr>
              <w:pStyle w:val="TableContents"/>
              <w:bidi w:val="0"/>
              <w:spacing w:before="0" w:after="0"/>
              <w:ind w:left="0" w:right="0" w:hanging="0"/>
              <w:jc w:val="left"/>
              <w:rPr/>
            </w:pPr>
            <w:r>
              <w:rPr/>
            </w:r>
          </w:p>
        </w:tc>
      </w:tr>
      <w:tr>
        <w:trPr/>
        <w:tc>
          <w:tcPr>
            <w:tcW w:w="7491" w:type="dxa"/>
            <w:tcBorders/>
            <w:shd w:fill="CCEEFF" w:val="cle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ASSETS </w:t>
            </w:r>
          </w:p>
        </w:tc>
        <w:tc>
          <w:tcPr>
            <w:tcW w:w="23" w:type="dxa"/>
            <w:tcBorders/>
            <w:shd w:fill="CCEEFF" w:val="clear"/>
            <w:vAlign w:val="center"/>
          </w:tcPr>
          <w:p>
            <w:pPr>
              <w:pStyle w:val="TableContents"/>
              <w:bidi w:val="0"/>
              <w:spacing w:before="0" w:after="0"/>
              <w:ind w:left="0" w:right="0" w:hanging="0"/>
              <w:jc w:val="left"/>
              <w:rPr/>
            </w:pPr>
            <w:r>
              <w:rPr/>
            </w:r>
          </w:p>
        </w:tc>
        <w:tc>
          <w:tcPr>
            <w:tcW w:w="206" w:type="dxa"/>
            <w:tcBorders/>
            <w:shd w:fill="CCEEFF" w:val="clear"/>
            <w:vAlign w:val="center"/>
          </w:tcPr>
          <w:p>
            <w:pPr>
              <w:pStyle w:val="TableContents"/>
              <w:bidi w:val="0"/>
              <w:spacing w:before="0" w:after="0"/>
              <w:ind w:left="0" w:right="0" w:hanging="0"/>
              <w:jc w:val="left"/>
              <w:rPr/>
            </w:pPr>
            <w:r>
              <w:rPr/>
            </w:r>
          </w:p>
        </w:tc>
        <w:tc>
          <w:tcPr>
            <w:tcW w:w="854" w:type="dxa"/>
            <w:tcBorders/>
            <w:shd w:fill="CCEEFF" w:val="clear"/>
            <w:vAlign w:val="center"/>
          </w:tcPr>
          <w:p>
            <w:pPr>
              <w:pStyle w:val="TableContents"/>
              <w:bidi w:val="0"/>
              <w:spacing w:before="0" w:after="0"/>
              <w:ind w:left="0" w:right="0" w:hanging="0"/>
              <w:jc w:val="center"/>
              <w:rPr/>
            </w:pPr>
            <w:r>
              <w:rPr/>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50" w:type="dxa"/>
            <w:tcBorders/>
            <w:shd w:fill="CCEEFF" w:val="clear"/>
            <w:vAlign w:val="center"/>
          </w:tcPr>
          <w:p>
            <w:pPr>
              <w:pStyle w:val="TableContents"/>
              <w:bidi w:val="0"/>
              <w:spacing w:before="0" w:after="0"/>
              <w:ind w:left="0" w:right="0" w:hanging="0"/>
              <w:jc w:val="left"/>
              <w:rPr/>
            </w:pPr>
            <w:r>
              <w:rPr/>
            </w:r>
          </w:p>
        </w:tc>
        <w:tc>
          <w:tcPr>
            <w:tcW w:w="1130" w:type="dxa"/>
            <w:tcBorders/>
            <w:shd w:fill="CCEEFF" w:val="clear"/>
            <w:vAlign w:val="center"/>
          </w:tcPr>
          <w:p>
            <w:pPr>
              <w:pStyle w:val="TableContents"/>
              <w:bidi w:val="0"/>
              <w:spacing w:before="0" w:after="0"/>
              <w:ind w:left="0" w:right="0" w:hanging="0"/>
              <w:jc w:val="center"/>
              <w:rPr/>
            </w:pPr>
            <w:r>
              <w:rPr/>
            </w:r>
          </w:p>
        </w:tc>
        <w:tc>
          <w:tcPr>
            <w:tcW w:w="133" w:type="dxa"/>
            <w:tcBorders/>
            <w:shd w:fill="CCEEFF" w:val="clear"/>
            <w:vAlign w:val="center"/>
          </w:tcPr>
          <w:p>
            <w:pPr>
              <w:pStyle w:val="TableContents"/>
              <w:bidi w:val="0"/>
              <w:spacing w:before="0" w:after="0"/>
              <w:ind w:left="0" w:right="0" w:hanging="0"/>
              <w:jc w:val="left"/>
              <w:rPr/>
            </w:pPr>
            <w:r>
              <w:rPr/>
            </w:r>
          </w:p>
        </w:tc>
      </w:tr>
      <w:tr>
        <w:trPr/>
        <w:tc>
          <w:tcPr>
            <w:tcW w:w="74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assets: </w:t>
            </w:r>
          </w:p>
        </w:tc>
        <w:tc>
          <w:tcPr>
            <w:tcW w:w="23" w:type="dxa"/>
            <w:tcBorders/>
            <w:vAlign w:val="center"/>
          </w:tcPr>
          <w:p>
            <w:pPr>
              <w:pStyle w:val="TableContents"/>
              <w:bidi w:val="0"/>
              <w:spacing w:before="0" w:after="0"/>
              <w:ind w:left="0" w:right="0" w:hanging="0"/>
              <w:jc w:val="left"/>
              <w:rPr/>
            </w:pPr>
            <w:r>
              <w:rPr/>
            </w:r>
          </w:p>
        </w:tc>
        <w:tc>
          <w:tcPr>
            <w:tcW w:w="206" w:type="dxa"/>
            <w:tcBorders/>
            <w:vAlign w:val="center"/>
          </w:tcPr>
          <w:p>
            <w:pPr>
              <w:pStyle w:val="TableContents"/>
              <w:bidi w:val="0"/>
              <w:spacing w:before="0" w:after="0"/>
              <w:ind w:left="0" w:right="0" w:hanging="0"/>
              <w:jc w:val="left"/>
              <w:rPr/>
            </w:pPr>
            <w:r>
              <w:rPr/>
            </w:r>
          </w:p>
        </w:tc>
        <w:tc>
          <w:tcPr>
            <w:tcW w:w="854" w:type="dxa"/>
            <w:tcBorders/>
            <w:vAlign w:val="center"/>
          </w:tcPr>
          <w:p>
            <w:pPr>
              <w:pStyle w:val="TableContents"/>
              <w:bidi w:val="0"/>
              <w:spacing w:before="0" w:after="0"/>
              <w:ind w:left="0" w:right="0" w:hanging="0"/>
              <w:jc w:val="left"/>
              <w:rPr/>
            </w:pPr>
            <w:r>
              <w:rPr/>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50" w:type="dxa"/>
            <w:tcBorders/>
            <w:vAlign w:val="center"/>
          </w:tcPr>
          <w:p>
            <w:pPr>
              <w:pStyle w:val="TableContents"/>
              <w:bidi w:val="0"/>
              <w:spacing w:before="0" w:after="0"/>
              <w:ind w:left="0" w:right="0" w:hanging="0"/>
              <w:jc w:val="left"/>
              <w:rPr/>
            </w:pPr>
            <w:r>
              <w:rPr/>
            </w:r>
          </w:p>
        </w:tc>
        <w:tc>
          <w:tcPr>
            <w:tcW w:w="1130" w:type="dxa"/>
            <w:tcBorders/>
            <w:vAlign w:val="center"/>
          </w:tcPr>
          <w:p>
            <w:pPr>
              <w:pStyle w:val="TableContents"/>
              <w:bidi w:val="0"/>
              <w:spacing w:before="0" w:after="0"/>
              <w:ind w:left="0" w:right="0" w:hanging="0"/>
              <w:jc w:val="left"/>
              <w:rPr/>
            </w:pPr>
            <w:r>
              <w:rPr/>
            </w:r>
          </w:p>
        </w:tc>
        <w:tc>
          <w:tcPr>
            <w:tcW w:w="133" w:type="dxa"/>
            <w:tcBorders/>
            <w:vAlign w:val="center"/>
          </w:tcPr>
          <w:p>
            <w:pPr>
              <w:pStyle w:val="TableContents"/>
              <w:bidi w:val="0"/>
              <w:spacing w:before="0" w:after="0"/>
              <w:ind w:left="0" w:right="0" w:hanging="0"/>
              <w:jc w:val="left"/>
              <w:rPr/>
            </w:pPr>
            <w:r>
              <w:rPr/>
            </w:r>
          </w:p>
        </w:tc>
      </w:tr>
      <w:tr>
        <w:trPr/>
        <w:tc>
          <w:tcPr>
            <w:tcW w:w="74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and cash equivalents </w:t>
            </w:r>
          </w:p>
        </w:tc>
        <w:tc>
          <w:tcPr>
            <w:tcW w:w="23" w:type="dxa"/>
            <w:tcBorders/>
            <w:shd w:fill="CCEEFF" w:val="clear"/>
            <w:vAlign w:val="center"/>
          </w:tcPr>
          <w:p>
            <w:pPr>
              <w:pStyle w:val="TableContents"/>
              <w:bidi w:val="0"/>
              <w:spacing w:before="0" w:after="0"/>
              <w:ind w:left="0" w:right="0" w:hanging="0"/>
              <w:jc w:val="left"/>
              <w:rPr/>
            </w:pPr>
            <w:r>
              <w:rPr/>
            </w:r>
          </w:p>
        </w:tc>
        <w:tc>
          <w:tcPr>
            <w:tcW w:w="2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220 </w:t>
            </w:r>
          </w:p>
        </w:tc>
        <w:tc>
          <w:tcPr>
            <w:tcW w:w="133" w:type="dxa"/>
            <w:tcBorders/>
            <w:shd w:fill="CCEEFF" w:val="clear"/>
            <w:vAlign w:val="center"/>
          </w:tcPr>
          <w:p>
            <w:pPr>
              <w:pStyle w:val="TableContents"/>
              <w:bidi w:val="0"/>
              <w:spacing w:before="0" w:after="0"/>
              <w:ind w:left="0" w:right="0" w:hanging="0"/>
              <w:jc w:val="left"/>
              <w:rPr/>
            </w:pPr>
            <w:r>
              <w:rPr/>
            </w:r>
          </w:p>
        </w:tc>
      </w:tr>
      <w:tr>
        <w:trPr/>
        <w:tc>
          <w:tcPr>
            <w:tcW w:w="7491" w:type="dxa"/>
            <w:tcBorders/>
            <w:vAlign w:val="center"/>
          </w:tcPr>
          <w:p>
            <w:pPr>
              <w:pStyle w:val="TableContents"/>
              <w:bidi w:val="0"/>
              <w:spacing w:before="0" w:after="283"/>
              <w:jc w:val="left"/>
              <w:rPr/>
            </w:pPr>
            <w:r>
              <w:rPr/>
              <w:t>Restricted cash</w:t>
            </w:r>
          </w:p>
        </w:tc>
        <w:tc>
          <w:tcPr>
            <w:tcW w:w="23" w:type="dxa"/>
            <w:tcBorders/>
            <w:vAlign w:val="center"/>
          </w:tcPr>
          <w:p>
            <w:pPr>
              <w:pStyle w:val="TableContents"/>
              <w:bidi w:val="0"/>
              <w:spacing w:before="0" w:after="283"/>
              <w:jc w:val="left"/>
              <w:rPr/>
            </w:pPr>
            <w:r>
              <w:rPr/>
            </w:r>
          </w:p>
        </w:tc>
        <w:tc>
          <w:tcPr>
            <w:tcW w:w="206" w:type="dxa"/>
            <w:tcBorders/>
            <w:vAlign w:val="center"/>
          </w:tcPr>
          <w:p>
            <w:pPr>
              <w:pStyle w:val="TableContents"/>
              <w:bidi w:val="0"/>
              <w:spacing w:before="0" w:after="283"/>
              <w:jc w:val="left"/>
              <w:rPr/>
            </w:pPr>
            <w:r>
              <w:rPr/>
            </w:r>
          </w:p>
        </w:tc>
        <w:tc>
          <w:tcPr>
            <w:tcW w:w="854" w:type="dxa"/>
            <w:tcBorders/>
            <w:vAlign w:val="center"/>
          </w:tcPr>
          <w:p>
            <w:pPr>
              <w:pStyle w:val="TableContents"/>
              <w:bidi w:val="0"/>
              <w:spacing w:before="0" w:after="283"/>
              <w:jc w:val="right"/>
              <w:rPr/>
            </w:pPr>
            <w:r>
              <w:rPr/>
              <w:t>447</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50" w:type="dxa"/>
            <w:tcBorders/>
            <w:vAlign w:val="center"/>
          </w:tcPr>
          <w:p>
            <w:pPr>
              <w:pStyle w:val="TableContents"/>
              <w:bidi w:val="0"/>
              <w:spacing w:before="0" w:after="283"/>
              <w:jc w:val="left"/>
              <w:rPr/>
            </w:pPr>
            <w:r>
              <w:rPr/>
            </w:r>
          </w:p>
        </w:tc>
        <w:tc>
          <w:tcPr>
            <w:tcW w:w="1130" w:type="dxa"/>
            <w:tcBorders/>
            <w:vAlign w:val="center"/>
          </w:tcPr>
          <w:p>
            <w:pPr>
              <w:pStyle w:val="TableContents"/>
              <w:bidi w:val="0"/>
              <w:spacing w:before="0" w:after="283"/>
              <w:jc w:val="right"/>
              <w:rPr/>
            </w:pPr>
            <w:r>
              <w:rPr/>
              <w:t>519</w:t>
            </w:r>
          </w:p>
        </w:tc>
        <w:tc>
          <w:tcPr>
            <w:tcW w:w="133" w:type="dxa"/>
            <w:tcBorders/>
            <w:vAlign w:val="center"/>
          </w:tcPr>
          <w:p>
            <w:pPr>
              <w:pStyle w:val="TableContents"/>
              <w:bidi w:val="0"/>
              <w:spacing w:before="0" w:after="283"/>
              <w:jc w:val="left"/>
              <w:rPr/>
            </w:pPr>
            <w:r>
              <w:rPr/>
            </w:r>
          </w:p>
        </w:tc>
      </w:tr>
      <w:tr>
        <w:trPr/>
        <w:tc>
          <w:tcPr>
            <w:tcW w:w="74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Inventories, net </w:t>
            </w:r>
          </w:p>
        </w:tc>
        <w:tc>
          <w:tcPr>
            <w:tcW w:w="23" w:type="dxa"/>
            <w:tcBorders/>
            <w:shd w:fill="CCEEFF" w:val="clear"/>
            <w:vAlign w:val="center"/>
          </w:tcPr>
          <w:p>
            <w:pPr>
              <w:pStyle w:val="TableContents"/>
              <w:bidi w:val="0"/>
              <w:spacing w:before="0" w:after="0"/>
              <w:ind w:left="0" w:right="0" w:hanging="0"/>
              <w:jc w:val="left"/>
              <w:rPr/>
            </w:pPr>
            <w:r>
              <w:rPr/>
            </w:r>
          </w:p>
        </w:tc>
        <w:tc>
          <w:tcPr>
            <w:tcW w:w="206" w:type="dxa"/>
            <w:tcBorders/>
            <w:shd w:fill="CCEEFF" w:val="clear"/>
            <w:vAlign w:val="center"/>
          </w:tcPr>
          <w:p>
            <w:pPr>
              <w:pStyle w:val="TableContents"/>
              <w:bidi w:val="0"/>
              <w:spacing w:before="0" w:after="0"/>
              <w:ind w:left="0" w:right="0" w:hanging="0"/>
              <w:jc w:val="left"/>
              <w:rPr/>
            </w:pPr>
            <w:r>
              <w:rPr/>
            </w:r>
          </w:p>
        </w:tc>
        <w:tc>
          <w:tcPr>
            <w:tcW w:w="8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304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50" w:type="dxa"/>
            <w:tcBorders/>
            <w:shd w:fill="CCEEFF" w:val="clear"/>
            <w:vAlign w:val="center"/>
          </w:tcPr>
          <w:p>
            <w:pPr>
              <w:pStyle w:val="TableContents"/>
              <w:bidi w:val="0"/>
              <w:spacing w:before="0" w:after="0"/>
              <w:ind w:left="0" w:right="0" w:hanging="0"/>
              <w:jc w:val="left"/>
              <w:rPr/>
            </w:pPr>
            <w:r>
              <w:rPr/>
            </w:r>
          </w:p>
        </w:tc>
        <w:tc>
          <w:tcPr>
            <w:tcW w:w="11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353 </w:t>
            </w:r>
          </w:p>
        </w:tc>
        <w:tc>
          <w:tcPr>
            <w:tcW w:w="133" w:type="dxa"/>
            <w:tcBorders/>
            <w:shd w:fill="CCEEFF" w:val="clear"/>
            <w:vAlign w:val="center"/>
          </w:tcPr>
          <w:p>
            <w:pPr>
              <w:pStyle w:val="TableContents"/>
              <w:bidi w:val="0"/>
              <w:spacing w:before="0" w:after="0"/>
              <w:ind w:left="0" w:right="0" w:hanging="0"/>
              <w:jc w:val="left"/>
              <w:rPr/>
            </w:pPr>
            <w:r>
              <w:rPr/>
            </w:r>
          </w:p>
        </w:tc>
      </w:tr>
      <w:tr>
        <w:trPr/>
        <w:tc>
          <w:tcPr>
            <w:tcW w:w="7491" w:type="dxa"/>
            <w:tcBorders/>
            <w:vAlign w:val="center"/>
          </w:tcPr>
          <w:p>
            <w:pPr>
              <w:pStyle w:val="TableContents"/>
              <w:bidi w:val="0"/>
              <w:spacing w:before="0" w:after="283"/>
              <w:jc w:val="left"/>
              <w:rPr/>
            </w:pPr>
            <w:r>
              <w:rPr/>
              <w:t>Prepaid assets</w:t>
            </w:r>
          </w:p>
        </w:tc>
        <w:tc>
          <w:tcPr>
            <w:tcW w:w="23" w:type="dxa"/>
            <w:tcBorders/>
            <w:vAlign w:val="center"/>
          </w:tcPr>
          <w:p>
            <w:pPr>
              <w:pStyle w:val="TableContents"/>
              <w:bidi w:val="0"/>
              <w:spacing w:before="0" w:after="283"/>
              <w:jc w:val="left"/>
              <w:rPr/>
            </w:pPr>
            <w:r>
              <w:rPr/>
            </w:r>
          </w:p>
        </w:tc>
        <w:tc>
          <w:tcPr>
            <w:tcW w:w="206" w:type="dxa"/>
            <w:tcBorders/>
            <w:vAlign w:val="center"/>
          </w:tcPr>
          <w:p>
            <w:pPr>
              <w:pStyle w:val="TableContents"/>
              <w:bidi w:val="0"/>
              <w:spacing w:before="0" w:after="283"/>
              <w:jc w:val="left"/>
              <w:rPr/>
            </w:pPr>
            <w:r>
              <w:rPr/>
            </w:r>
          </w:p>
        </w:tc>
        <w:tc>
          <w:tcPr>
            <w:tcW w:w="854" w:type="dxa"/>
            <w:tcBorders/>
            <w:vAlign w:val="center"/>
          </w:tcPr>
          <w:p>
            <w:pPr>
              <w:pStyle w:val="TableContents"/>
              <w:bidi w:val="0"/>
              <w:spacing w:before="0" w:after="283"/>
              <w:jc w:val="right"/>
              <w:rPr/>
            </w:pPr>
            <w:r>
              <w:rPr/>
              <w:t>10</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50" w:type="dxa"/>
            <w:tcBorders/>
            <w:vAlign w:val="center"/>
          </w:tcPr>
          <w:p>
            <w:pPr>
              <w:pStyle w:val="TableContents"/>
              <w:bidi w:val="0"/>
              <w:spacing w:before="0" w:after="283"/>
              <w:jc w:val="left"/>
              <w:rPr/>
            </w:pPr>
            <w:r>
              <w:rPr/>
            </w:r>
          </w:p>
        </w:tc>
        <w:tc>
          <w:tcPr>
            <w:tcW w:w="1130" w:type="dxa"/>
            <w:tcBorders/>
            <w:vAlign w:val="center"/>
          </w:tcPr>
          <w:p>
            <w:pPr>
              <w:pStyle w:val="TableContents"/>
              <w:bidi w:val="0"/>
              <w:spacing w:before="0" w:after="283"/>
              <w:jc w:val="right"/>
              <w:rPr/>
            </w:pPr>
            <w:r>
              <w:rPr/>
              <w:t>—</w:t>
            </w:r>
          </w:p>
        </w:tc>
        <w:tc>
          <w:tcPr>
            <w:tcW w:w="133" w:type="dxa"/>
            <w:tcBorders/>
            <w:vAlign w:val="center"/>
          </w:tcPr>
          <w:p>
            <w:pPr>
              <w:pStyle w:val="TableContents"/>
              <w:bidi w:val="0"/>
              <w:spacing w:before="0" w:after="283"/>
              <w:jc w:val="left"/>
              <w:rPr/>
            </w:pPr>
            <w:r>
              <w:rPr/>
            </w:r>
          </w:p>
        </w:tc>
      </w:tr>
      <w:tr>
        <w:trPr/>
        <w:tc>
          <w:tcPr>
            <w:tcW w:w="7491" w:type="dxa"/>
            <w:tcBorders/>
            <w:shd w:fill="CCEEFF" w:val="clear"/>
            <w:vAlign w:val="center"/>
          </w:tcPr>
          <w:p>
            <w:pPr>
              <w:pStyle w:val="TableContents"/>
              <w:bidi w:val="0"/>
              <w:spacing w:before="0" w:after="283"/>
              <w:jc w:val="left"/>
              <w:rPr/>
            </w:pPr>
            <w:r>
              <w:rPr/>
              <w:t>Current assets related to discontinued operations</w:t>
            </w:r>
          </w:p>
        </w:tc>
        <w:tc>
          <w:tcPr>
            <w:tcW w:w="23" w:type="dxa"/>
            <w:tcBorders/>
            <w:shd w:fill="CCEEFF" w:val="clear"/>
            <w:vAlign w:val="center"/>
          </w:tcPr>
          <w:p>
            <w:pPr>
              <w:pStyle w:val="TableContents"/>
              <w:bidi w:val="0"/>
              <w:spacing w:before="0" w:after="283"/>
              <w:jc w:val="left"/>
              <w:rPr/>
            </w:pPr>
            <w:r>
              <w:rPr/>
            </w:r>
          </w:p>
        </w:tc>
        <w:tc>
          <w:tcPr>
            <w:tcW w:w="206" w:type="dxa"/>
            <w:tcBorders/>
            <w:shd w:fill="CCEEFF" w:val="clear"/>
            <w:vAlign w:val="center"/>
          </w:tcPr>
          <w:p>
            <w:pPr>
              <w:pStyle w:val="TableContents"/>
              <w:bidi w:val="0"/>
              <w:spacing w:before="0" w:after="283"/>
              <w:jc w:val="left"/>
              <w:rPr/>
            </w:pPr>
            <w:r>
              <w:rPr/>
            </w:r>
          </w:p>
        </w:tc>
        <w:tc>
          <w:tcPr>
            <w:tcW w:w="854" w:type="dxa"/>
            <w:tcBorders/>
            <w:shd w:fill="CCEEFF" w:val="clear"/>
            <w:vAlign w:val="center"/>
          </w:tcPr>
          <w:p>
            <w:pPr>
              <w:pStyle w:val="TableContents"/>
              <w:bidi w:val="0"/>
              <w:spacing w:before="0" w:after="283"/>
              <w:jc w:val="right"/>
              <w:rPr/>
            </w:pPr>
            <w:r>
              <w:rPr/>
              <w:t>140</w:t>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50" w:type="dxa"/>
            <w:tcBorders/>
            <w:shd w:fill="CCEEFF" w:val="clear"/>
            <w:vAlign w:val="center"/>
          </w:tcPr>
          <w:p>
            <w:pPr>
              <w:pStyle w:val="TableContents"/>
              <w:bidi w:val="0"/>
              <w:spacing w:before="0" w:after="283"/>
              <w:jc w:val="left"/>
              <w:rPr/>
            </w:pPr>
            <w:r>
              <w:rPr/>
            </w:r>
          </w:p>
        </w:tc>
        <w:tc>
          <w:tcPr>
            <w:tcW w:w="1130" w:type="dxa"/>
            <w:tcBorders/>
            <w:shd w:fill="CCEEFF" w:val="clear"/>
            <w:vAlign w:val="center"/>
          </w:tcPr>
          <w:p>
            <w:pPr>
              <w:pStyle w:val="TableContents"/>
              <w:bidi w:val="0"/>
              <w:spacing w:before="0" w:after="283"/>
              <w:jc w:val="right"/>
              <w:rPr/>
            </w:pPr>
            <w:r>
              <w:rPr/>
              <w:t>604</w:t>
            </w:r>
          </w:p>
        </w:tc>
        <w:tc>
          <w:tcPr>
            <w:tcW w:w="133" w:type="dxa"/>
            <w:tcBorders/>
            <w:shd w:fill="CCEEFF" w:val="clear"/>
            <w:vAlign w:val="center"/>
          </w:tcPr>
          <w:p>
            <w:pPr>
              <w:pStyle w:val="TableContents"/>
              <w:bidi w:val="0"/>
              <w:spacing w:before="0" w:after="283"/>
              <w:jc w:val="left"/>
              <w:rPr/>
            </w:pPr>
            <w:r>
              <w:rPr/>
            </w:r>
          </w:p>
        </w:tc>
      </w:tr>
      <w:tr>
        <w:trPr/>
        <w:tc>
          <w:tcPr>
            <w:tcW w:w="7491" w:type="dxa"/>
            <w:tcBorders/>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current assets </w:t>
            </w:r>
          </w:p>
        </w:tc>
        <w:tc>
          <w:tcPr>
            <w:tcW w:w="23" w:type="dxa"/>
            <w:tcBorders/>
            <w:vAlign w:val="center"/>
          </w:tcPr>
          <w:p>
            <w:pPr>
              <w:pStyle w:val="TableContents"/>
              <w:bidi w:val="0"/>
              <w:spacing w:before="0" w:after="0"/>
              <w:ind w:left="0" w:right="0" w:hanging="0"/>
              <w:jc w:val="left"/>
              <w:rPr/>
            </w:pPr>
            <w:r>
              <w:rPr/>
            </w:r>
          </w:p>
        </w:tc>
        <w:tc>
          <w:tcPr>
            <w:tcW w:w="206" w:type="dxa"/>
            <w:tcBorders/>
            <w:vAlign w:val="center"/>
          </w:tcPr>
          <w:p>
            <w:pPr>
              <w:pStyle w:val="TableContents"/>
              <w:bidi w:val="0"/>
              <w:spacing w:before="0" w:after="0"/>
              <w:ind w:left="0" w:right="0" w:hanging="0"/>
              <w:jc w:val="left"/>
              <w:rPr/>
            </w:pPr>
            <w:r>
              <w:rPr/>
            </w:r>
          </w:p>
        </w:tc>
        <w:tc>
          <w:tcPr>
            <w:tcW w:w="85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976</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50" w:type="dxa"/>
            <w:tcBorders/>
            <w:vAlign w:val="center"/>
          </w:tcPr>
          <w:p>
            <w:pPr>
              <w:pStyle w:val="TableContents"/>
              <w:bidi w:val="0"/>
              <w:spacing w:before="0" w:after="0"/>
              <w:ind w:left="0" w:right="0" w:hanging="0"/>
              <w:jc w:val="left"/>
              <w:rPr/>
            </w:pPr>
            <w:r>
              <w:rPr/>
            </w:r>
          </w:p>
        </w:tc>
        <w:tc>
          <w:tcPr>
            <w:tcW w:w="113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1,696 </w:t>
            </w:r>
          </w:p>
        </w:tc>
        <w:tc>
          <w:tcPr>
            <w:tcW w:w="133" w:type="dxa"/>
            <w:tcBorders/>
            <w:vAlign w:val="center"/>
          </w:tcPr>
          <w:p>
            <w:pPr>
              <w:pStyle w:val="TableContents"/>
              <w:bidi w:val="0"/>
              <w:spacing w:before="0" w:after="0"/>
              <w:ind w:left="0" w:right="0" w:hanging="0"/>
              <w:jc w:val="left"/>
              <w:rPr/>
            </w:pPr>
            <w:r>
              <w:rPr/>
            </w:r>
          </w:p>
        </w:tc>
      </w:tr>
      <w:tr>
        <w:trPr/>
        <w:tc>
          <w:tcPr>
            <w:tcW w:w="74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lease - right of use assets, net </w:t>
            </w:r>
          </w:p>
        </w:tc>
        <w:tc>
          <w:tcPr>
            <w:tcW w:w="23" w:type="dxa"/>
            <w:tcBorders/>
            <w:shd w:fill="CCEEFF" w:val="clear"/>
            <w:vAlign w:val="center"/>
          </w:tcPr>
          <w:p>
            <w:pPr>
              <w:pStyle w:val="TableContents"/>
              <w:bidi w:val="0"/>
              <w:spacing w:before="0" w:after="0"/>
              <w:ind w:left="0" w:right="0" w:hanging="0"/>
              <w:jc w:val="left"/>
              <w:rPr/>
            </w:pPr>
            <w:r>
              <w:rPr/>
            </w:r>
          </w:p>
        </w:tc>
        <w:tc>
          <w:tcPr>
            <w:tcW w:w="206" w:type="dxa"/>
            <w:tcBorders/>
            <w:shd w:fill="CCEEFF" w:val="clear"/>
            <w:vAlign w:val="center"/>
          </w:tcPr>
          <w:p>
            <w:pPr>
              <w:pStyle w:val="TableContents"/>
              <w:bidi w:val="0"/>
              <w:spacing w:before="0" w:after="0"/>
              <w:ind w:left="0" w:right="0" w:hanging="0"/>
              <w:jc w:val="left"/>
              <w:rPr/>
            </w:pPr>
            <w:r>
              <w:rPr/>
            </w:r>
          </w:p>
        </w:tc>
        <w:tc>
          <w:tcPr>
            <w:tcW w:w="854" w:type="dxa"/>
            <w:tcBorders/>
            <w:shd w:fill="CCEEFF" w:val="clear"/>
            <w:vAlign w:val="center"/>
          </w:tcPr>
          <w:p>
            <w:pPr>
              <w:pStyle w:val="TableContents"/>
              <w:bidi w:val="0"/>
              <w:spacing w:before="0" w:after="0"/>
              <w:ind w:left="0" w:right="0" w:hanging="0"/>
              <w:jc w:val="right"/>
              <w:rPr/>
            </w:pPr>
            <w:r>
              <w:rPr/>
              <w:t xml:space="preserve">—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50" w:type="dxa"/>
            <w:tcBorders/>
            <w:shd w:fill="CCEEFF" w:val="clear"/>
            <w:vAlign w:val="center"/>
          </w:tcPr>
          <w:p>
            <w:pPr>
              <w:pStyle w:val="TableContents"/>
              <w:bidi w:val="0"/>
              <w:spacing w:before="0" w:after="0"/>
              <w:ind w:left="0" w:right="0" w:hanging="0"/>
              <w:jc w:val="left"/>
              <w:rPr/>
            </w:pPr>
            <w:r>
              <w:rPr/>
            </w:r>
          </w:p>
        </w:tc>
        <w:tc>
          <w:tcPr>
            <w:tcW w:w="11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494</w:t>
            </w:r>
          </w:p>
        </w:tc>
        <w:tc>
          <w:tcPr>
            <w:tcW w:w="133" w:type="dxa"/>
            <w:tcBorders/>
            <w:shd w:fill="CCEEFF" w:val="clear"/>
            <w:vAlign w:val="center"/>
          </w:tcPr>
          <w:p>
            <w:pPr>
              <w:pStyle w:val="TableContents"/>
              <w:bidi w:val="0"/>
              <w:spacing w:before="0" w:after="0"/>
              <w:ind w:left="0" w:right="0" w:hanging="0"/>
              <w:jc w:val="left"/>
              <w:rPr/>
            </w:pPr>
            <w:r>
              <w:rPr/>
            </w:r>
          </w:p>
        </w:tc>
      </w:tr>
      <w:tr>
        <w:trPr/>
        <w:tc>
          <w:tcPr>
            <w:tcW w:w="7491" w:type="dxa"/>
            <w:tcBorders/>
            <w:vAlign w:val="center"/>
          </w:tcPr>
          <w:p>
            <w:pPr>
              <w:pStyle w:val="TableContents"/>
              <w:bidi w:val="0"/>
              <w:spacing w:before="0" w:after="283"/>
              <w:jc w:val="left"/>
              <w:rPr/>
            </w:pPr>
            <w:r>
              <w:rPr/>
              <w:t>Long term assets related to discontinued operations</w:t>
            </w:r>
          </w:p>
        </w:tc>
        <w:tc>
          <w:tcPr>
            <w:tcW w:w="23" w:type="dxa"/>
            <w:tcBorders/>
            <w:vAlign w:val="center"/>
          </w:tcPr>
          <w:p>
            <w:pPr>
              <w:pStyle w:val="TableContents"/>
              <w:bidi w:val="0"/>
              <w:spacing w:before="0" w:after="283"/>
              <w:jc w:val="left"/>
              <w:rPr/>
            </w:pPr>
            <w:r>
              <w:rPr/>
            </w:r>
          </w:p>
        </w:tc>
        <w:tc>
          <w:tcPr>
            <w:tcW w:w="206" w:type="dxa"/>
            <w:tcBorders/>
            <w:vAlign w:val="center"/>
          </w:tcPr>
          <w:p>
            <w:pPr>
              <w:pStyle w:val="TableContents"/>
              <w:bidi w:val="0"/>
              <w:spacing w:before="0" w:after="283"/>
              <w:jc w:val="left"/>
              <w:rPr/>
            </w:pPr>
            <w:r>
              <w:rPr/>
            </w:r>
          </w:p>
        </w:tc>
        <w:tc>
          <w:tcPr>
            <w:tcW w:w="854" w:type="dxa"/>
            <w:tcBorders/>
            <w:vAlign w:val="center"/>
          </w:tcPr>
          <w:p>
            <w:pPr>
              <w:pStyle w:val="TableContents"/>
              <w:bidi w:val="0"/>
              <w:spacing w:before="0" w:after="283"/>
              <w:jc w:val="right"/>
              <w:rPr/>
            </w:pPr>
            <w:r>
              <w:rPr/>
              <w:t>14</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50" w:type="dxa"/>
            <w:tcBorders/>
            <w:vAlign w:val="center"/>
          </w:tcPr>
          <w:p>
            <w:pPr>
              <w:pStyle w:val="TableContents"/>
              <w:bidi w:val="0"/>
              <w:spacing w:before="0" w:after="283"/>
              <w:jc w:val="left"/>
              <w:rPr/>
            </w:pPr>
            <w:r>
              <w:rPr/>
            </w:r>
          </w:p>
        </w:tc>
        <w:tc>
          <w:tcPr>
            <w:tcW w:w="1130" w:type="dxa"/>
            <w:tcBorders/>
            <w:vAlign w:val="center"/>
          </w:tcPr>
          <w:p>
            <w:pPr>
              <w:pStyle w:val="TableContents"/>
              <w:bidi w:val="0"/>
              <w:spacing w:before="0" w:after="283"/>
              <w:jc w:val="right"/>
              <w:rPr/>
            </w:pPr>
            <w:r>
              <w:rPr/>
              <w:t>109</w:t>
            </w:r>
          </w:p>
        </w:tc>
        <w:tc>
          <w:tcPr>
            <w:tcW w:w="133" w:type="dxa"/>
            <w:tcBorders/>
            <w:vAlign w:val="center"/>
          </w:tcPr>
          <w:p>
            <w:pPr>
              <w:pStyle w:val="TableContents"/>
              <w:bidi w:val="0"/>
              <w:spacing w:before="0" w:after="283"/>
              <w:jc w:val="left"/>
              <w:rPr/>
            </w:pPr>
            <w:r>
              <w:rPr/>
            </w:r>
          </w:p>
        </w:tc>
      </w:tr>
      <w:tr>
        <w:trPr/>
        <w:tc>
          <w:tcPr>
            <w:tcW w:w="7491" w:type="dxa"/>
            <w:tcBorders/>
            <w:shd w:fill="CCEEFF" w:val="clear"/>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assets </w:t>
            </w:r>
          </w:p>
        </w:tc>
        <w:tc>
          <w:tcPr>
            <w:tcW w:w="23" w:type="dxa"/>
            <w:tcBorders/>
            <w:shd w:fill="CCEEFF" w:val="clear"/>
            <w:vAlign w:val="center"/>
          </w:tcPr>
          <w:p>
            <w:pPr>
              <w:pStyle w:val="TableContents"/>
              <w:bidi w:val="0"/>
              <w:spacing w:before="0" w:after="0"/>
              <w:ind w:left="0" w:right="0" w:hanging="0"/>
              <w:jc w:val="left"/>
              <w:rPr/>
            </w:pPr>
            <w:r>
              <w:rPr/>
            </w:r>
          </w:p>
        </w:tc>
        <w:tc>
          <w:tcPr>
            <w:tcW w:w="2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990</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2,299 </w:t>
            </w:r>
          </w:p>
        </w:tc>
        <w:tc>
          <w:tcPr>
            <w:tcW w:w="133" w:type="dxa"/>
            <w:tcBorders/>
            <w:shd w:fill="CCEEFF" w:val="clear"/>
            <w:vAlign w:val="center"/>
          </w:tcPr>
          <w:p>
            <w:pPr>
              <w:pStyle w:val="TableContents"/>
              <w:bidi w:val="0"/>
              <w:spacing w:before="0" w:after="0"/>
              <w:ind w:left="0" w:right="0" w:hanging="0"/>
              <w:jc w:val="left"/>
              <w:rPr/>
            </w:pPr>
            <w:r>
              <w:rPr/>
            </w:r>
          </w:p>
        </w:tc>
      </w:tr>
      <w:tr>
        <w:trPr/>
        <w:tc>
          <w:tcPr>
            <w:tcW w:w="7491"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LIABILITIES AND SHAREHOLDERS' EQUITY </w:t>
            </w:r>
          </w:p>
        </w:tc>
        <w:tc>
          <w:tcPr>
            <w:tcW w:w="23" w:type="dxa"/>
            <w:tcBorders/>
            <w:vAlign w:val="center"/>
          </w:tcPr>
          <w:p>
            <w:pPr>
              <w:pStyle w:val="TableContents"/>
              <w:bidi w:val="0"/>
              <w:spacing w:before="0" w:after="0"/>
              <w:ind w:left="0" w:right="0" w:hanging="0"/>
              <w:jc w:val="left"/>
              <w:rPr/>
            </w:pPr>
            <w:r>
              <w:rPr/>
            </w:r>
          </w:p>
        </w:tc>
        <w:tc>
          <w:tcPr>
            <w:tcW w:w="206" w:type="dxa"/>
            <w:tcBorders/>
            <w:vAlign w:val="center"/>
          </w:tcPr>
          <w:p>
            <w:pPr>
              <w:pStyle w:val="TableContents"/>
              <w:bidi w:val="0"/>
              <w:spacing w:before="0" w:after="0"/>
              <w:ind w:left="0" w:right="0" w:hanging="0"/>
              <w:jc w:val="left"/>
              <w:rPr/>
            </w:pPr>
            <w:r>
              <w:rPr/>
            </w:r>
          </w:p>
        </w:tc>
        <w:tc>
          <w:tcPr>
            <w:tcW w:w="854" w:type="dxa"/>
            <w:tcBorders/>
            <w:vAlign w:val="center"/>
          </w:tcPr>
          <w:p>
            <w:pPr>
              <w:pStyle w:val="TableContents"/>
              <w:bidi w:val="0"/>
              <w:spacing w:before="0" w:after="0"/>
              <w:ind w:left="0" w:right="0" w:hanging="0"/>
              <w:jc w:val="center"/>
              <w:rPr/>
            </w:pPr>
            <w:r>
              <w:rPr/>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50" w:type="dxa"/>
            <w:tcBorders/>
            <w:vAlign w:val="center"/>
          </w:tcPr>
          <w:p>
            <w:pPr>
              <w:pStyle w:val="TableContents"/>
              <w:bidi w:val="0"/>
              <w:spacing w:before="0" w:after="0"/>
              <w:ind w:left="0" w:right="0" w:hanging="0"/>
              <w:jc w:val="left"/>
              <w:rPr/>
            </w:pPr>
            <w:r>
              <w:rPr/>
            </w:r>
          </w:p>
        </w:tc>
        <w:tc>
          <w:tcPr>
            <w:tcW w:w="1130" w:type="dxa"/>
            <w:tcBorders/>
            <w:vAlign w:val="center"/>
          </w:tcPr>
          <w:p>
            <w:pPr>
              <w:pStyle w:val="TableContents"/>
              <w:bidi w:val="0"/>
              <w:spacing w:before="0" w:after="0"/>
              <w:ind w:left="0" w:right="0" w:hanging="0"/>
              <w:jc w:val="center"/>
              <w:rPr/>
            </w:pPr>
            <w:r>
              <w:rPr/>
            </w:r>
          </w:p>
        </w:tc>
        <w:tc>
          <w:tcPr>
            <w:tcW w:w="133" w:type="dxa"/>
            <w:tcBorders/>
            <w:vAlign w:val="center"/>
          </w:tcPr>
          <w:p>
            <w:pPr>
              <w:pStyle w:val="TableContents"/>
              <w:bidi w:val="0"/>
              <w:spacing w:before="0" w:after="0"/>
              <w:ind w:left="0" w:right="0" w:hanging="0"/>
              <w:jc w:val="left"/>
              <w:rPr/>
            </w:pPr>
            <w:r>
              <w:rPr/>
            </w:r>
          </w:p>
        </w:tc>
      </w:tr>
      <w:tr>
        <w:trPr/>
        <w:tc>
          <w:tcPr>
            <w:tcW w:w="74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liabilities: </w:t>
            </w:r>
          </w:p>
        </w:tc>
        <w:tc>
          <w:tcPr>
            <w:tcW w:w="23" w:type="dxa"/>
            <w:tcBorders/>
            <w:shd w:fill="CCEEFF" w:val="clear"/>
            <w:vAlign w:val="center"/>
          </w:tcPr>
          <w:p>
            <w:pPr>
              <w:pStyle w:val="TableContents"/>
              <w:bidi w:val="0"/>
              <w:spacing w:before="0" w:after="0"/>
              <w:ind w:left="0" w:right="0" w:hanging="0"/>
              <w:jc w:val="left"/>
              <w:rPr/>
            </w:pPr>
            <w:r>
              <w:rPr/>
            </w:r>
          </w:p>
        </w:tc>
        <w:tc>
          <w:tcPr>
            <w:tcW w:w="206" w:type="dxa"/>
            <w:tcBorders/>
            <w:shd w:fill="CCEEFF" w:val="clear"/>
            <w:vAlign w:val="center"/>
          </w:tcPr>
          <w:p>
            <w:pPr>
              <w:pStyle w:val="TableContents"/>
              <w:bidi w:val="0"/>
              <w:spacing w:before="0" w:after="0"/>
              <w:ind w:left="0" w:right="0" w:hanging="0"/>
              <w:jc w:val="left"/>
              <w:rPr/>
            </w:pPr>
            <w:r>
              <w:rPr/>
            </w:r>
          </w:p>
        </w:tc>
        <w:tc>
          <w:tcPr>
            <w:tcW w:w="854" w:type="dxa"/>
            <w:tcBorders/>
            <w:shd w:fill="CCEEFF" w:val="clear"/>
            <w:vAlign w:val="center"/>
          </w:tcPr>
          <w:p>
            <w:pPr>
              <w:pStyle w:val="TableContents"/>
              <w:bidi w:val="0"/>
              <w:spacing w:before="0" w:after="0"/>
              <w:ind w:left="0" w:right="0" w:hanging="0"/>
              <w:jc w:val="left"/>
              <w:rPr/>
            </w:pPr>
            <w:r>
              <w:rPr/>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50" w:type="dxa"/>
            <w:tcBorders/>
            <w:shd w:fill="CCEEFF" w:val="clear"/>
            <w:vAlign w:val="center"/>
          </w:tcPr>
          <w:p>
            <w:pPr>
              <w:pStyle w:val="TableContents"/>
              <w:bidi w:val="0"/>
              <w:spacing w:before="0" w:after="0"/>
              <w:ind w:left="0" w:right="0" w:hanging="0"/>
              <w:jc w:val="left"/>
              <w:rPr/>
            </w:pPr>
            <w:r>
              <w:rPr/>
            </w:r>
          </w:p>
        </w:tc>
        <w:tc>
          <w:tcPr>
            <w:tcW w:w="1130" w:type="dxa"/>
            <w:tcBorders/>
            <w:shd w:fill="CCEEFF" w:val="clear"/>
            <w:vAlign w:val="center"/>
          </w:tcPr>
          <w:p>
            <w:pPr>
              <w:pStyle w:val="TableContents"/>
              <w:bidi w:val="0"/>
              <w:spacing w:before="0" w:after="0"/>
              <w:ind w:left="0" w:right="0" w:hanging="0"/>
              <w:jc w:val="left"/>
              <w:rPr/>
            </w:pPr>
            <w:r>
              <w:rPr/>
            </w:r>
          </w:p>
        </w:tc>
        <w:tc>
          <w:tcPr>
            <w:tcW w:w="133" w:type="dxa"/>
            <w:tcBorders/>
            <w:shd w:fill="CCEEFF" w:val="clear"/>
            <w:vAlign w:val="center"/>
          </w:tcPr>
          <w:p>
            <w:pPr>
              <w:pStyle w:val="TableContents"/>
              <w:bidi w:val="0"/>
              <w:spacing w:before="0" w:after="0"/>
              <w:ind w:left="0" w:right="0" w:hanging="0"/>
              <w:jc w:val="left"/>
              <w:rPr/>
            </w:pPr>
            <w:r>
              <w:rPr/>
            </w:r>
          </w:p>
        </w:tc>
      </w:tr>
      <w:tr>
        <w:trPr/>
        <w:tc>
          <w:tcPr>
            <w:tcW w:w="74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Accounts payable </w:t>
            </w:r>
          </w:p>
        </w:tc>
        <w:tc>
          <w:tcPr>
            <w:tcW w:w="23" w:type="dxa"/>
            <w:tcBorders/>
            <w:vAlign w:val="center"/>
          </w:tcPr>
          <w:p>
            <w:pPr>
              <w:pStyle w:val="TableContents"/>
              <w:bidi w:val="0"/>
              <w:spacing w:before="0" w:after="0"/>
              <w:ind w:left="0" w:right="0" w:hanging="0"/>
              <w:jc w:val="left"/>
              <w:rPr/>
            </w:pPr>
            <w:r>
              <w:rPr/>
            </w:r>
          </w:p>
        </w:tc>
        <w:tc>
          <w:tcPr>
            <w:tcW w:w="20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5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244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3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30 </w:t>
            </w:r>
          </w:p>
        </w:tc>
        <w:tc>
          <w:tcPr>
            <w:tcW w:w="133" w:type="dxa"/>
            <w:tcBorders/>
            <w:vAlign w:val="center"/>
          </w:tcPr>
          <w:p>
            <w:pPr>
              <w:pStyle w:val="TableContents"/>
              <w:bidi w:val="0"/>
              <w:spacing w:before="0" w:after="0"/>
              <w:ind w:left="0" w:right="0" w:hanging="0"/>
              <w:jc w:val="left"/>
              <w:rPr/>
            </w:pPr>
            <w:r>
              <w:rPr/>
            </w:r>
          </w:p>
        </w:tc>
      </w:tr>
      <w:tr>
        <w:trPr/>
        <w:tc>
          <w:tcPr>
            <w:tcW w:w="74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Accrued liabilities </w:t>
            </w:r>
          </w:p>
        </w:tc>
        <w:tc>
          <w:tcPr>
            <w:tcW w:w="23" w:type="dxa"/>
            <w:tcBorders/>
            <w:shd w:fill="CCEEFF" w:val="clear"/>
            <w:vAlign w:val="center"/>
          </w:tcPr>
          <w:p>
            <w:pPr>
              <w:pStyle w:val="TableContents"/>
              <w:bidi w:val="0"/>
              <w:spacing w:before="0" w:after="0"/>
              <w:ind w:left="0" w:right="0" w:hanging="0"/>
              <w:jc w:val="left"/>
              <w:rPr/>
            </w:pPr>
            <w:r>
              <w:rPr/>
            </w:r>
          </w:p>
        </w:tc>
        <w:tc>
          <w:tcPr>
            <w:tcW w:w="206" w:type="dxa"/>
            <w:tcBorders/>
            <w:shd w:fill="CCEEFF" w:val="clear"/>
            <w:vAlign w:val="center"/>
          </w:tcPr>
          <w:p>
            <w:pPr>
              <w:pStyle w:val="TableContents"/>
              <w:bidi w:val="0"/>
              <w:spacing w:before="0" w:after="0"/>
              <w:ind w:left="0" w:right="0" w:hanging="0"/>
              <w:jc w:val="left"/>
              <w:rPr/>
            </w:pPr>
            <w:r>
              <w:rPr/>
            </w:r>
          </w:p>
        </w:tc>
        <w:tc>
          <w:tcPr>
            <w:tcW w:w="854" w:type="dxa"/>
            <w:tcBorders/>
            <w:shd w:fill="CCEEFF" w:val="clear"/>
            <w:vAlign w:val="center"/>
          </w:tcPr>
          <w:p>
            <w:pPr>
              <w:pStyle w:val="TableContents"/>
              <w:bidi w:val="0"/>
              <w:spacing w:before="0" w:after="0"/>
              <w:ind w:left="0" w:right="0" w:hanging="0"/>
              <w:jc w:val="right"/>
              <w:rPr/>
            </w:pPr>
            <w:r>
              <w:rPr/>
              <w:t>185</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50" w:type="dxa"/>
            <w:tcBorders/>
            <w:shd w:fill="CCEEFF" w:val="clear"/>
            <w:vAlign w:val="center"/>
          </w:tcPr>
          <w:p>
            <w:pPr>
              <w:pStyle w:val="TableContents"/>
              <w:bidi w:val="0"/>
              <w:spacing w:before="0" w:after="0"/>
              <w:ind w:left="0" w:right="0" w:hanging="0"/>
              <w:jc w:val="left"/>
              <w:rPr/>
            </w:pPr>
            <w:r>
              <w:rPr/>
            </w:r>
          </w:p>
        </w:tc>
        <w:tc>
          <w:tcPr>
            <w:tcW w:w="11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649 </w:t>
            </w:r>
          </w:p>
        </w:tc>
        <w:tc>
          <w:tcPr>
            <w:tcW w:w="133" w:type="dxa"/>
            <w:tcBorders/>
            <w:shd w:fill="CCEEFF" w:val="clear"/>
            <w:vAlign w:val="center"/>
          </w:tcPr>
          <w:p>
            <w:pPr>
              <w:pStyle w:val="TableContents"/>
              <w:bidi w:val="0"/>
              <w:spacing w:before="0" w:after="0"/>
              <w:ind w:left="0" w:right="0" w:hanging="0"/>
              <w:jc w:val="left"/>
              <w:rPr/>
            </w:pPr>
            <w:r>
              <w:rPr/>
            </w:r>
          </w:p>
        </w:tc>
      </w:tr>
      <w:tr>
        <w:trPr/>
        <w:tc>
          <w:tcPr>
            <w:tcW w:w="7491" w:type="dxa"/>
            <w:tcBorders/>
            <w:vAlign w:val="center"/>
          </w:tcPr>
          <w:p>
            <w:pPr>
              <w:pStyle w:val="TableContents"/>
              <w:bidi w:val="0"/>
              <w:spacing w:before="0" w:after="283"/>
              <w:jc w:val="left"/>
              <w:rPr/>
            </w:pPr>
            <w:r>
              <w:rPr/>
              <w:t>Short term Note Payable</w:t>
            </w:r>
          </w:p>
        </w:tc>
        <w:tc>
          <w:tcPr>
            <w:tcW w:w="23" w:type="dxa"/>
            <w:tcBorders/>
            <w:vAlign w:val="center"/>
          </w:tcPr>
          <w:p>
            <w:pPr>
              <w:pStyle w:val="TableContents"/>
              <w:bidi w:val="0"/>
              <w:spacing w:before="0" w:after="283"/>
              <w:jc w:val="left"/>
              <w:rPr/>
            </w:pPr>
            <w:r>
              <w:rPr/>
            </w:r>
          </w:p>
        </w:tc>
        <w:tc>
          <w:tcPr>
            <w:tcW w:w="206" w:type="dxa"/>
            <w:tcBorders/>
            <w:vAlign w:val="center"/>
          </w:tcPr>
          <w:p>
            <w:pPr>
              <w:pStyle w:val="TableContents"/>
              <w:bidi w:val="0"/>
              <w:spacing w:before="0" w:after="283"/>
              <w:jc w:val="left"/>
              <w:rPr/>
            </w:pPr>
            <w:r>
              <w:rPr/>
            </w:r>
          </w:p>
        </w:tc>
        <w:tc>
          <w:tcPr>
            <w:tcW w:w="854" w:type="dxa"/>
            <w:tcBorders/>
            <w:vAlign w:val="center"/>
          </w:tcPr>
          <w:p>
            <w:pPr>
              <w:pStyle w:val="TableContents"/>
              <w:bidi w:val="0"/>
              <w:spacing w:before="0" w:after="283"/>
              <w:jc w:val="right"/>
              <w:rPr/>
            </w:pPr>
            <w:r>
              <w:rPr/>
              <w:t>500</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50" w:type="dxa"/>
            <w:tcBorders/>
            <w:vAlign w:val="center"/>
          </w:tcPr>
          <w:p>
            <w:pPr>
              <w:pStyle w:val="TableContents"/>
              <w:bidi w:val="0"/>
              <w:spacing w:before="0" w:after="283"/>
              <w:jc w:val="left"/>
              <w:rPr/>
            </w:pPr>
            <w:r>
              <w:rPr/>
            </w:r>
          </w:p>
        </w:tc>
        <w:tc>
          <w:tcPr>
            <w:tcW w:w="1130" w:type="dxa"/>
            <w:tcBorders/>
            <w:vAlign w:val="center"/>
          </w:tcPr>
          <w:p>
            <w:pPr>
              <w:pStyle w:val="TableContents"/>
              <w:bidi w:val="0"/>
              <w:spacing w:before="0" w:after="283"/>
              <w:jc w:val="right"/>
              <w:rPr/>
            </w:pPr>
            <w:r>
              <w:rPr/>
              <w:t>—</w:t>
            </w:r>
          </w:p>
        </w:tc>
        <w:tc>
          <w:tcPr>
            <w:tcW w:w="133" w:type="dxa"/>
            <w:tcBorders/>
            <w:vAlign w:val="center"/>
          </w:tcPr>
          <w:p>
            <w:pPr>
              <w:pStyle w:val="TableContents"/>
              <w:bidi w:val="0"/>
              <w:spacing w:before="0" w:after="283"/>
              <w:jc w:val="left"/>
              <w:rPr/>
            </w:pPr>
            <w:r>
              <w:rPr/>
            </w:r>
          </w:p>
        </w:tc>
      </w:tr>
      <w:tr>
        <w:trPr/>
        <w:tc>
          <w:tcPr>
            <w:tcW w:w="7491" w:type="dxa"/>
            <w:tcBorders/>
            <w:shd w:fill="CCEEFF" w:val="clear"/>
            <w:vAlign w:val="center"/>
          </w:tcPr>
          <w:p>
            <w:pPr>
              <w:pStyle w:val="TableContents"/>
              <w:bidi w:val="0"/>
              <w:spacing w:before="0" w:after="283"/>
              <w:jc w:val="left"/>
              <w:rPr/>
            </w:pPr>
            <w:r>
              <w:rPr/>
              <w:t>Current operating lease liability</w:t>
            </w:r>
          </w:p>
        </w:tc>
        <w:tc>
          <w:tcPr>
            <w:tcW w:w="23" w:type="dxa"/>
            <w:tcBorders/>
            <w:shd w:fill="CCEEFF" w:val="clear"/>
            <w:vAlign w:val="center"/>
          </w:tcPr>
          <w:p>
            <w:pPr>
              <w:pStyle w:val="TableContents"/>
              <w:bidi w:val="0"/>
              <w:spacing w:before="0" w:after="283"/>
              <w:jc w:val="left"/>
              <w:rPr/>
            </w:pPr>
            <w:r>
              <w:rPr/>
            </w:r>
          </w:p>
        </w:tc>
        <w:tc>
          <w:tcPr>
            <w:tcW w:w="206" w:type="dxa"/>
            <w:tcBorders/>
            <w:shd w:fill="CCEEFF" w:val="clear"/>
            <w:vAlign w:val="center"/>
          </w:tcPr>
          <w:p>
            <w:pPr>
              <w:pStyle w:val="TableContents"/>
              <w:bidi w:val="0"/>
              <w:spacing w:before="0" w:after="283"/>
              <w:jc w:val="left"/>
              <w:rPr/>
            </w:pPr>
            <w:r>
              <w:rPr/>
            </w:r>
          </w:p>
        </w:tc>
        <w:tc>
          <w:tcPr>
            <w:tcW w:w="85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50" w:type="dxa"/>
            <w:tcBorders/>
            <w:shd w:fill="CCEEFF" w:val="clear"/>
            <w:vAlign w:val="center"/>
          </w:tcPr>
          <w:p>
            <w:pPr>
              <w:pStyle w:val="TableContents"/>
              <w:bidi w:val="0"/>
              <w:spacing w:before="0" w:after="283"/>
              <w:jc w:val="left"/>
              <w:rPr/>
            </w:pPr>
            <w:r>
              <w:rPr/>
            </w:r>
          </w:p>
        </w:tc>
        <w:tc>
          <w:tcPr>
            <w:tcW w:w="1130" w:type="dxa"/>
            <w:tcBorders/>
            <w:shd w:fill="CCEEFF" w:val="clear"/>
            <w:vAlign w:val="center"/>
          </w:tcPr>
          <w:p>
            <w:pPr>
              <w:pStyle w:val="TableContents"/>
              <w:bidi w:val="0"/>
              <w:spacing w:before="0" w:after="283"/>
              <w:jc w:val="right"/>
              <w:rPr/>
            </w:pPr>
            <w:r>
              <w:rPr/>
              <w:t>223</w:t>
            </w:r>
          </w:p>
        </w:tc>
        <w:tc>
          <w:tcPr>
            <w:tcW w:w="133" w:type="dxa"/>
            <w:tcBorders/>
            <w:shd w:fill="CCEEFF" w:val="clear"/>
            <w:vAlign w:val="center"/>
          </w:tcPr>
          <w:p>
            <w:pPr>
              <w:pStyle w:val="TableContents"/>
              <w:bidi w:val="0"/>
              <w:spacing w:before="0" w:after="283"/>
              <w:jc w:val="left"/>
              <w:rPr/>
            </w:pPr>
            <w:r>
              <w:rPr/>
            </w:r>
          </w:p>
        </w:tc>
      </w:tr>
      <w:tr>
        <w:trPr/>
        <w:tc>
          <w:tcPr>
            <w:tcW w:w="7491" w:type="dxa"/>
            <w:tcBorders/>
            <w:vAlign w:val="center"/>
          </w:tcPr>
          <w:p>
            <w:pPr>
              <w:pStyle w:val="TableContents"/>
              <w:bidi w:val="0"/>
              <w:spacing w:before="0" w:after="283"/>
              <w:jc w:val="left"/>
              <w:rPr>
                <w:rFonts w:ascii="Times New Roman;serif" w:hAnsi="Times New Roman;serif"/>
                <w:color w:val="000000"/>
                <w:sz w:val="20"/>
              </w:rPr>
            </w:pPr>
            <w:r>
              <w:rPr>
                <w:rFonts w:ascii="Times New Roman;serif" w:hAnsi="Times New Roman;serif"/>
                <w:color w:val="000000"/>
                <w:sz w:val="20"/>
              </w:rPr>
              <w:t xml:space="preserve">Current liabilities related to discontinued operations </w:t>
            </w:r>
          </w:p>
        </w:tc>
        <w:tc>
          <w:tcPr>
            <w:tcW w:w="23" w:type="dxa"/>
            <w:tcBorders/>
            <w:vAlign w:val="center"/>
          </w:tcPr>
          <w:p>
            <w:pPr>
              <w:pStyle w:val="TableContents"/>
              <w:bidi w:val="0"/>
              <w:spacing w:before="0" w:after="283"/>
              <w:jc w:val="left"/>
              <w:rPr/>
            </w:pPr>
            <w:r>
              <w:rPr/>
            </w:r>
          </w:p>
        </w:tc>
        <w:tc>
          <w:tcPr>
            <w:tcW w:w="206" w:type="dxa"/>
            <w:tcBorders/>
            <w:vAlign w:val="center"/>
          </w:tcPr>
          <w:p>
            <w:pPr>
              <w:pStyle w:val="TableContents"/>
              <w:bidi w:val="0"/>
              <w:spacing w:before="0" w:after="283"/>
              <w:jc w:val="left"/>
              <w:rPr/>
            </w:pPr>
            <w:r>
              <w:rPr/>
            </w:r>
          </w:p>
        </w:tc>
        <w:tc>
          <w:tcPr>
            <w:tcW w:w="854" w:type="dxa"/>
            <w:tcBorders/>
            <w:vAlign w:val="center"/>
          </w:tcPr>
          <w:p>
            <w:pPr>
              <w:pStyle w:val="TableContents"/>
              <w:bidi w:val="0"/>
              <w:spacing w:before="0" w:after="283"/>
              <w:jc w:val="right"/>
              <w:rPr/>
            </w:pPr>
            <w:r>
              <w:rPr/>
              <w:t>—</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50" w:type="dxa"/>
            <w:tcBorders/>
            <w:vAlign w:val="center"/>
          </w:tcPr>
          <w:p>
            <w:pPr>
              <w:pStyle w:val="TableContents"/>
              <w:bidi w:val="0"/>
              <w:spacing w:before="0" w:after="283"/>
              <w:jc w:val="left"/>
              <w:rPr/>
            </w:pPr>
            <w:r>
              <w:rPr/>
            </w:r>
          </w:p>
        </w:tc>
        <w:tc>
          <w:tcPr>
            <w:tcW w:w="1130" w:type="dxa"/>
            <w:tcBorders/>
            <w:vAlign w:val="center"/>
          </w:tcPr>
          <w:p>
            <w:pPr>
              <w:pStyle w:val="TableContents"/>
              <w:bidi w:val="0"/>
              <w:spacing w:before="0" w:after="283"/>
              <w:jc w:val="right"/>
              <w:rPr/>
            </w:pPr>
            <w:r>
              <w:rPr/>
              <w:t>585</w:t>
            </w:r>
          </w:p>
        </w:tc>
        <w:tc>
          <w:tcPr>
            <w:tcW w:w="133" w:type="dxa"/>
            <w:tcBorders/>
            <w:vAlign w:val="center"/>
          </w:tcPr>
          <w:p>
            <w:pPr>
              <w:pStyle w:val="TableContents"/>
              <w:bidi w:val="0"/>
              <w:spacing w:before="0" w:after="283"/>
              <w:jc w:val="left"/>
              <w:rPr/>
            </w:pPr>
            <w:r>
              <w:rPr/>
            </w:r>
          </w:p>
        </w:tc>
      </w:tr>
      <w:tr>
        <w:trPr/>
        <w:tc>
          <w:tcPr>
            <w:tcW w:w="7491" w:type="dxa"/>
            <w:tcBorders/>
            <w:shd w:fill="CCEEFF" w:val="clear"/>
            <w:vAlign w:val="center"/>
          </w:tcPr>
          <w:p>
            <w:pPr>
              <w:pStyle w:val="TableContents"/>
              <w:bidi w:val="0"/>
              <w:spacing w:before="0" w:after="0"/>
              <w:ind w:left="240" w:right="0" w:hanging="0"/>
              <w:jc w:val="left"/>
              <w:rPr/>
            </w:pPr>
            <w:r>
              <w:rPr/>
              <w:t xml:space="preserve">Total current liabilities </w:t>
            </w:r>
          </w:p>
        </w:tc>
        <w:tc>
          <w:tcPr>
            <w:tcW w:w="23" w:type="dxa"/>
            <w:tcBorders/>
            <w:shd w:fill="CCEEFF" w:val="clear"/>
            <w:vAlign w:val="center"/>
          </w:tcPr>
          <w:p>
            <w:pPr>
              <w:pStyle w:val="TableContents"/>
              <w:bidi w:val="0"/>
              <w:spacing w:before="0" w:after="0"/>
              <w:ind w:left="0" w:right="0" w:hanging="0"/>
              <w:jc w:val="left"/>
              <w:rPr/>
            </w:pPr>
            <w:r>
              <w:rPr/>
            </w:r>
          </w:p>
        </w:tc>
        <w:tc>
          <w:tcPr>
            <w:tcW w:w="206" w:type="dxa"/>
            <w:tcBorders/>
            <w:shd w:fill="CCEEFF" w:val="clear"/>
            <w:vAlign w:val="center"/>
          </w:tcPr>
          <w:p>
            <w:pPr>
              <w:pStyle w:val="TableContents"/>
              <w:bidi w:val="0"/>
              <w:spacing w:before="0" w:after="0"/>
              <w:ind w:left="0" w:right="0" w:hanging="0"/>
              <w:jc w:val="left"/>
              <w:rPr/>
            </w:pPr>
            <w:r>
              <w:rPr/>
            </w:r>
          </w:p>
        </w:tc>
        <w:tc>
          <w:tcPr>
            <w:tcW w:w="8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929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50" w:type="dxa"/>
            <w:tcBorders/>
            <w:shd w:fill="CCEEFF" w:val="clear"/>
            <w:vAlign w:val="center"/>
          </w:tcPr>
          <w:p>
            <w:pPr>
              <w:pStyle w:val="TableContents"/>
              <w:bidi w:val="0"/>
              <w:spacing w:before="0" w:after="0"/>
              <w:ind w:left="0" w:right="0" w:hanging="0"/>
              <w:jc w:val="left"/>
              <w:rPr/>
            </w:pPr>
            <w:r>
              <w:rPr/>
            </w:r>
          </w:p>
        </w:tc>
        <w:tc>
          <w:tcPr>
            <w:tcW w:w="11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1,487 </w:t>
            </w:r>
          </w:p>
        </w:tc>
        <w:tc>
          <w:tcPr>
            <w:tcW w:w="133" w:type="dxa"/>
            <w:tcBorders/>
            <w:shd w:fill="CCEEFF" w:val="clear"/>
            <w:vAlign w:val="center"/>
          </w:tcPr>
          <w:p>
            <w:pPr>
              <w:pStyle w:val="TableContents"/>
              <w:bidi w:val="0"/>
              <w:spacing w:before="0" w:after="0"/>
              <w:ind w:left="0" w:right="0" w:hanging="0"/>
              <w:jc w:val="left"/>
              <w:rPr/>
            </w:pPr>
            <w:r>
              <w:rPr/>
            </w:r>
          </w:p>
        </w:tc>
      </w:tr>
      <w:tr>
        <w:trPr/>
        <w:tc>
          <w:tcPr>
            <w:tcW w:w="74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Long term operating lease liability </w:t>
            </w:r>
          </w:p>
        </w:tc>
        <w:tc>
          <w:tcPr>
            <w:tcW w:w="23" w:type="dxa"/>
            <w:tcBorders/>
            <w:vAlign w:val="center"/>
          </w:tcPr>
          <w:p>
            <w:pPr>
              <w:pStyle w:val="TableContents"/>
              <w:bidi w:val="0"/>
              <w:spacing w:before="0" w:after="0"/>
              <w:ind w:left="0" w:right="0" w:hanging="0"/>
              <w:jc w:val="left"/>
              <w:rPr/>
            </w:pPr>
            <w:r>
              <w:rPr/>
            </w:r>
          </w:p>
        </w:tc>
        <w:tc>
          <w:tcPr>
            <w:tcW w:w="206" w:type="dxa"/>
            <w:tcBorders/>
            <w:vAlign w:val="center"/>
          </w:tcPr>
          <w:p>
            <w:pPr>
              <w:pStyle w:val="TableContents"/>
              <w:bidi w:val="0"/>
              <w:spacing w:before="0" w:after="0"/>
              <w:ind w:left="0" w:right="0" w:hanging="0"/>
              <w:jc w:val="left"/>
              <w:rPr/>
            </w:pPr>
            <w:r>
              <w:rPr/>
            </w:r>
          </w:p>
        </w:tc>
        <w:tc>
          <w:tcPr>
            <w:tcW w:w="854" w:type="dxa"/>
            <w:tcBorders/>
            <w:vAlign w:val="center"/>
          </w:tcPr>
          <w:p>
            <w:pPr>
              <w:pStyle w:val="TableContents"/>
              <w:bidi w:val="0"/>
              <w:spacing w:before="0" w:after="0"/>
              <w:ind w:left="0" w:right="0" w:hanging="0"/>
              <w:jc w:val="right"/>
              <w:rPr/>
            </w:pPr>
            <w:r>
              <w:rPr/>
              <w:t xml:space="preserve">—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50" w:type="dxa"/>
            <w:tcBorders/>
            <w:vAlign w:val="center"/>
          </w:tcPr>
          <w:p>
            <w:pPr>
              <w:pStyle w:val="TableContents"/>
              <w:bidi w:val="0"/>
              <w:spacing w:before="0" w:after="0"/>
              <w:ind w:left="0" w:right="0" w:hanging="0"/>
              <w:jc w:val="left"/>
              <w:rPr/>
            </w:pPr>
            <w:r>
              <w:rPr/>
            </w:r>
          </w:p>
        </w:tc>
        <w:tc>
          <w:tcPr>
            <w:tcW w:w="113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290</w:t>
            </w:r>
          </w:p>
        </w:tc>
        <w:tc>
          <w:tcPr>
            <w:tcW w:w="133" w:type="dxa"/>
            <w:tcBorders/>
            <w:vAlign w:val="center"/>
          </w:tcPr>
          <w:p>
            <w:pPr>
              <w:pStyle w:val="TableContents"/>
              <w:bidi w:val="0"/>
              <w:spacing w:before="0" w:after="0"/>
              <w:ind w:left="0" w:right="0" w:hanging="0"/>
              <w:jc w:val="left"/>
              <w:rPr/>
            </w:pPr>
            <w:r>
              <w:rPr/>
            </w:r>
          </w:p>
        </w:tc>
      </w:tr>
      <w:tr>
        <w:trPr/>
        <w:tc>
          <w:tcPr>
            <w:tcW w:w="7491" w:type="dxa"/>
            <w:tcBorders/>
            <w:shd w:fill="CCEEFF" w:val="clear"/>
            <w:vAlign w:val="center"/>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Long-term liabilities related to discontinued operations </w:t>
            </w:r>
          </w:p>
        </w:tc>
        <w:tc>
          <w:tcPr>
            <w:tcW w:w="23" w:type="dxa"/>
            <w:tcBorders/>
            <w:shd w:fill="CCEEFF" w:val="clear"/>
            <w:vAlign w:val="center"/>
          </w:tcPr>
          <w:p>
            <w:pPr>
              <w:pStyle w:val="TableContents"/>
              <w:bidi w:val="0"/>
              <w:spacing w:before="0" w:after="0"/>
              <w:ind w:left="0" w:right="0" w:hanging="0"/>
              <w:jc w:val="left"/>
              <w:rPr/>
            </w:pPr>
            <w:r>
              <w:rPr/>
            </w:r>
          </w:p>
        </w:tc>
        <w:tc>
          <w:tcPr>
            <w:tcW w:w="206" w:type="dxa"/>
            <w:tcBorders/>
            <w:shd w:fill="CCEEFF" w:val="clear"/>
            <w:vAlign w:val="center"/>
          </w:tcPr>
          <w:p>
            <w:pPr>
              <w:pStyle w:val="TableContents"/>
              <w:bidi w:val="0"/>
              <w:spacing w:before="0" w:after="0"/>
              <w:ind w:left="0" w:right="0" w:hanging="0"/>
              <w:jc w:val="left"/>
              <w:rPr/>
            </w:pPr>
            <w:r>
              <w:rPr/>
            </w:r>
          </w:p>
        </w:tc>
        <w:tc>
          <w:tcPr>
            <w:tcW w:w="8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442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50" w:type="dxa"/>
            <w:tcBorders/>
            <w:shd w:fill="CCEEFF" w:val="clear"/>
            <w:vAlign w:val="center"/>
          </w:tcPr>
          <w:p>
            <w:pPr>
              <w:pStyle w:val="TableContents"/>
              <w:bidi w:val="0"/>
              <w:spacing w:before="0" w:after="0"/>
              <w:ind w:left="0" w:right="0" w:hanging="0"/>
              <w:jc w:val="left"/>
              <w:rPr/>
            </w:pPr>
            <w:r>
              <w:rPr/>
            </w:r>
          </w:p>
        </w:tc>
        <w:tc>
          <w:tcPr>
            <w:tcW w:w="11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1,236 </w:t>
            </w:r>
          </w:p>
        </w:tc>
        <w:tc>
          <w:tcPr>
            <w:tcW w:w="133" w:type="dxa"/>
            <w:tcBorders/>
            <w:shd w:fill="CCEEFF" w:val="clear"/>
            <w:vAlign w:val="center"/>
          </w:tcPr>
          <w:p>
            <w:pPr>
              <w:pStyle w:val="TableContents"/>
              <w:bidi w:val="0"/>
              <w:spacing w:before="0" w:after="0"/>
              <w:ind w:left="0" w:right="0" w:hanging="0"/>
              <w:jc w:val="left"/>
              <w:rPr/>
            </w:pPr>
            <w:r>
              <w:rPr/>
            </w:r>
          </w:p>
        </w:tc>
      </w:tr>
      <w:tr>
        <w:trPr/>
        <w:tc>
          <w:tcPr>
            <w:tcW w:w="7491" w:type="dxa"/>
            <w:tcBorders/>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liabilities </w:t>
            </w:r>
          </w:p>
        </w:tc>
        <w:tc>
          <w:tcPr>
            <w:tcW w:w="23" w:type="dxa"/>
            <w:tcBorders/>
            <w:vAlign w:val="center"/>
          </w:tcPr>
          <w:p>
            <w:pPr>
              <w:pStyle w:val="TableContents"/>
              <w:bidi w:val="0"/>
              <w:spacing w:before="0" w:after="0"/>
              <w:ind w:left="0" w:right="0" w:hanging="0"/>
              <w:jc w:val="left"/>
              <w:rPr/>
            </w:pPr>
            <w:r>
              <w:rPr/>
            </w:r>
          </w:p>
        </w:tc>
        <w:tc>
          <w:tcPr>
            <w:tcW w:w="206" w:type="dxa"/>
            <w:tcBorders/>
            <w:vAlign w:val="center"/>
          </w:tcPr>
          <w:p>
            <w:pPr>
              <w:pStyle w:val="TableContents"/>
              <w:bidi w:val="0"/>
              <w:spacing w:before="0" w:after="0"/>
              <w:ind w:left="0" w:right="0" w:hanging="0"/>
              <w:jc w:val="left"/>
              <w:rPr/>
            </w:pPr>
            <w:r>
              <w:rPr/>
            </w:r>
          </w:p>
        </w:tc>
        <w:tc>
          <w:tcPr>
            <w:tcW w:w="85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1,371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50" w:type="dxa"/>
            <w:tcBorders/>
            <w:vAlign w:val="center"/>
          </w:tcPr>
          <w:p>
            <w:pPr>
              <w:pStyle w:val="TableContents"/>
              <w:bidi w:val="0"/>
              <w:spacing w:before="0" w:after="0"/>
              <w:ind w:left="0" w:right="0" w:hanging="0"/>
              <w:jc w:val="left"/>
              <w:rPr/>
            </w:pPr>
            <w:r>
              <w:rPr/>
            </w:r>
          </w:p>
        </w:tc>
        <w:tc>
          <w:tcPr>
            <w:tcW w:w="113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3,013 </w:t>
            </w:r>
          </w:p>
        </w:tc>
        <w:tc>
          <w:tcPr>
            <w:tcW w:w="133" w:type="dxa"/>
            <w:tcBorders/>
            <w:vAlign w:val="center"/>
          </w:tcPr>
          <w:p>
            <w:pPr>
              <w:pStyle w:val="TableContents"/>
              <w:bidi w:val="0"/>
              <w:spacing w:before="0" w:after="0"/>
              <w:ind w:left="0" w:right="0" w:hanging="0"/>
              <w:jc w:val="left"/>
              <w:rPr/>
            </w:pPr>
            <w:r>
              <w:rPr/>
            </w:r>
          </w:p>
        </w:tc>
      </w:tr>
      <w:tr>
        <w:trPr/>
        <w:tc>
          <w:tcPr>
            <w:tcW w:w="7491"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06" w:type="dxa"/>
            <w:tcBorders/>
            <w:shd w:fill="CCEEFF" w:val="clear"/>
            <w:vAlign w:val="center"/>
          </w:tcPr>
          <w:p>
            <w:pPr>
              <w:pStyle w:val="TableContents"/>
              <w:bidi w:val="0"/>
              <w:spacing w:before="0" w:after="0"/>
              <w:ind w:left="0" w:right="0" w:hanging="0"/>
              <w:jc w:val="left"/>
              <w:rPr/>
            </w:pPr>
            <w:r>
              <w:rPr/>
            </w:r>
          </w:p>
        </w:tc>
        <w:tc>
          <w:tcPr>
            <w:tcW w:w="854" w:type="dxa"/>
            <w:tcBorders/>
            <w:shd w:fill="CCEEFF" w:val="clear"/>
            <w:vAlign w:val="center"/>
          </w:tcPr>
          <w:p>
            <w:pPr>
              <w:pStyle w:val="TableContents"/>
              <w:bidi w:val="0"/>
              <w:spacing w:before="0" w:after="0"/>
              <w:ind w:left="0" w:right="0" w:hanging="0"/>
              <w:jc w:val="left"/>
              <w:rPr/>
            </w:pPr>
            <w:r>
              <w:rPr/>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50" w:type="dxa"/>
            <w:tcBorders/>
            <w:shd w:fill="CCEEFF" w:val="clear"/>
            <w:vAlign w:val="center"/>
          </w:tcPr>
          <w:p>
            <w:pPr>
              <w:pStyle w:val="TableContents"/>
              <w:bidi w:val="0"/>
              <w:spacing w:before="0" w:after="0"/>
              <w:ind w:left="0" w:right="0" w:hanging="0"/>
              <w:jc w:val="left"/>
              <w:rPr/>
            </w:pPr>
            <w:r>
              <w:rPr/>
            </w:r>
          </w:p>
        </w:tc>
        <w:tc>
          <w:tcPr>
            <w:tcW w:w="1130" w:type="dxa"/>
            <w:tcBorders/>
            <w:shd w:fill="CCEEFF" w:val="clear"/>
            <w:vAlign w:val="center"/>
          </w:tcPr>
          <w:p>
            <w:pPr>
              <w:pStyle w:val="TableContents"/>
              <w:bidi w:val="0"/>
              <w:spacing w:before="0" w:after="0"/>
              <w:ind w:left="0" w:right="0" w:hanging="0"/>
              <w:jc w:val="left"/>
              <w:rPr/>
            </w:pPr>
            <w:r>
              <w:rPr/>
            </w:r>
          </w:p>
        </w:tc>
        <w:tc>
          <w:tcPr>
            <w:tcW w:w="133" w:type="dxa"/>
            <w:tcBorders/>
            <w:shd w:fill="CCEEFF" w:val="clear"/>
            <w:vAlign w:val="center"/>
          </w:tcPr>
          <w:p>
            <w:pPr>
              <w:pStyle w:val="TableContents"/>
              <w:bidi w:val="0"/>
              <w:spacing w:before="0" w:after="0"/>
              <w:ind w:left="0" w:right="0" w:hanging="0"/>
              <w:jc w:val="left"/>
              <w:rPr/>
            </w:pPr>
            <w:r>
              <w:rPr/>
            </w:r>
          </w:p>
        </w:tc>
      </w:tr>
      <w:tr>
        <w:trPr/>
        <w:tc>
          <w:tcPr>
            <w:tcW w:w="74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Shareholders' equity: </w:t>
            </w:r>
          </w:p>
        </w:tc>
        <w:tc>
          <w:tcPr>
            <w:tcW w:w="23" w:type="dxa"/>
            <w:tcBorders/>
            <w:vAlign w:val="center"/>
          </w:tcPr>
          <w:p>
            <w:pPr>
              <w:pStyle w:val="TableContents"/>
              <w:bidi w:val="0"/>
              <w:spacing w:before="0" w:after="0"/>
              <w:ind w:left="0" w:right="0" w:hanging="0"/>
              <w:jc w:val="left"/>
              <w:rPr/>
            </w:pPr>
            <w:r>
              <w:rPr/>
            </w:r>
          </w:p>
        </w:tc>
        <w:tc>
          <w:tcPr>
            <w:tcW w:w="206" w:type="dxa"/>
            <w:tcBorders/>
            <w:vAlign w:val="center"/>
          </w:tcPr>
          <w:p>
            <w:pPr>
              <w:pStyle w:val="TableContents"/>
              <w:bidi w:val="0"/>
              <w:spacing w:before="0" w:after="0"/>
              <w:ind w:left="0" w:right="0" w:hanging="0"/>
              <w:jc w:val="left"/>
              <w:rPr/>
            </w:pPr>
            <w:r>
              <w:rPr/>
            </w:r>
          </w:p>
        </w:tc>
        <w:tc>
          <w:tcPr>
            <w:tcW w:w="854" w:type="dxa"/>
            <w:tcBorders/>
            <w:vAlign w:val="center"/>
          </w:tcPr>
          <w:p>
            <w:pPr>
              <w:pStyle w:val="TableContents"/>
              <w:bidi w:val="0"/>
              <w:spacing w:before="0" w:after="0"/>
              <w:ind w:left="0" w:right="0" w:hanging="0"/>
              <w:jc w:val="left"/>
              <w:rPr/>
            </w:pPr>
            <w:r>
              <w:rPr/>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50" w:type="dxa"/>
            <w:tcBorders/>
            <w:vAlign w:val="center"/>
          </w:tcPr>
          <w:p>
            <w:pPr>
              <w:pStyle w:val="TableContents"/>
              <w:bidi w:val="0"/>
              <w:spacing w:before="0" w:after="0"/>
              <w:ind w:left="0" w:right="0" w:hanging="0"/>
              <w:jc w:val="left"/>
              <w:rPr/>
            </w:pPr>
            <w:r>
              <w:rPr/>
            </w:r>
          </w:p>
        </w:tc>
        <w:tc>
          <w:tcPr>
            <w:tcW w:w="1130" w:type="dxa"/>
            <w:tcBorders/>
            <w:vAlign w:val="center"/>
          </w:tcPr>
          <w:p>
            <w:pPr>
              <w:pStyle w:val="TableContents"/>
              <w:bidi w:val="0"/>
              <w:spacing w:before="0" w:after="0"/>
              <w:ind w:left="0" w:right="0" w:hanging="0"/>
              <w:jc w:val="left"/>
              <w:rPr/>
            </w:pPr>
            <w:r>
              <w:rPr/>
            </w:r>
          </w:p>
        </w:tc>
        <w:tc>
          <w:tcPr>
            <w:tcW w:w="133" w:type="dxa"/>
            <w:tcBorders/>
            <w:vAlign w:val="center"/>
          </w:tcPr>
          <w:p>
            <w:pPr>
              <w:pStyle w:val="TableContents"/>
              <w:bidi w:val="0"/>
              <w:spacing w:before="0" w:after="0"/>
              <w:ind w:left="0" w:right="0" w:hanging="0"/>
              <w:jc w:val="left"/>
              <w:rPr/>
            </w:pPr>
            <w:r>
              <w:rPr/>
            </w:r>
          </w:p>
        </w:tc>
      </w:tr>
      <w:tr>
        <w:trPr/>
        <w:tc>
          <w:tcPr>
            <w:tcW w:w="7491" w:type="dxa"/>
            <w:tcBorders/>
            <w:shd w:fill="CCEEFF" w:val="clear"/>
            <w:vAlign w:val="center"/>
          </w:tcPr>
          <w:p>
            <w:pPr>
              <w:pStyle w:val="TableContents"/>
              <w:bidi w:val="0"/>
              <w:spacing w:before="0" w:after="283"/>
              <w:jc w:val="left"/>
              <w:rPr/>
            </w:pPr>
            <w:r>
              <w:rPr>
                <w:rFonts w:ascii="Times New Roman;serif" w:hAnsi="Times New Roman;serif"/>
                <w:color w:val="000000"/>
                <w:sz w:val="20"/>
              </w:rPr>
              <w:t>Class B convertible preferred stock, par value $0.001, 5,100 shares authorized, — and — shares issued and outstanding, respectively</w:t>
            </w:r>
            <w:r>
              <w:rPr/>
              <w:t xml:space="preserve"> </w:t>
            </w:r>
          </w:p>
        </w:tc>
        <w:tc>
          <w:tcPr>
            <w:tcW w:w="23" w:type="dxa"/>
            <w:tcBorders/>
            <w:shd w:fill="CCEEFF" w:val="clear"/>
            <w:vAlign w:val="center"/>
          </w:tcPr>
          <w:p>
            <w:pPr>
              <w:pStyle w:val="TableContents"/>
              <w:bidi w:val="0"/>
              <w:spacing w:before="0" w:after="283"/>
              <w:jc w:val="left"/>
              <w:rPr/>
            </w:pPr>
            <w:r>
              <w:rPr/>
            </w:r>
          </w:p>
        </w:tc>
        <w:tc>
          <w:tcPr>
            <w:tcW w:w="206" w:type="dxa"/>
            <w:tcBorders/>
            <w:shd w:fill="CCEEFF" w:val="clear"/>
            <w:vAlign w:val="center"/>
          </w:tcPr>
          <w:p>
            <w:pPr>
              <w:pStyle w:val="TableContents"/>
              <w:bidi w:val="0"/>
              <w:spacing w:before="0" w:after="283"/>
              <w:jc w:val="left"/>
              <w:rPr/>
            </w:pPr>
            <w:r>
              <w:rPr/>
            </w:r>
          </w:p>
        </w:tc>
        <w:tc>
          <w:tcPr>
            <w:tcW w:w="85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50" w:type="dxa"/>
            <w:tcBorders/>
            <w:shd w:fill="CCEEFF" w:val="clear"/>
            <w:vAlign w:val="center"/>
          </w:tcPr>
          <w:p>
            <w:pPr>
              <w:pStyle w:val="TableContents"/>
              <w:bidi w:val="0"/>
              <w:spacing w:before="0" w:after="283"/>
              <w:jc w:val="left"/>
              <w:rPr/>
            </w:pPr>
            <w:r>
              <w:rPr/>
            </w:r>
          </w:p>
        </w:tc>
        <w:tc>
          <w:tcPr>
            <w:tcW w:w="1130" w:type="dxa"/>
            <w:tcBorders/>
            <w:shd w:fill="CCEEFF" w:val="clear"/>
            <w:vAlign w:val="center"/>
          </w:tcPr>
          <w:p>
            <w:pPr>
              <w:pStyle w:val="TableContents"/>
              <w:bidi w:val="0"/>
              <w:spacing w:before="0" w:after="283"/>
              <w:jc w:val="right"/>
              <w:rPr/>
            </w:pPr>
            <w:r>
              <w:rPr/>
              <w:t>—</w:t>
            </w:r>
          </w:p>
        </w:tc>
        <w:tc>
          <w:tcPr>
            <w:tcW w:w="133" w:type="dxa"/>
            <w:tcBorders/>
            <w:shd w:fill="CCEEFF" w:val="clear"/>
            <w:vAlign w:val="center"/>
          </w:tcPr>
          <w:p>
            <w:pPr>
              <w:pStyle w:val="TableContents"/>
              <w:bidi w:val="0"/>
              <w:spacing w:before="0" w:after="283"/>
              <w:jc w:val="left"/>
              <w:rPr/>
            </w:pPr>
            <w:r>
              <w:rPr/>
            </w:r>
          </w:p>
        </w:tc>
      </w:tr>
      <w:tr>
        <w:trPr/>
        <w:tc>
          <w:tcPr>
            <w:tcW w:w="74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Common stock, par value $0.001, 150,000,000 shares authorized, 2,675,412 and 2,237,912 shares issued and outstanding, respectively</w:t>
            </w:r>
          </w:p>
        </w:tc>
        <w:tc>
          <w:tcPr>
            <w:tcW w:w="23" w:type="dxa"/>
            <w:tcBorders/>
            <w:vAlign w:val="center"/>
          </w:tcPr>
          <w:p>
            <w:pPr>
              <w:pStyle w:val="TableContents"/>
              <w:bidi w:val="0"/>
              <w:spacing w:before="0" w:after="0"/>
              <w:ind w:left="0" w:right="0" w:hanging="0"/>
              <w:jc w:val="left"/>
              <w:rPr/>
            </w:pPr>
            <w:r>
              <w:rPr/>
            </w:r>
          </w:p>
        </w:tc>
        <w:tc>
          <w:tcPr>
            <w:tcW w:w="206" w:type="dxa"/>
            <w:tcBorders/>
            <w:vAlign w:val="center"/>
          </w:tcPr>
          <w:p>
            <w:pPr>
              <w:pStyle w:val="TableContents"/>
              <w:bidi w:val="0"/>
              <w:spacing w:before="0" w:after="0"/>
              <w:ind w:left="0" w:right="0" w:hanging="0"/>
              <w:jc w:val="left"/>
              <w:rPr/>
            </w:pPr>
            <w:r>
              <w:rPr/>
            </w:r>
          </w:p>
        </w:tc>
        <w:tc>
          <w:tcPr>
            <w:tcW w:w="85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 </w:t>
            </w:r>
          </w:p>
        </w:tc>
        <w:tc>
          <w:tcPr>
            <w:tcW w:w="95" w:type="dxa"/>
            <w:tcBorders/>
            <w:vAlign w:val="center"/>
          </w:tcPr>
          <w:p>
            <w:pPr>
              <w:pStyle w:val="TableContents"/>
              <w:bidi w:val="0"/>
              <w:spacing w:before="0" w:after="0"/>
              <w:ind w:left="0" w:right="0" w:hanging="0"/>
              <w:jc w:val="left"/>
              <w:rPr/>
            </w:pPr>
            <w:r>
              <w:rPr/>
            </w:r>
          </w:p>
        </w:tc>
        <w:tc>
          <w:tcPr>
            <w:tcW w:w="23" w:type="dxa"/>
            <w:tcBorders/>
            <w:vAlign w:val="center"/>
          </w:tcPr>
          <w:p>
            <w:pPr>
              <w:pStyle w:val="TableContents"/>
              <w:bidi w:val="0"/>
              <w:spacing w:before="0" w:after="0"/>
              <w:ind w:left="0" w:right="0" w:hanging="0"/>
              <w:jc w:val="left"/>
              <w:rPr/>
            </w:pPr>
            <w:r>
              <w:rPr/>
            </w:r>
          </w:p>
        </w:tc>
        <w:tc>
          <w:tcPr>
            <w:tcW w:w="250" w:type="dxa"/>
            <w:tcBorders/>
            <w:vAlign w:val="center"/>
          </w:tcPr>
          <w:p>
            <w:pPr>
              <w:pStyle w:val="TableContents"/>
              <w:bidi w:val="0"/>
              <w:spacing w:before="0" w:after="0"/>
              <w:ind w:left="0" w:right="0" w:hanging="0"/>
              <w:jc w:val="left"/>
              <w:rPr/>
            </w:pPr>
            <w:r>
              <w:rPr/>
            </w:r>
          </w:p>
        </w:tc>
        <w:tc>
          <w:tcPr>
            <w:tcW w:w="113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 </w:t>
            </w:r>
          </w:p>
        </w:tc>
        <w:tc>
          <w:tcPr>
            <w:tcW w:w="133" w:type="dxa"/>
            <w:tcBorders/>
            <w:vAlign w:val="center"/>
          </w:tcPr>
          <w:p>
            <w:pPr>
              <w:pStyle w:val="TableContents"/>
              <w:bidi w:val="0"/>
              <w:spacing w:before="0" w:after="0"/>
              <w:ind w:left="0" w:right="0" w:hanging="0"/>
              <w:jc w:val="left"/>
              <w:rPr/>
            </w:pPr>
            <w:r>
              <w:rPr/>
            </w:r>
          </w:p>
        </w:tc>
      </w:tr>
      <w:tr>
        <w:trPr/>
        <w:tc>
          <w:tcPr>
            <w:tcW w:w="74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Additional paid-in capital </w:t>
            </w:r>
          </w:p>
        </w:tc>
        <w:tc>
          <w:tcPr>
            <w:tcW w:w="23" w:type="dxa"/>
            <w:tcBorders/>
            <w:shd w:fill="CCEEFF" w:val="clear"/>
            <w:vAlign w:val="center"/>
          </w:tcPr>
          <w:p>
            <w:pPr>
              <w:pStyle w:val="TableContents"/>
              <w:bidi w:val="0"/>
              <w:spacing w:before="0" w:after="0"/>
              <w:ind w:left="0" w:right="0" w:hanging="0"/>
              <w:jc w:val="left"/>
              <w:rPr/>
            </w:pPr>
            <w:r>
              <w:rPr/>
            </w:r>
          </w:p>
        </w:tc>
        <w:tc>
          <w:tcPr>
            <w:tcW w:w="206" w:type="dxa"/>
            <w:tcBorders/>
            <w:shd w:fill="CCEEFF" w:val="clear"/>
            <w:vAlign w:val="center"/>
          </w:tcPr>
          <w:p>
            <w:pPr>
              <w:pStyle w:val="TableContents"/>
              <w:bidi w:val="0"/>
              <w:spacing w:before="0" w:after="0"/>
              <w:ind w:left="0" w:right="0" w:hanging="0"/>
              <w:jc w:val="left"/>
              <w:rPr/>
            </w:pPr>
            <w:r>
              <w:rPr/>
            </w:r>
          </w:p>
        </w:tc>
        <w:tc>
          <w:tcPr>
            <w:tcW w:w="8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37,500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50" w:type="dxa"/>
            <w:tcBorders/>
            <w:shd w:fill="CCEEFF" w:val="clear"/>
            <w:vAlign w:val="center"/>
          </w:tcPr>
          <w:p>
            <w:pPr>
              <w:pStyle w:val="TableContents"/>
              <w:bidi w:val="0"/>
              <w:spacing w:before="0" w:after="0"/>
              <w:ind w:left="0" w:right="0" w:hanging="0"/>
              <w:jc w:val="left"/>
              <w:rPr/>
            </w:pPr>
            <w:r>
              <w:rPr/>
            </w:r>
          </w:p>
        </w:tc>
        <w:tc>
          <w:tcPr>
            <w:tcW w:w="11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35,767 </w:t>
            </w:r>
          </w:p>
        </w:tc>
        <w:tc>
          <w:tcPr>
            <w:tcW w:w="133" w:type="dxa"/>
            <w:tcBorders/>
            <w:shd w:fill="CCEEFF" w:val="clear"/>
            <w:vAlign w:val="center"/>
          </w:tcPr>
          <w:p>
            <w:pPr>
              <w:pStyle w:val="TableContents"/>
              <w:bidi w:val="0"/>
              <w:spacing w:before="0" w:after="0"/>
              <w:ind w:left="0" w:right="0" w:hanging="0"/>
              <w:jc w:val="left"/>
              <w:rPr/>
            </w:pPr>
            <w:r>
              <w:rPr/>
            </w:r>
          </w:p>
        </w:tc>
      </w:tr>
      <w:tr>
        <w:trPr/>
        <w:tc>
          <w:tcPr>
            <w:tcW w:w="74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Accumulated other comprehensive loss </w:t>
            </w:r>
          </w:p>
        </w:tc>
        <w:tc>
          <w:tcPr>
            <w:tcW w:w="23" w:type="dxa"/>
            <w:tcBorders/>
            <w:vAlign w:val="center"/>
          </w:tcPr>
          <w:p>
            <w:pPr>
              <w:pStyle w:val="TableContents"/>
              <w:bidi w:val="0"/>
              <w:spacing w:before="0" w:after="0"/>
              <w:ind w:left="0" w:right="0" w:hanging="0"/>
              <w:jc w:val="left"/>
              <w:rPr/>
            </w:pPr>
            <w:r>
              <w:rPr/>
            </w:r>
          </w:p>
        </w:tc>
        <w:tc>
          <w:tcPr>
            <w:tcW w:w="206" w:type="dxa"/>
            <w:tcBorders/>
            <w:vAlign w:val="center"/>
          </w:tcPr>
          <w:p>
            <w:pPr>
              <w:pStyle w:val="TableContents"/>
              <w:bidi w:val="0"/>
              <w:spacing w:before="0" w:after="0"/>
              <w:ind w:left="0" w:right="0" w:hanging="0"/>
              <w:jc w:val="left"/>
              <w:rPr/>
            </w:pPr>
            <w:r>
              <w:rPr/>
            </w:r>
          </w:p>
        </w:tc>
        <w:tc>
          <w:tcPr>
            <w:tcW w:w="85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(340</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0"/>
              <w:ind w:left="0" w:right="0" w:hanging="0"/>
              <w:jc w:val="left"/>
              <w:rPr/>
            </w:pPr>
            <w:r>
              <w:rPr/>
            </w:r>
          </w:p>
        </w:tc>
        <w:tc>
          <w:tcPr>
            <w:tcW w:w="250" w:type="dxa"/>
            <w:tcBorders/>
            <w:vAlign w:val="center"/>
          </w:tcPr>
          <w:p>
            <w:pPr>
              <w:pStyle w:val="TableContents"/>
              <w:bidi w:val="0"/>
              <w:spacing w:before="0" w:after="0"/>
              <w:ind w:left="0" w:right="0" w:hanging="0"/>
              <w:jc w:val="left"/>
              <w:rPr/>
            </w:pPr>
            <w:r>
              <w:rPr/>
            </w:r>
          </w:p>
        </w:tc>
        <w:tc>
          <w:tcPr>
            <w:tcW w:w="113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(340 </w:t>
            </w:r>
          </w:p>
        </w:tc>
        <w:tc>
          <w:tcPr>
            <w:tcW w:w="13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74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Accumulated deficit </w:t>
            </w:r>
          </w:p>
        </w:tc>
        <w:tc>
          <w:tcPr>
            <w:tcW w:w="23" w:type="dxa"/>
            <w:tcBorders/>
            <w:shd w:fill="CCEEFF" w:val="clear"/>
            <w:vAlign w:val="center"/>
          </w:tcPr>
          <w:p>
            <w:pPr>
              <w:pStyle w:val="TableContents"/>
              <w:bidi w:val="0"/>
              <w:spacing w:before="0" w:after="0"/>
              <w:ind w:left="0" w:right="0" w:hanging="0"/>
              <w:jc w:val="left"/>
              <w:rPr/>
            </w:pPr>
            <w:r>
              <w:rPr/>
            </w:r>
          </w:p>
        </w:tc>
        <w:tc>
          <w:tcPr>
            <w:tcW w:w="206" w:type="dxa"/>
            <w:tcBorders/>
            <w:shd w:fill="CCEEFF" w:val="clear"/>
            <w:vAlign w:val="center"/>
          </w:tcPr>
          <w:p>
            <w:pPr>
              <w:pStyle w:val="TableContents"/>
              <w:bidi w:val="0"/>
              <w:spacing w:before="0" w:after="0"/>
              <w:ind w:left="0" w:right="0" w:hanging="0"/>
              <w:jc w:val="left"/>
              <w:rPr/>
            </w:pPr>
            <w:r>
              <w:rPr/>
            </w:r>
          </w:p>
        </w:tc>
        <w:tc>
          <w:tcPr>
            <w:tcW w:w="8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(37,544</w:t>
            </w:r>
          </w:p>
        </w:tc>
        <w:tc>
          <w:tcPr>
            <w:tcW w:w="95"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0"/>
              <w:ind w:left="0" w:right="0" w:hanging="0"/>
              <w:jc w:val="left"/>
              <w:rPr/>
            </w:pPr>
            <w:r>
              <w:rPr/>
            </w:r>
          </w:p>
        </w:tc>
        <w:tc>
          <w:tcPr>
            <w:tcW w:w="250" w:type="dxa"/>
            <w:tcBorders/>
            <w:shd w:fill="CCEEFF" w:val="clear"/>
            <w:vAlign w:val="center"/>
          </w:tcPr>
          <w:p>
            <w:pPr>
              <w:pStyle w:val="TableContents"/>
              <w:bidi w:val="0"/>
              <w:spacing w:before="0" w:after="0"/>
              <w:ind w:left="0" w:right="0" w:hanging="0"/>
              <w:jc w:val="left"/>
              <w:rPr/>
            </w:pPr>
            <w:r>
              <w:rPr/>
            </w:r>
          </w:p>
        </w:tc>
        <w:tc>
          <w:tcPr>
            <w:tcW w:w="11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(36,143 </w:t>
            </w:r>
          </w:p>
        </w:tc>
        <w:tc>
          <w:tcPr>
            <w:tcW w:w="13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r>
      <w:tr>
        <w:trPr/>
        <w:tc>
          <w:tcPr>
            <w:tcW w:w="7491" w:type="dxa"/>
            <w:tcBorders/>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shareholders' equity </w:t>
            </w:r>
          </w:p>
        </w:tc>
        <w:tc>
          <w:tcPr>
            <w:tcW w:w="23" w:type="dxa"/>
            <w:tcBorders/>
            <w:vAlign w:val="center"/>
          </w:tcPr>
          <w:p>
            <w:pPr>
              <w:pStyle w:val="TableContents"/>
              <w:bidi w:val="0"/>
              <w:spacing w:before="0" w:after="0"/>
              <w:ind w:left="0" w:right="0" w:hanging="0"/>
              <w:jc w:val="left"/>
              <w:rPr/>
            </w:pPr>
            <w:r>
              <w:rPr/>
            </w:r>
          </w:p>
        </w:tc>
        <w:tc>
          <w:tcPr>
            <w:tcW w:w="206" w:type="dxa"/>
            <w:tcBorders/>
            <w:vAlign w:val="center"/>
          </w:tcPr>
          <w:p>
            <w:pPr>
              <w:pStyle w:val="TableContents"/>
              <w:bidi w:val="0"/>
              <w:spacing w:before="0" w:after="0"/>
              <w:ind w:left="0" w:right="0" w:hanging="0"/>
              <w:jc w:val="left"/>
              <w:rPr/>
            </w:pPr>
            <w:r>
              <w:rPr/>
            </w:r>
          </w:p>
        </w:tc>
        <w:tc>
          <w:tcPr>
            <w:tcW w:w="854"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(381</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0"/>
              <w:ind w:left="0" w:right="0" w:hanging="0"/>
              <w:jc w:val="left"/>
              <w:rPr/>
            </w:pPr>
            <w:r>
              <w:rPr/>
            </w:r>
          </w:p>
        </w:tc>
        <w:tc>
          <w:tcPr>
            <w:tcW w:w="250" w:type="dxa"/>
            <w:tcBorders/>
            <w:vAlign w:val="center"/>
          </w:tcPr>
          <w:p>
            <w:pPr>
              <w:pStyle w:val="TableContents"/>
              <w:bidi w:val="0"/>
              <w:spacing w:before="0" w:after="0"/>
              <w:ind w:left="0" w:right="0" w:hanging="0"/>
              <w:jc w:val="left"/>
              <w:rPr/>
            </w:pPr>
            <w:r>
              <w:rPr/>
            </w:r>
          </w:p>
        </w:tc>
        <w:tc>
          <w:tcPr>
            <w:tcW w:w="1130"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(714</w:t>
            </w:r>
          </w:p>
        </w:tc>
        <w:tc>
          <w:tcPr>
            <w:tcW w:w="133" w:type="dxa"/>
            <w:tcBorders/>
            <w:vAlign w:val="center"/>
          </w:tcPr>
          <w:p>
            <w:pPr>
              <w:pStyle w:val="TableContents"/>
              <w:bidi w:val="0"/>
              <w:spacing w:before="0" w:after="283"/>
              <w:jc w:val="left"/>
              <w:rPr/>
            </w:pPr>
            <w:r>
              <w:rPr/>
              <w:t>)</w:t>
            </w:r>
          </w:p>
        </w:tc>
      </w:tr>
      <w:tr>
        <w:trPr/>
        <w:tc>
          <w:tcPr>
            <w:tcW w:w="7491" w:type="dxa"/>
            <w:tcBorders/>
            <w:shd w:fill="CCEEFF" w:val="clear"/>
            <w:vAlign w:val="center"/>
          </w:tcPr>
          <w:p>
            <w:pPr>
              <w:pStyle w:val="TableContents"/>
              <w:bidi w:val="0"/>
              <w:spacing w:before="0" w:after="0"/>
              <w:ind w:left="240" w:right="0" w:hanging="0"/>
              <w:jc w:val="left"/>
              <w:rPr>
                <w:rFonts w:ascii="Times New Roman" w:hAnsi="Times New Roman"/>
                <w:sz w:val="20"/>
              </w:rPr>
            </w:pPr>
            <w:r>
              <w:rPr>
                <w:rFonts w:ascii="Times New Roman" w:hAnsi="Times New Roman"/>
                <w:sz w:val="20"/>
              </w:rPr>
              <w:t xml:space="preserve">Total liabilities and shareholders' equity </w:t>
            </w:r>
          </w:p>
        </w:tc>
        <w:tc>
          <w:tcPr>
            <w:tcW w:w="23" w:type="dxa"/>
            <w:tcBorders/>
            <w:shd w:fill="CCEEFF" w:val="clear"/>
            <w:vAlign w:val="center"/>
          </w:tcPr>
          <w:p>
            <w:pPr>
              <w:pStyle w:val="TableContents"/>
              <w:bidi w:val="0"/>
              <w:spacing w:before="0" w:after="0"/>
              <w:ind w:left="0" w:right="0" w:hanging="0"/>
              <w:jc w:val="left"/>
              <w:rPr/>
            </w:pPr>
            <w:r>
              <w:rPr/>
            </w:r>
          </w:p>
        </w:tc>
        <w:tc>
          <w:tcPr>
            <w:tcW w:w="2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5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990 </w:t>
            </w:r>
          </w:p>
        </w:tc>
        <w:tc>
          <w:tcPr>
            <w:tcW w:w="95" w:type="dxa"/>
            <w:tcBorders/>
            <w:shd w:fill="CCEEFF" w:val="clear"/>
            <w:vAlign w:val="center"/>
          </w:tcPr>
          <w:p>
            <w:pPr>
              <w:pStyle w:val="TableContents"/>
              <w:bidi w:val="0"/>
              <w:spacing w:before="0" w:after="0"/>
              <w:ind w:left="0" w:right="0" w:hanging="0"/>
              <w:jc w:val="left"/>
              <w:rPr/>
            </w:pPr>
            <w:r>
              <w:rPr/>
            </w:r>
          </w:p>
        </w:tc>
        <w:tc>
          <w:tcPr>
            <w:tcW w:w="23" w:type="dxa"/>
            <w:tcBorders/>
            <w:shd w:fill="CCEEFF" w:val="clear"/>
            <w:vAlign w:val="center"/>
          </w:tcPr>
          <w:p>
            <w:pPr>
              <w:pStyle w:val="TableContents"/>
              <w:bidi w:val="0"/>
              <w:spacing w:before="0" w:after="0"/>
              <w:ind w:left="0" w:right="0" w:hanging="0"/>
              <w:jc w:val="left"/>
              <w:rPr/>
            </w:pPr>
            <w:r>
              <w:rPr/>
            </w:r>
          </w:p>
        </w:tc>
        <w:tc>
          <w:tcPr>
            <w:tcW w:w="2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1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2,299</w:t>
            </w:r>
          </w:p>
        </w:tc>
        <w:tc>
          <w:tcPr>
            <w:tcW w:w="133" w:type="dxa"/>
            <w:tcBorders/>
            <w:shd w:fill="CCEEFF" w:val="clear"/>
            <w:vAlign w:val="center"/>
          </w:tcPr>
          <w:p>
            <w:pPr>
              <w:pStyle w:val="TableContents"/>
              <w:bidi w:val="0"/>
              <w:spacing w:before="0" w:after="0"/>
              <w:ind w:left="0" w:right="0" w:hanging="0"/>
              <w:jc w:val="left"/>
              <w:rPr/>
            </w:pPr>
            <w:r>
              <w:rPr/>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144" w:right="144" w:hanging="0"/>
        <w:jc w:val="center"/>
        <w:rPr>
          <w:rFonts w:ascii="Times New Roman" w:hAnsi="Times New Roman"/>
          <w:i/>
          <w:sz w:val="20"/>
        </w:rPr>
      </w:pPr>
      <w:r>
        <w:rPr>
          <w:rFonts w:ascii="Times New Roman" w:hAnsi="Times New Roman"/>
          <w:i/>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59" w:name="PageBreakNo3"/>
            <w:bookmarkEnd w:id="59"/>
            <w:r>
              <w:rPr>
                <w:sz w:val="20"/>
              </w:rPr>
              <w:t>3</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7">
        <w:bookmarkStart w:id="60" w:name="BD_G3RUEUCU2O00000000000000000000"/>
        <w:bookmarkEnd w:id="60"/>
        <w:r>
          <w:rPr>
            <w:rStyle w:val="InternetLink"/>
            <w:rFonts w:ascii="Times New Roman" w:hAnsi="Times New Roman"/>
            <w:b/>
            <w:strike w:val="false"/>
            <w:dstrike w:val="false"/>
            <w:color w:val="000000"/>
            <w:sz w:val="20"/>
            <w:u w:val="none"/>
            <w:effect w:val="none"/>
          </w:rPr>
          <w:t>UNAUDITED CONDENSED CONSOLIDATED STATEMENTS OF OPERATIONS AND</w:t>
        </w:r>
      </w:hyperlink>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COMPREHENSIVE LOSS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679"/>
        <w:gridCol w:w="113"/>
        <w:gridCol w:w="179"/>
        <w:gridCol w:w="955"/>
        <w:gridCol w:w="125"/>
        <w:gridCol w:w="121"/>
        <w:gridCol w:w="179"/>
        <w:gridCol w:w="912"/>
        <w:gridCol w:w="117"/>
        <w:gridCol w:w="23"/>
        <w:gridCol w:w="143"/>
        <w:gridCol w:w="1131"/>
        <w:gridCol w:w="108"/>
        <w:gridCol w:w="26"/>
        <w:gridCol w:w="143"/>
        <w:gridCol w:w="1131"/>
        <w:gridCol w:w="120"/>
      </w:tblGrid>
      <w:tr>
        <w:trPr/>
        <w:tc>
          <w:tcPr>
            <w:tcW w:w="4679" w:type="dxa"/>
            <w:tcBorders/>
            <w:vAlign w:val="center"/>
          </w:tcPr>
          <w:p>
            <w:pPr>
              <w:pStyle w:val="TableContents"/>
              <w:bidi w:val="0"/>
              <w:spacing w:before="0" w:after="0"/>
              <w:ind w:left="0" w:right="0" w:hanging="0"/>
              <w:jc w:val="left"/>
              <w:rPr/>
            </w:pPr>
            <w:r>
              <w:rPr/>
              <w:t xml:space="preserve">  </w:t>
            </w:r>
          </w:p>
        </w:tc>
        <w:tc>
          <w:tcPr>
            <w:tcW w:w="113" w:type="dxa"/>
            <w:tcBorders/>
            <w:vAlign w:val="center"/>
          </w:tcPr>
          <w:p>
            <w:pPr>
              <w:pStyle w:val="TableContents"/>
              <w:bidi w:val="0"/>
              <w:spacing w:before="0" w:after="0"/>
              <w:ind w:left="0" w:right="0" w:hanging="0"/>
              <w:jc w:val="left"/>
              <w:rPr/>
            </w:pPr>
            <w:r>
              <w:rPr/>
              <w:t xml:space="preserve">  </w:t>
            </w:r>
          </w:p>
        </w:tc>
        <w:tc>
          <w:tcPr>
            <w:tcW w:w="2471" w:type="dxa"/>
            <w:gridSpan w:val="6"/>
            <w:tcBorders/>
            <w:vAlign w:val="center"/>
          </w:tcPr>
          <w:p>
            <w:pPr>
              <w:pStyle w:val="TableContents"/>
              <w:bidi w:val="0"/>
              <w:spacing w:before="0" w:after="0"/>
              <w:ind w:left="0" w:right="0" w:hanging="0"/>
              <w:jc w:val="center"/>
              <w:rPr>
                <w:rFonts w:ascii="Times New Roman" w:hAnsi="Times New Roman"/>
                <w:b/>
                <w:sz w:val="20"/>
              </w:rPr>
            </w:pPr>
            <w:bookmarkStart w:id="61" w:name="fs_CO1JNMG7C000000000000000000000FM"/>
            <w:bookmarkEnd w:id="61"/>
            <w:r>
              <w:rPr>
                <w:rFonts w:ascii="Times New Roman" w:hAnsi="Times New Roman"/>
                <w:b/>
                <w:sz w:val="20"/>
              </w:rPr>
              <w:t>Three months ended June 30,</w:t>
            </w:r>
            <w:r>
              <w:rPr>
                <w:rFonts w:ascii="Times New Roman" w:hAnsi="Times New Roman"/>
                <w:b/>
                <w:sz w:val="20"/>
              </w:rPr>
              <w:t xml:space="preserve"> </w:t>
            </w:r>
          </w:p>
        </w:tc>
        <w:tc>
          <w:tcPr>
            <w:tcW w:w="117"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2682" w:type="dxa"/>
            <w:gridSpan w:val="6"/>
            <w:tcBorders/>
            <w:vAlign w:val="center"/>
          </w:tcPr>
          <w:p>
            <w:pPr>
              <w:pStyle w:val="TableContents"/>
              <w:bidi w:val="0"/>
              <w:spacing w:before="0" w:after="283"/>
              <w:jc w:val="center"/>
              <w:rPr>
                <w:b/>
              </w:rPr>
            </w:pPr>
            <w:bookmarkStart w:id="62" w:name="fs_6DBPFNZRM800000000000000000000FM"/>
            <w:bookmarkEnd w:id="62"/>
            <w:r>
              <w:rPr>
                <w:b/>
              </w:rPr>
              <w:t>Six months ended June 30,</w:t>
            </w:r>
          </w:p>
        </w:tc>
        <w:tc>
          <w:tcPr>
            <w:tcW w:w="120" w:type="dxa"/>
            <w:tcBorders/>
            <w:vAlign w:val="center"/>
          </w:tcPr>
          <w:p>
            <w:pPr>
              <w:pStyle w:val="TableContents"/>
              <w:bidi w:val="0"/>
              <w:spacing w:before="0" w:after="283"/>
              <w:jc w:val="left"/>
              <w:rPr/>
            </w:pPr>
            <w:r>
              <w:rPr/>
            </w:r>
          </w:p>
        </w:tc>
      </w:tr>
      <w:tr>
        <w:trPr/>
        <w:tc>
          <w:tcPr>
            <w:tcW w:w="4679" w:type="dxa"/>
            <w:tcBorders/>
            <w:vAlign w:val="center"/>
          </w:tcPr>
          <w:p>
            <w:pPr>
              <w:pStyle w:val="TableContents"/>
              <w:bidi w:val="0"/>
              <w:spacing w:before="0" w:after="0"/>
              <w:ind w:left="0" w:right="0" w:hanging="0"/>
              <w:jc w:val="left"/>
              <w:rPr/>
            </w:pPr>
            <w:r>
              <w:rPr/>
              <w:t xml:space="preserve">  </w:t>
            </w:r>
          </w:p>
        </w:tc>
        <w:tc>
          <w:tcPr>
            <w:tcW w:w="113" w:type="dxa"/>
            <w:tcBorders/>
            <w:vAlign w:val="center"/>
          </w:tcPr>
          <w:p>
            <w:pPr>
              <w:pStyle w:val="TableContents"/>
              <w:bidi w:val="0"/>
              <w:spacing w:before="0" w:after="0"/>
              <w:ind w:left="0" w:right="0" w:hanging="0"/>
              <w:jc w:val="left"/>
              <w:rPr/>
            </w:pPr>
            <w:r>
              <w:rPr/>
              <w:t xml:space="preserve">  </w:t>
            </w:r>
          </w:p>
        </w:tc>
        <w:tc>
          <w:tcPr>
            <w:tcW w:w="1134" w:type="dxa"/>
            <w:gridSpan w:val="2"/>
            <w:tcBorders/>
            <w:vAlign w:val="center"/>
          </w:tcPr>
          <w:p>
            <w:pPr>
              <w:pStyle w:val="TableContents"/>
              <w:bidi w:val="0"/>
              <w:spacing w:before="0" w:after="0"/>
              <w:ind w:left="0" w:right="0" w:hanging="0"/>
              <w:jc w:val="center"/>
              <w:rPr>
                <w:rFonts w:ascii="Times New Roman" w:hAnsi="Times New Roman"/>
                <w:b/>
                <w:sz w:val="20"/>
              </w:rPr>
            </w:pPr>
            <w:bookmarkStart w:id="63" w:name="fs_8X9IJ7ICPS00000000000000000000fs"/>
            <w:bookmarkEnd w:id="63"/>
            <w:r>
              <w:rPr>
                <w:rFonts w:ascii="Times New Roman" w:hAnsi="Times New Roman"/>
                <w:b/>
                <w:sz w:val="20"/>
              </w:rPr>
              <w:t xml:space="preserve">2026 </w:t>
            </w:r>
          </w:p>
        </w:tc>
        <w:tc>
          <w:tcPr>
            <w:tcW w:w="125" w:type="dxa"/>
            <w:tcBorders/>
            <w:vAlign w:val="center"/>
          </w:tcPr>
          <w:p>
            <w:pPr>
              <w:pStyle w:val="TableContents"/>
              <w:bidi w:val="0"/>
              <w:spacing w:before="0" w:after="0"/>
              <w:ind w:left="0" w:right="0" w:hanging="0"/>
              <w:jc w:val="left"/>
              <w:rPr/>
            </w:pPr>
            <w:r>
              <w:rPr/>
              <w:t xml:space="preserve">  </w:t>
            </w:r>
          </w:p>
        </w:tc>
        <w:tc>
          <w:tcPr>
            <w:tcW w:w="121" w:type="dxa"/>
            <w:tcBorders/>
            <w:vAlign w:val="center"/>
          </w:tcPr>
          <w:p>
            <w:pPr>
              <w:pStyle w:val="TableContents"/>
              <w:bidi w:val="0"/>
              <w:spacing w:before="0" w:after="0"/>
              <w:ind w:left="0" w:right="0" w:hanging="0"/>
              <w:jc w:val="left"/>
              <w:rPr/>
            </w:pPr>
            <w:r>
              <w:rPr/>
              <w:t xml:space="preserve">  </w:t>
            </w:r>
          </w:p>
        </w:tc>
        <w:tc>
          <w:tcPr>
            <w:tcW w:w="1091" w:type="dxa"/>
            <w:gridSpan w:val="2"/>
            <w:tcBorders/>
            <w:vAlign w:val="center"/>
          </w:tcPr>
          <w:p>
            <w:pPr>
              <w:pStyle w:val="TableContents"/>
              <w:bidi w:val="0"/>
              <w:spacing w:before="0" w:after="0"/>
              <w:ind w:left="0" w:right="0" w:hanging="0"/>
              <w:jc w:val="center"/>
              <w:rPr>
                <w:rFonts w:ascii="Times New Roman" w:hAnsi="Times New Roman"/>
                <w:b/>
                <w:sz w:val="20"/>
              </w:rPr>
            </w:pPr>
            <w:bookmarkStart w:id="64" w:name="fs_3OSQW5H5GG00000000000000000000fs"/>
            <w:bookmarkEnd w:id="64"/>
            <w:r>
              <w:rPr>
                <w:rFonts w:ascii="Times New Roman" w:hAnsi="Times New Roman"/>
                <w:b/>
                <w:sz w:val="20"/>
              </w:rPr>
              <w:t xml:space="preserve">2025 </w:t>
            </w:r>
          </w:p>
        </w:tc>
        <w:tc>
          <w:tcPr>
            <w:tcW w:w="117"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274" w:type="dxa"/>
            <w:gridSpan w:val="2"/>
            <w:tcBorders/>
            <w:vAlign w:val="center"/>
          </w:tcPr>
          <w:p>
            <w:pPr>
              <w:pStyle w:val="TableContents"/>
              <w:bidi w:val="0"/>
              <w:spacing w:before="0" w:after="283"/>
              <w:jc w:val="center"/>
              <w:rPr>
                <w:b/>
              </w:rPr>
            </w:pPr>
            <w:bookmarkStart w:id="65" w:name="fs_2H285E3BTC00000000000000000000FM"/>
            <w:bookmarkEnd w:id="65"/>
            <w:r>
              <w:rPr>
                <w:b/>
              </w:rPr>
              <w:t>2026</w:t>
            </w:r>
          </w:p>
        </w:tc>
        <w:tc>
          <w:tcPr>
            <w:tcW w:w="108" w:type="dxa"/>
            <w:tcBorders/>
            <w:vAlign w:val="center"/>
          </w:tcPr>
          <w:p>
            <w:pPr>
              <w:pStyle w:val="TableContents"/>
              <w:bidi w:val="0"/>
              <w:spacing w:before="0" w:after="283"/>
              <w:jc w:val="left"/>
              <w:rPr>
                <w:b/>
              </w:rPr>
            </w:pPr>
            <w:r>
              <w:rPr>
                <w:b/>
              </w:rPr>
            </w:r>
          </w:p>
        </w:tc>
        <w:tc>
          <w:tcPr>
            <w:tcW w:w="26" w:type="dxa"/>
            <w:tcBorders/>
            <w:vAlign w:val="center"/>
          </w:tcPr>
          <w:p>
            <w:pPr>
              <w:pStyle w:val="TableContents"/>
              <w:bidi w:val="0"/>
              <w:spacing w:before="0" w:after="283"/>
              <w:jc w:val="left"/>
              <w:rPr>
                <w:b/>
              </w:rPr>
            </w:pPr>
            <w:r>
              <w:rPr>
                <w:b/>
              </w:rPr>
            </w:r>
          </w:p>
        </w:tc>
        <w:tc>
          <w:tcPr>
            <w:tcW w:w="1274" w:type="dxa"/>
            <w:gridSpan w:val="2"/>
            <w:tcBorders/>
            <w:vAlign w:val="center"/>
          </w:tcPr>
          <w:p>
            <w:pPr>
              <w:pStyle w:val="TableContents"/>
              <w:bidi w:val="0"/>
              <w:spacing w:before="0" w:after="283"/>
              <w:jc w:val="center"/>
              <w:rPr>
                <w:b/>
              </w:rPr>
            </w:pPr>
            <w:bookmarkStart w:id="66" w:name="fs_CINPCJ3ULS00000000000000000000FM"/>
            <w:bookmarkEnd w:id="66"/>
            <w:r>
              <w:rPr>
                <w:b/>
              </w:rPr>
              <w:t>2025</w:t>
            </w:r>
          </w:p>
        </w:tc>
        <w:tc>
          <w:tcPr>
            <w:tcW w:w="120" w:type="dxa"/>
            <w:tcBorders/>
            <w:vAlign w:val="center"/>
          </w:tcPr>
          <w:p>
            <w:pPr>
              <w:pStyle w:val="TableContents"/>
              <w:bidi w:val="0"/>
              <w:spacing w:before="0" w:after="283"/>
              <w:jc w:val="left"/>
              <w:rPr/>
            </w:pPr>
            <w:r>
              <w:rPr/>
            </w:r>
          </w:p>
        </w:tc>
      </w:tr>
      <w:tr>
        <w:trPr/>
        <w:tc>
          <w:tcPr>
            <w:tcW w:w="467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Revenue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55" w:type="dxa"/>
            <w:tcBorders/>
            <w:shd w:fill="CCEEFF" w:val="clear"/>
            <w:vAlign w:val="bottom"/>
          </w:tcPr>
          <w:p>
            <w:pPr>
              <w:pStyle w:val="TableContents"/>
              <w:bidi w:val="0"/>
              <w:spacing w:before="0" w:after="0"/>
              <w:ind w:left="0" w:right="0" w:hanging="0"/>
              <w:jc w:val="right"/>
              <w:rPr/>
            </w:pPr>
            <w:r>
              <w:rPr/>
              <w:t xml:space="preserve">— </w:t>
            </w:r>
          </w:p>
        </w:tc>
        <w:tc>
          <w:tcPr>
            <w:tcW w:w="125" w:type="dxa"/>
            <w:tcBorders/>
            <w:shd w:fill="CCEEFF" w:val="clear"/>
            <w:vAlign w:val="bottom"/>
          </w:tcPr>
          <w:p>
            <w:pPr>
              <w:pStyle w:val="TableContents"/>
              <w:bidi w:val="0"/>
              <w:spacing w:before="0" w:after="0"/>
              <w:ind w:left="0" w:right="0" w:hanging="0"/>
              <w:jc w:val="left"/>
              <w:rPr/>
            </w:pPr>
            <w:r>
              <w:rPr/>
              <w:t xml:space="preserve">  </w:t>
            </w:r>
          </w:p>
        </w:tc>
        <w:tc>
          <w:tcPr>
            <w:tcW w:w="121"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12" w:type="dxa"/>
            <w:tcBorders/>
            <w:shd w:fill="CCEEFF" w:val="clear"/>
            <w:vAlign w:val="bottom"/>
          </w:tcPr>
          <w:p>
            <w:pPr>
              <w:pStyle w:val="TableContents"/>
              <w:bidi w:val="0"/>
              <w:spacing w:before="0" w:after="0"/>
              <w:ind w:left="0" w:right="0" w:hanging="0"/>
              <w:jc w:val="right"/>
              <w:rPr/>
            </w:pPr>
            <w:r>
              <w:rPr/>
              <w:t>—</w:t>
            </w:r>
          </w:p>
        </w:tc>
        <w:tc>
          <w:tcPr>
            <w:tcW w:w="117" w:type="dxa"/>
            <w:tcBorders/>
            <w:shd w:fill="CCEEFF" w:val="clear"/>
            <w:vAlign w:val="bottom"/>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31"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r>
          </w:p>
        </w:tc>
        <w:tc>
          <w:tcPr>
            <w:tcW w:w="26"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31"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r>
          </w:p>
        </w:tc>
      </w:tr>
      <w:tr>
        <w:trPr/>
        <w:tc>
          <w:tcPr>
            <w:tcW w:w="467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Cost of goods sold  </w:t>
            </w:r>
          </w:p>
        </w:tc>
        <w:tc>
          <w:tcPr>
            <w:tcW w:w="113"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5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70 </w:t>
            </w:r>
          </w:p>
        </w:tc>
        <w:tc>
          <w:tcPr>
            <w:tcW w:w="125" w:type="dxa"/>
            <w:tcBorders/>
            <w:vAlign w:val="bottom"/>
          </w:tcPr>
          <w:p>
            <w:pPr>
              <w:pStyle w:val="TableContents"/>
              <w:bidi w:val="0"/>
              <w:spacing w:before="0" w:after="0"/>
              <w:ind w:left="0" w:right="0" w:hanging="0"/>
              <w:jc w:val="left"/>
              <w:rPr/>
            </w:pPr>
            <w:r>
              <w:rPr/>
              <w:t xml:space="preserve">  </w:t>
            </w:r>
          </w:p>
        </w:tc>
        <w:tc>
          <w:tcPr>
            <w:tcW w:w="121"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1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w:t>
            </w:r>
          </w:p>
        </w:tc>
        <w:tc>
          <w:tcPr>
            <w:tcW w:w="117" w:type="dxa"/>
            <w:tcBorders/>
            <w:vAlign w:val="bottom"/>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widowControl/>
              <w:bidi w:val="0"/>
              <w:spacing w:before="0" w:after="283"/>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140</w:t>
            </w:r>
          </w:p>
        </w:tc>
        <w:tc>
          <w:tcPr>
            <w:tcW w:w="108" w:type="dxa"/>
            <w:tcBorders/>
            <w:vAlign w:val="center"/>
          </w:tcPr>
          <w:p>
            <w:pPr>
              <w:pStyle w:val="TableContents"/>
              <w:bidi w:val="0"/>
              <w:spacing w:before="0" w:after="283"/>
              <w:jc w:val="left"/>
              <w:rPr/>
            </w:pPr>
            <w:r>
              <w:rPr/>
            </w:r>
          </w:p>
        </w:tc>
        <w:tc>
          <w:tcPr>
            <w:tcW w:w="26"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right"/>
              <w:rPr/>
            </w:pPr>
            <w:r>
              <w:rPr/>
              <w:t>127</w:t>
            </w:r>
          </w:p>
        </w:tc>
        <w:tc>
          <w:tcPr>
            <w:tcW w:w="120" w:type="dxa"/>
            <w:tcBorders/>
            <w:vAlign w:val="center"/>
          </w:tcPr>
          <w:p>
            <w:pPr>
              <w:pStyle w:val="TableContents"/>
              <w:bidi w:val="0"/>
              <w:spacing w:before="0" w:after="283"/>
              <w:jc w:val="left"/>
              <w:rPr/>
            </w:pPr>
            <w:r>
              <w:rPr/>
            </w:r>
          </w:p>
        </w:tc>
      </w:tr>
      <w:tr>
        <w:trPr/>
        <w:tc>
          <w:tcPr>
            <w:tcW w:w="467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Gross profit (loss)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55"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c>
          <w:tcPr>
            <w:tcW w:w="125" w:type="dxa"/>
            <w:tcBorders/>
            <w:shd w:fill="CCEEFF" w:val="clear"/>
            <w:vAlign w:val="bottom"/>
          </w:tcPr>
          <w:p>
            <w:pPr>
              <w:pStyle w:val="TableContents"/>
              <w:bidi w:val="0"/>
              <w:spacing w:before="0" w:after="283"/>
              <w:jc w:val="left"/>
              <w:rPr/>
            </w:pPr>
            <w:r>
              <w:rPr/>
              <w:t>)</w:t>
            </w:r>
          </w:p>
        </w:tc>
        <w:tc>
          <w:tcPr>
            <w:tcW w:w="121"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12"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w:t>
            </w:r>
          </w:p>
        </w:tc>
        <w:tc>
          <w:tcPr>
            <w:tcW w:w="117" w:type="dxa"/>
            <w:tcBorders/>
            <w:shd w:fill="CCEEFF" w:val="clear"/>
            <w:vAlign w:val="bottom"/>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widowControl/>
              <w:bidi w:val="0"/>
              <w:spacing w:before="0" w:after="283"/>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(140</w:t>
            </w:r>
          </w:p>
        </w:tc>
        <w:tc>
          <w:tcPr>
            <w:tcW w:w="108"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right"/>
              <w:rPr/>
            </w:pPr>
            <w:r>
              <w:rPr/>
              <w:t>(127</w:t>
            </w:r>
          </w:p>
        </w:tc>
        <w:tc>
          <w:tcPr>
            <w:tcW w:w="120" w:type="dxa"/>
            <w:tcBorders/>
            <w:shd w:fill="CCEEFF" w:val="clear"/>
            <w:vAlign w:val="center"/>
          </w:tcPr>
          <w:p>
            <w:pPr>
              <w:pStyle w:val="TableContents"/>
              <w:bidi w:val="0"/>
              <w:spacing w:before="0" w:after="283"/>
              <w:jc w:val="left"/>
              <w:rPr/>
            </w:pPr>
            <w:r>
              <w:rPr/>
              <w:t>)</w:t>
            </w:r>
          </w:p>
        </w:tc>
      </w:tr>
      <w:tr>
        <w:trPr/>
        <w:tc>
          <w:tcPr>
            <w:tcW w:w="4679" w:type="dxa"/>
            <w:tcBorders/>
            <w:vAlign w:val="bottom"/>
          </w:tcPr>
          <w:p>
            <w:pPr>
              <w:pStyle w:val="TableContents"/>
              <w:bidi w:val="0"/>
              <w:spacing w:before="0" w:after="0"/>
              <w:ind w:left="0" w:right="0" w:hanging="0"/>
              <w:jc w:val="left"/>
              <w:rPr/>
            </w:pPr>
            <w:r>
              <w:rPr/>
              <w:t xml:space="preserve">  </w:t>
            </w:r>
          </w:p>
        </w:tc>
        <w:tc>
          <w:tcPr>
            <w:tcW w:w="113"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55" w:type="dxa"/>
            <w:tcBorders/>
            <w:vAlign w:val="bottom"/>
          </w:tcPr>
          <w:p>
            <w:pPr>
              <w:pStyle w:val="TableContents"/>
              <w:bidi w:val="0"/>
              <w:spacing w:before="0" w:after="0"/>
              <w:ind w:left="0" w:right="0" w:hanging="0"/>
              <w:jc w:val="left"/>
              <w:rPr/>
            </w:pPr>
            <w:r>
              <w:rPr/>
              <w:t xml:space="preserve">  </w:t>
            </w:r>
          </w:p>
        </w:tc>
        <w:tc>
          <w:tcPr>
            <w:tcW w:w="125" w:type="dxa"/>
            <w:tcBorders/>
            <w:vAlign w:val="bottom"/>
          </w:tcPr>
          <w:p>
            <w:pPr>
              <w:pStyle w:val="TableContents"/>
              <w:bidi w:val="0"/>
              <w:spacing w:before="0" w:after="0"/>
              <w:ind w:left="0" w:right="0" w:hanging="0"/>
              <w:jc w:val="left"/>
              <w:rPr/>
            </w:pPr>
            <w:r>
              <w:rPr/>
              <w:t xml:space="preserve">  </w:t>
            </w:r>
          </w:p>
        </w:tc>
        <w:tc>
          <w:tcPr>
            <w:tcW w:w="121"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12" w:type="dxa"/>
            <w:tcBorders/>
            <w:vAlign w:val="bottom"/>
          </w:tcPr>
          <w:p>
            <w:pPr>
              <w:pStyle w:val="TableContents"/>
              <w:bidi w:val="0"/>
              <w:spacing w:before="0" w:after="0"/>
              <w:ind w:left="0" w:right="0" w:hanging="0"/>
              <w:jc w:val="left"/>
              <w:rPr/>
            </w:pPr>
            <w:r>
              <w:rPr/>
              <w:t xml:space="preserve">  </w:t>
            </w:r>
          </w:p>
        </w:tc>
        <w:tc>
          <w:tcPr>
            <w:tcW w:w="117" w:type="dxa"/>
            <w:tcBorders/>
            <w:vAlign w:val="bottom"/>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left"/>
              <w:rPr/>
            </w:pPr>
            <w:r>
              <w:rPr/>
            </w:r>
          </w:p>
        </w:tc>
        <w:tc>
          <w:tcPr>
            <w:tcW w:w="108" w:type="dxa"/>
            <w:tcBorders/>
            <w:vAlign w:val="center"/>
          </w:tcPr>
          <w:p>
            <w:pPr>
              <w:pStyle w:val="TableContents"/>
              <w:bidi w:val="0"/>
              <w:spacing w:before="0" w:after="283"/>
              <w:jc w:val="left"/>
              <w:rPr/>
            </w:pPr>
            <w:r>
              <w:rPr/>
            </w:r>
          </w:p>
        </w:tc>
        <w:tc>
          <w:tcPr>
            <w:tcW w:w="26"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r>
          </w:p>
        </w:tc>
      </w:tr>
      <w:tr>
        <w:trPr/>
        <w:tc>
          <w:tcPr>
            <w:tcW w:w="467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expenses: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55" w:type="dxa"/>
            <w:tcBorders/>
            <w:shd w:fill="CCEEFF" w:val="clear"/>
            <w:vAlign w:val="bottom"/>
          </w:tcPr>
          <w:p>
            <w:pPr>
              <w:pStyle w:val="TableContents"/>
              <w:bidi w:val="0"/>
              <w:spacing w:before="0" w:after="0"/>
              <w:ind w:left="0" w:right="0" w:hanging="0"/>
              <w:jc w:val="left"/>
              <w:rPr/>
            </w:pPr>
            <w:r>
              <w:rPr/>
              <w:t xml:space="preserve">  </w:t>
            </w:r>
          </w:p>
        </w:tc>
        <w:tc>
          <w:tcPr>
            <w:tcW w:w="125" w:type="dxa"/>
            <w:tcBorders/>
            <w:shd w:fill="CCEEFF" w:val="clear"/>
            <w:vAlign w:val="bottom"/>
          </w:tcPr>
          <w:p>
            <w:pPr>
              <w:pStyle w:val="TableContents"/>
              <w:bidi w:val="0"/>
              <w:spacing w:before="0" w:after="0"/>
              <w:ind w:left="0" w:right="0" w:hanging="0"/>
              <w:jc w:val="left"/>
              <w:rPr/>
            </w:pPr>
            <w:r>
              <w:rPr/>
              <w:t xml:space="preserve">  </w:t>
            </w:r>
          </w:p>
        </w:tc>
        <w:tc>
          <w:tcPr>
            <w:tcW w:w="121"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12" w:type="dxa"/>
            <w:tcBorders/>
            <w:shd w:fill="CCEEFF" w:val="clear"/>
            <w:vAlign w:val="bottom"/>
          </w:tcPr>
          <w:p>
            <w:pPr>
              <w:pStyle w:val="TableContents"/>
              <w:bidi w:val="0"/>
              <w:spacing w:before="0" w:after="0"/>
              <w:ind w:left="0" w:right="0" w:hanging="0"/>
              <w:jc w:val="left"/>
              <w:rPr/>
            </w:pPr>
            <w:r>
              <w:rPr/>
              <w:t xml:space="preserve">  </w:t>
            </w:r>
          </w:p>
        </w:tc>
        <w:tc>
          <w:tcPr>
            <w:tcW w:w="117" w:type="dxa"/>
            <w:tcBorders/>
            <w:shd w:fill="CCEEFF" w:val="clear"/>
            <w:vAlign w:val="bottom"/>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left"/>
              <w:rPr/>
            </w:pPr>
            <w:r>
              <w:rPr/>
            </w:r>
          </w:p>
        </w:tc>
        <w:tc>
          <w:tcPr>
            <w:tcW w:w="108" w:type="dxa"/>
            <w:tcBorders/>
            <w:shd w:fill="CCEEFF" w:val="clear"/>
            <w:vAlign w:val="center"/>
          </w:tcPr>
          <w:p>
            <w:pPr>
              <w:pStyle w:val="TableContents"/>
              <w:bidi w:val="0"/>
              <w:spacing w:before="0" w:after="283"/>
              <w:jc w:val="left"/>
              <w:rPr/>
            </w:pPr>
            <w:r>
              <w:rPr/>
            </w:r>
          </w:p>
        </w:tc>
        <w:tc>
          <w:tcPr>
            <w:tcW w:w="26"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left"/>
              <w:rPr/>
            </w:pPr>
            <w:r>
              <w:rPr/>
            </w:r>
          </w:p>
        </w:tc>
        <w:tc>
          <w:tcPr>
            <w:tcW w:w="120" w:type="dxa"/>
            <w:tcBorders/>
            <w:shd w:fill="CCEEFF" w:val="clear"/>
            <w:vAlign w:val="center"/>
          </w:tcPr>
          <w:p>
            <w:pPr>
              <w:pStyle w:val="TableContents"/>
              <w:bidi w:val="0"/>
              <w:spacing w:before="0" w:after="283"/>
              <w:jc w:val="left"/>
              <w:rPr/>
            </w:pPr>
            <w:r>
              <w:rPr/>
            </w:r>
          </w:p>
        </w:tc>
      </w:tr>
      <w:tr>
        <w:trPr/>
        <w:tc>
          <w:tcPr>
            <w:tcW w:w="467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Sales and marketing </w:t>
            </w:r>
          </w:p>
        </w:tc>
        <w:tc>
          <w:tcPr>
            <w:tcW w:w="113"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55" w:type="dxa"/>
            <w:tcBorders/>
            <w:vAlign w:val="bottom"/>
          </w:tcPr>
          <w:p>
            <w:pPr>
              <w:pStyle w:val="TableContents"/>
              <w:bidi w:val="0"/>
              <w:spacing w:before="0" w:after="0"/>
              <w:ind w:left="0" w:right="0" w:hanging="0"/>
              <w:jc w:val="right"/>
              <w:rPr/>
            </w:pPr>
            <w:r>
              <w:rPr/>
              <w:t xml:space="preserve">— </w:t>
            </w:r>
          </w:p>
        </w:tc>
        <w:tc>
          <w:tcPr>
            <w:tcW w:w="125" w:type="dxa"/>
            <w:tcBorders/>
            <w:vAlign w:val="bottom"/>
          </w:tcPr>
          <w:p>
            <w:pPr>
              <w:pStyle w:val="TableContents"/>
              <w:bidi w:val="0"/>
              <w:spacing w:before="0" w:after="0"/>
              <w:ind w:left="0" w:right="0" w:hanging="0"/>
              <w:jc w:val="left"/>
              <w:rPr/>
            </w:pPr>
            <w:r>
              <w:rPr/>
              <w:t xml:space="preserve">  </w:t>
            </w:r>
          </w:p>
        </w:tc>
        <w:tc>
          <w:tcPr>
            <w:tcW w:w="121"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12" w:type="dxa"/>
            <w:tcBorders/>
            <w:vAlign w:val="bottom"/>
          </w:tcPr>
          <w:p>
            <w:pPr>
              <w:pStyle w:val="TableContents"/>
              <w:bidi w:val="0"/>
              <w:spacing w:before="0" w:after="0"/>
              <w:ind w:left="0" w:right="0" w:hanging="0"/>
              <w:jc w:val="right"/>
              <w:rPr/>
            </w:pPr>
            <w:r>
              <w:rPr/>
              <w:t>—</w:t>
            </w:r>
          </w:p>
        </w:tc>
        <w:tc>
          <w:tcPr>
            <w:tcW w:w="117" w:type="dxa"/>
            <w:tcBorders/>
            <w:vAlign w:val="bottom"/>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widowControl/>
              <w:bidi w:val="0"/>
              <w:spacing w:before="0" w:after="283"/>
              <w:ind w:left="0" w:right="0" w:hanging="0"/>
              <w:jc w:val="right"/>
              <w:rPr>
                <w:color w:val="000000"/>
                <w:spacing w:val="0"/>
              </w:rPr>
            </w:pPr>
            <w:r>
              <w:rPr>
                <w:color w:val="000000"/>
                <w:spacing w:val="0"/>
              </w:rPr>
              <w:t>—</w:t>
            </w:r>
          </w:p>
        </w:tc>
        <w:tc>
          <w:tcPr>
            <w:tcW w:w="108" w:type="dxa"/>
            <w:tcBorders/>
            <w:vAlign w:val="center"/>
          </w:tcPr>
          <w:p>
            <w:pPr>
              <w:pStyle w:val="TableContents"/>
              <w:bidi w:val="0"/>
              <w:spacing w:before="0" w:after="283"/>
              <w:jc w:val="left"/>
              <w:rPr/>
            </w:pPr>
            <w:r>
              <w:rPr/>
            </w:r>
          </w:p>
        </w:tc>
        <w:tc>
          <w:tcPr>
            <w:tcW w:w="26"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right"/>
              <w:rPr/>
            </w:pPr>
            <w:r>
              <w:rPr/>
              <w:t>—</w:t>
            </w:r>
          </w:p>
        </w:tc>
        <w:tc>
          <w:tcPr>
            <w:tcW w:w="120" w:type="dxa"/>
            <w:tcBorders/>
            <w:vAlign w:val="center"/>
          </w:tcPr>
          <w:p>
            <w:pPr>
              <w:pStyle w:val="TableContents"/>
              <w:bidi w:val="0"/>
              <w:spacing w:before="0" w:after="283"/>
              <w:jc w:val="left"/>
              <w:rPr/>
            </w:pPr>
            <w:r>
              <w:rPr/>
            </w:r>
          </w:p>
        </w:tc>
      </w:tr>
      <w:tr>
        <w:trPr/>
        <w:tc>
          <w:tcPr>
            <w:tcW w:w="467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Research and product development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55" w:type="dxa"/>
            <w:tcBorders/>
            <w:shd w:fill="CCEEFF" w:val="clear"/>
            <w:vAlign w:val="bottom"/>
          </w:tcPr>
          <w:p>
            <w:pPr>
              <w:pStyle w:val="TableContents"/>
              <w:bidi w:val="0"/>
              <w:spacing w:before="0" w:after="0"/>
              <w:ind w:left="0" w:right="0" w:hanging="0"/>
              <w:jc w:val="right"/>
              <w:rPr/>
            </w:pPr>
            <w:r>
              <w:rPr/>
              <w:t xml:space="preserve">— </w:t>
            </w:r>
          </w:p>
        </w:tc>
        <w:tc>
          <w:tcPr>
            <w:tcW w:w="125" w:type="dxa"/>
            <w:tcBorders/>
            <w:shd w:fill="CCEEFF" w:val="clear"/>
            <w:vAlign w:val="bottom"/>
          </w:tcPr>
          <w:p>
            <w:pPr>
              <w:pStyle w:val="TableContents"/>
              <w:bidi w:val="0"/>
              <w:spacing w:before="0" w:after="0"/>
              <w:ind w:left="0" w:right="0" w:hanging="0"/>
              <w:jc w:val="left"/>
              <w:rPr/>
            </w:pPr>
            <w:r>
              <w:rPr/>
              <w:t xml:space="preserve">  </w:t>
            </w:r>
          </w:p>
        </w:tc>
        <w:tc>
          <w:tcPr>
            <w:tcW w:w="121"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12" w:type="dxa"/>
            <w:tcBorders/>
            <w:shd w:fill="CCEEFF" w:val="clear"/>
            <w:vAlign w:val="bottom"/>
          </w:tcPr>
          <w:p>
            <w:pPr>
              <w:pStyle w:val="TableContents"/>
              <w:bidi w:val="0"/>
              <w:spacing w:before="0" w:after="0"/>
              <w:ind w:left="0" w:right="0" w:hanging="0"/>
              <w:jc w:val="right"/>
              <w:rPr/>
            </w:pPr>
            <w:r>
              <w:rPr/>
              <w:t>—</w:t>
            </w:r>
          </w:p>
        </w:tc>
        <w:tc>
          <w:tcPr>
            <w:tcW w:w="117" w:type="dxa"/>
            <w:tcBorders/>
            <w:shd w:fill="CCEEFF" w:val="clear"/>
            <w:vAlign w:val="bottom"/>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widowControl/>
              <w:bidi w:val="0"/>
              <w:spacing w:before="0" w:after="283"/>
              <w:ind w:left="0" w:right="0" w:hanging="0"/>
              <w:jc w:val="right"/>
              <w:rPr>
                <w:color w:val="000000"/>
                <w:spacing w:val="0"/>
              </w:rPr>
            </w:pPr>
            <w:r>
              <w:rPr>
                <w:color w:val="000000"/>
                <w:spacing w:val="0"/>
              </w:rPr>
              <w:t>—</w:t>
            </w:r>
          </w:p>
        </w:tc>
        <w:tc>
          <w:tcPr>
            <w:tcW w:w="108" w:type="dxa"/>
            <w:tcBorders/>
            <w:shd w:fill="CCEEFF" w:val="clear"/>
            <w:vAlign w:val="center"/>
          </w:tcPr>
          <w:p>
            <w:pPr>
              <w:pStyle w:val="TableContents"/>
              <w:bidi w:val="0"/>
              <w:spacing w:before="0" w:after="283"/>
              <w:jc w:val="left"/>
              <w:rPr/>
            </w:pPr>
            <w:r>
              <w:rPr/>
            </w:r>
          </w:p>
        </w:tc>
        <w:tc>
          <w:tcPr>
            <w:tcW w:w="26"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r>
          </w:p>
        </w:tc>
      </w:tr>
      <w:tr>
        <w:trPr/>
        <w:tc>
          <w:tcPr>
            <w:tcW w:w="467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General and administrative </w:t>
            </w:r>
          </w:p>
        </w:tc>
        <w:tc>
          <w:tcPr>
            <w:tcW w:w="113"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5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849 </w:t>
            </w:r>
          </w:p>
        </w:tc>
        <w:tc>
          <w:tcPr>
            <w:tcW w:w="125" w:type="dxa"/>
            <w:tcBorders/>
            <w:vAlign w:val="bottom"/>
          </w:tcPr>
          <w:p>
            <w:pPr>
              <w:pStyle w:val="TableContents"/>
              <w:bidi w:val="0"/>
              <w:spacing w:before="0" w:after="0"/>
              <w:ind w:left="0" w:right="0" w:hanging="0"/>
              <w:jc w:val="left"/>
              <w:rPr/>
            </w:pPr>
            <w:r>
              <w:rPr/>
              <w:t xml:space="preserve">  </w:t>
            </w:r>
          </w:p>
        </w:tc>
        <w:tc>
          <w:tcPr>
            <w:tcW w:w="121"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1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1,092 </w:t>
            </w:r>
          </w:p>
        </w:tc>
        <w:tc>
          <w:tcPr>
            <w:tcW w:w="117" w:type="dxa"/>
            <w:tcBorders/>
            <w:vAlign w:val="bottom"/>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widowControl/>
              <w:bidi w:val="0"/>
              <w:spacing w:before="0" w:after="283"/>
              <w:ind w:left="0" w:right="0" w:hanging="0"/>
              <w:jc w:val="right"/>
              <w:rPr>
                <w:rFonts w:ascii="times new roman" w:hAnsi="times new roman"/>
                <w:b w:val="false"/>
                <w:color w:val="000000"/>
                <w:spacing w:val="0"/>
                <w:sz w:val="20"/>
              </w:rPr>
            </w:pPr>
            <w:r>
              <w:rPr>
                <w:rFonts w:ascii="times new roman" w:hAnsi="times new roman"/>
                <w:b w:val="false"/>
                <w:color w:val="000000"/>
                <w:spacing w:val="0"/>
                <w:sz w:val="20"/>
              </w:rPr>
              <w:t>1,629</w:t>
            </w:r>
          </w:p>
        </w:tc>
        <w:tc>
          <w:tcPr>
            <w:tcW w:w="108" w:type="dxa"/>
            <w:tcBorders/>
            <w:vAlign w:val="center"/>
          </w:tcPr>
          <w:p>
            <w:pPr>
              <w:pStyle w:val="TableContents"/>
              <w:bidi w:val="0"/>
              <w:spacing w:before="0" w:after="283"/>
              <w:jc w:val="left"/>
              <w:rPr/>
            </w:pPr>
            <w:r>
              <w:rPr/>
            </w:r>
          </w:p>
        </w:tc>
        <w:tc>
          <w:tcPr>
            <w:tcW w:w="26"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right"/>
              <w:rPr/>
            </w:pPr>
            <w:r>
              <w:rPr/>
              <w:t>1,891</w:t>
            </w:r>
          </w:p>
        </w:tc>
        <w:tc>
          <w:tcPr>
            <w:tcW w:w="120" w:type="dxa"/>
            <w:tcBorders/>
            <w:vAlign w:val="center"/>
          </w:tcPr>
          <w:p>
            <w:pPr>
              <w:pStyle w:val="TableContents"/>
              <w:bidi w:val="0"/>
              <w:spacing w:before="0" w:after="283"/>
              <w:jc w:val="left"/>
              <w:rPr/>
            </w:pPr>
            <w:r>
              <w:rPr/>
            </w:r>
          </w:p>
        </w:tc>
      </w:tr>
      <w:tr>
        <w:trPr/>
        <w:tc>
          <w:tcPr>
            <w:tcW w:w="467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operating expenses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55"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849 </w:t>
            </w:r>
          </w:p>
        </w:tc>
        <w:tc>
          <w:tcPr>
            <w:tcW w:w="125" w:type="dxa"/>
            <w:tcBorders/>
            <w:shd w:fill="CCEEFF" w:val="clear"/>
            <w:vAlign w:val="bottom"/>
          </w:tcPr>
          <w:p>
            <w:pPr>
              <w:pStyle w:val="TableContents"/>
              <w:bidi w:val="0"/>
              <w:spacing w:before="0" w:after="0"/>
              <w:ind w:left="0" w:right="0" w:hanging="0"/>
              <w:jc w:val="left"/>
              <w:rPr/>
            </w:pPr>
            <w:r>
              <w:rPr/>
              <w:t xml:space="preserve">  </w:t>
            </w:r>
          </w:p>
        </w:tc>
        <w:tc>
          <w:tcPr>
            <w:tcW w:w="121"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12"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1,092 </w:t>
            </w:r>
          </w:p>
        </w:tc>
        <w:tc>
          <w:tcPr>
            <w:tcW w:w="117" w:type="dxa"/>
            <w:tcBorders/>
            <w:shd w:fill="CCEEFF" w:val="clear"/>
            <w:vAlign w:val="bottom"/>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right"/>
              <w:rPr/>
            </w:pPr>
            <w:r>
              <w:rPr/>
              <w:t>1,629</w:t>
            </w:r>
          </w:p>
        </w:tc>
        <w:tc>
          <w:tcPr>
            <w:tcW w:w="108" w:type="dxa"/>
            <w:tcBorders/>
            <w:shd w:fill="CCEEFF" w:val="clear"/>
            <w:vAlign w:val="center"/>
          </w:tcPr>
          <w:p>
            <w:pPr>
              <w:pStyle w:val="TableContents"/>
              <w:bidi w:val="0"/>
              <w:spacing w:before="0" w:after="283"/>
              <w:jc w:val="left"/>
              <w:rPr/>
            </w:pPr>
            <w:r>
              <w:rPr/>
            </w:r>
          </w:p>
        </w:tc>
        <w:tc>
          <w:tcPr>
            <w:tcW w:w="26"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right"/>
              <w:rPr/>
            </w:pPr>
            <w:r>
              <w:rPr/>
              <w:t>1,891</w:t>
            </w:r>
          </w:p>
        </w:tc>
        <w:tc>
          <w:tcPr>
            <w:tcW w:w="120" w:type="dxa"/>
            <w:tcBorders/>
            <w:shd w:fill="CCEEFF" w:val="clear"/>
            <w:vAlign w:val="center"/>
          </w:tcPr>
          <w:p>
            <w:pPr>
              <w:pStyle w:val="TableContents"/>
              <w:bidi w:val="0"/>
              <w:spacing w:before="0" w:after="283"/>
              <w:jc w:val="left"/>
              <w:rPr/>
            </w:pPr>
            <w:r>
              <w:rPr/>
            </w:r>
          </w:p>
        </w:tc>
      </w:tr>
      <w:tr>
        <w:trPr/>
        <w:tc>
          <w:tcPr>
            <w:tcW w:w="4679" w:type="dxa"/>
            <w:tcBorders/>
            <w:vAlign w:val="bottom"/>
          </w:tcPr>
          <w:p>
            <w:pPr>
              <w:pStyle w:val="TableContents"/>
              <w:bidi w:val="0"/>
              <w:spacing w:before="0" w:after="0"/>
              <w:ind w:left="0" w:right="0" w:hanging="0"/>
              <w:jc w:val="left"/>
              <w:rPr/>
            </w:pPr>
            <w:r>
              <w:rPr/>
              <w:t xml:space="preserve">  </w:t>
            </w:r>
          </w:p>
        </w:tc>
        <w:tc>
          <w:tcPr>
            <w:tcW w:w="113"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55" w:type="dxa"/>
            <w:tcBorders/>
            <w:vAlign w:val="bottom"/>
          </w:tcPr>
          <w:p>
            <w:pPr>
              <w:pStyle w:val="TableContents"/>
              <w:bidi w:val="0"/>
              <w:spacing w:before="0" w:after="0"/>
              <w:ind w:left="0" w:right="0" w:hanging="0"/>
              <w:jc w:val="left"/>
              <w:rPr/>
            </w:pPr>
            <w:r>
              <w:rPr/>
              <w:t xml:space="preserve">  </w:t>
            </w:r>
          </w:p>
        </w:tc>
        <w:tc>
          <w:tcPr>
            <w:tcW w:w="125" w:type="dxa"/>
            <w:tcBorders/>
            <w:vAlign w:val="bottom"/>
          </w:tcPr>
          <w:p>
            <w:pPr>
              <w:pStyle w:val="TableContents"/>
              <w:bidi w:val="0"/>
              <w:spacing w:before="0" w:after="0"/>
              <w:ind w:left="0" w:right="0" w:hanging="0"/>
              <w:jc w:val="left"/>
              <w:rPr/>
            </w:pPr>
            <w:r>
              <w:rPr/>
              <w:t xml:space="preserve">  </w:t>
            </w:r>
          </w:p>
        </w:tc>
        <w:tc>
          <w:tcPr>
            <w:tcW w:w="121"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12" w:type="dxa"/>
            <w:tcBorders/>
            <w:vAlign w:val="bottom"/>
          </w:tcPr>
          <w:p>
            <w:pPr>
              <w:pStyle w:val="TableContents"/>
              <w:bidi w:val="0"/>
              <w:spacing w:before="0" w:after="0"/>
              <w:ind w:left="0" w:right="0" w:hanging="0"/>
              <w:jc w:val="left"/>
              <w:rPr/>
            </w:pPr>
            <w:r>
              <w:rPr/>
              <w:t xml:space="preserve">  </w:t>
            </w:r>
          </w:p>
        </w:tc>
        <w:tc>
          <w:tcPr>
            <w:tcW w:w="117" w:type="dxa"/>
            <w:tcBorders/>
            <w:vAlign w:val="bottom"/>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left"/>
              <w:rPr/>
            </w:pPr>
            <w:r>
              <w:rPr/>
            </w:r>
          </w:p>
        </w:tc>
        <w:tc>
          <w:tcPr>
            <w:tcW w:w="108" w:type="dxa"/>
            <w:tcBorders/>
            <w:vAlign w:val="center"/>
          </w:tcPr>
          <w:p>
            <w:pPr>
              <w:pStyle w:val="TableContents"/>
              <w:bidi w:val="0"/>
              <w:spacing w:before="0" w:after="283"/>
              <w:jc w:val="left"/>
              <w:rPr/>
            </w:pPr>
            <w:r>
              <w:rPr/>
            </w:r>
          </w:p>
        </w:tc>
        <w:tc>
          <w:tcPr>
            <w:tcW w:w="26"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r>
          </w:p>
        </w:tc>
      </w:tr>
      <w:tr>
        <w:trPr/>
        <w:tc>
          <w:tcPr>
            <w:tcW w:w="467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Operating loss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55"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(919</w:t>
            </w:r>
          </w:p>
        </w:tc>
        <w:tc>
          <w:tcPr>
            <w:tcW w:w="125" w:type="dxa"/>
            <w:tcBorders/>
            <w:shd w:fill="CCEEFF" w:val="clear"/>
            <w:vAlign w:val="bottom"/>
          </w:tcPr>
          <w:p>
            <w:pPr>
              <w:pStyle w:val="TableContents"/>
              <w:bidi w:val="0"/>
              <w:spacing w:before="0" w:after="283"/>
              <w:jc w:val="left"/>
              <w:rPr/>
            </w:pPr>
            <w:r>
              <w:rPr/>
              <w:t>)</w:t>
            </w:r>
          </w:p>
        </w:tc>
        <w:tc>
          <w:tcPr>
            <w:tcW w:w="121"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12"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(1,192</w:t>
            </w:r>
          </w:p>
        </w:tc>
        <w:tc>
          <w:tcPr>
            <w:tcW w:w="117" w:type="dxa"/>
            <w:tcBorders/>
            <w:shd w:fill="CCEEFF" w:val="clear"/>
            <w:vAlign w:val="bottom"/>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right"/>
              <w:rPr/>
            </w:pPr>
            <w:r>
              <w:rPr/>
              <w:t>(1,769</w:t>
            </w:r>
          </w:p>
        </w:tc>
        <w:tc>
          <w:tcPr>
            <w:tcW w:w="108"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right"/>
              <w:rPr/>
            </w:pPr>
            <w:r>
              <w:rPr/>
              <w:t>(2,018</w:t>
            </w:r>
          </w:p>
        </w:tc>
        <w:tc>
          <w:tcPr>
            <w:tcW w:w="120" w:type="dxa"/>
            <w:tcBorders/>
            <w:shd w:fill="CCEEFF" w:val="clear"/>
            <w:vAlign w:val="center"/>
          </w:tcPr>
          <w:p>
            <w:pPr>
              <w:pStyle w:val="TableContents"/>
              <w:bidi w:val="0"/>
              <w:spacing w:before="0" w:after="283"/>
              <w:jc w:val="left"/>
              <w:rPr/>
            </w:pPr>
            <w:r>
              <w:rPr/>
              <w:t>)</w:t>
            </w:r>
          </w:p>
        </w:tc>
      </w:tr>
      <w:tr>
        <w:trPr/>
        <w:tc>
          <w:tcPr>
            <w:tcW w:w="4679" w:type="dxa"/>
            <w:tcBorders/>
            <w:vAlign w:val="bottom"/>
          </w:tcPr>
          <w:p>
            <w:pPr>
              <w:pStyle w:val="TableContents"/>
              <w:bidi w:val="0"/>
              <w:spacing w:before="0" w:after="0"/>
              <w:ind w:left="0" w:right="0" w:hanging="0"/>
              <w:jc w:val="left"/>
              <w:rPr/>
            </w:pPr>
            <w:r>
              <w:rPr/>
              <w:t xml:space="preserve">  </w:t>
            </w:r>
          </w:p>
        </w:tc>
        <w:tc>
          <w:tcPr>
            <w:tcW w:w="113"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55" w:type="dxa"/>
            <w:tcBorders/>
            <w:vAlign w:val="bottom"/>
          </w:tcPr>
          <w:p>
            <w:pPr>
              <w:pStyle w:val="TableContents"/>
              <w:bidi w:val="0"/>
              <w:spacing w:before="0" w:after="0"/>
              <w:ind w:left="0" w:right="0" w:hanging="0"/>
              <w:jc w:val="left"/>
              <w:rPr/>
            </w:pPr>
            <w:r>
              <w:rPr/>
              <w:t xml:space="preserve">  </w:t>
            </w:r>
          </w:p>
        </w:tc>
        <w:tc>
          <w:tcPr>
            <w:tcW w:w="125" w:type="dxa"/>
            <w:tcBorders/>
            <w:vAlign w:val="bottom"/>
          </w:tcPr>
          <w:p>
            <w:pPr>
              <w:pStyle w:val="TableContents"/>
              <w:bidi w:val="0"/>
              <w:spacing w:before="0" w:after="0"/>
              <w:ind w:left="0" w:right="0" w:hanging="0"/>
              <w:jc w:val="left"/>
              <w:rPr/>
            </w:pPr>
            <w:r>
              <w:rPr/>
              <w:t xml:space="preserve">  </w:t>
            </w:r>
          </w:p>
        </w:tc>
        <w:tc>
          <w:tcPr>
            <w:tcW w:w="121"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12" w:type="dxa"/>
            <w:tcBorders/>
            <w:vAlign w:val="bottom"/>
          </w:tcPr>
          <w:p>
            <w:pPr>
              <w:pStyle w:val="TableContents"/>
              <w:bidi w:val="0"/>
              <w:spacing w:before="0" w:after="0"/>
              <w:ind w:left="0" w:right="0" w:hanging="0"/>
              <w:jc w:val="left"/>
              <w:rPr/>
            </w:pPr>
            <w:r>
              <w:rPr/>
              <w:t xml:space="preserve">  </w:t>
            </w:r>
          </w:p>
        </w:tc>
        <w:tc>
          <w:tcPr>
            <w:tcW w:w="117" w:type="dxa"/>
            <w:tcBorders/>
            <w:vAlign w:val="bottom"/>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left"/>
              <w:rPr/>
            </w:pPr>
            <w:r>
              <w:rPr/>
            </w:r>
          </w:p>
        </w:tc>
        <w:tc>
          <w:tcPr>
            <w:tcW w:w="108" w:type="dxa"/>
            <w:tcBorders/>
            <w:vAlign w:val="center"/>
          </w:tcPr>
          <w:p>
            <w:pPr>
              <w:pStyle w:val="TableContents"/>
              <w:bidi w:val="0"/>
              <w:spacing w:before="0" w:after="283"/>
              <w:jc w:val="left"/>
              <w:rPr/>
            </w:pPr>
            <w:r>
              <w:rPr/>
            </w:r>
          </w:p>
        </w:tc>
        <w:tc>
          <w:tcPr>
            <w:tcW w:w="26"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r>
          </w:p>
        </w:tc>
      </w:tr>
      <w:tr>
        <w:trPr/>
        <w:tc>
          <w:tcPr>
            <w:tcW w:w="4679" w:type="dxa"/>
            <w:tcBorders/>
            <w:shd w:fill="CCEEFF" w:val="clear"/>
            <w:vAlign w:val="bottom"/>
          </w:tcPr>
          <w:p>
            <w:pPr>
              <w:pStyle w:val="TableContents"/>
              <w:bidi w:val="0"/>
              <w:spacing w:before="0" w:after="283"/>
              <w:jc w:val="left"/>
              <w:rPr/>
            </w:pPr>
            <w:r>
              <w:rPr/>
              <w:t>Interest (expense)</w:t>
            </w:r>
          </w:p>
        </w:tc>
        <w:tc>
          <w:tcPr>
            <w:tcW w:w="113" w:type="dxa"/>
            <w:tcBorders/>
            <w:shd w:fill="CCEEFF" w:val="clear"/>
            <w:vAlign w:val="bottom"/>
          </w:tcPr>
          <w:p>
            <w:pPr>
              <w:pStyle w:val="TableContents"/>
              <w:bidi w:val="0"/>
              <w:spacing w:before="0" w:after="283"/>
              <w:jc w:val="left"/>
              <w:rPr/>
            </w:pPr>
            <w:r>
              <w:rPr/>
            </w:r>
          </w:p>
        </w:tc>
        <w:tc>
          <w:tcPr>
            <w:tcW w:w="179" w:type="dxa"/>
            <w:tcBorders/>
            <w:shd w:fill="CCEEFF" w:val="clear"/>
            <w:vAlign w:val="bottom"/>
          </w:tcPr>
          <w:p>
            <w:pPr>
              <w:pStyle w:val="TableContents"/>
              <w:bidi w:val="0"/>
              <w:spacing w:before="0" w:after="283"/>
              <w:jc w:val="left"/>
              <w:rPr/>
            </w:pPr>
            <w:r>
              <w:rPr/>
            </w:r>
          </w:p>
        </w:tc>
        <w:tc>
          <w:tcPr>
            <w:tcW w:w="955" w:type="dxa"/>
            <w:tcBorders/>
            <w:shd w:fill="CCEEFF" w:val="clear"/>
            <w:vAlign w:val="bottom"/>
          </w:tcPr>
          <w:p>
            <w:pPr>
              <w:pStyle w:val="TableContents"/>
              <w:bidi w:val="0"/>
              <w:spacing w:before="0" w:after="283"/>
              <w:jc w:val="right"/>
              <w:rPr/>
            </w:pPr>
            <w:r>
              <w:rPr/>
              <w:t>—</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r>
          </w:p>
        </w:tc>
        <w:tc>
          <w:tcPr>
            <w:tcW w:w="179" w:type="dxa"/>
            <w:tcBorders/>
            <w:shd w:fill="CCEEFF" w:val="clear"/>
            <w:vAlign w:val="bottom"/>
          </w:tcPr>
          <w:p>
            <w:pPr>
              <w:pStyle w:val="TableContents"/>
              <w:bidi w:val="0"/>
              <w:spacing w:before="0" w:after="283"/>
              <w:jc w:val="left"/>
              <w:rPr/>
            </w:pPr>
            <w:r>
              <w:rPr/>
            </w:r>
          </w:p>
        </w:tc>
        <w:tc>
          <w:tcPr>
            <w:tcW w:w="912" w:type="dxa"/>
            <w:tcBorders/>
            <w:shd w:fill="CCEEFF" w:val="clear"/>
            <w:vAlign w:val="bottom"/>
          </w:tcPr>
          <w:p>
            <w:pPr>
              <w:pStyle w:val="TableContents"/>
              <w:bidi w:val="0"/>
              <w:spacing w:before="0" w:after="283"/>
              <w:jc w:val="right"/>
              <w:rPr/>
            </w:pPr>
            <w:r>
              <w:rPr/>
              <w:t>(8</w:t>
            </w:r>
          </w:p>
        </w:tc>
        <w:tc>
          <w:tcPr>
            <w:tcW w:w="117" w:type="dxa"/>
            <w:tcBorders/>
            <w:shd w:fill="CCEEFF" w:val="clear"/>
            <w:vAlign w:val="bottom"/>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r>
          </w:p>
        </w:tc>
        <w:tc>
          <w:tcPr>
            <w:tcW w:w="26"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right"/>
              <w:rPr/>
            </w:pPr>
            <w:r>
              <w:rPr/>
              <w:t>(8</w:t>
            </w:r>
          </w:p>
        </w:tc>
        <w:tc>
          <w:tcPr>
            <w:tcW w:w="120" w:type="dxa"/>
            <w:tcBorders/>
            <w:shd w:fill="CCEEFF" w:val="clear"/>
            <w:vAlign w:val="center"/>
          </w:tcPr>
          <w:p>
            <w:pPr>
              <w:pStyle w:val="TableContents"/>
              <w:bidi w:val="0"/>
              <w:spacing w:before="0" w:after="283"/>
              <w:jc w:val="left"/>
              <w:rPr/>
            </w:pPr>
            <w:r>
              <w:rPr/>
              <w:t>)</w:t>
            </w:r>
          </w:p>
        </w:tc>
      </w:tr>
      <w:tr>
        <w:trPr/>
        <w:tc>
          <w:tcPr>
            <w:tcW w:w="467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Other income, net </w:t>
            </w:r>
          </w:p>
        </w:tc>
        <w:tc>
          <w:tcPr>
            <w:tcW w:w="113"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55" w:type="dxa"/>
            <w:tcBorders/>
            <w:vAlign w:val="bottom"/>
          </w:tcPr>
          <w:p>
            <w:pPr>
              <w:pStyle w:val="TableContents"/>
              <w:bidi w:val="0"/>
              <w:spacing w:before="0" w:after="0"/>
              <w:ind w:left="0" w:right="0" w:hanging="0"/>
              <w:jc w:val="right"/>
              <w:rPr/>
            </w:pPr>
            <w:r>
              <w:rPr/>
              <w:t>—</w:t>
            </w:r>
          </w:p>
        </w:tc>
        <w:tc>
          <w:tcPr>
            <w:tcW w:w="12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1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117"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right"/>
              <w:rPr/>
            </w:pPr>
            <w:r>
              <w:rPr/>
              <w:t>—</w:t>
            </w:r>
          </w:p>
        </w:tc>
        <w:tc>
          <w:tcPr>
            <w:tcW w:w="108" w:type="dxa"/>
            <w:tcBorders/>
            <w:vAlign w:val="center"/>
          </w:tcPr>
          <w:p>
            <w:pPr>
              <w:pStyle w:val="TableContents"/>
              <w:bidi w:val="0"/>
              <w:spacing w:before="0" w:after="283"/>
              <w:jc w:val="left"/>
              <w:rPr/>
            </w:pPr>
            <w:r>
              <w:rPr/>
            </w:r>
          </w:p>
        </w:tc>
        <w:tc>
          <w:tcPr>
            <w:tcW w:w="26"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right"/>
              <w:rPr/>
            </w:pPr>
            <w:r>
              <w:rPr/>
              <w:t>15</w:t>
            </w:r>
          </w:p>
        </w:tc>
        <w:tc>
          <w:tcPr>
            <w:tcW w:w="120" w:type="dxa"/>
            <w:tcBorders/>
            <w:vAlign w:val="center"/>
          </w:tcPr>
          <w:p>
            <w:pPr>
              <w:pStyle w:val="TableContents"/>
              <w:bidi w:val="0"/>
              <w:spacing w:before="0" w:after="283"/>
              <w:jc w:val="left"/>
              <w:rPr/>
            </w:pPr>
            <w:r>
              <w:rPr/>
            </w:r>
          </w:p>
        </w:tc>
      </w:tr>
      <w:tr>
        <w:trPr/>
        <w:tc>
          <w:tcPr>
            <w:tcW w:w="4679" w:type="dxa"/>
            <w:tcBorders/>
            <w:shd w:fill="CCEEFF" w:val="clear"/>
            <w:vAlign w:val="bottom"/>
          </w:tcPr>
          <w:p>
            <w:pPr>
              <w:pStyle w:val="TableContents"/>
              <w:bidi w:val="0"/>
              <w:spacing w:before="0" w:after="0"/>
              <w:ind w:left="0" w:right="0" w:hanging="0"/>
              <w:jc w:val="left"/>
              <w:rPr/>
            </w:pPr>
            <w:r>
              <w:rPr/>
              <w:t xml:space="preserve">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55" w:type="dxa"/>
            <w:tcBorders/>
            <w:shd w:fill="CCEEFF" w:val="clear"/>
            <w:vAlign w:val="bottom"/>
          </w:tcPr>
          <w:p>
            <w:pPr>
              <w:pStyle w:val="TableContents"/>
              <w:bidi w:val="0"/>
              <w:spacing w:before="0" w:after="0"/>
              <w:ind w:left="0" w:right="0" w:hanging="0"/>
              <w:jc w:val="left"/>
              <w:rPr/>
            </w:pPr>
            <w:r>
              <w:rPr/>
              <w:t xml:space="preserve">  </w:t>
            </w:r>
          </w:p>
        </w:tc>
        <w:tc>
          <w:tcPr>
            <w:tcW w:w="125" w:type="dxa"/>
            <w:tcBorders/>
            <w:shd w:fill="CCEEFF" w:val="clear"/>
            <w:vAlign w:val="bottom"/>
          </w:tcPr>
          <w:p>
            <w:pPr>
              <w:pStyle w:val="TableContents"/>
              <w:bidi w:val="0"/>
              <w:spacing w:before="0" w:after="0"/>
              <w:ind w:left="0" w:right="0" w:hanging="0"/>
              <w:jc w:val="left"/>
              <w:rPr/>
            </w:pPr>
            <w:r>
              <w:rPr/>
              <w:t xml:space="preserve">  </w:t>
            </w:r>
          </w:p>
        </w:tc>
        <w:tc>
          <w:tcPr>
            <w:tcW w:w="121"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12" w:type="dxa"/>
            <w:tcBorders/>
            <w:shd w:fill="CCEEFF" w:val="clear"/>
            <w:vAlign w:val="bottom"/>
          </w:tcPr>
          <w:p>
            <w:pPr>
              <w:pStyle w:val="TableContents"/>
              <w:bidi w:val="0"/>
              <w:spacing w:before="0" w:after="0"/>
              <w:ind w:left="0" w:right="0" w:hanging="0"/>
              <w:jc w:val="left"/>
              <w:rPr/>
            </w:pPr>
            <w:r>
              <w:rPr/>
              <w:t xml:space="preserve">  </w:t>
            </w:r>
          </w:p>
        </w:tc>
        <w:tc>
          <w:tcPr>
            <w:tcW w:w="117" w:type="dxa"/>
            <w:tcBorders/>
            <w:shd w:fill="CCEEFF" w:val="clear"/>
            <w:vAlign w:val="bottom"/>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left"/>
              <w:rPr/>
            </w:pPr>
            <w:r>
              <w:rPr/>
            </w:r>
          </w:p>
        </w:tc>
        <w:tc>
          <w:tcPr>
            <w:tcW w:w="108" w:type="dxa"/>
            <w:tcBorders/>
            <w:shd w:fill="CCEEFF" w:val="clear"/>
            <w:vAlign w:val="center"/>
          </w:tcPr>
          <w:p>
            <w:pPr>
              <w:pStyle w:val="TableContents"/>
              <w:bidi w:val="0"/>
              <w:spacing w:before="0" w:after="283"/>
              <w:jc w:val="left"/>
              <w:rPr/>
            </w:pPr>
            <w:r>
              <w:rPr/>
            </w:r>
          </w:p>
        </w:tc>
        <w:tc>
          <w:tcPr>
            <w:tcW w:w="26"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left"/>
              <w:rPr/>
            </w:pPr>
            <w:r>
              <w:rPr/>
            </w:r>
          </w:p>
        </w:tc>
        <w:tc>
          <w:tcPr>
            <w:tcW w:w="120" w:type="dxa"/>
            <w:tcBorders/>
            <w:shd w:fill="CCEEFF" w:val="clear"/>
            <w:vAlign w:val="center"/>
          </w:tcPr>
          <w:p>
            <w:pPr>
              <w:pStyle w:val="TableContents"/>
              <w:bidi w:val="0"/>
              <w:spacing w:before="0" w:after="283"/>
              <w:jc w:val="left"/>
              <w:rPr/>
            </w:pPr>
            <w:r>
              <w:rPr/>
            </w:r>
          </w:p>
        </w:tc>
      </w:tr>
      <w:tr>
        <w:trPr/>
        <w:tc>
          <w:tcPr>
            <w:tcW w:w="467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Loss from continuing operations before income taxes </w:t>
            </w:r>
          </w:p>
        </w:tc>
        <w:tc>
          <w:tcPr>
            <w:tcW w:w="113"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5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(919</w:t>
            </w:r>
          </w:p>
        </w:tc>
        <w:tc>
          <w:tcPr>
            <w:tcW w:w="125" w:type="dxa"/>
            <w:tcBorders/>
            <w:vAlign w:val="bottom"/>
          </w:tcPr>
          <w:p>
            <w:pPr>
              <w:pStyle w:val="TableContents"/>
              <w:bidi w:val="0"/>
              <w:spacing w:before="0" w:after="283"/>
              <w:jc w:val="left"/>
              <w:rPr/>
            </w:pPr>
            <w:r>
              <w:rPr/>
              <w:t>)</w:t>
            </w:r>
          </w:p>
        </w:tc>
        <w:tc>
          <w:tcPr>
            <w:tcW w:w="121"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1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(1,197</w:t>
            </w:r>
          </w:p>
        </w:tc>
        <w:tc>
          <w:tcPr>
            <w:tcW w:w="117" w:type="dxa"/>
            <w:tcBorders/>
            <w:vAlign w:val="bottom"/>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right"/>
              <w:rPr/>
            </w:pPr>
            <w:r>
              <w:rPr/>
              <w:t>(1,769</w:t>
            </w:r>
          </w:p>
        </w:tc>
        <w:tc>
          <w:tcPr>
            <w:tcW w:w="108"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right"/>
              <w:rPr/>
            </w:pPr>
            <w:r>
              <w:rPr/>
              <w:t>(2,011</w:t>
            </w:r>
          </w:p>
        </w:tc>
        <w:tc>
          <w:tcPr>
            <w:tcW w:w="120" w:type="dxa"/>
            <w:tcBorders/>
            <w:vAlign w:val="center"/>
          </w:tcPr>
          <w:p>
            <w:pPr>
              <w:pStyle w:val="TableContents"/>
              <w:bidi w:val="0"/>
              <w:spacing w:before="0" w:after="283"/>
              <w:jc w:val="left"/>
              <w:rPr/>
            </w:pPr>
            <w:r>
              <w:rPr/>
              <w:t>)</w:t>
            </w:r>
          </w:p>
        </w:tc>
      </w:tr>
      <w:tr>
        <w:trPr/>
        <w:tc>
          <w:tcPr>
            <w:tcW w:w="4679" w:type="dxa"/>
            <w:tcBorders/>
            <w:shd w:fill="CCEEFF" w:val="clear"/>
            <w:vAlign w:val="bottom"/>
          </w:tcPr>
          <w:p>
            <w:pPr>
              <w:pStyle w:val="TableContents"/>
              <w:bidi w:val="0"/>
              <w:spacing w:before="0" w:after="0"/>
              <w:ind w:left="0" w:right="0" w:hanging="0"/>
              <w:jc w:val="left"/>
              <w:rPr/>
            </w:pPr>
            <w:r>
              <w:rPr/>
              <w:t xml:space="preserve">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55" w:type="dxa"/>
            <w:tcBorders/>
            <w:shd w:fill="CCEEFF" w:val="clear"/>
            <w:vAlign w:val="bottom"/>
          </w:tcPr>
          <w:p>
            <w:pPr>
              <w:pStyle w:val="TableContents"/>
              <w:bidi w:val="0"/>
              <w:spacing w:before="0" w:after="0"/>
              <w:ind w:left="0" w:right="0" w:hanging="0"/>
              <w:jc w:val="left"/>
              <w:rPr/>
            </w:pPr>
            <w:r>
              <w:rPr/>
              <w:t xml:space="preserve">  </w:t>
            </w:r>
          </w:p>
        </w:tc>
        <w:tc>
          <w:tcPr>
            <w:tcW w:w="125" w:type="dxa"/>
            <w:tcBorders/>
            <w:shd w:fill="CCEEFF" w:val="clear"/>
            <w:vAlign w:val="bottom"/>
          </w:tcPr>
          <w:p>
            <w:pPr>
              <w:pStyle w:val="TableContents"/>
              <w:bidi w:val="0"/>
              <w:spacing w:before="0" w:after="0"/>
              <w:ind w:left="0" w:right="0" w:hanging="0"/>
              <w:jc w:val="left"/>
              <w:rPr/>
            </w:pPr>
            <w:r>
              <w:rPr/>
              <w:t xml:space="preserve">  </w:t>
            </w:r>
          </w:p>
        </w:tc>
        <w:tc>
          <w:tcPr>
            <w:tcW w:w="121"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12" w:type="dxa"/>
            <w:tcBorders/>
            <w:shd w:fill="CCEEFF" w:val="clear"/>
            <w:vAlign w:val="bottom"/>
          </w:tcPr>
          <w:p>
            <w:pPr>
              <w:pStyle w:val="TableContents"/>
              <w:bidi w:val="0"/>
              <w:spacing w:before="0" w:after="0"/>
              <w:ind w:left="0" w:right="0" w:hanging="0"/>
              <w:jc w:val="left"/>
              <w:rPr/>
            </w:pPr>
            <w:r>
              <w:rPr/>
              <w:t xml:space="preserve">  </w:t>
            </w:r>
          </w:p>
        </w:tc>
        <w:tc>
          <w:tcPr>
            <w:tcW w:w="117" w:type="dxa"/>
            <w:tcBorders/>
            <w:shd w:fill="CCEEFF" w:val="clear"/>
            <w:vAlign w:val="bottom"/>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left"/>
              <w:rPr/>
            </w:pPr>
            <w:r>
              <w:rPr/>
            </w:r>
          </w:p>
        </w:tc>
        <w:tc>
          <w:tcPr>
            <w:tcW w:w="108" w:type="dxa"/>
            <w:tcBorders/>
            <w:shd w:fill="CCEEFF" w:val="clear"/>
            <w:vAlign w:val="center"/>
          </w:tcPr>
          <w:p>
            <w:pPr>
              <w:pStyle w:val="TableContents"/>
              <w:bidi w:val="0"/>
              <w:spacing w:before="0" w:after="283"/>
              <w:jc w:val="left"/>
              <w:rPr/>
            </w:pPr>
            <w:r>
              <w:rPr/>
            </w:r>
          </w:p>
        </w:tc>
        <w:tc>
          <w:tcPr>
            <w:tcW w:w="26"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left"/>
              <w:rPr/>
            </w:pPr>
            <w:r>
              <w:rPr/>
            </w:r>
          </w:p>
        </w:tc>
        <w:tc>
          <w:tcPr>
            <w:tcW w:w="120" w:type="dxa"/>
            <w:tcBorders/>
            <w:shd w:fill="CCEEFF" w:val="clear"/>
            <w:vAlign w:val="center"/>
          </w:tcPr>
          <w:p>
            <w:pPr>
              <w:pStyle w:val="TableContents"/>
              <w:bidi w:val="0"/>
              <w:spacing w:before="0" w:after="283"/>
              <w:jc w:val="left"/>
              <w:rPr/>
            </w:pPr>
            <w:r>
              <w:rPr/>
            </w:r>
          </w:p>
        </w:tc>
      </w:tr>
      <w:tr>
        <w:trPr/>
        <w:tc>
          <w:tcPr>
            <w:tcW w:w="467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Provision for income taxes </w:t>
            </w:r>
          </w:p>
        </w:tc>
        <w:tc>
          <w:tcPr>
            <w:tcW w:w="113"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55" w:type="dxa"/>
            <w:tcBorders/>
            <w:vAlign w:val="bottom"/>
          </w:tcPr>
          <w:p>
            <w:pPr>
              <w:pStyle w:val="TableContents"/>
              <w:bidi w:val="0"/>
              <w:spacing w:before="0" w:after="0"/>
              <w:ind w:left="0" w:right="0" w:hanging="0"/>
              <w:jc w:val="right"/>
              <w:rPr/>
            </w:pPr>
            <w:r>
              <w:rPr/>
              <w:t>—</w:t>
            </w:r>
          </w:p>
        </w:tc>
        <w:tc>
          <w:tcPr>
            <w:tcW w:w="12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1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117"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right"/>
              <w:rPr/>
            </w:pPr>
            <w:r>
              <w:rPr/>
              <w:t>—</w:t>
            </w:r>
          </w:p>
        </w:tc>
        <w:tc>
          <w:tcPr>
            <w:tcW w:w="108" w:type="dxa"/>
            <w:tcBorders/>
            <w:vAlign w:val="center"/>
          </w:tcPr>
          <w:p>
            <w:pPr>
              <w:pStyle w:val="TableContents"/>
              <w:bidi w:val="0"/>
              <w:spacing w:before="0" w:after="283"/>
              <w:jc w:val="left"/>
              <w:rPr/>
            </w:pPr>
            <w:r>
              <w:rPr/>
            </w:r>
          </w:p>
        </w:tc>
        <w:tc>
          <w:tcPr>
            <w:tcW w:w="26"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right"/>
              <w:rPr/>
            </w:pPr>
            <w:r>
              <w:rPr/>
              <w:t>8</w:t>
            </w:r>
          </w:p>
        </w:tc>
        <w:tc>
          <w:tcPr>
            <w:tcW w:w="120" w:type="dxa"/>
            <w:tcBorders/>
            <w:vAlign w:val="center"/>
          </w:tcPr>
          <w:p>
            <w:pPr>
              <w:pStyle w:val="TableContents"/>
              <w:bidi w:val="0"/>
              <w:spacing w:before="0" w:after="283"/>
              <w:jc w:val="left"/>
              <w:rPr/>
            </w:pPr>
            <w:r>
              <w:rPr/>
            </w:r>
          </w:p>
        </w:tc>
      </w:tr>
      <w:tr>
        <w:trPr/>
        <w:tc>
          <w:tcPr>
            <w:tcW w:w="4679" w:type="dxa"/>
            <w:tcBorders/>
            <w:shd w:fill="CCEEFF" w:val="clear"/>
            <w:vAlign w:val="bottom"/>
          </w:tcPr>
          <w:p>
            <w:pPr>
              <w:pStyle w:val="TableContents"/>
              <w:bidi w:val="0"/>
              <w:spacing w:before="0" w:after="0"/>
              <w:ind w:left="0" w:right="0" w:hanging="0"/>
              <w:jc w:val="left"/>
              <w:rPr/>
            </w:pPr>
            <w:r>
              <w:rPr/>
              <w:t xml:space="preserve">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55" w:type="dxa"/>
            <w:tcBorders/>
            <w:shd w:fill="CCEEFF" w:val="clear"/>
            <w:vAlign w:val="bottom"/>
          </w:tcPr>
          <w:p>
            <w:pPr>
              <w:pStyle w:val="TableContents"/>
              <w:bidi w:val="0"/>
              <w:spacing w:before="0" w:after="0"/>
              <w:ind w:left="0" w:right="0" w:hanging="0"/>
              <w:jc w:val="left"/>
              <w:rPr/>
            </w:pPr>
            <w:r>
              <w:rPr/>
              <w:t xml:space="preserve">  </w:t>
            </w:r>
          </w:p>
        </w:tc>
        <w:tc>
          <w:tcPr>
            <w:tcW w:w="125" w:type="dxa"/>
            <w:tcBorders/>
            <w:shd w:fill="CCEEFF" w:val="clear"/>
            <w:vAlign w:val="bottom"/>
          </w:tcPr>
          <w:p>
            <w:pPr>
              <w:pStyle w:val="TableContents"/>
              <w:bidi w:val="0"/>
              <w:spacing w:before="0" w:after="0"/>
              <w:ind w:left="0" w:right="0" w:hanging="0"/>
              <w:jc w:val="left"/>
              <w:rPr/>
            </w:pPr>
            <w:r>
              <w:rPr/>
              <w:t xml:space="preserve">  </w:t>
            </w:r>
          </w:p>
        </w:tc>
        <w:tc>
          <w:tcPr>
            <w:tcW w:w="121"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12" w:type="dxa"/>
            <w:tcBorders/>
            <w:shd w:fill="CCEEFF" w:val="clear"/>
            <w:vAlign w:val="bottom"/>
          </w:tcPr>
          <w:p>
            <w:pPr>
              <w:pStyle w:val="TableContents"/>
              <w:bidi w:val="0"/>
              <w:spacing w:before="0" w:after="0"/>
              <w:ind w:left="0" w:right="0" w:hanging="0"/>
              <w:jc w:val="left"/>
              <w:rPr/>
            </w:pPr>
            <w:r>
              <w:rPr/>
              <w:t xml:space="preserve">  </w:t>
            </w:r>
          </w:p>
        </w:tc>
        <w:tc>
          <w:tcPr>
            <w:tcW w:w="117" w:type="dxa"/>
            <w:tcBorders/>
            <w:shd w:fill="CCEEFF" w:val="clear"/>
            <w:vAlign w:val="bottom"/>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left"/>
              <w:rPr/>
            </w:pPr>
            <w:r>
              <w:rPr/>
            </w:r>
          </w:p>
        </w:tc>
        <w:tc>
          <w:tcPr>
            <w:tcW w:w="108" w:type="dxa"/>
            <w:tcBorders/>
            <w:shd w:fill="CCEEFF" w:val="clear"/>
            <w:vAlign w:val="center"/>
          </w:tcPr>
          <w:p>
            <w:pPr>
              <w:pStyle w:val="TableContents"/>
              <w:bidi w:val="0"/>
              <w:spacing w:before="0" w:after="283"/>
              <w:jc w:val="left"/>
              <w:rPr/>
            </w:pPr>
            <w:r>
              <w:rPr/>
            </w:r>
          </w:p>
        </w:tc>
        <w:tc>
          <w:tcPr>
            <w:tcW w:w="26"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left"/>
              <w:rPr/>
            </w:pPr>
            <w:r>
              <w:rPr/>
            </w:r>
          </w:p>
        </w:tc>
        <w:tc>
          <w:tcPr>
            <w:tcW w:w="120" w:type="dxa"/>
            <w:tcBorders/>
            <w:shd w:fill="CCEEFF" w:val="clear"/>
            <w:vAlign w:val="center"/>
          </w:tcPr>
          <w:p>
            <w:pPr>
              <w:pStyle w:val="TableContents"/>
              <w:bidi w:val="0"/>
              <w:spacing w:before="0" w:after="283"/>
              <w:ind w:left="0" w:right="0" w:hanging="0"/>
              <w:jc w:val="left"/>
              <w:rPr/>
            </w:pPr>
            <w:r>
              <w:rPr/>
            </w:r>
          </w:p>
        </w:tc>
      </w:tr>
      <w:tr>
        <w:trPr/>
        <w:tc>
          <w:tcPr>
            <w:tcW w:w="4679" w:type="dxa"/>
            <w:tcBorders/>
            <w:vAlign w:val="bottom"/>
          </w:tcPr>
          <w:p>
            <w:pPr>
              <w:pStyle w:val="TableContents"/>
              <w:bidi w:val="0"/>
              <w:spacing w:before="0" w:after="0"/>
              <w:ind w:left="0" w:right="0" w:hanging="0"/>
              <w:jc w:val="left"/>
              <w:rPr/>
            </w:pPr>
            <w:r>
              <w:rPr/>
              <w:t>Loss from continuing operations</w:t>
            </w:r>
          </w:p>
        </w:tc>
        <w:tc>
          <w:tcPr>
            <w:tcW w:w="113" w:type="dxa"/>
            <w:tcBorders/>
            <w:vAlign w:val="bottom"/>
          </w:tcPr>
          <w:p>
            <w:pPr>
              <w:pStyle w:val="TableContents"/>
              <w:bidi w:val="0"/>
              <w:spacing w:before="0" w:after="283"/>
              <w:ind w:left="0" w:right="0" w:hanging="0"/>
              <w:jc w:val="left"/>
              <w:rPr/>
            </w:pPr>
            <w:r>
              <w:rPr/>
            </w:r>
          </w:p>
        </w:tc>
        <w:tc>
          <w:tcPr>
            <w:tcW w:w="179" w:type="dxa"/>
            <w:tcBorders/>
            <w:vAlign w:val="bottom"/>
          </w:tcPr>
          <w:p>
            <w:pPr>
              <w:pStyle w:val="TableContents"/>
              <w:bidi w:val="0"/>
              <w:spacing w:before="0" w:after="283"/>
              <w:ind w:left="0" w:right="0" w:hanging="0"/>
              <w:jc w:val="left"/>
              <w:rPr/>
            </w:pPr>
            <w:r>
              <w:rPr/>
            </w:r>
          </w:p>
        </w:tc>
        <w:tc>
          <w:tcPr>
            <w:tcW w:w="955" w:type="dxa"/>
            <w:tcBorders/>
            <w:vAlign w:val="bottom"/>
          </w:tcPr>
          <w:p>
            <w:pPr>
              <w:pStyle w:val="TableContents"/>
              <w:bidi w:val="0"/>
              <w:spacing w:before="0" w:after="0"/>
              <w:ind w:left="0" w:right="0" w:hanging="0"/>
              <w:jc w:val="right"/>
              <w:rPr/>
            </w:pPr>
            <w:r>
              <w:rPr/>
              <w:t>(919</w:t>
            </w:r>
          </w:p>
        </w:tc>
        <w:tc>
          <w:tcPr>
            <w:tcW w:w="125" w:type="dxa"/>
            <w:tcBorders/>
            <w:vAlign w:val="bottom"/>
          </w:tcPr>
          <w:p>
            <w:pPr>
              <w:pStyle w:val="TableContents"/>
              <w:bidi w:val="0"/>
              <w:spacing w:before="0" w:after="0"/>
              <w:ind w:left="0" w:right="0" w:hanging="0"/>
              <w:jc w:val="left"/>
              <w:rPr/>
            </w:pPr>
            <w:r>
              <w:rPr/>
              <w:t>)</w:t>
            </w:r>
          </w:p>
        </w:tc>
        <w:tc>
          <w:tcPr>
            <w:tcW w:w="121" w:type="dxa"/>
            <w:tcBorders/>
            <w:vAlign w:val="bottom"/>
          </w:tcPr>
          <w:p>
            <w:pPr>
              <w:pStyle w:val="TableContents"/>
              <w:bidi w:val="0"/>
              <w:spacing w:before="0" w:after="283"/>
              <w:ind w:left="0" w:right="0" w:hanging="0"/>
              <w:jc w:val="left"/>
              <w:rPr/>
            </w:pPr>
            <w:r>
              <w:rPr/>
            </w:r>
          </w:p>
        </w:tc>
        <w:tc>
          <w:tcPr>
            <w:tcW w:w="179" w:type="dxa"/>
            <w:tcBorders/>
            <w:vAlign w:val="bottom"/>
          </w:tcPr>
          <w:p>
            <w:pPr>
              <w:pStyle w:val="TableContents"/>
              <w:bidi w:val="0"/>
              <w:spacing w:before="0" w:after="283"/>
              <w:ind w:left="0" w:right="0" w:hanging="0"/>
              <w:jc w:val="left"/>
              <w:rPr/>
            </w:pPr>
            <w:r>
              <w:rPr/>
            </w:r>
          </w:p>
        </w:tc>
        <w:tc>
          <w:tcPr>
            <w:tcW w:w="912" w:type="dxa"/>
            <w:tcBorders/>
            <w:vAlign w:val="bottom"/>
          </w:tcPr>
          <w:p>
            <w:pPr>
              <w:pStyle w:val="TableContents"/>
              <w:bidi w:val="0"/>
              <w:spacing w:before="0" w:after="0"/>
              <w:ind w:left="0" w:right="0" w:hanging="0"/>
              <w:jc w:val="right"/>
              <w:rPr/>
            </w:pPr>
            <w:r>
              <w:rPr/>
              <w:t>(1,205</w:t>
            </w:r>
          </w:p>
        </w:tc>
        <w:tc>
          <w:tcPr>
            <w:tcW w:w="117" w:type="dxa"/>
            <w:tcBorders/>
            <w:vAlign w:val="bottom"/>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bidi w:val="0"/>
              <w:spacing w:before="0" w:after="283"/>
              <w:ind w:left="0" w:right="0" w:hanging="0"/>
              <w:jc w:val="left"/>
              <w:rPr/>
            </w:pPr>
            <w:r>
              <w:rPr/>
            </w:r>
          </w:p>
        </w:tc>
        <w:tc>
          <w:tcPr>
            <w:tcW w:w="1131" w:type="dxa"/>
            <w:tcBorders/>
            <w:vAlign w:val="center"/>
          </w:tcPr>
          <w:p>
            <w:pPr>
              <w:pStyle w:val="TableContents"/>
              <w:bidi w:val="0"/>
              <w:spacing w:before="0" w:after="0"/>
              <w:ind w:left="0" w:right="0" w:hanging="0"/>
              <w:jc w:val="right"/>
              <w:rPr/>
            </w:pPr>
            <w:r>
              <w:rPr/>
              <w:t>(1,769</w:t>
            </w:r>
          </w:p>
        </w:tc>
        <w:tc>
          <w:tcPr>
            <w:tcW w:w="108" w:type="dxa"/>
            <w:tcBorders/>
            <w:vAlign w:val="center"/>
          </w:tcPr>
          <w:p>
            <w:pPr>
              <w:pStyle w:val="TableContents"/>
              <w:bidi w:val="0"/>
              <w:spacing w:before="0" w:after="0"/>
              <w:ind w:left="0" w:right="0" w:hanging="0"/>
              <w:jc w:val="left"/>
              <w:rPr/>
            </w:pPr>
            <w:r>
              <w:rPr/>
              <w:t>)</w:t>
            </w:r>
          </w:p>
        </w:tc>
        <w:tc>
          <w:tcPr>
            <w:tcW w:w="26"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bidi w:val="0"/>
              <w:spacing w:before="0" w:after="283"/>
              <w:ind w:left="0" w:right="0" w:hanging="0"/>
              <w:jc w:val="left"/>
              <w:rPr/>
            </w:pPr>
            <w:r>
              <w:rPr/>
            </w:r>
          </w:p>
        </w:tc>
        <w:tc>
          <w:tcPr>
            <w:tcW w:w="1131" w:type="dxa"/>
            <w:tcBorders/>
            <w:vAlign w:val="center"/>
          </w:tcPr>
          <w:p>
            <w:pPr>
              <w:pStyle w:val="TableContents"/>
              <w:bidi w:val="0"/>
              <w:spacing w:before="0" w:after="0"/>
              <w:ind w:left="0" w:right="0" w:hanging="0"/>
              <w:jc w:val="right"/>
              <w:rPr/>
            </w:pPr>
            <w:r>
              <w:rPr/>
              <w:t>(2,019</w:t>
            </w:r>
          </w:p>
        </w:tc>
        <w:tc>
          <w:tcPr>
            <w:tcW w:w="120" w:type="dxa"/>
            <w:tcBorders/>
            <w:vAlign w:val="center"/>
          </w:tcPr>
          <w:p>
            <w:pPr>
              <w:pStyle w:val="TableContents"/>
              <w:bidi w:val="0"/>
              <w:spacing w:before="0" w:after="0"/>
              <w:ind w:left="0" w:right="0" w:hanging="0"/>
              <w:jc w:val="left"/>
              <w:rPr/>
            </w:pPr>
            <w:r>
              <w:rPr/>
              <w:t>)</w:t>
            </w:r>
          </w:p>
        </w:tc>
      </w:tr>
      <w:tr>
        <w:trPr/>
        <w:tc>
          <w:tcPr>
            <w:tcW w:w="4679" w:type="dxa"/>
            <w:tcBorders/>
            <w:shd w:fill="CCEEFF" w:val="clear"/>
            <w:vAlign w:val="bottom"/>
          </w:tcPr>
          <w:p>
            <w:pPr>
              <w:pStyle w:val="TableContents"/>
              <w:bidi w:val="0"/>
              <w:spacing w:before="0" w:after="283"/>
              <w:ind w:left="0" w:right="0" w:hanging="0"/>
              <w:jc w:val="left"/>
              <w:rPr/>
            </w:pPr>
            <w:r>
              <w:rPr/>
            </w:r>
          </w:p>
        </w:tc>
        <w:tc>
          <w:tcPr>
            <w:tcW w:w="113" w:type="dxa"/>
            <w:tcBorders/>
            <w:shd w:fill="CCEEFF" w:val="clear"/>
            <w:vAlign w:val="bottom"/>
          </w:tcPr>
          <w:p>
            <w:pPr>
              <w:pStyle w:val="TableContents"/>
              <w:bidi w:val="0"/>
              <w:spacing w:before="0" w:after="283"/>
              <w:ind w:left="0" w:right="0" w:hanging="0"/>
              <w:jc w:val="left"/>
              <w:rPr/>
            </w:pPr>
            <w:r>
              <w:rPr/>
            </w:r>
          </w:p>
        </w:tc>
        <w:tc>
          <w:tcPr>
            <w:tcW w:w="179" w:type="dxa"/>
            <w:tcBorders/>
            <w:shd w:fill="CCEEFF" w:val="clear"/>
            <w:vAlign w:val="bottom"/>
          </w:tcPr>
          <w:p>
            <w:pPr>
              <w:pStyle w:val="TableContents"/>
              <w:bidi w:val="0"/>
              <w:spacing w:before="0" w:after="283"/>
              <w:ind w:left="0" w:right="0" w:hanging="0"/>
              <w:jc w:val="left"/>
              <w:rPr/>
            </w:pPr>
            <w:r>
              <w:rPr/>
            </w:r>
          </w:p>
        </w:tc>
        <w:tc>
          <w:tcPr>
            <w:tcW w:w="955" w:type="dxa"/>
            <w:tcBorders/>
            <w:shd w:fill="CCEEFF" w:val="clear"/>
            <w:vAlign w:val="bottom"/>
          </w:tcPr>
          <w:p>
            <w:pPr>
              <w:pStyle w:val="TableContents"/>
              <w:bidi w:val="0"/>
              <w:spacing w:before="0" w:after="283"/>
              <w:ind w:left="0" w:right="0" w:hanging="0"/>
              <w:jc w:val="left"/>
              <w:rPr/>
            </w:pPr>
            <w:r>
              <w:rPr/>
            </w:r>
          </w:p>
        </w:tc>
        <w:tc>
          <w:tcPr>
            <w:tcW w:w="125" w:type="dxa"/>
            <w:tcBorders/>
            <w:shd w:fill="CCEEFF" w:val="clear"/>
            <w:vAlign w:val="bottom"/>
          </w:tcPr>
          <w:p>
            <w:pPr>
              <w:pStyle w:val="TableContents"/>
              <w:bidi w:val="0"/>
              <w:spacing w:before="0" w:after="283"/>
              <w:ind w:left="0" w:right="0" w:hanging="0"/>
              <w:jc w:val="left"/>
              <w:rPr/>
            </w:pPr>
            <w:r>
              <w:rPr/>
            </w:r>
          </w:p>
        </w:tc>
        <w:tc>
          <w:tcPr>
            <w:tcW w:w="121" w:type="dxa"/>
            <w:tcBorders/>
            <w:shd w:fill="CCEEFF" w:val="clear"/>
            <w:vAlign w:val="bottom"/>
          </w:tcPr>
          <w:p>
            <w:pPr>
              <w:pStyle w:val="TableContents"/>
              <w:bidi w:val="0"/>
              <w:spacing w:before="0" w:after="283"/>
              <w:ind w:left="0" w:right="0" w:hanging="0"/>
              <w:jc w:val="left"/>
              <w:rPr/>
            </w:pPr>
            <w:r>
              <w:rPr/>
            </w:r>
          </w:p>
        </w:tc>
        <w:tc>
          <w:tcPr>
            <w:tcW w:w="179" w:type="dxa"/>
            <w:tcBorders/>
            <w:shd w:fill="CCEEFF" w:val="clear"/>
            <w:vAlign w:val="bottom"/>
          </w:tcPr>
          <w:p>
            <w:pPr>
              <w:pStyle w:val="TableContents"/>
              <w:bidi w:val="0"/>
              <w:spacing w:before="0" w:after="283"/>
              <w:ind w:left="0" w:right="0" w:hanging="0"/>
              <w:jc w:val="left"/>
              <w:rPr/>
            </w:pPr>
            <w:r>
              <w:rPr/>
            </w:r>
          </w:p>
        </w:tc>
        <w:tc>
          <w:tcPr>
            <w:tcW w:w="912" w:type="dxa"/>
            <w:tcBorders/>
            <w:shd w:fill="CCEEFF" w:val="clear"/>
            <w:vAlign w:val="bottom"/>
          </w:tcPr>
          <w:p>
            <w:pPr>
              <w:pStyle w:val="TableContents"/>
              <w:bidi w:val="0"/>
              <w:spacing w:before="0" w:after="283"/>
              <w:ind w:left="0" w:right="0" w:hanging="0"/>
              <w:jc w:val="left"/>
              <w:rPr/>
            </w:pPr>
            <w:r>
              <w:rPr/>
            </w:r>
          </w:p>
        </w:tc>
        <w:tc>
          <w:tcPr>
            <w:tcW w:w="117" w:type="dxa"/>
            <w:tcBorders/>
            <w:shd w:fill="CCEEFF" w:val="clear"/>
            <w:vAlign w:val="bottom"/>
          </w:tcPr>
          <w:p>
            <w:pPr>
              <w:pStyle w:val="TableContents"/>
              <w:bidi w:val="0"/>
              <w:spacing w:before="0" w:after="283"/>
              <w:ind w:left="0" w:right="0" w:hanging="0"/>
              <w:jc w:val="left"/>
              <w:rPr/>
            </w:pPr>
            <w:r>
              <w:rPr/>
            </w:r>
          </w:p>
        </w:tc>
        <w:tc>
          <w:tcPr>
            <w:tcW w:w="23" w:type="dxa"/>
            <w:tcBorders/>
            <w:shd w:fill="CCEEFF" w:val="clear"/>
            <w:vAlign w:val="center"/>
          </w:tcPr>
          <w:p>
            <w:pPr>
              <w:pStyle w:val="TableContents"/>
              <w:bidi w:val="0"/>
              <w:spacing w:before="0" w:after="283"/>
              <w:ind w:left="0" w:right="0" w:hanging="0"/>
              <w:jc w:val="left"/>
              <w:rPr/>
            </w:pPr>
            <w:r>
              <w:rPr/>
            </w:r>
          </w:p>
        </w:tc>
        <w:tc>
          <w:tcPr>
            <w:tcW w:w="143" w:type="dxa"/>
            <w:tcBorders/>
            <w:shd w:fill="CCEEFF" w:val="clear"/>
            <w:vAlign w:val="center"/>
          </w:tcPr>
          <w:p>
            <w:pPr>
              <w:pStyle w:val="TableContents"/>
              <w:bidi w:val="0"/>
              <w:spacing w:before="0" w:after="283"/>
              <w:ind w:left="0" w:right="0" w:hanging="0"/>
              <w:jc w:val="left"/>
              <w:rPr/>
            </w:pPr>
            <w:r>
              <w:rPr/>
            </w:r>
          </w:p>
        </w:tc>
        <w:tc>
          <w:tcPr>
            <w:tcW w:w="1131" w:type="dxa"/>
            <w:tcBorders/>
            <w:shd w:fill="CCEEFF" w:val="clear"/>
            <w:vAlign w:val="center"/>
          </w:tcPr>
          <w:p>
            <w:pPr>
              <w:pStyle w:val="TableContents"/>
              <w:bidi w:val="0"/>
              <w:spacing w:before="0" w:after="283"/>
              <w:ind w:left="0" w:right="0" w:hanging="0"/>
              <w:jc w:val="left"/>
              <w:rPr/>
            </w:pPr>
            <w:r>
              <w:rPr/>
            </w:r>
          </w:p>
        </w:tc>
        <w:tc>
          <w:tcPr>
            <w:tcW w:w="108" w:type="dxa"/>
            <w:tcBorders/>
            <w:shd w:fill="CCEEFF" w:val="clear"/>
            <w:vAlign w:val="center"/>
          </w:tcPr>
          <w:p>
            <w:pPr>
              <w:pStyle w:val="TableContents"/>
              <w:bidi w:val="0"/>
              <w:spacing w:before="0" w:after="283"/>
              <w:ind w:left="0" w:right="0" w:hanging="0"/>
              <w:jc w:val="left"/>
              <w:rPr/>
            </w:pPr>
            <w:r>
              <w:rPr/>
            </w:r>
          </w:p>
        </w:tc>
        <w:tc>
          <w:tcPr>
            <w:tcW w:w="26" w:type="dxa"/>
            <w:tcBorders/>
            <w:shd w:fill="CCEEFF" w:val="clear"/>
            <w:vAlign w:val="center"/>
          </w:tcPr>
          <w:p>
            <w:pPr>
              <w:pStyle w:val="TableContents"/>
              <w:bidi w:val="0"/>
              <w:spacing w:before="0" w:after="283"/>
              <w:ind w:left="0" w:right="0" w:hanging="0"/>
              <w:jc w:val="left"/>
              <w:rPr/>
            </w:pPr>
            <w:r>
              <w:rPr/>
            </w:r>
          </w:p>
        </w:tc>
        <w:tc>
          <w:tcPr>
            <w:tcW w:w="143" w:type="dxa"/>
            <w:tcBorders/>
            <w:shd w:fill="CCEEFF" w:val="clear"/>
            <w:vAlign w:val="center"/>
          </w:tcPr>
          <w:p>
            <w:pPr>
              <w:pStyle w:val="TableContents"/>
              <w:bidi w:val="0"/>
              <w:spacing w:before="0" w:after="283"/>
              <w:ind w:left="0" w:right="0" w:hanging="0"/>
              <w:jc w:val="left"/>
              <w:rPr/>
            </w:pPr>
            <w:r>
              <w:rPr/>
            </w:r>
          </w:p>
        </w:tc>
        <w:tc>
          <w:tcPr>
            <w:tcW w:w="1131" w:type="dxa"/>
            <w:tcBorders/>
            <w:shd w:fill="CCEEFF" w:val="clear"/>
            <w:vAlign w:val="center"/>
          </w:tcPr>
          <w:p>
            <w:pPr>
              <w:pStyle w:val="TableContents"/>
              <w:bidi w:val="0"/>
              <w:spacing w:before="0" w:after="283"/>
              <w:ind w:left="0" w:right="0" w:hanging="0"/>
              <w:jc w:val="left"/>
              <w:rPr/>
            </w:pPr>
            <w:r>
              <w:rPr/>
            </w:r>
          </w:p>
        </w:tc>
        <w:tc>
          <w:tcPr>
            <w:tcW w:w="120" w:type="dxa"/>
            <w:tcBorders/>
            <w:shd w:fill="CCEEFF" w:val="clear"/>
            <w:vAlign w:val="center"/>
          </w:tcPr>
          <w:p>
            <w:pPr>
              <w:pStyle w:val="TableContents"/>
              <w:bidi w:val="0"/>
              <w:spacing w:before="0" w:after="283"/>
              <w:ind w:left="0" w:right="0" w:hanging="0"/>
              <w:jc w:val="left"/>
              <w:rPr/>
            </w:pPr>
            <w:r>
              <w:rPr/>
            </w:r>
          </w:p>
        </w:tc>
      </w:tr>
      <w:tr>
        <w:trPr/>
        <w:tc>
          <w:tcPr>
            <w:tcW w:w="4679" w:type="dxa"/>
            <w:tcBorders/>
            <w:vAlign w:val="bottom"/>
          </w:tcPr>
          <w:p>
            <w:pPr>
              <w:pStyle w:val="TableContents"/>
              <w:bidi w:val="0"/>
              <w:spacing w:before="0" w:after="0"/>
              <w:ind w:left="0" w:right="0" w:hanging="0"/>
              <w:jc w:val="left"/>
              <w:rPr/>
            </w:pPr>
            <w:r>
              <w:rPr/>
              <w:t>Income (loss) from discontinued operations, net of tax</w:t>
            </w:r>
          </w:p>
        </w:tc>
        <w:tc>
          <w:tcPr>
            <w:tcW w:w="113" w:type="dxa"/>
            <w:tcBorders/>
            <w:vAlign w:val="bottom"/>
          </w:tcPr>
          <w:p>
            <w:pPr>
              <w:pStyle w:val="TableContents"/>
              <w:bidi w:val="0"/>
              <w:spacing w:before="0" w:after="283"/>
              <w:ind w:left="0" w:right="0" w:hanging="0"/>
              <w:jc w:val="left"/>
              <w:rPr/>
            </w:pPr>
            <w:r>
              <w:rPr/>
            </w:r>
          </w:p>
        </w:tc>
        <w:tc>
          <w:tcPr>
            <w:tcW w:w="179" w:type="dxa"/>
            <w:tcBorders/>
            <w:vAlign w:val="bottom"/>
          </w:tcPr>
          <w:p>
            <w:pPr>
              <w:pStyle w:val="TableContents"/>
              <w:bidi w:val="0"/>
              <w:spacing w:before="0" w:after="283"/>
              <w:ind w:left="0" w:right="0" w:hanging="0"/>
              <w:jc w:val="left"/>
              <w:rPr/>
            </w:pPr>
            <w:r>
              <w:rPr/>
            </w:r>
          </w:p>
        </w:tc>
        <w:tc>
          <w:tcPr>
            <w:tcW w:w="955" w:type="dxa"/>
            <w:tcBorders/>
            <w:vAlign w:val="bottom"/>
          </w:tcPr>
          <w:p>
            <w:pPr>
              <w:pStyle w:val="TableContents"/>
              <w:bidi w:val="0"/>
              <w:spacing w:before="0" w:after="0"/>
              <w:ind w:left="0" w:right="0" w:hanging="0"/>
              <w:jc w:val="right"/>
              <w:rPr/>
            </w:pPr>
            <w:r>
              <w:rPr/>
              <w:t>5</w:t>
            </w:r>
          </w:p>
        </w:tc>
        <w:tc>
          <w:tcPr>
            <w:tcW w:w="125" w:type="dxa"/>
            <w:tcBorders/>
            <w:vAlign w:val="bottom"/>
          </w:tcPr>
          <w:p>
            <w:pPr>
              <w:pStyle w:val="TableContents"/>
              <w:bidi w:val="0"/>
              <w:spacing w:before="0" w:after="283"/>
              <w:ind w:left="0" w:right="0" w:hanging="0"/>
              <w:jc w:val="left"/>
              <w:rPr>
                <w:sz w:val="4"/>
                <w:szCs w:val="4"/>
              </w:rPr>
            </w:pPr>
            <w:r>
              <w:rPr>
                <w:sz w:val="4"/>
                <w:szCs w:val="4"/>
              </w:rPr>
            </w:r>
          </w:p>
        </w:tc>
        <w:tc>
          <w:tcPr>
            <w:tcW w:w="121" w:type="dxa"/>
            <w:tcBorders/>
            <w:vAlign w:val="bottom"/>
          </w:tcPr>
          <w:p>
            <w:pPr>
              <w:pStyle w:val="TableContents"/>
              <w:bidi w:val="0"/>
              <w:spacing w:before="0" w:after="283"/>
              <w:ind w:left="0" w:right="0" w:hanging="0"/>
              <w:jc w:val="left"/>
              <w:rPr/>
            </w:pPr>
            <w:r>
              <w:rPr/>
            </w:r>
          </w:p>
        </w:tc>
        <w:tc>
          <w:tcPr>
            <w:tcW w:w="179" w:type="dxa"/>
            <w:tcBorders/>
            <w:vAlign w:val="bottom"/>
          </w:tcPr>
          <w:p>
            <w:pPr>
              <w:pStyle w:val="TableContents"/>
              <w:bidi w:val="0"/>
              <w:spacing w:before="0" w:after="283"/>
              <w:ind w:left="0" w:right="0" w:hanging="0"/>
              <w:jc w:val="left"/>
              <w:rPr/>
            </w:pPr>
            <w:r>
              <w:rPr/>
            </w:r>
          </w:p>
        </w:tc>
        <w:tc>
          <w:tcPr>
            <w:tcW w:w="912" w:type="dxa"/>
            <w:tcBorders/>
            <w:vAlign w:val="bottom"/>
          </w:tcPr>
          <w:p>
            <w:pPr>
              <w:pStyle w:val="TableContents"/>
              <w:bidi w:val="0"/>
              <w:spacing w:before="0" w:after="0"/>
              <w:ind w:left="0" w:right="0" w:hanging="0"/>
              <w:jc w:val="right"/>
              <w:rPr/>
            </w:pPr>
            <w:r>
              <w:rPr/>
              <w:t>(3,367</w:t>
            </w:r>
          </w:p>
        </w:tc>
        <w:tc>
          <w:tcPr>
            <w:tcW w:w="117" w:type="dxa"/>
            <w:tcBorders/>
            <w:vAlign w:val="bottom"/>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bidi w:val="0"/>
              <w:spacing w:before="0" w:after="283"/>
              <w:ind w:left="0" w:right="0" w:hanging="0"/>
              <w:jc w:val="left"/>
              <w:rPr/>
            </w:pPr>
            <w:r>
              <w:rPr/>
            </w:r>
          </w:p>
        </w:tc>
        <w:tc>
          <w:tcPr>
            <w:tcW w:w="1131" w:type="dxa"/>
            <w:tcBorders/>
            <w:vAlign w:val="center"/>
          </w:tcPr>
          <w:p>
            <w:pPr>
              <w:pStyle w:val="TableContents"/>
              <w:bidi w:val="0"/>
              <w:spacing w:before="0" w:after="0"/>
              <w:ind w:left="0" w:right="0" w:hanging="0"/>
              <w:jc w:val="right"/>
              <w:rPr/>
            </w:pPr>
            <w:r>
              <w:rPr/>
              <w:t>368</w:t>
            </w:r>
          </w:p>
        </w:tc>
        <w:tc>
          <w:tcPr>
            <w:tcW w:w="108" w:type="dxa"/>
            <w:tcBorders/>
            <w:vAlign w:val="center"/>
          </w:tcPr>
          <w:p>
            <w:pPr>
              <w:pStyle w:val="TableContents"/>
              <w:bidi w:val="0"/>
              <w:spacing w:before="0" w:after="283"/>
              <w:ind w:left="0" w:right="0" w:hanging="0"/>
              <w:jc w:val="left"/>
              <w:rPr/>
            </w:pPr>
            <w:r>
              <w:rPr/>
            </w:r>
          </w:p>
        </w:tc>
        <w:tc>
          <w:tcPr>
            <w:tcW w:w="26"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bidi w:val="0"/>
              <w:spacing w:before="0" w:after="283"/>
              <w:ind w:left="0" w:right="0" w:hanging="0"/>
              <w:jc w:val="left"/>
              <w:rPr/>
            </w:pPr>
            <w:r>
              <w:rPr/>
            </w:r>
          </w:p>
        </w:tc>
        <w:tc>
          <w:tcPr>
            <w:tcW w:w="1131" w:type="dxa"/>
            <w:tcBorders/>
            <w:vAlign w:val="center"/>
          </w:tcPr>
          <w:p>
            <w:pPr>
              <w:pStyle w:val="TableContents"/>
              <w:bidi w:val="0"/>
              <w:spacing w:before="0" w:after="0"/>
              <w:ind w:left="0" w:right="0" w:hanging="0"/>
              <w:jc w:val="right"/>
              <w:rPr/>
            </w:pPr>
            <w:r>
              <w:rPr/>
              <w:t>(5,387</w:t>
            </w:r>
          </w:p>
        </w:tc>
        <w:tc>
          <w:tcPr>
            <w:tcW w:w="120" w:type="dxa"/>
            <w:tcBorders/>
            <w:vAlign w:val="center"/>
          </w:tcPr>
          <w:p>
            <w:pPr>
              <w:pStyle w:val="TableContents"/>
              <w:bidi w:val="0"/>
              <w:spacing w:before="0" w:after="0"/>
              <w:ind w:left="0" w:right="0" w:hanging="0"/>
              <w:jc w:val="left"/>
              <w:rPr/>
            </w:pPr>
            <w:r>
              <w:rPr/>
              <w:t>)</w:t>
            </w:r>
          </w:p>
        </w:tc>
      </w:tr>
      <w:tr>
        <w:trPr/>
        <w:tc>
          <w:tcPr>
            <w:tcW w:w="4679" w:type="dxa"/>
            <w:tcBorders/>
            <w:shd w:fill="CCEEFF" w:val="clear"/>
            <w:vAlign w:val="bottom"/>
          </w:tcPr>
          <w:p>
            <w:pPr>
              <w:pStyle w:val="TableContents"/>
              <w:bidi w:val="0"/>
              <w:spacing w:before="0" w:after="283"/>
              <w:ind w:left="0" w:right="0" w:hanging="0"/>
              <w:jc w:val="left"/>
              <w:rPr/>
            </w:pPr>
            <w:r>
              <w:rPr/>
            </w:r>
          </w:p>
        </w:tc>
        <w:tc>
          <w:tcPr>
            <w:tcW w:w="113" w:type="dxa"/>
            <w:tcBorders/>
            <w:shd w:fill="CCEEFF" w:val="clear"/>
            <w:vAlign w:val="bottom"/>
          </w:tcPr>
          <w:p>
            <w:pPr>
              <w:pStyle w:val="TableContents"/>
              <w:bidi w:val="0"/>
              <w:spacing w:before="0" w:after="283"/>
              <w:ind w:left="0" w:right="0" w:hanging="0"/>
              <w:jc w:val="left"/>
              <w:rPr/>
            </w:pPr>
            <w:r>
              <w:rPr/>
            </w:r>
          </w:p>
        </w:tc>
        <w:tc>
          <w:tcPr>
            <w:tcW w:w="179" w:type="dxa"/>
            <w:tcBorders/>
            <w:shd w:fill="CCEEFF" w:val="clear"/>
            <w:vAlign w:val="bottom"/>
          </w:tcPr>
          <w:p>
            <w:pPr>
              <w:pStyle w:val="TableContents"/>
              <w:bidi w:val="0"/>
              <w:spacing w:before="0" w:after="283"/>
              <w:ind w:left="0" w:right="0" w:hanging="0"/>
              <w:jc w:val="left"/>
              <w:rPr/>
            </w:pPr>
            <w:r>
              <w:rPr/>
            </w:r>
          </w:p>
        </w:tc>
        <w:tc>
          <w:tcPr>
            <w:tcW w:w="955" w:type="dxa"/>
            <w:tcBorders/>
            <w:shd w:fill="CCEEFF" w:val="clear"/>
            <w:vAlign w:val="bottom"/>
          </w:tcPr>
          <w:p>
            <w:pPr>
              <w:pStyle w:val="TableContents"/>
              <w:bidi w:val="0"/>
              <w:spacing w:before="0" w:after="283"/>
              <w:ind w:left="0" w:right="0" w:hanging="0"/>
              <w:jc w:val="left"/>
              <w:rPr/>
            </w:pPr>
            <w:r>
              <w:rPr/>
            </w:r>
          </w:p>
        </w:tc>
        <w:tc>
          <w:tcPr>
            <w:tcW w:w="125" w:type="dxa"/>
            <w:tcBorders/>
            <w:shd w:fill="CCEEFF" w:val="clear"/>
            <w:vAlign w:val="bottom"/>
          </w:tcPr>
          <w:p>
            <w:pPr>
              <w:pStyle w:val="TableContents"/>
              <w:bidi w:val="0"/>
              <w:spacing w:before="0" w:after="283"/>
              <w:ind w:left="0" w:right="0" w:hanging="0"/>
              <w:jc w:val="left"/>
              <w:rPr/>
            </w:pPr>
            <w:r>
              <w:rPr/>
            </w:r>
          </w:p>
        </w:tc>
        <w:tc>
          <w:tcPr>
            <w:tcW w:w="121" w:type="dxa"/>
            <w:tcBorders/>
            <w:shd w:fill="CCEEFF" w:val="clear"/>
            <w:vAlign w:val="bottom"/>
          </w:tcPr>
          <w:p>
            <w:pPr>
              <w:pStyle w:val="TableContents"/>
              <w:bidi w:val="0"/>
              <w:spacing w:before="0" w:after="283"/>
              <w:ind w:left="0" w:right="0" w:hanging="0"/>
              <w:jc w:val="left"/>
              <w:rPr/>
            </w:pPr>
            <w:r>
              <w:rPr/>
            </w:r>
          </w:p>
        </w:tc>
        <w:tc>
          <w:tcPr>
            <w:tcW w:w="179" w:type="dxa"/>
            <w:tcBorders/>
            <w:shd w:fill="CCEEFF" w:val="clear"/>
            <w:vAlign w:val="bottom"/>
          </w:tcPr>
          <w:p>
            <w:pPr>
              <w:pStyle w:val="TableContents"/>
              <w:bidi w:val="0"/>
              <w:spacing w:before="0" w:after="283"/>
              <w:ind w:left="0" w:right="0" w:hanging="0"/>
              <w:jc w:val="left"/>
              <w:rPr/>
            </w:pPr>
            <w:r>
              <w:rPr/>
            </w:r>
          </w:p>
        </w:tc>
        <w:tc>
          <w:tcPr>
            <w:tcW w:w="912" w:type="dxa"/>
            <w:tcBorders/>
            <w:shd w:fill="CCEEFF" w:val="clear"/>
            <w:vAlign w:val="bottom"/>
          </w:tcPr>
          <w:p>
            <w:pPr>
              <w:pStyle w:val="TableContents"/>
              <w:bidi w:val="0"/>
              <w:spacing w:before="0" w:after="283"/>
              <w:ind w:left="0" w:right="0" w:hanging="0"/>
              <w:jc w:val="left"/>
              <w:rPr/>
            </w:pPr>
            <w:r>
              <w:rPr/>
            </w:r>
          </w:p>
        </w:tc>
        <w:tc>
          <w:tcPr>
            <w:tcW w:w="117" w:type="dxa"/>
            <w:tcBorders/>
            <w:shd w:fill="CCEEFF" w:val="clear"/>
            <w:vAlign w:val="bottom"/>
          </w:tcPr>
          <w:p>
            <w:pPr>
              <w:pStyle w:val="TableContents"/>
              <w:bidi w:val="0"/>
              <w:spacing w:before="0" w:after="283"/>
              <w:ind w:left="0" w:right="0" w:hanging="0"/>
              <w:jc w:val="left"/>
              <w:rPr/>
            </w:pPr>
            <w:r>
              <w:rPr/>
            </w:r>
          </w:p>
        </w:tc>
        <w:tc>
          <w:tcPr>
            <w:tcW w:w="23" w:type="dxa"/>
            <w:tcBorders/>
            <w:shd w:fill="CCEEFF" w:val="clear"/>
            <w:vAlign w:val="center"/>
          </w:tcPr>
          <w:p>
            <w:pPr>
              <w:pStyle w:val="TableContents"/>
              <w:bidi w:val="0"/>
              <w:spacing w:before="0" w:after="283"/>
              <w:ind w:left="0" w:right="0" w:hanging="0"/>
              <w:jc w:val="left"/>
              <w:rPr/>
            </w:pPr>
            <w:r>
              <w:rPr/>
            </w:r>
          </w:p>
        </w:tc>
        <w:tc>
          <w:tcPr>
            <w:tcW w:w="143" w:type="dxa"/>
            <w:tcBorders/>
            <w:shd w:fill="CCEEFF" w:val="clear"/>
            <w:vAlign w:val="center"/>
          </w:tcPr>
          <w:p>
            <w:pPr>
              <w:pStyle w:val="TableContents"/>
              <w:bidi w:val="0"/>
              <w:spacing w:before="0" w:after="283"/>
              <w:ind w:left="0" w:right="0" w:hanging="0"/>
              <w:jc w:val="left"/>
              <w:rPr/>
            </w:pPr>
            <w:r>
              <w:rPr/>
            </w:r>
          </w:p>
        </w:tc>
        <w:tc>
          <w:tcPr>
            <w:tcW w:w="1131" w:type="dxa"/>
            <w:tcBorders/>
            <w:shd w:fill="CCEEFF" w:val="clear"/>
            <w:vAlign w:val="center"/>
          </w:tcPr>
          <w:p>
            <w:pPr>
              <w:pStyle w:val="TableContents"/>
              <w:bidi w:val="0"/>
              <w:spacing w:before="0" w:after="283"/>
              <w:ind w:left="0" w:right="0" w:hanging="0"/>
              <w:jc w:val="left"/>
              <w:rPr/>
            </w:pPr>
            <w:r>
              <w:rPr/>
            </w:r>
          </w:p>
        </w:tc>
        <w:tc>
          <w:tcPr>
            <w:tcW w:w="108" w:type="dxa"/>
            <w:tcBorders/>
            <w:shd w:fill="CCEEFF" w:val="clear"/>
            <w:vAlign w:val="center"/>
          </w:tcPr>
          <w:p>
            <w:pPr>
              <w:pStyle w:val="TableContents"/>
              <w:bidi w:val="0"/>
              <w:spacing w:before="0" w:after="283"/>
              <w:ind w:left="0" w:right="0" w:hanging="0"/>
              <w:jc w:val="left"/>
              <w:rPr/>
            </w:pPr>
            <w:r>
              <w:rPr/>
            </w:r>
          </w:p>
        </w:tc>
        <w:tc>
          <w:tcPr>
            <w:tcW w:w="26" w:type="dxa"/>
            <w:tcBorders/>
            <w:shd w:fill="CCEEFF" w:val="clear"/>
            <w:vAlign w:val="center"/>
          </w:tcPr>
          <w:p>
            <w:pPr>
              <w:pStyle w:val="TableContents"/>
              <w:bidi w:val="0"/>
              <w:spacing w:before="0" w:after="283"/>
              <w:ind w:left="0" w:right="0" w:hanging="0"/>
              <w:jc w:val="left"/>
              <w:rPr/>
            </w:pPr>
            <w:r>
              <w:rPr/>
            </w:r>
          </w:p>
        </w:tc>
        <w:tc>
          <w:tcPr>
            <w:tcW w:w="143" w:type="dxa"/>
            <w:tcBorders/>
            <w:shd w:fill="CCEEFF" w:val="clear"/>
            <w:vAlign w:val="center"/>
          </w:tcPr>
          <w:p>
            <w:pPr>
              <w:pStyle w:val="TableContents"/>
              <w:bidi w:val="0"/>
              <w:spacing w:before="0" w:after="283"/>
              <w:ind w:left="0" w:right="0" w:hanging="0"/>
              <w:jc w:val="left"/>
              <w:rPr/>
            </w:pPr>
            <w:r>
              <w:rPr/>
            </w:r>
          </w:p>
        </w:tc>
        <w:tc>
          <w:tcPr>
            <w:tcW w:w="1131" w:type="dxa"/>
            <w:tcBorders/>
            <w:shd w:fill="CCEEFF" w:val="clear"/>
            <w:vAlign w:val="center"/>
          </w:tcPr>
          <w:p>
            <w:pPr>
              <w:pStyle w:val="TableContents"/>
              <w:bidi w:val="0"/>
              <w:spacing w:before="0" w:after="283"/>
              <w:ind w:left="0" w:right="0" w:hanging="0"/>
              <w:jc w:val="left"/>
              <w:rPr/>
            </w:pPr>
            <w:r>
              <w:rPr/>
            </w:r>
          </w:p>
        </w:tc>
        <w:tc>
          <w:tcPr>
            <w:tcW w:w="120" w:type="dxa"/>
            <w:tcBorders/>
            <w:shd w:fill="CCEEFF" w:val="clear"/>
            <w:vAlign w:val="center"/>
          </w:tcPr>
          <w:p>
            <w:pPr>
              <w:pStyle w:val="TableContents"/>
              <w:bidi w:val="0"/>
              <w:spacing w:before="0" w:after="283"/>
              <w:ind w:left="0" w:right="0" w:hanging="0"/>
              <w:jc w:val="left"/>
              <w:rPr/>
            </w:pPr>
            <w:r>
              <w:rPr/>
            </w:r>
          </w:p>
        </w:tc>
      </w:tr>
      <w:tr>
        <w:trPr/>
        <w:tc>
          <w:tcPr>
            <w:tcW w:w="4679"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Net loss </w:t>
            </w:r>
          </w:p>
        </w:tc>
        <w:tc>
          <w:tcPr>
            <w:tcW w:w="113" w:type="dxa"/>
            <w:tcBorders/>
            <w:vAlign w:val="bottom"/>
          </w:tcPr>
          <w:p>
            <w:pPr>
              <w:pStyle w:val="TableContents"/>
              <w:pBdr/>
              <w:bidi w:val="0"/>
              <w:spacing w:before="0" w:after="0"/>
              <w:ind w:left="0" w:right="0" w:hanging="0"/>
              <w:jc w:val="left"/>
              <w:rPr/>
            </w:pPr>
            <w:r>
              <w:rPr/>
              <w:t xml:space="preserve">  </w:t>
            </w:r>
          </w:p>
        </w:tc>
        <w:tc>
          <w:tcPr>
            <w:tcW w:w="179"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55"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(914</w:t>
            </w:r>
          </w:p>
        </w:tc>
        <w:tc>
          <w:tcPr>
            <w:tcW w:w="125" w:type="dxa"/>
            <w:tcBorders/>
            <w:vAlign w:val="bottom"/>
          </w:tcPr>
          <w:p>
            <w:pPr>
              <w:pStyle w:val="TableContents"/>
              <w:bidi w:val="0"/>
              <w:spacing w:before="0" w:after="0"/>
              <w:ind w:left="0" w:right="0" w:hanging="0"/>
              <w:jc w:val="left"/>
              <w:rPr/>
            </w:pPr>
            <w:r>
              <w:rPr/>
              <w:t>)</w:t>
            </w:r>
          </w:p>
        </w:tc>
        <w:tc>
          <w:tcPr>
            <w:tcW w:w="121" w:type="dxa"/>
            <w:tcBorders/>
            <w:vAlign w:val="bottom"/>
          </w:tcPr>
          <w:p>
            <w:pPr>
              <w:pStyle w:val="TableContents"/>
              <w:pBdr/>
              <w:bidi w:val="0"/>
              <w:spacing w:before="0" w:after="0"/>
              <w:ind w:left="0" w:right="0" w:hanging="0"/>
              <w:jc w:val="left"/>
              <w:rPr/>
            </w:pPr>
            <w:r>
              <w:rPr/>
              <w:t xml:space="preserve">  </w:t>
            </w:r>
          </w:p>
        </w:tc>
        <w:tc>
          <w:tcPr>
            <w:tcW w:w="179"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12"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(4,572</w:t>
            </w:r>
          </w:p>
        </w:tc>
        <w:tc>
          <w:tcPr>
            <w:tcW w:w="117" w:type="dxa"/>
            <w:tcBorders/>
            <w:vAlign w:val="bottom"/>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31" w:type="dxa"/>
            <w:tcBorders/>
            <w:vAlign w:val="center"/>
          </w:tcPr>
          <w:p>
            <w:pPr>
              <w:pStyle w:val="TableContents"/>
              <w:bidi w:val="0"/>
              <w:spacing w:before="0" w:after="0"/>
              <w:ind w:left="0" w:right="0" w:hanging="0"/>
              <w:jc w:val="right"/>
              <w:rPr/>
            </w:pPr>
            <w:r>
              <w:rPr/>
              <w:t>(1,401</w:t>
            </w:r>
          </w:p>
        </w:tc>
        <w:tc>
          <w:tcPr>
            <w:tcW w:w="108" w:type="dxa"/>
            <w:tcBorders/>
            <w:vAlign w:val="center"/>
          </w:tcPr>
          <w:p>
            <w:pPr>
              <w:pStyle w:val="TableContents"/>
              <w:bidi w:val="0"/>
              <w:spacing w:before="0" w:after="0"/>
              <w:ind w:left="0" w:right="0" w:hanging="0"/>
              <w:jc w:val="left"/>
              <w:rPr/>
            </w:pPr>
            <w:r>
              <w:rPr/>
              <w:t>)</w:t>
            </w:r>
          </w:p>
        </w:tc>
        <w:tc>
          <w:tcPr>
            <w:tcW w:w="26" w:type="dxa"/>
            <w:tcBorders/>
            <w:vAlign w:val="center"/>
          </w:tcPr>
          <w:p>
            <w:pPr>
              <w:pStyle w:val="TableContents"/>
              <w:bidi w:val="0"/>
              <w:spacing w:before="0" w:after="283"/>
              <w:ind w:left="0" w:right="0" w:hanging="0"/>
              <w:jc w:val="left"/>
              <w:rPr/>
            </w:pPr>
            <w:r>
              <w:rPr/>
            </w:r>
          </w:p>
        </w:tc>
        <w:tc>
          <w:tcPr>
            <w:tcW w:w="143" w:type="dxa"/>
            <w:tcBorders/>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31" w:type="dxa"/>
            <w:tcBorders/>
            <w:vAlign w:val="center"/>
          </w:tcPr>
          <w:p>
            <w:pPr>
              <w:pStyle w:val="TableContents"/>
              <w:bidi w:val="0"/>
              <w:spacing w:before="0" w:after="0"/>
              <w:ind w:left="0" w:right="0" w:hanging="0"/>
              <w:jc w:val="right"/>
              <w:rPr/>
            </w:pPr>
            <w:r>
              <w:rPr/>
              <w:t>(7,406</w:t>
            </w:r>
          </w:p>
        </w:tc>
        <w:tc>
          <w:tcPr>
            <w:tcW w:w="120" w:type="dxa"/>
            <w:tcBorders/>
            <w:vAlign w:val="center"/>
          </w:tcPr>
          <w:p>
            <w:pPr>
              <w:pStyle w:val="TableContents"/>
              <w:bidi w:val="0"/>
              <w:spacing w:before="0" w:after="0"/>
              <w:jc w:val="left"/>
              <w:rPr/>
            </w:pPr>
            <w:r>
              <w:rPr/>
              <w:t>)</w:t>
            </w:r>
          </w:p>
        </w:tc>
      </w:tr>
      <w:tr>
        <w:trPr/>
        <w:tc>
          <w:tcPr>
            <w:tcW w:w="4679" w:type="dxa"/>
            <w:tcBorders/>
            <w:shd w:fill="CCEEFF" w:val="clear"/>
            <w:vAlign w:val="bottom"/>
          </w:tcPr>
          <w:p>
            <w:pPr>
              <w:pStyle w:val="TableContents"/>
              <w:bidi w:val="0"/>
              <w:spacing w:before="0" w:after="0"/>
              <w:ind w:left="0" w:right="0" w:hanging="0"/>
              <w:jc w:val="left"/>
              <w:rPr/>
            </w:pPr>
            <w:r>
              <w:rPr/>
              <w:t xml:space="preserve">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55" w:type="dxa"/>
            <w:tcBorders/>
            <w:shd w:fill="CCEEFF" w:val="clear"/>
            <w:vAlign w:val="bottom"/>
          </w:tcPr>
          <w:p>
            <w:pPr>
              <w:pStyle w:val="TableContents"/>
              <w:bidi w:val="0"/>
              <w:spacing w:before="0" w:after="0"/>
              <w:ind w:left="0" w:right="0" w:hanging="0"/>
              <w:jc w:val="left"/>
              <w:rPr/>
            </w:pPr>
            <w:r>
              <w:rPr/>
              <w:t xml:space="preserve">  </w:t>
            </w:r>
          </w:p>
        </w:tc>
        <w:tc>
          <w:tcPr>
            <w:tcW w:w="125" w:type="dxa"/>
            <w:tcBorders/>
            <w:shd w:fill="CCEEFF" w:val="clear"/>
            <w:vAlign w:val="bottom"/>
          </w:tcPr>
          <w:p>
            <w:pPr>
              <w:pStyle w:val="TableContents"/>
              <w:bidi w:val="0"/>
              <w:spacing w:before="0" w:after="0"/>
              <w:ind w:left="0" w:right="0" w:hanging="0"/>
              <w:jc w:val="left"/>
              <w:rPr/>
            </w:pPr>
            <w:r>
              <w:rPr/>
              <w:t xml:space="preserve">  </w:t>
            </w:r>
          </w:p>
        </w:tc>
        <w:tc>
          <w:tcPr>
            <w:tcW w:w="121"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12" w:type="dxa"/>
            <w:tcBorders/>
            <w:shd w:fill="CCEEFF" w:val="clear"/>
            <w:vAlign w:val="bottom"/>
          </w:tcPr>
          <w:p>
            <w:pPr>
              <w:pStyle w:val="TableContents"/>
              <w:bidi w:val="0"/>
              <w:spacing w:before="0" w:after="0"/>
              <w:ind w:left="0" w:right="0" w:hanging="0"/>
              <w:jc w:val="left"/>
              <w:rPr/>
            </w:pPr>
            <w:r>
              <w:rPr/>
              <w:t xml:space="preserve">  </w:t>
            </w:r>
          </w:p>
        </w:tc>
        <w:tc>
          <w:tcPr>
            <w:tcW w:w="117" w:type="dxa"/>
            <w:tcBorders/>
            <w:shd w:fill="CCEEFF" w:val="clear"/>
            <w:vAlign w:val="bottom"/>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left"/>
              <w:rPr/>
            </w:pPr>
            <w:r>
              <w:rPr/>
            </w:r>
          </w:p>
        </w:tc>
        <w:tc>
          <w:tcPr>
            <w:tcW w:w="108" w:type="dxa"/>
            <w:tcBorders/>
            <w:shd w:fill="CCEEFF" w:val="clear"/>
            <w:vAlign w:val="center"/>
          </w:tcPr>
          <w:p>
            <w:pPr>
              <w:pStyle w:val="TableContents"/>
              <w:bidi w:val="0"/>
              <w:spacing w:before="0" w:after="283"/>
              <w:jc w:val="left"/>
              <w:rPr/>
            </w:pPr>
            <w:r>
              <w:rPr/>
            </w:r>
          </w:p>
        </w:tc>
        <w:tc>
          <w:tcPr>
            <w:tcW w:w="26"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left"/>
              <w:rPr/>
            </w:pPr>
            <w:r>
              <w:rPr/>
            </w:r>
          </w:p>
        </w:tc>
        <w:tc>
          <w:tcPr>
            <w:tcW w:w="120" w:type="dxa"/>
            <w:tcBorders/>
            <w:shd w:fill="CCEEFF" w:val="clear"/>
            <w:vAlign w:val="center"/>
          </w:tcPr>
          <w:p>
            <w:pPr>
              <w:pStyle w:val="TableContents"/>
              <w:bidi w:val="0"/>
              <w:spacing w:before="0" w:after="283"/>
              <w:jc w:val="left"/>
              <w:rPr/>
            </w:pPr>
            <w:r>
              <w:rPr/>
            </w:r>
          </w:p>
        </w:tc>
      </w:tr>
      <w:tr>
        <w:trPr/>
        <w:tc>
          <w:tcPr>
            <w:tcW w:w="467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Basic weighted average shares outstanding </w:t>
            </w:r>
          </w:p>
        </w:tc>
        <w:tc>
          <w:tcPr>
            <w:tcW w:w="113"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5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2,675,412</w:t>
            </w:r>
          </w:p>
        </w:tc>
        <w:tc>
          <w:tcPr>
            <w:tcW w:w="125" w:type="dxa"/>
            <w:tcBorders/>
            <w:vAlign w:val="bottom"/>
          </w:tcPr>
          <w:p>
            <w:pPr>
              <w:pStyle w:val="TableContents"/>
              <w:bidi w:val="0"/>
              <w:spacing w:before="0" w:after="0"/>
              <w:ind w:left="0" w:right="0" w:hanging="0"/>
              <w:jc w:val="left"/>
              <w:rPr/>
            </w:pPr>
            <w:r>
              <w:rPr/>
              <w:t xml:space="preserve">  </w:t>
            </w:r>
          </w:p>
        </w:tc>
        <w:tc>
          <w:tcPr>
            <w:tcW w:w="121"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1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1,733,307</w:t>
            </w:r>
          </w:p>
        </w:tc>
        <w:tc>
          <w:tcPr>
            <w:tcW w:w="117" w:type="dxa"/>
            <w:tcBorders/>
            <w:vAlign w:val="bottom"/>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right"/>
              <w:rPr/>
            </w:pPr>
            <w:r>
              <w:rPr/>
              <w:t>2,530,384</w:t>
            </w:r>
          </w:p>
        </w:tc>
        <w:tc>
          <w:tcPr>
            <w:tcW w:w="108" w:type="dxa"/>
            <w:tcBorders/>
            <w:vAlign w:val="center"/>
          </w:tcPr>
          <w:p>
            <w:pPr>
              <w:pStyle w:val="TableContents"/>
              <w:bidi w:val="0"/>
              <w:spacing w:before="0" w:after="283"/>
              <w:jc w:val="left"/>
              <w:rPr/>
            </w:pPr>
            <w:r>
              <w:rPr/>
            </w:r>
          </w:p>
        </w:tc>
        <w:tc>
          <w:tcPr>
            <w:tcW w:w="26"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right"/>
              <w:rPr/>
            </w:pPr>
            <w:r>
              <w:rPr/>
              <w:t>1,691,836</w:t>
            </w:r>
          </w:p>
        </w:tc>
        <w:tc>
          <w:tcPr>
            <w:tcW w:w="120" w:type="dxa"/>
            <w:tcBorders/>
            <w:vAlign w:val="center"/>
          </w:tcPr>
          <w:p>
            <w:pPr>
              <w:pStyle w:val="TableContents"/>
              <w:bidi w:val="0"/>
              <w:spacing w:before="0" w:after="283"/>
              <w:jc w:val="left"/>
              <w:rPr/>
            </w:pPr>
            <w:r>
              <w:rPr/>
            </w:r>
          </w:p>
        </w:tc>
      </w:tr>
      <w:tr>
        <w:trPr/>
        <w:tc>
          <w:tcPr>
            <w:tcW w:w="467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weighted average shares outstanding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55"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2,675,412 </w:t>
            </w:r>
          </w:p>
        </w:tc>
        <w:tc>
          <w:tcPr>
            <w:tcW w:w="125" w:type="dxa"/>
            <w:tcBorders/>
            <w:shd w:fill="CCEEFF" w:val="clear"/>
            <w:vAlign w:val="bottom"/>
          </w:tcPr>
          <w:p>
            <w:pPr>
              <w:pStyle w:val="TableContents"/>
              <w:bidi w:val="0"/>
              <w:spacing w:before="0" w:after="0"/>
              <w:ind w:left="0" w:right="0" w:hanging="0"/>
              <w:jc w:val="left"/>
              <w:rPr/>
            </w:pPr>
            <w:r>
              <w:rPr/>
              <w:t xml:space="preserve">  </w:t>
            </w:r>
          </w:p>
        </w:tc>
        <w:tc>
          <w:tcPr>
            <w:tcW w:w="121"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12"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1,733,307</w:t>
            </w:r>
          </w:p>
        </w:tc>
        <w:tc>
          <w:tcPr>
            <w:tcW w:w="117" w:type="dxa"/>
            <w:tcBorders/>
            <w:shd w:fill="CCEEFF" w:val="clear"/>
            <w:vAlign w:val="bottom"/>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right"/>
              <w:rPr/>
            </w:pPr>
            <w:r>
              <w:rPr/>
              <w:t>2,530,384</w:t>
            </w:r>
          </w:p>
        </w:tc>
        <w:tc>
          <w:tcPr>
            <w:tcW w:w="108" w:type="dxa"/>
            <w:tcBorders/>
            <w:shd w:fill="CCEEFF" w:val="clear"/>
            <w:vAlign w:val="center"/>
          </w:tcPr>
          <w:p>
            <w:pPr>
              <w:pStyle w:val="TableContents"/>
              <w:bidi w:val="0"/>
              <w:spacing w:before="0" w:after="283"/>
              <w:jc w:val="left"/>
              <w:rPr/>
            </w:pPr>
            <w:r>
              <w:rPr/>
            </w:r>
          </w:p>
        </w:tc>
        <w:tc>
          <w:tcPr>
            <w:tcW w:w="26"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right"/>
              <w:rPr/>
            </w:pPr>
            <w:r>
              <w:rPr/>
              <w:t>1,691,836</w:t>
            </w:r>
          </w:p>
        </w:tc>
        <w:tc>
          <w:tcPr>
            <w:tcW w:w="120" w:type="dxa"/>
            <w:tcBorders/>
            <w:shd w:fill="CCEEFF" w:val="clear"/>
            <w:vAlign w:val="center"/>
          </w:tcPr>
          <w:p>
            <w:pPr>
              <w:pStyle w:val="TableContents"/>
              <w:bidi w:val="0"/>
              <w:spacing w:before="0" w:after="283"/>
              <w:jc w:val="left"/>
              <w:rPr/>
            </w:pPr>
            <w:r>
              <w:rPr/>
            </w:r>
          </w:p>
        </w:tc>
      </w:tr>
      <w:tr>
        <w:trPr/>
        <w:tc>
          <w:tcPr>
            <w:tcW w:w="4679" w:type="dxa"/>
            <w:tcBorders/>
            <w:vAlign w:val="bottom"/>
          </w:tcPr>
          <w:p>
            <w:pPr>
              <w:pStyle w:val="TableContents"/>
              <w:bidi w:val="0"/>
              <w:spacing w:before="0" w:after="0"/>
              <w:ind w:left="0" w:right="0" w:hanging="0"/>
              <w:jc w:val="left"/>
              <w:rPr/>
            </w:pPr>
            <w:r>
              <w:rPr/>
              <w:t xml:space="preserve">  </w:t>
            </w:r>
          </w:p>
        </w:tc>
        <w:tc>
          <w:tcPr>
            <w:tcW w:w="113"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55" w:type="dxa"/>
            <w:tcBorders/>
            <w:vAlign w:val="bottom"/>
          </w:tcPr>
          <w:p>
            <w:pPr>
              <w:pStyle w:val="TableContents"/>
              <w:bidi w:val="0"/>
              <w:spacing w:before="0" w:after="0"/>
              <w:ind w:left="0" w:right="0" w:hanging="0"/>
              <w:jc w:val="left"/>
              <w:rPr/>
            </w:pPr>
            <w:r>
              <w:rPr/>
              <w:t xml:space="preserve">  </w:t>
            </w:r>
          </w:p>
        </w:tc>
        <w:tc>
          <w:tcPr>
            <w:tcW w:w="125" w:type="dxa"/>
            <w:tcBorders/>
            <w:vAlign w:val="bottom"/>
          </w:tcPr>
          <w:p>
            <w:pPr>
              <w:pStyle w:val="TableContents"/>
              <w:bidi w:val="0"/>
              <w:spacing w:before="0" w:after="0"/>
              <w:ind w:left="0" w:right="0" w:hanging="0"/>
              <w:jc w:val="left"/>
              <w:rPr/>
            </w:pPr>
            <w:r>
              <w:rPr/>
              <w:t xml:space="preserve">  </w:t>
            </w:r>
          </w:p>
        </w:tc>
        <w:tc>
          <w:tcPr>
            <w:tcW w:w="121"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t xml:space="preserve">  </w:t>
            </w:r>
          </w:p>
        </w:tc>
        <w:tc>
          <w:tcPr>
            <w:tcW w:w="912" w:type="dxa"/>
            <w:tcBorders/>
            <w:vAlign w:val="bottom"/>
          </w:tcPr>
          <w:p>
            <w:pPr>
              <w:pStyle w:val="TableContents"/>
              <w:bidi w:val="0"/>
              <w:spacing w:before="0" w:after="0"/>
              <w:ind w:left="0" w:right="0" w:hanging="0"/>
              <w:jc w:val="left"/>
              <w:rPr/>
            </w:pPr>
            <w:r>
              <w:rPr/>
              <w:t xml:space="preserve">  </w:t>
            </w:r>
          </w:p>
        </w:tc>
        <w:tc>
          <w:tcPr>
            <w:tcW w:w="117" w:type="dxa"/>
            <w:tcBorders/>
            <w:vAlign w:val="bottom"/>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left"/>
              <w:rPr/>
            </w:pPr>
            <w:r>
              <w:rPr/>
            </w:r>
          </w:p>
        </w:tc>
        <w:tc>
          <w:tcPr>
            <w:tcW w:w="108" w:type="dxa"/>
            <w:tcBorders/>
            <w:vAlign w:val="center"/>
          </w:tcPr>
          <w:p>
            <w:pPr>
              <w:pStyle w:val="TableContents"/>
              <w:bidi w:val="0"/>
              <w:spacing w:before="0" w:after="283"/>
              <w:jc w:val="left"/>
              <w:rPr/>
            </w:pPr>
            <w:r>
              <w:rPr/>
            </w:r>
          </w:p>
        </w:tc>
        <w:tc>
          <w:tcPr>
            <w:tcW w:w="26"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r>
          </w:p>
        </w:tc>
      </w:tr>
      <w:tr>
        <w:trPr/>
        <w:tc>
          <w:tcPr>
            <w:tcW w:w="467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Basic income (loss) per share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r>
          </w:p>
        </w:tc>
        <w:tc>
          <w:tcPr>
            <w:tcW w:w="955" w:type="dxa"/>
            <w:tcBorders/>
            <w:shd w:fill="CCEEFF" w:val="clear"/>
            <w:vAlign w:val="bottom"/>
          </w:tcPr>
          <w:p>
            <w:pPr>
              <w:pStyle w:val="TableContents"/>
              <w:bidi w:val="0"/>
              <w:spacing w:before="0" w:after="0"/>
              <w:ind w:left="0" w:right="0" w:hanging="0"/>
              <w:jc w:val="right"/>
              <w:rPr/>
            </w:pPr>
            <w:r>
              <w:rPr/>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r>
          </w:p>
        </w:tc>
        <w:tc>
          <w:tcPr>
            <w:tcW w:w="912" w:type="dxa"/>
            <w:tcBorders/>
            <w:shd w:fill="CCEEFF" w:val="clear"/>
            <w:vAlign w:val="bottom"/>
          </w:tcPr>
          <w:p>
            <w:pPr>
              <w:pStyle w:val="TableContents"/>
              <w:bidi w:val="0"/>
              <w:spacing w:before="0" w:after="0"/>
              <w:ind w:left="0" w:right="0" w:hanging="0"/>
              <w:jc w:val="right"/>
              <w:rPr/>
            </w:pPr>
            <w:r>
              <w:rPr/>
            </w:r>
          </w:p>
        </w:tc>
        <w:tc>
          <w:tcPr>
            <w:tcW w:w="117" w:type="dxa"/>
            <w:tcBorders/>
            <w:shd w:fill="CCEEFF" w:val="clear"/>
            <w:vAlign w:val="bottom"/>
          </w:tcPr>
          <w:p>
            <w:pPr>
              <w:pStyle w:val="TableContents"/>
              <w:bidi w:val="0"/>
              <w:spacing w:before="0" w:after="283"/>
              <w:jc w:val="left"/>
              <w:rPr>
                <w:sz w:val="4"/>
                <w:szCs w:val="4"/>
              </w:rPr>
            </w:pPr>
            <w:r>
              <w:rPr>
                <w:sz w:val="4"/>
                <w:szCs w:val="4"/>
              </w:rPr>
            </w:r>
          </w:p>
        </w:tc>
        <w:tc>
          <w:tcPr>
            <w:tcW w:w="23"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left"/>
              <w:rPr/>
            </w:pPr>
            <w:r>
              <w:rPr/>
            </w:r>
          </w:p>
        </w:tc>
        <w:tc>
          <w:tcPr>
            <w:tcW w:w="108" w:type="dxa"/>
            <w:tcBorders/>
            <w:shd w:fill="CCEEFF" w:val="clear"/>
            <w:vAlign w:val="center"/>
          </w:tcPr>
          <w:p>
            <w:pPr>
              <w:pStyle w:val="TableContents"/>
              <w:bidi w:val="0"/>
              <w:spacing w:before="0" w:after="283"/>
              <w:jc w:val="left"/>
              <w:rPr/>
            </w:pPr>
            <w:r>
              <w:rPr/>
            </w:r>
          </w:p>
        </w:tc>
        <w:tc>
          <w:tcPr>
            <w:tcW w:w="26"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left"/>
              <w:rPr/>
            </w:pPr>
            <w:r>
              <w:rPr/>
            </w:r>
          </w:p>
        </w:tc>
        <w:tc>
          <w:tcPr>
            <w:tcW w:w="120" w:type="dxa"/>
            <w:tcBorders/>
            <w:shd w:fill="CCEEFF" w:val="clear"/>
            <w:vAlign w:val="center"/>
          </w:tcPr>
          <w:p>
            <w:pPr>
              <w:pStyle w:val="TableContents"/>
              <w:bidi w:val="0"/>
              <w:spacing w:before="0" w:after="283"/>
              <w:jc w:val="left"/>
              <w:rPr/>
            </w:pPr>
            <w:r>
              <w:rPr/>
            </w:r>
          </w:p>
        </w:tc>
      </w:tr>
      <w:tr>
        <w:trPr/>
        <w:tc>
          <w:tcPr>
            <w:tcW w:w="4679" w:type="dxa"/>
            <w:tcBorders/>
            <w:vAlign w:val="bottom"/>
          </w:tcPr>
          <w:p>
            <w:pPr>
              <w:pStyle w:val="TableContents"/>
              <w:bidi w:val="0"/>
              <w:spacing w:before="0" w:after="283"/>
              <w:jc w:val="left"/>
              <w:rPr/>
            </w:pPr>
            <w:r>
              <w:rPr/>
              <w:t xml:space="preserve">    </w:t>
            </w:r>
            <w:r>
              <w:rPr/>
              <w:t>From continuing operations</w:t>
            </w:r>
          </w:p>
        </w:tc>
        <w:tc>
          <w:tcPr>
            <w:tcW w:w="113" w:type="dxa"/>
            <w:tcBorders/>
            <w:vAlign w:val="bottom"/>
          </w:tcPr>
          <w:p>
            <w:pPr>
              <w:pStyle w:val="TableContents"/>
              <w:bidi w:val="0"/>
              <w:spacing w:before="0" w:after="283"/>
              <w:jc w:val="left"/>
              <w:rPr/>
            </w:pPr>
            <w:r>
              <w:rPr/>
            </w:r>
          </w:p>
        </w:tc>
        <w:tc>
          <w:tcPr>
            <w:tcW w:w="179" w:type="dxa"/>
            <w:tcBorders/>
            <w:vAlign w:val="bottom"/>
          </w:tcPr>
          <w:p>
            <w:pPr>
              <w:pStyle w:val="TableContents"/>
              <w:bidi w:val="0"/>
              <w:spacing w:before="0" w:after="283"/>
              <w:jc w:val="left"/>
              <w:rPr/>
            </w:pPr>
            <w:r>
              <w:rPr/>
              <w:t>$</w:t>
            </w:r>
          </w:p>
        </w:tc>
        <w:tc>
          <w:tcPr>
            <w:tcW w:w="955" w:type="dxa"/>
            <w:tcBorders/>
            <w:vAlign w:val="bottom"/>
          </w:tcPr>
          <w:p>
            <w:pPr>
              <w:pStyle w:val="TableContents"/>
              <w:bidi w:val="0"/>
              <w:spacing w:before="0" w:after="283"/>
              <w:jc w:val="right"/>
              <w:rPr/>
            </w:pPr>
            <w:r>
              <w:rPr/>
              <w:t>(0.34</w:t>
            </w:r>
          </w:p>
        </w:tc>
        <w:tc>
          <w:tcPr>
            <w:tcW w:w="125" w:type="dxa"/>
            <w:tcBorders/>
            <w:vAlign w:val="bottom"/>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r>
          </w:p>
        </w:tc>
        <w:tc>
          <w:tcPr>
            <w:tcW w:w="179" w:type="dxa"/>
            <w:tcBorders/>
            <w:vAlign w:val="bottom"/>
          </w:tcPr>
          <w:p>
            <w:pPr>
              <w:pStyle w:val="TableContents"/>
              <w:bidi w:val="0"/>
              <w:spacing w:before="0" w:after="283"/>
              <w:jc w:val="left"/>
              <w:rPr/>
            </w:pPr>
            <w:r>
              <w:rPr/>
              <w:t>$</w:t>
            </w:r>
          </w:p>
        </w:tc>
        <w:tc>
          <w:tcPr>
            <w:tcW w:w="912" w:type="dxa"/>
            <w:tcBorders/>
            <w:vAlign w:val="bottom"/>
          </w:tcPr>
          <w:p>
            <w:pPr>
              <w:pStyle w:val="TableContents"/>
              <w:bidi w:val="0"/>
              <w:spacing w:before="0" w:after="283"/>
              <w:jc w:val="right"/>
              <w:rPr/>
            </w:pPr>
            <w:r>
              <w:rPr/>
              <w:t>(0.70</w:t>
            </w:r>
          </w:p>
        </w:tc>
        <w:tc>
          <w:tcPr>
            <w:tcW w:w="117" w:type="dxa"/>
            <w:tcBorders/>
            <w:vAlign w:val="bottom"/>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31" w:type="dxa"/>
            <w:tcBorders/>
            <w:vAlign w:val="center"/>
          </w:tcPr>
          <w:p>
            <w:pPr>
              <w:pStyle w:val="TableContents"/>
              <w:bidi w:val="0"/>
              <w:spacing w:before="0" w:after="283"/>
              <w:jc w:val="right"/>
              <w:rPr/>
            </w:pPr>
            <w:r>
              <w:rPr/>
              <w:t>(0.70</w:t>
            </w:r>
          </w:p>
        </w:tc>
        <w:tc>
          <w:tcPr>
            <w:tcW w:w="108"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r>
          </w:p>
        </w:tc>
        <w:tc>
          <w:tcPr>
            <w:tcW w:w="143"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31" w:type="dxa"/>
            <w:tcBorders/>
            <w:vAlign w:val="center"/>
          </w:tcPr>
          <w:p>
            <w:pPr>
              <w:pStyle w:val="TableContents"/>
              <w:bidi w:val="0"/>
              <w:spacing w:before="0" w:after="283"/>
              <w:jc w:val="right"/>
              <w:rPr/>
            </w:pPr>
            <w:r>
              <w:rPr/>
              <w:t>(1.19</w:t>
            </w:r>
          </w:p>
        </w:tc>
        <w:tc>
          <w:tcPr>
            <w:tcW w:w="120" w:type="dxa"/>
            <w:tcBorders/>
            <w:vAlign w:val="center"/>
          </w:tcPr>
          <w:p>
            <w:pPr>
              <w:pStyle w:val="TableContents"/>
              <w:bidi w:val="0"/>
              <w:spacing w:before="0" w:after="283"/>
              <w:jc w:val="left"/>
              <w:rPr/>
            </w:pPr>
            <w:r>
              <w:rPr/>
              <w:t>)</w:t>
            </w:r>
          </w:p>
        </w:tc>
      </w:tr>
      <w:tr>
        <w:trPr/>
        <w:tc>
          <w:tcPr>
            <w:tcW w:w="4679" w:type="dxa"/>
            <w:tcBorders/>
            <w:shd w:fill="CCEEFF" w:val="clear"/>
            <w:vAlign w:val="bottom"/>
          </w:tcPr>
          <w:p>
            <w:pPr>
              <w:pStyle w:val="TableContents"/>
              <w:bidi w:val="0"/>
              <w:spacing w:before="0" w:after="283"/>
              <w:jc w:val="left"/>
              <w:rPr/>
            </w:pPr>
            <w:r>
              <w:rPr/>
              <w:t xml:space="preserve">    </w:t>
            </w:r>
            <w:r>
              <w:rPr/>
              <w:t>From discontinued operations</w:t>
            </w:r>
          </w:p>
        </w:tc>
        <w:tc>
          <w:tcPr>
            <w:tcW w:w="113" w:type="dxa"/>
            <w:tcBorders/>
            <w:shd w:fill="CCEEFF" w:val="clear"/>
            <w:vAlign w:val="bottom"/>
          </w:tcPr>
          <w:p>
            <w:pPr>
              <w:pStyle w:val="TableContents"/>
              <w:bidi w:val="0"/>
              <w:spacing w:before="0" w:after="283"/>
              <w:jc w:val="left"/>
              <w:rPr/>
            </w:pPr>
            <w:r>
              <w:rPr/>
            </w:r>
          </w:p>
        </w:tc>
        <w:tc>
          <w:tcPr>
            <w:tcW w:w="179" w:type="dxa"/>
            <w:tcBorders/>
            <w:shd w:fill="CCEEFF" w:val="clear"/>
            <w:vAlign w:val="bottom"/>
          </w:tcPr>
          <w:p>
            <w:pPr>
              <w:pStyle w:val="TableContents"/>
              <w:bidi w:val="0"/>
              <w:spacing w:before="0" w:after="283"/>
              <w:jc w:val="left"/>
              <w:rPr/>
            </w:pPr>
            <w:r>
              <w:rPr/>
            </w:r>
          </w:p>
        </w:tc>
        <w:tc>
          <w:tcPr>
            <w:tcW w:w="955" w:type="dxa"/>
            <w:tcBorders/>
            <w:shd w:fill="CCEEFF" w:val="clear"/>
            <w:vAlign w:val="bottom"/>
          </w:tcPr>
          <w:p>
            <w:pPr>
              <w:pStyle w:val="TableContents"/>
              <w:bidi w:val="0"/>
              <w:spacing w:before="0" w:after="283"/>
              <w:jc w:val="right"/>
              <w:rPr/>
            </w:pPr>
            <w:r>
              <w:rPr/>
              <w:t>0.00</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283"/>
              <w:jc w:val="left"/>
              <w:rPr/>
            </w:pPr>
            <w:r>
              <w:rPr/>
            </w:r>
          </w:p>
        </w:tc>
        <w:tc>
          <w:tcPr>
            <w:tcW w:w="179" w:type="dxa"/>
            <w:tcBorders/>
            <w:shd w:fill="CCEEFF" w:val="clear"/>
            <w:vAlign w:val="bottom"/>
          </w:tcPr>
          <w:p>
            <w:pPr>
              <w:pStyle w:val="TableContents"/>
              <w:bidi w:val="0"/>
              <w:spacing w:before="0" w:after="283"/>
              <w:jc w:val="left"/>
              <w:rPr/>
            </w:pPr>
            <w:r>
              <w:rPr/>
            </w:r>
          </w:p>
        </w:tc>
        <w:tc>
          <w:tcPr>
            <w:tcW w:w="912" w:type="dxa"/>
            <w:tcBorders/>
            <w:shd w:fill="CCEEFF" w:val="clear"/>
            <w:vAlign w:val="bottom"/>
          </w:tcPr>
          <w:p>
            <w:pPr>
              <w:pStyle w:val="TableContents"/>
              <w:bidi w:val="0"/>
              <w:spacing w:before="0" w:after="283"/>
              <w:jc w:val="right"/>
              <w:rPr/>
            </w:pPr>
            <w:r>
              <w:rPr/>
              <w:t>(1.94</w:t>
            </w:r>
          </w:p>
        </w:tc>
        <w:tc>
          <w:tcPr>
            <w:tcW w:w="117" w:type="dxa"/>
            <w:tcBorders/>
            <w:shd w:fill="CCEEFF" w:val="clear"/>
            <w:vAlign w:val="bottom"/>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right"/>
              <w:rPr/>
            </w:pPr>
            <w:r>
              <w:rPr/>
              <w:t>0.15</w:t>
            </w:r>
          </w:p>
        </w:tc>
        <w:tc>
          <w:tcPr>
            <w:tcW w:w="108" w:type="dxa"/>
            <w:tcBorders/>
            <w:shd w:fill="CCEEFF" w:val="clear"/>
            <w:vAlign w:val="center"/>
          </w:tcPr>
          <w:p>
            <w:pPr>
              <w:pStyle w:val="TableContents"/>
              <w:bidi w:val="0"/>
              <w:spacing w:before="0" w:after="283"/>
              <w:jc w:val="left"/>
              <w:rPr/>
            </w:pPr>
            <w:r>
              <w:rPr/>
            </w:r>
          </w:p>
        </w:tc>
        <w:tc>
          <w:tcPr>
            <w:tcW w:w="26"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right"/>
              <w:rPr/>
            </w:pPr>
            <w:r>
              <w:rPr/>
              <w:t>(3.19</w:t>
            </w:r>
          </w:p>
        </w:tc>
        <w:tc>
          <w:tcPr>
            <w:tcW w:w="120" w:type="dxa"/>
            <w:tcBorders/>
            <w:shd w:fill="CCEEFF" w:val="clear"/>
            <w:vAlign w:val="center"/>
          </w:tcPr>
          <w:p>
            <w:pPr>
              <w:pStyle w:val="TableContents"/>
              <w:bidi w:val="0"/>
              <w:spacing w:before="0" w:after="283"/>
              <w:jc w:val="left"/>
              <w:rPr/>
            </w:pPr>
            <w:r>
              <w:rPr/>
              <w:t>)</w:t>
            </w:r>
          </w:p>
        </w:tc>
      </w:tr>
      <w:tr>
        <w:trPr/>
        <w:tc>
          <w:tcPr>
            <w:tcW w:w="4679" w:type="dxa"/>
            <w:tcBorders/>
            <w:vAlign w:val="bottom"/>
          </w:tcPr>
          <w:p>
            <w:pPr>
              <w:pStyle w:val="TableContents"/>
              <w:bidi w:val="0"/>
              <w:spacing w:before="0" w:after="283"/>
              <w:jc w:val="left"/>
              <w:rPr/>
            </w:pPr>
            <w:r>
              <w:rPr/>
              <w:t>Total</w:t>
            </w:r>
          </w:p>
        </w:tc>
        <w:tc>
          <w:tcPr>
            <w:tcW w:w="113" w:type="dxa"/>
            <w:tcBorders/>
            <w:vAlign w:val="bottom"/>
          </w:tcPr>
          <w:p>
            <w:pPr>
              <w:pStyle w:val="TableContents"/>
              <w:bidi w:val="0"/>
              <w:spacing w:before="0" w:after="283"/>
              <w:jc w:val="left"/>
              <w:rPr/>
            </w:pPr>
            <w:r>
              <w:rPr/>
            </w:r>
          </w:p>
        </w:tc>
        <w:tc>
          <w:tcPr>
            <w:tcW w:w="179" w:type="dxa"/>
            <w:tcBorders/>
            <w:vAlign w:val="bottom"/>
          </w:tcPr>
          <w:p>
            <w:pPr>
              <w:pStyle w:val="TableContents"/>
              <w:bidi w:val="0"/>
              <w:spacing w:before="0" w:after="283"/>
              <w:jc w:val="left"/>
              <w:rPr/>
            </w:pPr>
            <w:r>
              <w:rPr/>
            </w:r>
          </w:p>
        </w:tc>
        <w:tc>
          <w:tcPr>
            <w:tcW w:w="955" w:type="dxa"/>
            <w:tcBorders/>
            <w:vAlign w:val="bottom"/>
          </w:tcPr>
          <w:p>
            <w:pPr>
              <w:pStyle w:val="TableContents"/>
              <w:bidi w:val="0"/>
              <w:spacing w:before="0" w:after="283"/>
              <w:jc w:val="right"/>
              <w:rPr/>
            </w:pPr>
            <w:r>
              <w:rPr/>
              <w:t>(0.34</w:t>
            </w:r>
          </w:p>
        </w:tc>
        <w:tc>
          <w:tcPr>
            <w:tcW w:w="125" w:type="dxa"/>
            <w:tcBorders/>
            <w:vAlign w:val="bottom"/>
          </w:tcPr>
          <w:p>
            <w:pPr>
              <w:pStyle w:val="TableContents"/>
              <w:bidi w:val="0"/>
              <w:spacing w:before="0" w:after="283"/>
              <w:jc w:val="left"/>
              <w:rPr/>
            </w:pPr>
            <w:r>
              <w:rPr/>
              <w:t>)</w:t>
            </w:r>
          </w:p>
        </w:tc>
        <w:tc>
          <w:tcPr>
            <w:tcW w:w="121" w:type="dxa"/>
            <w:tcBorders/>
            <w:vAlign w:val="bottom"/>
          </w:tcPr>
          <w:p>
            <w:pPr>
              <w:pStyle w:val="TableContents"/>
              <w:bidi w:val="0"/>
              <w:spacing w:before="0" w:after="283"/>
              <w:jc w:val="left"/>
              <w:rPr/>
            </w:pPr>
            <w:r>
              <w:rPr/>
            </w:r>
          </w:p>
        </w:tc>
        <w:tc>
          <w:tcPr>
            <w:tcW w:w="179" w:type="dxa"/>
            <w:tcBorders/>
            <w:vAlign w:val="bottom"/>
          </w:tcPr>
          <w:p>
            <w:pPr>
              <w:pStyle w:val="TableContents"/>
              <w:bidi w:val="0"/>
              <w:spacing w:before="0" w:after="283"/>
              <w:jc w:val="left"/>
              <w:rPr/>
            </w:pPr>
            <w:r>
              <w:rPr/>
            </w:r>
          </w:p>
        </w:tc>
        <w:tc>
          <w:tcPr>
            <w:tcW w:w="912" w:type="dxa"/>
            <w:tcBorders/>
            <w:vAlign w:val="bottom"/>
          </w:tcPr>
          <w:p>
            <w:pPr>
              <w:pStyle w:val="TableContents"/>
              <w:bidi w:val="0"/>
              <w:spacing w:before="0" w:after="283"/>
              <w:jc w:val="right"/>
              <w:rPr/>
            </w:pPr>
            <w:r>
              <w:rPr/>
              <w:t>(2.64</w:t>
            </w:r>
          </w:p>
        </w:tc>
        <w:tc>
          <w:tcPr>
            <w:tcW w:w="117" w:type="dxa"/>
            <w:tcBorders/>
            <w:vAlign w:val="bottom"/>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right"/>
              <w:rPr/>
            </w:pPr>
            <w:r>
              <w:rPr/>
              <w:t>(0.55</w:t>
            </w:r>
          </w:p>
        </w:tc>
        <w:tc>
          <w:tcPr>
            <w:tcW w:w="108"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right"/>
              <w:rPr/>
            </w:pPr>
            <w:r>
              <w:rPr/>
              <w:t>(4.38</w:t>
            </w:r>
          </w:p>
        </w:tc>
        <w:tc>
          <w:tcPr>
            <w:tcW w:w="120" w:type="dxa"/>
            <w:tcBorders/>
            <w:vAlign w:val="center"/>
          </w:tcPr>
          <w:p>
            <w:pPr>
              <w:pStyle w:val="TableContents"/>
              <w:bidi w:val="0"/>
              <w:spacing w:before="0" w:after="283"/>
              <w:jc w:val="left"/>
              <w:rPr/>
            </w:pPr>
            <w:r>
              <w:rPr/>
              <w:t>)</w:t>
            </w:r>
          </w:p>
        </w:tc>
      </w:tr>
      <w:tr>
        <w:trPr/>
        <w:tc>
          <w:tcPr>
            <w:tcW w:w="4679" w:type="dxa"/>
            <w:tcBorders/>
            <w:shd w:fill="CCEEFF" w:val="clear"/>
            <w:vAlign w:val="bottom"/>
          </w:tcPr>
          <w:p>
            <w:pPr>
              <w:pStyle w:val="TableContents"/>
              <w:bidi w:val="0"/>
              <w:spacing w:before="0" w:after="283"/>
              <w:jc w:val="left"/>
              <w:rPr/>
            </w:pPr>
            <w:r>
              <w:rPr/>
            </w:r>
          </w:p>
        </w:tc>
        <w:tc>
          <w:tcPr>
            <w:tcW w:w="113" w:type="dxa"/>
            <w:tcBorders/>
            <w:shd w:fill="CCEEFF" w:val="clear"/>
            <w:vAlign w:val="bottom"/>
          </w:tcPr>
          <w:p>
            <w:pPr>
              <w:pStyle w:val="TableContents"/>
              <w:bidi w:val="0"/>
              <w:spacing w:before="0" w:after="283"/>
              <w:jc w:val="left"/>
              <w:rPr/>
            </w:pPr>
            <w:r>
              <w:rPr/>
            </w:r>
          </w:p>
        </w:tc>
        <w:tc>
          <w:tcPr>
            <w:tcW w:w="179" w:type="dxa"/>
            <w:tcBorders/>
            <w:shd w:fill="CCEEFF" w:val="clear"/>
            <w:vAlign w:val="bottom"/>
          </w:tcPr>
          <w:p>
            <w:pPr>
              <w:pStyle w:val="TableContents"/>
              <w:bidi w:val="0"/>
              <w:spacing w:before="0" w:after="283"/>
              <w:jc w:val="left"/>
              <w:rPr/>
            </w:pPr>
            <w:r>
              <w:rPr/>
            </w:r>
          </w:p>
        </w:tc>
        <w:tc>
          <w:tcPr>
            <w:tcW w:w="955" w:type="dxa"/>
            <w:tcBorders/>
            <w:shd w:fill="CCEEFF" w:val="clear"/>
            <w:vAlign w:val="bottom"/>
          </w:tcPr>
          <w:p>
            <w:pPr>
              <w:pStyle w:val="TableContents"/>
              <w:bidi w:val="0"/>
              <w:spacing w:before="0" w:after="283"/>
              <w:jc w:val="left"/>
              <w:rPr/>
            </w:pPr>
            <w:r>
              <w:rPr/>
            </w:r>
          </w:p>
        </w:tc>
        <w:tc>
          <w:tcPr>
            <w:tcW w:w="125" w:type="dxa"/>
            <w:tcBorders/>
            <w:shd w:fill="CCEEFF" w:val="clear"/>
            <w:vAlign w:val="bottom"/>
          </w:tcPr>
          <w:p>
            <w:pPr>
              <w:pStyle w:val="TableContents"/>
              <w:bidi w:val="0"/>
              <w:spacing w:before="0" w:after="283"/>
              <w:jc w:val="left"/>
              <w:rPr/>
            </w:pPr>
            <w:r>
              <w:rPr/>
            </w:r>
          </w:p>
        </w:tc>
        <w:tc>
          <w:tcPr>
            <w:tcW w:w="121" w:type="dxa"/>
            <w:tcBorders/>
            <w:shd w:fill="CCEEFF" w:val="clear"/>
            <w:vAlign w:val="bottom"/>
          </w:tcPr>
          <w:p>
            <w:pPr>
              <w:pStyle w:val="TableContents"/>
              <w:bidi w:val="0"/>
              <w:spacing w:before="0" w:after="283"/>
              <w:jc w:val="left"/>
              <w:rPr/>
            </w:pPr>
            <w:r>
              <w:rPr/>
            </w:r>
          </w:p>
        </w:tc>
        <w:tc>
          <w:tcPr>
            <w:tcW w:w="179" w:type="dxa"/>
            <w:tcBorders/>
            <w:shd w:fill="CCEEFF" w:val="clear"/>
            <w:vAlign w:val="bottom"/>
          </w:tcPr>
          <w:p>
            <w:pPr>
              <w:pStyle w:val="TableContents"/>
              <w:bidi w:val="0"/>
              <w:spacing w:before="0" w:after="283"/>
              <w:jc w:val="left"/>
              <w:rPr/>
            </w:pPr>
            <w:r>
              <w:rPr/>
            </w:r>
          </w:p>
        </w:tc>
        <w:tc>
          <w:tcPr>
            <w:tcW w:w="912" w:type="dxa"/>
            <w:tcBorders/>
            <w:shd w:fill="CCEEFF" w:val="clear"/>
            <w:vAlign w:val="bottom"/>
          </w:tcPr>
          <w:p>
            <w:pPr>
              <w:pStyle w:val="TableContents"/>
              <w:bidi w:val="0"/>
              <w:spacing w:before="0" w:after="283"/>
              <w:jc w:val="left"/>
              <w:rPr/>
            </w:pPr>
            <w:r>
              <w:rPr/>
            </w:r>
          </w:p>
        </w:tc>
        <w:tc>
          <w:tcPr>
            <w:tcW w:w="117" w:type="dxa"/>
            <w:tcBorders/>
            <w:shd w:fill="CCEEFF" w:val="clear"/>
            <w:vAlign w:val="bottom"/>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left"/>
              <w:rPr/>
            </w:pPr>
            <w:r>
              <w:rPr/>
            </w:r>
          </w:p>
        </w:tc>
        <w:tc>
          <w:tcPr>
            <w:tcW w:w="108" w:type="dxa"/>
            <w:tcBorders/>
            <w:shd w:fill="CCEEFF" w:val="clear"/>
            <w:vAlign w:val="center"/>
          </w:tcPr>
          <w:p>
            <w:pPr>
              <w:pStyle w:val="TableContents"/>
              <w:bidi w:val="0"/>
              <w:spacing w:before="0" w:after="283"/>
              <w:jc w:val="left"/>
              <w:rPr/>
            </w:pPr>
            <w:r>
              <w:rPr/>
            </w:r>
          </w:p>
        </w:tc>
        <w:tc>
          <w:tcPr>
            <w:tcW w:w="26"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left"/>
              <w:rPr/>
            </w:pPr>
            <w:r>
              <w:rPr/>
            </w:r>
          </w:p>
        </w:tc>
        <w:tc>
          <w:tcPr>
            <w:tcW w:w="120" w:type="dxa"/>
            <w:tcBorders/>
            <w:shd w:fill="CCEEFF" w:val="clear"/>
            <w:vAlign w:val="center"/>
          </w:tcPr>
          <w:p>
            <w:pPr>
              <w:pStyle w:val="TableContents"/>
              <w:bidi w:val="0"/>
              <w:spacing w:before="0" w:after="283"/>
              <w:jc w:val="left"/>
              <w:rPr/>
            </w:pPr>
            <w:r>
              <w:rPr/>
            </w:r>
          </w:p>
        </w:tc>
      </w:tr>
      <w:tr>
        <w:trPr/>
        <w:tc>
          <w:tcPr>
            <w:tcW w:w="4679" w:type="dxa"/>
            <w:tcBorders/>
            <w:vAlign w:val="bottom"/>
          </w:tcPr>
          <w:p>
            <w:pPr>
              <w:pStyle w:val="TableContents"/>
              <w:widowControl/>
              <w:bidi w:val="0"/>
              <w:spacing w:before="0" w:after="0"/>
              <w:ind w:left="0" w:right="0" w:hanging="0"/>
              <w:jc w:val="left"/>
              <w:rPr>
                <w:rFonts w:ascii="Times New Roman" w:hAnsi="Times New Roman"/>
                <w:sz w:val="20"/>
              </w:rPr>
            </w:pPr>
            <w:r>
              <w:rPr>
                <w:rFonts w:ascii="Times New Roman" w:hAnsi="Times New Roman"/>
                <w:sz w:val="20"/>
              </w:rPr>
              <w:t>Diluted </w:t>
            </w:r>
            <w:r>
              <w:rPr>
                <w:rFonts w:ascii="Times New Roman" w:hAnsi="Times New Roman"/>
                <w:b w:val="false"/>
                <w:i w:val="false"/>
                <w:caps w:val="false"/>
                <w:smallCaps w:val="false"/>
                <w:color w:val="000000"/>
                <w:spacing w:val="0"/>
                <w:sz w:val="20"/>
              </w:rPr>
              <w:t>income (loss)</w:t>
            </w:r>
            <w:r>
              <w:rPr>
                <w:rFonts w:ascii="Times New Roman" w:hAnsi="Times New Roman"/>
                <w:sz w:val="20"/>
              </w:rPr>
              <w:t xml:space="preserve"> per share </w:t>
            </w:r>
          </w:p>
        </w:tc>
        <w:tc>
          <w:tcPr>
            <w:tcW w:w="113"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r>
          </w:p>
        </w:tc>
        <w:tc>
          <w:tcPr>
            <w:tcW w:w="955" w:type="dxa"/>
            <w:tcBorders/>
            <w:vAlign w:val="bottom"/>
          </w:tcPr>
          <w:p>
            <w:pPr>
              <w:pStyle w:val="TableContents"/>
              <w:bidi w:val="0"/>
              <w:spacing w:before="0" w:after="0"/>
              <w:ind w:left="0" w:right="0" w:hanging="0"/>
              <w:jc w:val="left"/>
              <w:rPr/>
            </w:pPr>
            <w:r>
              <w:rPr/>
            </w:r>
          </w:p>
        </w:tc>
        <w:tc>
          <w:tcPr>
            <w:tcW w:w="12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pPr>
            <w:r>
              <w:rPr/>
            </w:r>
          </w:p>
        </w:tc>
        <w:tc>
          <w:tcPr>
            <w:tcW w:w="912" w:type="dxa"/>
            <w:tcBorders/>
            <w:vAlign w:val="bottom"/>
          </w:tcPr>
          <w:p>
            <w:pPr>
              <w:pStyle w:val="TableContents"/>
              <w:bidi w:val="0"/>
              <w:spacing w:before="0" w:after="0"/>
              <w:ind w:left="0" w:right="0" w:hanging="0"/>
              <w:jc w:val="left"/>
              <w:rPr/>
            </w:pPr>
            <w:r>
              <w:rPr/>
            </w:r>
          </w:p>
        </w:tc>
        <w:tc>
          <w:tcPr>
            <w:tcW w:w="117" w:type="dxa"/>
            <w:tcBorders/>
            <w:vAlign w:val="bottom"/>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left"/>
              <w:rPr/>
            </w:pPr>
            <w:r>
              <w:rPr/>
            </w:r>
          </w:p>
        </w:tc>
        <w:tc>
          <w:tcPr>
            <w:tcW w:w="108" w:type="dxa"/>
            <w:tcBorders/>
            <w:vAlign w:val="center"/>
          </w:tcPr>
          <w:p>
            <w:pPr>
              <w:pStyle w:val="TableContents"/>
              <w:bidi w:val="0"/>
              <w:spacing w:before="0" w:after="283"/>
              <w:jc w:val="left"/>
              <w:rPr/>
            </w:pPr>
            <w:r>
              <w:rPr/>
            </w:r>
          </w:p>
        </w:tc>
        <w:tc>
          <w:tcPr>
            <w:tcW w:w="26"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r>
          </w:p>
        </w:tc>
      </w:tr>
      <w:tr>
        <w:trPr/>
        <w:tc>
          <w:tcPr>
            <w:tcW w:w="4679" w:type="dxa"/>
            <w:tcBorders/>
            <w:shd w:fill="CCEEFF" w:val="clear"/>
            <w:vAlign w:val="bottom"/>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   </w:t>
            </w:r>
            <w:r>
              <w:rPr>
                <w:rFonts w:ascii="times new roman" w:hAnsi="times new roman"/>
                <w:b w:val="false"/>
                <w:i w:val="false"/>
                <w:caps w:val="false"/>
                <w:smallCaps w:val="false"/>
                <w:color w:val="000000"/>
                <w:spacing w:val="0"/>
                <w:sz w:val="20"/>
              </w:rPr>
              <w:t>From continuing operations</w:t>
            </w:r>
          </w:p>
        </w:tc>
        <w:tc>
          <w:tcPr>
            <w:tcW w:w="113" w:type="dxa"/>
            <w:tcBorders/>
            <w:shd w:fill="CCEEFF" w:val="clear"/>
            <w:vAlign w:val="bottom"/>
          </w:tcPr>
          <w:p>
            <w:pPr>
              <w:pStyle w:val="TableContents"/>
              <w:bidi w:val="0"/>
              <w:spacing w:before="0" w:after="283"/>
              <w:jc w:val="left"/>
              <w:rPr/>
            </w:pPr>
            <w:r>
              <w:rPr/>
            </w:r>
          </w:p>
        </w:tc>
        <w:tc>
          <w:tcPr>
            <w:tcW w:w="179" w:type="dxa"/>
            <w:tcBorders/>
            <w:shd w:fill="CCEEFF" w:val="clear"/>
            <w:vAlign w:val="bottom"/>
          </w:tcPr>
          <w:p>
            <w:pPr>
              <w:pStyle w:val="TableContents"/>
              <w:bidi w:val="0"/>
              <w:spacing w:before="0" w:after="283"/>
              <w:jc w:val="left"/>
              <w:rPr/>
            </w:pPr>
            <w:r>
              <w:rPr/>
              <w:t>$</w:t>
            </w:r>
          </w:p>
        </w:tc>
        <w:tc>
          <w:tcPr>
            <w:tcW w:w="955" w:type="dxa"/>
            <w:tcBorders/>
            <w:shd w:fill="CCEEFF" w:val="clear"/>
            <w:vAlign w:val="bottom"/>
          </w:tcPr>
          <w:p>
            <w:pPr>
              <w:pStyle w:val="TableContents"/>
              <w:bidi w:val="0"/>
              <w:spacing w:before="0" w:after="283"/>
              <w:jc w:val="right"/>
              <w:rPr/>
            </w:pPr>
            <w:r>
              <w:rPr/>
              <w:t>(0.34</w:t>
            </w:r>
          </w:p>
        </w:tc>
        <w:tc>
          <w:tcPr>
            <w:tcW w:w="125" w:type="dxa"/>
            <w:tcBorders/>
            <w:shd w:fill="CCEEFF" w:val="clear"/>
            <w:vAlign w:val="bottom"/>
          </w:tcPr>
          <w:p>
            <w:pPr>
              <w:pStyle w:val="TableContents"/>
              <w:bidi w:val="0"/>
              <w:spacing w:before="0" w:after="283"/>
              <w:jc w:val="left"/>
              <w:rPr/>
            </w:pPr>
            <w:r>
              <w:rPr/>
              <w:t>)</w:t>
            </w:r>
          </w:p>
        </w:tc>
        <w:tc>
          <w:tcPr>
            <w:tcW w:w="121" w:type="dxa"/>
            <w:tcBorders/>
            <w:shd w:fill="CCEEFF" w:val="clear"/>
            <w:vAlign w:val="bottom"/>
          </w:tcPr>
          <w:p>
            <w:pPr>
              <w:pStyle w:val="TableContents"/>
              <w:bidi w:val="0"/>
              <w:spacing w:before="0" w:after="283"/>
              <w:jc w:val="left"/>
              <w:rPr/>
            </w:pPr>
            <w:r>
              <w:rPr/>
            </w:r>
          </w:p>
        </w:tc>
        <w:tc>
          <w:tcPr>
            <w:tcW w:w="179" w:type="dxa"/>
            <w:tcBorders/>
            <w:shd w:fill="CCEEFF" w:val="clear"/>
            <w:vAlign w:val="bottom"/>
          </w:tcPr>
          <w:p>
            <w:pPr>
              <w:pStyle w:val="TableContents"/>
              <w:bidi w:val="0"/>
              <w:spacing w:before="0" w:after="283"/>
              <w:jc w:val="left"/>
              <w:rPr/>
            </w:pPr>
            <w:r>
              <w:rPr/>
              <w:t>$</w:t>
            </w:r>
          </w:p>
        </w:tc>
        <w:tc>
          <w:tcPr>
            <w:tcW w:w="912" w:type="dxa"/>
            <w:tcBorders/>
            <w:shd w:fill="CCEEFF" w:val="clear"/>
            <w:vAlign w:val="bottom"/>
          </w:tcPr>
          <w:p>
            <w:pPr>
              <w:pStyle w:val="TableContents"/>
              <w:bidi w:val="0"/>
              <w:spacing w:before="0" w:after="283"/>
              <w:jc w:val="right"/>
              <w:rPr/>
            </w:pPr>
            <w:r>
              <w:rPr/>
              <w:t>(0.70</w:t>
            </w:r>
          </w:p>
        </w:tc>
        <w:tc>
          <w:tcPr>
            <w:tcW w:w="117" w:type="dxa"/>
            <w:tcBorders/>
            <w:shd w:fill="CCEEFF" w:val="clear"/>
            <w:vAlign w:val="bottom"/>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31" w:type="dxa"/>
            <w:tcBorders/>
            <w:shd w:fill="CCEEFF" w:val="clear"/>
            <w:vAlign w:val="center"/>
          </w:tcPr>
          <w:p>
            <w:pPr>
              <w:pStyle w:val="TableContents"/>
              <w:bidi w:val="0"/>
              <w:spacing w:before="0" w:after="283"/>
              <w:jc w:val="right"/>
              <w:rPr/>
            </w:pPr>
            <w:r>
              <w:rPr/>
              <w:t>(0.70</w:t>
            </w:r>
          </w:p>
        </w:tc>
        <w:tc>
          <w:tcPr>
            <w:tcW w:w="108"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31" w:type="dxa"/>
            <w:tcBorders/>
            <w:shd w:fill="CCEEFF" w:val="clear"/>
            <w:vAlign w:val="center"/>
          </w:tcPr>
          <w:p>
            <w:pPr>
              <w:pStyle w:val="TableContents"/>
              <w:bidi w:val="0"/>
              <w:spacing w:before="0" w:after="283"/>
              <w:jc w:val="right"/>
              <w:rPr/>
            </w:pPr>
            <w:r>
              <w:rPr/>
              <w:t>(1.19</w:t>
            </w:r>
          </w:p>
        </w:tc>
        <w:tc>
          <w:tcPr>
            <w:tcW w:w="120" w:type="dxa"/>
            <w:tcBorders/>
            <w:shd w:fill="CCEEFF" w:val="clear"/>
            <w:vAlign w:val="center"/>
          </w:tcPr>
          <w:p>
            <w:pPr>
              <w:pStyle w:val="TableContents"/>
              <w:bidi w:val="0"/>
              <w:spacing w:before="0" w:after="283"/>
              <w:jc w:val="left"/>
              <w:rPr/>
            </w:pPr>
            <w:r>
              <w:rPr/>
              <w:t>)</w:t>
            </w:r>
          </w:p>
        </w:tc>
      </w:tr>
      <w:tr>
        <w:trPr/>
        <w:tc>
          <w:tcPr>
            <w:tcW w:w="4679" w:type="dxa"/>
            <w:tcBorders/>
            <w:vAlign w:val="bottom"/>
          </w:tcPr>
          <w:p>
            <w:pPr>
              <w:pStyle w:val="TableContents"/>
              <w:widowControl/>
              <w:bidi w:val="0"/>
              <w:spacing w:before="0" w:after="283"/>
              <w:ind w:left="0" w:right="0" w:hanging="0"/>
              <w:jc w:val="left"/>
              <w:rPr>
                <w:caps w:val="false"/>
                <w:smallCaps w:val="false"/>
                <w:color w:val="000000"/>
                <w:spacing w:val="0"/>
              </w:rPr>
            </w:pPr>
            <w:r>
              <w:rPr>
                <w:caps w:val="false"/>
                <w:smallCaps w:val="false"/>
                <w:color w:val="000000"/>
                <w:spacing w:val="0"/>
              </w:rPr>
              <w:t>   </w:t>
            </w:r>
            <w:r>
              <w:rPr>
                <w:rFonts w:ascii="times new roman" w:hAnsi="times new roman"/>
                <w:b w:val="false"/>
                <w:i w:val="false"/>
                <w:caps w:val="false"/>
                <w:smallCaps w:val="false"/>
                <w:color w:val="000000"/>
                <w:spacing w:val="0"/>
                <w:sz w:val="20"/>
              </w:rPr>
              <w:t>From discontinued operations</w:t>
            </w:r>
          </w:p>
        </w:tc>
        <w:tc>
          <w:tcPr>
            <w:tcW w:w="113" w:type="dxa"/>
            <w:tcBorders/>
            <w:vAlign w:val="bottom"/>
          </w:tcPr>
          <w:p>
            <w:pPr>
              <w:pStyle w:val="TableContents"/>
              <w:bidi w:val="0"/>
              <w:spacing w:before="0" w:after="283"/>
              <w:jc w:val="left"/>
              <w:rPr/>
            </w:pPr>
            <w:r>
              <w:rPr/>
            </w:r>
          </w:p>
        </w:tc>
        <w:tc>
          <w:tcPr>
            <w:tcW w:w="179" w:type="dxa"/>
            <w:tcBorders/>
            <w:vAlign w:val="bottom"/>
          </w:tcPr>
          <w:p>
            <w:pPr>
              <w:pStyle w:val="TableContents"/>
              <w:bidi w:val="0"/>
              <w:spacing w:before="0" w:after="283"/>
              <w:jc w:val="left"/>
              <w:rPr/>
            </w:pPr>
            <w:r>
              <w:rPr/>
            </w:r>
          </w:p>
        </w:tc>
        <w:tc>
          <w:tcPr>
            <w:tcW w:w="955" w:type="dxa"/>
            <w:tcBorders/>
            <w:vAlign w:val="bottom"/>
          </w:tcPr>
          <w:p>
            <w:pPr>
              <w:pStyle w:val="TableContents"/>
              <w:bidi w:val="0"/>
              <w:spacing w:before="0" w:after="283"/>
              <w:jc w:val="right"/>
              <w:rPr/>
            </w:pPr>
            <w:r>
              <w:rPr/>
              <w:t>0.00</w:t>
            </w:r>
          </w:p>
        </w:tc>
        <w:tc>
          <w:tcPr>
            <w:tcW w:w="125" w:type="dxa"/>
            <w:tcBorders/>
            <w:vAlign w:val="bottom"/>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r>
          </w:p>
        </w:tc>
        <w:tc>
          <w:tcPr>
            <w:tcW w:w="179" w:type="dxa"/>
            <w:tcBorders/>
            <w:vAlign w:val="bottom"/>
          </w:tcPr>
          <w:p>
            <w:pPr>
              <w:pStyle w:val="TableContents"/>
              <w:bidi w:val="0"/>
              <w:spacing w:before="0" w:after="283"/>
              <w:jc w:val="left"/>
              <w:rPr/>
            </w:pPr>
            <w:r>
              <w:rPr/>
            </w:r>
          </w:p>
        </w:tc>
        <w:tc>
          <w:tcPr>
            <w:tcW w:w="912" w:type="dxa"/>
            <w:tcBorders/>
            <w:vAlign w:val="bottom"/>
          </w:tcPr>
          <w:p>
            <w:pPr>
              <w:pStyle w:val="TableContents"/>
              <w:bidi w:val="0"/>
              <w:spacing w:before="0" w:after="283"/>
              <w:jc w:val="right"/>
              <w:rPr/>
            </w:pPr>
            <w:r>
              <w:rPr/>
              <w:t>(1.94</w:t>
            </w:r>
          </w:p>
        </w:tc>
        <w:tc>
          <w:tcPr>
            <w:tcW w:w="117" w:type="dxa"/>
            <w:tcBorders/>
            <w:vAlign w:val="bottom"/>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right"/>
              <w:rPr/>
            </w:pPr>
            <w:r>
              <w:rPr/>
              <w:t>0.15</w:t>
            </w:r>
          </w:p>
        </w:tc>
        <w:tc>
          <w:tcPr>
            <w:tcW w:w="108" w:type="dxa"/>
            <w:tcBorders/>
            <w:vAlign w:val="center"/>
          </w:tcPr>
          <w:p>
            <w:pPr>
              <w:pStyle w:val="TableContents"/>
              <w:bidi w:val="0"/>
              <w:spacing w:before="0" w:after="283"/>
              <w:jc w:val="left"/>
              <w:rPr/>
            </w:pPr>
            <w:r>
              <w:rPr/>
            </w:r>
          </w:p>
        </w:tc>
        <w:tc>
          <w:tcPr>
            <w:tcW w:w="26"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right"/>
              <w:rPr/>
            </w:pPr>
            <w:r>
              <w:rPr/>
              <w:t>(3.19</w:t>
            </w:r>
          </w:p>
        </w:tc>
        <w:tc>
          <w:tcPr>
            <w:tcW w:w="120" w:type="dxa"/>
            <w:tcBorders/>
            <w:vAlign w:val="center"/>
          </w:tcPr>
          <w:p>
            <w:pPr>
              <w:pStyle w:val="TableContents"/>
              <w:bidi w:val="0"/>
              <w:spacing w:before="0" w:after="283"/>
              <w:jc w:val="left"/>
              <w:rPr/>
            </w:pPr>
            <w:r>
              <w:rPr/>
              <w:t>)</w:t>
            </w:r>
          </w:p>
        </w:tc>
      </w:tr>
      <w:tr>
        <w:trPr/>
        <w:tc>
          <w:tcPr>
            <w:tcW w:w="4679" w:type="dxa"/>
            <w:tcBorders/>
            <w:shd w:fill="CCEEFF" w:val="clear"/>
            <w:vAlign w:val="bottom"/>
          </w:tcPr>
          <w:p>
            <w:pPr>
              <w:pStyle w:val="TableContents"/>
              <w:bidi w:val="0"/>
              <w:spacing w:before="0" w:after="0"/>
              <w:ind w:left="0" w:right="0" w:hanging="0"/>
              <w:jc w:val="left"/>
              <w:rPr/>
            </w:pPr>
            <w:r>
              <w:rPr/>
              <w:t>Total</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55"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(0.34</w:t>
            </w:r>
          </w:p>
        </w:tc>
        <w:tc>
          <w:tcPr>
            <w:tcW w:w="125" w:type="dxa"/>
            <w:tcBorders/>
            <w:shd w:fill="CCEEFF" w:val="clear"/>
            <w:vAlign w:val="bottom"/>
          </w:tcPr>
          <w:p>
            <w:pPr>
              <w:pStyle w:val="TableContents"/>
              <w:bidi w:val="0"/>
              <w:spacing w:before="0" w:after="283"/>
              <w:jc w:val="left"/>
              <w:rPr/>
            </w:pPr>
            <w:r>
              <w:rPr/>
              <w:t>)</w:t>
            </w:r>
          </w:p>
        </w:tc>
        <w:tc>
          <w:tcPr>
            <w:tcW w:w="121"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12"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w:t>
            </w:r>
          </w:p>
        </w:tc>
        <w:tc>
          <w:tcPr>
            <w:tcW w:w="117" w:type="dxa"/>
            <w:tcBorders/>
            <w:shd w:fill="CCEEFF" w:val="clear"/>
            <w:vAlign w:val="bottom"/>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right"/>
              <w:rPr/>
            </w:pPr>
            <w:r>
              <w:rPr/>
              <w:t>(0.55</w:t>
            </w:r>
          </w:p>
        </w:tc>
        <w:tc>
          <w:tcPr>
            <w:tcW w:w="108" w:type="dxa"/>
            <w:tcBorders/>
            <w:shd w:fill="CCEEFF" w:val="clear"/>
            <w:vAlign w:val="center"/>
          </w:tcPr>
          <w:p>
            <w:pPr>
              <w:pStyle w:val="TableContents"/>
              <w:bidi w:val="0"/>
              <w:spacing w:before="0" w:after="283"/>
              <w:jc w:val="left"/>
              <w:rPr/>
            </w:pPr>
            <w:r>
              <w:rPr/>
              <w:t>)</w:t>
            </w:r>
          </w:p>
        </w:tc>
        <w:tc>
          <w:tcPr>
            <w:tcW w:w="26"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right"/>
              <w:rPr/>
            </w:pPr>
            <w:r>
              <w:rPr/>
              <w:t>(4.38</w:t>
            </w:r>
          </w:p>
        </w:tc>
        <w:tc>
          <w:tcPr>
            <w:tcW w:w="120" w:type="dxa"/>
            <w:tcBorders/>
            <w:shd w:fill="CCEEFF" w:val="clear"/>
            <w:vAlign w:val="center"/>
          </w:tcPr>
          <w:p>
            <w:pPr>
              <w:pStyle w:val="TableContents"/>
              <w:bidi w:val="0"/>
              <w:spacing w:before="0" w:after="283"/>
              <w:jc w:val="left"/>
              <w:rPr/>
            </w:pPr>
            <w:r>
              <w:rPr/>
              <w:t>)</w:t>
            </w:r>
          </w:p>
        </w:tc>
      </w:tr>
      <w:tr>
        <w:trPr/>
        <w:tc>
          <w:tcPr>
            <w:tcW w:w="4679" w:type="dxa"/>
            <w:tcBorders/>
            <w:vAlign w:val="bottom"/>
          </w:tcPr>
          <w:p>
            <w:pPr>
              <w:pStyle w:val="TableContents"/>
              <w:bidi w:val="0"/>
              <w:spacing w:before="0" w:after="283"/>
              <w:jc w:val="left"/>
              <w:rPr/>
            </w:pPr>
            <w:r>
              <w:rPr/>
            </w:r>
          </w:p>
        </w:tc>
        <w:tc>
          <w:tcPr>
            <w:tcW w:w="113" w:type="dxa"/>
            <w:tcBorders/>
            <w:vAlign w:val="bottom"/>
          </w:tcPr>
          <w:p>
            <w:pPr>
              <w:pStyle w:val="TableContents"/>
              <w:bidi w:val="0"/>
              <w:spacing w:before="0" w:after="283"/>
              <w:jc w:val="left"/>
              <w:rPr/>
            </w:pPr>
            <w:r>
              <w:rPr/>
            </w:r>
          </w:p>
        </w:tc>
        <w:tc>
          <w:tcPr>
            <w:tcW w:w="179" w:type="dxa"/>
            <w:tcBorders/>
            <w:vAlign w:val="bottom"/>
          </w:tcPr>
          <w:p>
            <w:pPr>
              <w:pStyle w:val="TableContents"/>
              <w:bidi w:val="0"/>
              <w:spacing w:before="0" w:after="283"/>
              <w:jc w:val="left"/>
              <w:rPr/>
            </w:pPr>
            <w:r>
              <w:rPr/>
            </w:r>
          </w:p>
        </w:tc>
        <w:tc>
          <w:tcPr>
            <w:tcW w:w="955"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121" w:type="dxa"/>
            <w:tcBorders/>
            <w:vAlign w:val="bottom"/>
          </w:tcPr>
          <w:p>
            <w:pPr>
              <w:pStyle w:val="TableContents"/>
              <w:bidi w:val="0"/>
              <w:spacing w:before="0" w:after="283"/>
              <w:jc w:val="left"/>
              <w:rPr/>
            </w:pPr>
            <w:r>
              <w:rPr/>
            </w:r>
          </w:p>
        </w:tc>
        <w:tc>
          <w:tcPr>
            <w:tcW w:w="179" w:type="dxa"/>
            <w:tcBorders/>
            <w:vAlign w:val="bottom"/>
          </w:tcPr>
          <w:p>
            <w:pPr>
              <w:pStyle w:val="TableContents"/>
              <w:bidi w:val="0"/>
              <w:spacing w:before="0" w:after="283"/>
              <w:jc w:val="left"/>
              <w:rPr/>
            </w:pPr>
            <w:r>
              <w:rPr/>
            </w:r>
          </w:p>
        </w:tc>
        <w:tc>
          <w:tcPr>
            <w:tcW w:w="912" w:type="dxa"/>
            <w:tcBorders/>
            <w:vAlign w:val="bottom"/>
          </w:tcPr>
          <w:p>
            <w:pPr>
              <w:pStyle w:val="TableContents"/>
              <w:bidi w:val="0"/>
              <w:spacing w:before="0" w:after="283"/>
              <w:jc w:val="left"/>
              <w:rPr/>
            </w:pPr>
            <w:r>
              <w:rPr/>
            </w:r>
          </w:p>
        </w:tc>
        <w:tc>
          <w:tcPr>
            <w:tcW w:w="117" w:type="dxa"/>
            <w:tcBorders/>
            <w:vAlign w:val="bottom"/>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left"/>
              <w:rPr/>
            </w:pPr>
            <w:r>
              <w:rPr/>
            </w:r>
          </w:p>
        </w:tc>
        <w:tc>
          <w:tcPr>
            <w:tcW w:w="108" w:type="dxa"/>
            <w:tcBorders/>
            <w:vAlign w:val="center"/>
          </w:tcPr>
          <w:p>
            <w:pPr>
              <w:pStyle w:val="TableContents"/>
              <w:bidi w:val="0"/>
              <w:spacing w:before="0" w:after="283"/>
              <w:jc w:val="left"/>
              <w:rPr/>
            </w:pPr>
            <w:r>
              <w:rPr/>
            </w:r>
          </w:p>
        </w:tc>
        <w:tc>
          <w:tcPr>
            <w:tcW w:w="26"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283"/>
              <w:jc w:val="left"/>
              <w:rPr/>
            </w:pPr>
            <w:r>
              <w:rPr/>
            </w:r>
          </w:p>
        </w:tc>
        <w:tc>
          <w:tcPr>
            <w:tcW w:w="1131" w:type="dxa"/>
            <w:tcBorders/>
            <w:vAlign w:val="center"/>
          </w:tcPr>
          <w:p>
            <w:pPr>
              <w:pStyle w:val="TableContents"/>
              <w:bidi w:val="0"/>
              <w:spacing w:before="0" w:after="283"/>
              <w:jc w:val="left"/>
              <w:rPr/>
            </w:pPr>
            <w:r>
              <w:rPr/>
            </w:r>
          </w:p>
        </w:tc>
        <w:tc>
          <w:tcPr>
            <w:tcW w:w="120" w:type="dxa"/>
            <w:tcBorders/>
            <w:vAlign w:val="center"/>
          </w:tcPr>
          <w:p>
            <w:pPr>
              <w:pStyle w:val="TableContents"/>
              <w:bidi w:val="0"/>
              <w:spacing w:before="0" w:after="283"/>
              <w:jc w:val="left"/>
              <w:rPr/>
            </w:pPr>
            <w:r>
              <w:rPr/>
            </w:r>
          </w:p>
        </w:tc>
      </w:tr>
      <w:tr>
        <w:trPr/>
        <w:tc>
          <w:tcPr>
            <w:tcW w:w="4679"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Comprehensive loss: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55" w:type="dxa"/>
            <w:tcBorders/>
            <w:shd w:fill="CCEEFF" w:val="clear"/>
            <w:vAlign w:val="bottom"/>
          </w:tcPr>
          <w:p>
            <w:pPr>
              <w:pStyle w:val="TableContents"/>
              <w:bidi w:val="0"/>
              <w:spacing w:before="0" w:after="0"/>
              <w:ind w:left="0" w:right="0" w:hanging="0"/>
              <w:jc w:val="left"/>
              <w:rPr/>
            </w:pPr>
            <w:r>
              <w:rPr/>
              <w:t xml:space="preserve">  </w:t>
            </w:r>
          </w:p>
        </w:tc>
        <w:tc>
          <w:tcPr>
            <w:tcW w:w="125" w:type="dxa"/>
            <w:tcBorders/>
            <w:shd w:fill="CCEEFF" w:val="clear"/>
            <w:vAlign w:val="bottom"/>
          </w:tcPr>
          <w:p>
            <w:pPr>
              <w:pStyle w:val="TableContents"/>
              <w:bidi w:val="0"/>
              <w:spacing w:before="0" w:after="0"/>
              <w:ind w:left="0" w:right="0" w:hanging="0"/>
              <w:jc w:val="left"/>
              <w:rPr/>
            </w:pPr>
            <w:r>
              <w:rPr/>
              <w:t xml:space="preserve">  </w:t>
            </w:r>
          </w:p>
        </w:tc>
        <w:tc>
          <w:tcPr>
            <w:tcW w:w="121"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12" w:type="dxa"/>
            <w:tcBorders/>
            <w:shd w:fill="CCEEFF" w:val="clear"/>
            <w:vAlign w:val="bottom"/>
          </w:tcPr>
          <w:p>
            <w:pPr>
              <w:pStyle w:val="TableContents"/>
              <w:bidi w:val="0"/>
              <w:spacing w:before="0" w:after="0"/>
              <w:ind w:left="0" w:right="0" w:hanging="0"/>
              <w:jc w:val="left"/>
              <w:rPr/>
            </w:pPr>
            <w:r>
              <w:rPr/>
              <w:t xml:space="preserve">  </w:t>
            </w:r>
          </w:p>
        </w:tc>
        <w:tc>
          <w:tcPr>
            <w:tcW w:w="117" w:type="dxa"/>
            <w:tcBorders/>
            <w:shd w:fill="CCEEFF" w:val="clear"/>
            <w:vAlign w:val="bottom"/>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left"/>
              <w:rPr/>
            </w:pPr>
            <w:r>
              <w:rPr/>
            </w:r>
          </w:p>
        </w:tc>
        <w:tc>
          <w:tcPr>
            <w:tcW w:w="108" w:type="dxa"/>
            <w:tcBorders/>
            <w:shd w:fill="CCEEFF" w:val="clear"/>
            <w:vAlign w:val="center"/>
          </w:tcPr>
          <w:p>
            <w:pPr>
              <w:pStyle w:val="TableContents"/>
              <w:bidi w:val="0"/>
              <w:spacing w:before="0" w:after="283"/>
              <w:jc w:val="left"/>
              <w:rPr/>
            </w:pPr>
            <w:r>
              <w:rPr/>
            </w:r>
          </w:p>
        </w:tc>
        <w:tc>
          <w:tcPr>
            <w:tcW w:w="26"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left"/>
              <w:rPr/>
            </w:pPr>
            <w:r>
              <w:rPr/>
            </w:r>
          </w:p>
        </w:tc>
        <w:tc>
          <w:tcPr>
            <w:tcW w:w="120" w:type="dxa"/>
            <w:tcBorders/>
            <w:shd w:fill="CCEEFF" w:val="clear"/>
            <w:vAlign w:val="center"/>
          </w:tcPr>
          <w:p>
            <w:pPr>
              <w:pStyle w:val="TableContents"/>
              <w:bidi w:val="0"/>
              <w:spacing w:before="0" w:after="283"/>
              <w:jc w:val="left"/>
              <w:rPr/>
            </w:pPr>
            <w:r>
              <w:rPr/>
            </w:r>
          </w:p>
        </w:tc>
      </w:tr>
      <w:tr>
        <w:trPr/>
        <w:tc>
          <w:tcPr>
            <w:tcW w:w="4679"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Net loss </w:t>
            </w:r>
          </w:p>
        </w:tc>
        <w:tc>
          <w:tcPr>
            <w:tcW w:w="113"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5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(914</w:t>
            </w:r>
          </w:p>
        </w:tc>
        <w:tc>
          <w:tcPr>
            <w:tcW w:w="125" w:type="dxa"/>
            <w:tcBorders/>
            <w:vAlign w:val="bottom"/>
          </w:tcPr>
          <w:p>
            <w:pPr>
              <w:pStyle w:val="TableContents"/>
              <w:bidi w:val="0"/>
              <w:spacing w:before="0" w:after="283"/>
              <w:jc w:val="left"/>
              <w:rPr/>
            </w:pPr>
            <w:r>
              <w:rPr/>
              <w:t>)</w:t>
            </w:r>
          </w:p>
        </w:tc>
        <w:tc>
          <w:tcPr>
            <w:tcW w:w="121"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1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(4,572</w:t>
            </w:r>
          </w:p>
        </w:tc>
        <w:tc>
          <w:tcPr>
            <w:tcW w:w="117" w:type="dxa"/>
            <w:tcBorders/>
            <w:vAlign w:val="bottom"/>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31" w:type="dxa"/>
            <w:tcBorders/>
            <w:vAlign w:val="center"/>
          </w:tcPr>
          <w:p>
            <w:pPr>
              <w:pStyle w:val="TableContents"/>
              <w:bidi w:val="0"/>
              <w:spacing w:before="0" w:after="283"/>
              <w:jc w:val="right"/>
              <w:rPr/>
            </w:pPr>
            <w:r>
              <w:rPr/>
              <w:t>(1,401</w:t>
            </w:r>
          </w:p>
        </w:tc>
        <w:tc>
          <w:tcPr>
            <w:tcW w:w="108"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r>
          </w:p>
        </w:tc>
        <w:tc>
          <w:tcPr>
            <w:tcW w:w="143"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31" w:type="dxa"/>
            <w:tcBorders/>
            <w:vAlign w:val="center"/>
          </w:tcPr>
          <w:p>
            <w:pPr>
              <w:pStyle w:val="TableContents"/>
              <w:bidi w:val="0"/>
              <w:spacing w:before="0" w:after="283"/>
              <w:jc w:val="right"/>
              <w:rPr/>
            </w:pPr>
            <w:r>
              <w:rPr/>
              <w:t>(7,406</w:t>
            </w:r>
          </w:p>
        </w:tc>
        <w:tc>
          <w:tcPr>
            <w:tcW w:w="120" w:type="dxa"/>
            <w:tcBorders/>
            <w:vAlign w:val="center"/>
          </w:tcPr>
          <w:p>
            <w:pPr>
              <w:pStyle w:val="TableContents"/>
              <w:bidi w:val="0"/>
              <w:spacing w:before="0" w:after="283"/>
              <w:jc w:val="left"/>
              <w:rPr/>
            </w:pPr>
            <w:r>
              <w:rPr/>
              <w:t>)</w:t>
            </w:r>
          </w:p>
        </w:tc>
      </w:tr>
      <w:tr>
        <w:trPr/>
        <w:tc>
          <w:tcPr>
            <w:tcW w:w="4679" w:type="dxa"/>
            <w:tcBorders/>
            <w:shd w:fill="CCEEFF" w:val="clear"/>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Change in foreign currency translation adjustment </w:t>
            </w:r>
          </w:p>
        </w:tc>
        <w:tc>
          <w:tcPr>
            <w:tcW w:w="113"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55" w:type="dxa"/>
            <w:tcBorders/>
            <w:shd w:fill="CCEEFF" w:val="clear"/>
            <w:vAlign w:val="bottom"/>
          </w:tcPr>
          <w:p>
            <w:pPr>
              <w:pStyle w:val="TableContents"/>
              <w:bidi w:val="0"/>
              <w:spacing w:before="0" w:after="0"/>
              <w:ind w:left="0" w:right="0" w:hanging="0"/>
              <w:jc w:val="right"/>
              <w:rPr>
                <w:rFonts w:ascii="Times New Roman" w:hAnsi="Times New Roman"/>
              </w:rPr>
            </w:pPr>
            <w:r>
              <w:rPr>
                <w:rFonts w:ascii="Times New Roman" w:hAnsi="Times New Roman"/>
              </w:rPr>
              <w:t>1</w:t>
            </w:r>
          </w:p>
        </w:tc>
        <w:tc>
          <w:tcPr>
            <w:tcW w:w="125" w:type="dxa"/>
            <w:tcBorders/>
            <w:shd w:fill="CCEEFF" w:val="clear"/>
            <w:vAlign w:val="bottom"/>
          </w:tcPr>
          <w:p>
            <w:pPr>
              <w:pStyle w:val="TableContents"/>
              <w:bidi w:val="0"/>
              <w:spacing w:before="0" w:after="283"/>
              <w:jc w:val="left"/>
              <w:rPr>
                <w:sz w:val="4"/>
                <w:szCs w:val="4"/>
              </w:rPr>
            </w:pPr>
            <w:r>
              <w:rPr>
                <w:sz w:val="4"/>
                <w:szCs w:val="4"/>
              </w:rPr>
            </w:r>
          </w:p>
        </w:tc>
        <w:tc>
          <w:tcPr>
            <w:tcW w:w="121" w:type="dxa"/>
            <w:tcBorders/>
            <w:shd w:fill="CCEEFF" w:val="clear"/>
            <w:vAlign w:val="bottom"/>
          </w:tcPr>
          <w:p>
            <w:pPr>
              <w:pStyle w:val="TableContents"/>
              <w:bidi w:val="0"/>
              <w:spacing w:before="0" w:after="0"/>
              <w:ind w:left="0" w:right="0" w:hanging="0"/>
              <w:jc w:val="left"/>
              <w:rPr/>
            </w:pPr>
            <w:r>
              <w:rPr/>
              <w:t xml:space="preserve">  </w:t>
            </w:r>
          </w:p>
        </w:tc>
        <w:tc>
          <w:tcPr>
            <w:tcW w:w="179" w:type="dxa"/>
            <w:tcBorders/>
            <w:shd w:fill="CCEEFF" w:val="clear"/>
            <w:vAlign w:val="bottom"/>
          </w:tcPr>
          <w:p>
            <w:pPr>
              <w:pStyle w:val="TableContents"/>
              <w:bidi w:val="0"/>
              <w:spacing w:before="0" w:after="0"/>
              <w:ind w:left="0" w:right="0" w:hanging="0"/>
              <w:jc w:val="left"/>
              <w:rPr/>
            </w:pPr>
            <w:r>
              <w:rPr/>
              <w:t xml:space="preserve">  </w:t>
            </w:r>
          </w:p>
        </w:tc>
        <w:tc>
          <w:tcPr>
            <w:tcW w:w="912" w:type="dxa"/>
            <w:tcBorders/>
            <w:shd w:fill="CCEEFF" w:val="clear"/>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c>
          <w:tcPr>
            <w:tcW w:w="117" w:type="dxa"/>
            <w:tcBorders/>
            <w:shd w:fill="CCEEFF" w:val="clear"/>
            <w:vAlign w:val="bottom"/>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right"/>
              <w:rPr/>
            </w:pPr>
            <w:r>
              <w:rPr/>
              <w:t>—</w:t>
            </w:r>
          </w:p>
        </w:tc>
        <w:tc>
          <w:tcPr>
            <w:tcW w:w="108" w:type="dxa"/>
            <w:tcBorders/>
            <w:shd w:fill="CCEEFF" w:val="clear"/>
            <w:vAlign w:val="center"/>
          </w:tcPr>
          <w:p>
            <w:pPr>
              <w:pStyle w:val="TableContents"/>
              <w:bidi w:val="0"/>
              <w:spacing w:before="0" w:after="283"/>
              <w:jc w:val="left"/>
              <w:rPr/>
            </w:pPr>
            <w:r>
              <w:rPr/>
            </w:r>
          </w:p>
        </w:tc>
        <w:tc>
          <w:tcPr>
            <w:tcW w:w="26" w:type="dxa"/>
            <w:tcBorders/>
            <w:shd w:fill="CCEEFF" w:val="clear"/>
            <w:vAlign w:val="center"/>
          </w:tcPr>
          <w:p>
            <w:pPr>
              <w:pStyle w:val="TableContents"/>
              <w:bidi w:val="0"/>
              <w:spacing w:before="0" w:after="283"/>
              <w:jc w:val="left"/>
              <w:rPr/>
            </w:pPr>
            <w:r>
              <w:rPr/>
            </w:r>
          </w:p>
        </w:tc>
        <w:tc>
          <w:tcPr>
            <w:tcW w:w="143" w:type="dxa"/>
            <w:tcBorders/>
            <w:shd w:fill="CCEEFF" w:val="clear"/>
            <w:vAlign w:val="center"/>
          </w:tcPr>
          <w:p>
            <w:pPr>
              <w:pStyle w:val="TableContents"/>
              <w:bidi w:val="0"/>
              <w:spacing w:before="0" w:after="283"/>
              <w:jc w:val="left"/>
              <w:rPr/>
            </w:pPr>
            <w:r>
              <w:rPr/>
            </w:r>
          </w:p>
        </w:tc>
        <w:tc>
          <w:tcPr>
            <w:tcW w:w="1131" w:type="dxa"/>
            <w:tcBorders/>
            <w:shd w:fill="CCEEFF" w:val="clear"/>
            <w:vAlign w:val="center"/>
          </w:tcPr>
          <w:p>
            <w:pPr>
              <w:pStyle w:val="TableContents"/>
              <w:bidi w:val="0"/>
              <w:spacing w:before="0" w:after="283"/>
              <w:jc w:val="right"/>
              <w:rPr/>
            </w:pPr>
            <w:r>
              <w:rPr/>
              <w:t>(23</w:t>
            </w:r>
          </w:p>
        </w:tc>
        <w:tc>
          <w:tcPr>
            <w:tcW w:w="120" w:type="dxa"/>
            <w:tcBorders/>
            <w:shd w:fill="CCEEFF" w:val="clear"/>
            <w:vAlign w:val="center"/>
          </w:tcPr>
          <w:p>
            <w:pPr>
              <w:pStyle w:val="TableContents"/>
              <w:bidi w:val="0"/>
              <w:spacing w:before="0" w:after="283"/>
              <w:jc w:val="left"/>
              <w:rPr/>
            </w:pPr>
            <w:r>
              <w:rPr/>
              <w:t>)</w:t>
            </w:r>
          </w:p>
        </w:tc>
      </w:tr>
      <w:tr>
        <w:trPr/>
        <w:tc>
          <w:tcPr>
            <w:tcW w:w="467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Comprehensive loss </w:t>
            </w:r>
          </w:p>
        </w:tc>
        <w:tc>
          <w:tcPr>
            <w:tcW w:w="113" w:type="dxa"/>
            <w:tcBorders/>
            <w:vAlign w:val="bottom"/>
          </w:tcPr>
          <w:p>
            <w:pPr>
              <w:pStyle w:val="TableContents"/>
              <w:bidi w:val="0"/>
              <w:spacing w:lineRule="auto" w:line="288"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55"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(913</w:t>
            </w:r>
          </w:p>
        </w:tc>
        <w:tc>
          <w:tcPr>
            <w:tcW w:w="125" w:type="dxa"/>
            <w:tcBorders/>
            <w:vAlign w:val="bottom"/>
          </w:tcPr>
          <w:p>
            <w:pPr>
              <w:pStyle w:val="TableContents"/>
              <w:bidi w:val="0"/>
              <w:spacing w:before="0" w:after="283"/>
              <w:jc w:val="left"/>
              <w:rPr/>
            </w:pPr>
            <w:r>
              <w:rPr/>
              <w:t>)</w:t>
            </w:r>
          </w:p>
        </w:tc>
        <w:tc>
          <w:tcPr>
            <w:tcW w:w="121" w:type="dxa"/>
            <w:tcBorders/>
            <w:vAlign w:val="bottom"/>
          </w:tcPr>
          <w:p>
            <w:pPr>
              <w:pStyle w:val="TableContents"/>
              <w:bidi w:val="0"/>
              <w:spacing w:before="0" w:after="0"/>
              <w:ind w:left="0" w:right="0" w:hanging="0"/>
              <w:jc w:val="left"/>
              <w:rPr/>
            </w:pPr>
            <w:r>
              <w:rPr/>
              <w:t xml:space="preserve">  </w:t>
            </w:r>
          </w:p>
        </w:tc>
        <w:tc>
          <w:tcPr>
            <w:tcW w:w="179"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12" w:type="dxa"/>
            <w:tcBorders/>
            <w:vAlign w:val="bottom"/>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(4,582</w:t>
            </w:r>
          </w:p>
        </w:tc>
        <w:tc>
          <w:tcPr>
            <w:tcW w:w="117" w:type="dxa"/>
            <w:tcBorders/>
            <w:vAlign w:val="bottom"/>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31" w:type="dxa"/>
            <w:tcBorders/>
            <w:vAlign w:val="center"/>
          </w:tcPr>
          <w:p>
            <w:pPr>
              <w:pStyle w:val="TableContents"/>
              <w:bidi w:val="0"/>
              <w:spacing w:before="0" w:after="283"/>
              <w:jc w:val="right"/>
              <w:rPr/>
            </w:pPr>
            <w:r>
              <w:rPr/>
              <w:t>(1,401</w:t>
            </w:r>
          </w:p>
        </w:tc>
        <w:tc>
          <w:tcPr>
            <w:tcW w:w="108" w:type="dxa"/>
            <w:tcBorders/>
            <w:vAlign w:val="center"/>
          </w:tcPr>
          <w:p>
            <w:pPr>
              <w:pStyle w:val="TableContents"/>
              <w:bidi w:val="0"/>
              <w:spacing w:before="0" w:after="283"/>
              <w:jc w:val="left"/>
              <w:rPr/>
            </w:pPr>
            <w:r>
              <w:rPr/>
              <w:t>)</w:t>
            </w:r>
          </w:p>
        </w:tc>
        <w:tc>
          <w:tcPr>
            <w:tcW w:w="26" w:type="dxa"/>
            <w:tcBorders/>
            <w:vAlign w:val="center"/>
          </w:tcPr>
          <w:p>
            <w:pPr>
              <w:pStyle w:val="TableContents"/>
              <w:bidi w:val="0"/>
              <w:spacing w:before="0" w:after="283"/>
              <w:jc w:val="left"/>
              <w:rPr/>
            </w:pPr>
            <w:r>
              <w:rPr/>
            </w:r>
          </w:p>
        </w:tc>
        <w:tc>
          <w:tcPr>
            <w:tcW w:w="143"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31" w:type="dxa"/>
            <w:tcBorders/>
            <w:vAlign w:val="center"/>
          </w:tcPr>
          <w:p>
            <w:pPr>
              <w:pStyle w:val="TableContents"/>
              <w:bidi w:val="0"/>
              <w:spacing w:before="0" w:after="283"/>
              <w:jc w:val="right"/>
              <w:rPr/>
            </w:pPr>
            <w:r>
              <w:rPr/>
              <w:t>(7,429</w:t>
            </w:r>
          </w:p>
        </w:tc>
        <w:tc>
          <w:tcPr>
            <w:tcW w:w="120" w:type="dxa"/>
            <w:tcBorders/>
            <w:vAlign w:val="center"/>
          </w:tcPr>
          <w:p>
            <w:pPr>
              <w:pStyle w:val="TableContents"/>
              <w:bidi w:val="0"/>
              <w:spacing w:before="0" w:after="283"/>
              <w:jc w:val="left"/>
              <w:rPr/>
            </w:pPr>
            <w:r>
              <w:rPr/>
              <w:t>)</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center"/>
        <w:rPr/>
      </w:pPr>
      <w:r>
        <w:rPr/>
        <w:t> </w:t>
      </w:r>
    </w:p>
    <w:p>
      <w:pPr>
        <w:pStyle w:val="TextBody"/>
        <w:bidi w:val="0"/>
        <w:spacing w:lineRule="auto" w:line="288" w:before="0" w:after="0"/>
        <w:ind w:left="144" w:right="144" w:hanging="0"/>
        <w:jc w:val="center"/>
        <w:rPr>
          <w:rFonts w:ascii="Times New Roman" w:hAnsi="Times New Roman"/>
          <w:i/>
          <w:sz w:val="20"/>
        </w:rPr>
      </w:pPr>
      <w:r>
        <w:rPr>
          <w:rFonts w:ascii="Times New Roman" w:hAnsi="Times New Roman"/>
          <w:i/>
          <w:sz w:val="20"/>
        </w:rPr>
        <w:t>See accompanying notes</w:t>
      </w: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67" w:name="PageBreakNo4"/>
            <w:bookmarkEnd w:id="67"/>
            <w:r>
              <w:rPr>
                <w:sz w:val="20"/>
              </w:rPr>
              <w:t>4</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left"/>
        <w:rPr/>
      </w:pPr>
      <w:r>
        <w:rPr/>
      </w:r>
    </w:p>
    <w:p>
      <w:pPr>
        <w:pStyle w:val="TextBody"/>
        <w:bidi w:val="0"/>
        <w:spacing w:lineRule="auto" w:line="288" w:before="0" w:after="0"/>
        <w:ind w:left="240" w:right="0"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8">
        <w:bookmarkStart w:id="68" w:name="BE_OCDKM4QLA800000000000000000000"/>
        <w:bookmarkEnd w:id="68"/>
        <w:r>
          <w:rPr>
            <w:rStyle w:val="InternetLink"/>
            <w:rFonts w:ascii="Times New Roman" w:hAnsi="Times New Roman"/>
            <w:b/>
            <w:strike w:val="false"/>
            <w:dstrike w:val="false"/>
            <w:color w:val="000000"/>
            <w:sz w:val="20"/>
            <w:u w:val="none"/>
            <w:effect w:val="none"/>
          </w:rPr>
          <w:t>UNAUDITED CONDENSED CONSOLIDATED STATEMENTS OF CASH FLOWS</w:t>
        </w:r>
      </w:hyperlink>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573"/>
        <w:gridCol w:w="25"/>
        <w:gridCol w:w="268"/>
        <w:gridCol w:w="882"/>
        <w:gridCol w:w="149"/>
        <w:gridCol w:w="35"/>
        <w:gridCol w:w="268"/>
        <w:gridCol w:w="882"/>
        <w:gridCol w:w="123"/>
      </w:tblGrid>
      <w:tr>
        <w:trPr/>
        <w:tc>
          <w:tcPr>
            <w:tcW w:w="7573" w:type="dxa"/>
            <w:tcBorders/>
            <w:vAlign w:val="center"/>
          </w:tcPr>
          <w:p>
            <w:pPr>
              <w:pStyle w:val="TableContents"/>
              <w:bidi w:val="0"/>
              <w:spacing w:before="0" w:after="0"/>
              <w:ind w:left="0" w:right="0" w:hanging="0"/>
              <w:jc w:val="left"/>
              <w:rPr/>
            </w:pPr>
            <w:r>
              <w:rPr/>
            </w:r>
          </w:p>
        </w:tc>
        <w:tc>
          <w:tcPr>
            <w:tcW w:w="25" w:type="dxa"/>
            <w:tcBorders/>
            <w:vAlign w:val="center"/>
          </w:tcPr>
          <w:p>
            <w:pPr>
              <w:pStyle w:val="TableContents"/>
              <w:bidi w:val="0"/>
              <w:spacing w:before="0" w:after="0"/>
              <w:ind w:left="0" w:right="0" w:hanging="0"/>
              <w:jc w:val="left"/>
              <w:rPr/>
            </w:pPr>
            <w:r>
              <w:rPr/>
            </w:r>
          </w:p>
        </w:tc>
        <w:tc>
          <w:tcPr>
            <w:tcW w:w="2484" w:type="dxa"/>
            <w:gridSpan w:val="6"/>
            <w:tcBorders/>
            <w:vAlign w:val="center"/>
          </w:tcPr>
          <w:p>
            <w:pPr>
              <w:pStyle w:val="TableContents"/>
              <w:widowControl/>
              <w:bidi w:val="0"/>
              <w:spacing w:before="0" w:after="0"/>
              <w:ind w:left="0" w:right="0" w:hanging="0"/>
              <w:jc w:val="center"/>
              <w:rPr>
                <w:rFonts w:ascii="Times New Roman" w:hAnsi="Times New Roman"/>
                <w:b/>
                <w:i w:val="false"/>
                <w:caps w:val="false"/>
                <w:smallCaps w:val="false"/>
                <w:color w:val="000000"/>
                <w:spacing w:val="0"/>
                <w:sz w:val="20"/>
              </w:rPr>
            </w:pPr>
            <w:bookmarkStart w:id="69" w:name="fs_GGLWBVPVI800000000000000000000FM"/>
            <w:bookmarkEnd w:id="69"/>
            <w:r>
              <w:rPr>
                <w:rFonts w:ascii="Times New Roman" w:hAnsi="Times New Roman"/>
                <w:b/>
                <w:i w:val="false"/>
                <w:caps w:val="false"/>
                <w:smallCaps w:val="false"/>
                <w:color w:val="000000"/>
                <w:spacing w:val="0"/>
                <w:sz w:val="20"/>
              </w:rPr>
              <w:t>Six months ended June 30,</w:t>
            </w:r>
          </w:p>
        </w:tc>
        <w:tc>
          <w:tcPr>
            <w:tcW w:w="123" w:type="dxa"/>
            <w:tcBorders/>
            <w:vAlign w:val="center"/>
          </w:tcPr>
          <w:p>
            <w:pPr>
              <w:pStyle w:val="TableContents"/>
              <w:pBdr/>
              <w:bidi w:val="0"/>
              <w:spacing w:before="0" w:after="0"/>
              <w:ind w:left="0" w:right="0" w:hanging="0"/>
              <w:jc w:val="left"/>
              <w:rPr/>
            </w:pPr>
            <w:r>
              <w:rPr/>
            </w:r>
          </w:p>
        </w:tc>
      </w:tr>
      <w:tr>
        <w:trPr/>
        <w:tc>
          <w:tcPr>
            <w:tcW w:w="7573" w:type="dxa"/>
            <w:tcBorders/>
            <w:vAlign w:val="center"/>
          </w:tcPr>
          <w:p>
            <w:pPr>
              <w:pStyle w:val="TableContents"/>
              <w:bidi w:val="0"/>
              <w:spacing w:before="0" w:after="0"/>
              <w:ind w:left="0" w:right="0" w:hanging="0"/>
              <w:jc w:val="left"/>
              <w:rPr/>
            </w:pPr>
            <w:r>
              <w:rPr/>
            </w:r>
          </w:p>
        </w:tc>
        <w:tc>
          <w:tcPr>
            <w:tcW w:w="25" w:type="dxa"/>
            <w:tcBorders/>
            <w:vAlign w:val="center"/>
          </w:tcPr>
          <w:p>
            <w:pPr>
              <w:pStyle w:val="TableContents"/>
              <w:bidi w:val="0"/>
              <w:spacing w:before="0" w:after="0"/>
              <w:ind w:left="0" w:right="0" w:hanging="0"/>
              <w:jc w:val="left"/>
              <w:rPr/>
            </w:pPr>
            <w:r>
              <w:rPr/>
            </w:r>
          </w:p>
        </w:tc>
        <w:tc>
          <w:tcPr>
            <w:tcW w:w="1150" w:type="dxa"/>
            <w:gridSpan w:val="2"/>
            <w:tcBorders/>
            <w:vAlign w:val="center"/>
          </w:tcPr>
          <w:p>
            <w:pPr>
              <w:pStyle w:val="TableContents"/>
              <w:bidi w:val="0"/>
              <w:spacing w:before="0" w:after="0"/>
              <w:ind w:left="0" w:right="0" w:hanging="0"/>
              <w:jc w:val="center"/>
              <w:rPr>
                <w:rFonts w:ascii="Times New Roman" w:hAnsi="Times New Roman"/>
                <w:b/>
                <w:sz w:val="20"/>
              </w:rPr>
            </w:pPr>
            <w:bookmarkStart w:id="70" w:name="fs_TW459CF58W00000000000000000000fs"/>
            <w:bookmarkEnd w:id="70"/>
            <w:r>
              <w:rPr>
                <w:rFonts w:ascii="Times New Roman" w:hAnsi="Times New Roman"/>
                <w:b/>
                <w:sz w:val="20"/>
              </w:rPr>
              <w:t xml:space="preserve">2026 </w:t>
            </w:r>
          </w:p>
        </w:tc>
        <w:tc>
          <w:tcPr>
            <w:tcW w:w="149" w:type="dxa"/>
            <w:tcBorders/>
            <w:vAlign w:val="center"/>
          </w:tcPr>
          <w:p>
            <w:pPr>
              <w:pStyle w:val="TableContents"/>
              <w:pBdr/>
              <w:bidi w:val="0"/>
              <w:spacing w:before="0" w:after="0"/>
              <w:ind w:left="0" w:right="0" w:hanging="0"/>
              <w:jc w:val="left"/>
              <w:rPr/>
            </w:pPr>
            <w:r>
              <w:rPr/>
            </w:r>
          </w:p>
        </w:tc>
        <w:tc>
          <w:tcPr>
            <w:tcW w:w="35" w:type="dxa"/>
            <w:tcBorders/>
            <w:vAlign w:val="center"/>
          </w:tcPr>
          <w:p>
            <w:pPr>
              <w:pStyle w:val="TableContents"/>
              <w:pBdr/>
              <w:bidi w:val="0"/>
              <w:spacing w:before="0" w:after="0"/>
              <w:ind w:left="0" w:right="0" w:hanging="0"/>
              <w:jc w:val="left"/>
              <w:rPr/>
            </w:pPr>
            <w:r>
              <w:rPr/>
            </w:r>
          </w:p>
        </w:tc>
        <w:tc>
          <w:tcPr>
            <w:tcW w:w="1150" w:type="dxa"/>
            <w:gridSpan w:val="2"/>
            <w:tcBorders/>
            <w:vAlign w:val="center"/>
          </w:tcPr>
          <w:p>
            <w:pPr>
              <w:pStyle w:val="TableContents"/>
              <w:bidi w:val="0"/>
              <w:spacing w:before="0" w:after="0"/>
              <w:ind w:left="0" w:right="0" w:hanging="0"/>
              <w:jc w:val="center"/>
              <w:rPr>
                <w:rFonts w:ascii="Times New Roman" w:hAnsi="Times New Roman"/>
                <w:b/>
                <w:sz w:val="20"/>
              </w:rPr>
            </w:pPr>
            <w:bookmarkStart w:id="71" w:name="fs_0PNK0G9Q9S00000000000000000000fs"/>
            <w:bookmarkEnd w:id="71"/>
            <w:r>
              <w:rPr>
                <w:rFonts w:ascii="Times New Roman" w:hAnsi="Times New Roman"/>
                <w:b/>
                <w:sz w:val="20"/>
              </w:rPr>
              <w:t xml:space="preserve">2025 </w:t>
            </w:r>
          </w:p>
        </w:tc>
        <w:tc>
          <w:tcPr>
            <w:tcW w:w="123" w:type="dxa"/>
            <w:tcBorders/>
            <w:vAlign w:val="center"/>
          </w:tcPr>
          <w:p>
            <w:pPr>
              <w:pStyle w:val="TableContents"/>
              <w:pBdr/>
              <w:bidi w:val="0"/>
              <w:spacing w:before="0" w:after="0"/>
              <w:ind w:left="0" w:right="0" w:hanging="0"/>
              <w:jc w:val="left"/>
              <w:rPr/>
            </w:pPr>
            <w:r>
              <w:rPr/>
            </w:r>
          </w:p>
        </w:tc>
      </w:tr>
      <w:tr>
        <w:trPr/>
        <w:tc>
          <w:tcPr>
            <w:tcW w:w="757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flows from operating activities: </w:t>
            </w:r>
          </w:p>
        </w:tc>
        <w:tc>
          <w:tcPr>
            <w:tcW w:w="25" w:type="dxa"/>
            <w:tcBorders/>
            <w:shd w:fill="CCEEFF" w:val="clear"/>
            <w:vAlign w:val="center"/>
          </w:tcPr>
          <w:p>
            <w:pPr>
              <w:pStyle w:val="TableContents"/>
              <w:pBdr/>
              <w:bidi w:val="0"/>
              <w:spacing w:before="0" w:after="0"/>
              <w:ind w:left="0" w:right="0" w:hanging="0"/>
              <w:jc w:val="left"/>
              <w:rPr/>
            </w:pPr>
            <w:r>
              <w:rPr/>
            </w:r>
          </w:p>
        </w:tc>
        <w:tc>
          <w:tcPr>
            <w:tcW w:w="268" w:type="dxa"/>
            <w:tcBorders/>
            <w:shd w:fill="CCEEFF" w:val="clear"/>
            <w:vAlign w:val="center"/>
          </w:tcPr>
          <w:p>
            <w:pPr>
              <w:pStyle w:val="TableContents"/>
              <w:pBdr/>
              <w:bidi w:val="0"/>
              <w:spacing w:before="0" w:after="0"/>
              <w:ind w:left="0" w:right="0" w:hanging="0"/>
              <w:jc w:val="left"/>
              <w:rPr/>
            </w:pPr>
            <w:r>
              <w:rPr/>
            </w:r>
          </w:p>
        </w:tc>
        <w:tc>
          <w:tcPr>
            <w:tcW w:w="882" w:type="dxa"/>
            <w:tcBorders/>
            <w:shd w:fill="CCEEFF" w:val="clear"/>
            <w:vAlign w:val="center"/>
          </w:tcPr>
          <w:p>
            <w:pPr>
              <w:pStyle w:val="TableContents"/>
              <w:bidi w:val="0"/>
              <w:spacing w:before="0" w:after="0"/>
              <w:ind w:left="0" w:right="0" w:hanging="0"/>
              <w:jc w:val="left"/>
              <w:rPr/>
            </w:pPr>
            <w:r>
              <w:rPr/>
            </w:r>
          </w:p>
        </w:tc>
        <w:tc>
          <w:tcPr>
            <w:tcW w:w="149" w:type="dxa"/>
            <w:tcBorders/>
            <w:shd w:fill="CCEEFF" w:val="clear"/>
            <w:vAlign w:val="center"/>
          </w:tcPr>
          <w:p>
            <w:pPr>
              <w:pStyle w:val="TableContents"/>
              <w:pBdr/>
              <w:bidi w:val="0"/>
              <w:spacing w:before="0" w:after="0"/>
              <w:ind w:left="0" w:right="0" w:hanging="0"/>
              <w:jc w:val="left"/>
              <w:rPr/>
            </w:pPr>
            <w:r>
              <w:rPr/>
            </w:r>
          </w:p>
        </w:tc>
        <w:tc>
          <w:tcPr>
            <w:tcW w:w="35" w:type="dxa"/>
            <w:tcBorders/>
            <w:shd w:fill="CCEEFF" w:val="clear"/>
            <w:vAlign w:val="center"/>
          </w:tcPr>
          <w:p>
            <w:pPr>
              <w:pStyle w:val="TableContents"/>
              <w:pBdr/>
              <w:bidi w:val="0"/>
              <w:spacing w:before="0" w:after="0"/>
              <w:ind w:left="0" w:right="0" w:hanging="0"/>
              <w:jc w:val="left"/>
              <w:rPr/>
            </w:pPr>
            <w:r>
              <w:rPr/>
            </w:r>
          </w:p>
        </w:tc>
        <w:tc>
          <w:tcPr>
            <w:tcW w:w="268" w:type="dxa"/>
            <w:tcBorders/>
            <w:shd w:fill="CCEEFF" w:val="clear"/>
            <w:vAlign w:val="center"/>
          </w:tcPr>
          <w:p>
            <w:pPr>
              <w:pStyle w:val="TableContents"/>
              <w:bidi w:val="0"/>
              <w:spacing w:before="0" w:after="0"/>
              <w:ind w:left="0" w:right="0" w:hanging="0"/>
              <w:jc w:val="left"/>
              <w:rPr/>
            </w:pPr>
            <w:r>
              <w:rPr/>
            </w:r>
          </w:p>
        </w:tc>
        <w:tc>
          <w:tcPr>
            <w:tcW w:w="882" w:type="dxa"/>
            <w:tcBorders/>
            <w:shd w:fill="CCEEFF" w:val="clear"/>
            <w:vAlign w:val="center"/>
          </w:tcPr>
          <w:p>
            <w:pPr>
              <w:pStyle w:val="TableContents"/>
              <w:bidi w:val="0"/>
              <w:spacing w:before="0" w:after="0"/>
              <w:ind w:left="0" w:right="0" w:hanging="0"/>
              <w:jc w:val="left"/>
              <w:rPr/>
            </w:pPr>
            <w:r>
              <w:rPr/>
            </w:r>
          </w:p>
        </w:tc>
        <w:tc>
          <w:tcPr>
            <w:tcW w:w="123" w:type="dxa"/>
            <w:tcBorders/>
            <w:shd w:fill="CCEEFF" w:val="clear"/>
            <w:vAlign w:val="center"/>
          </w:tcPr>
          <w:p>
            <w:pPr>
              <w:pStyle w:val="TableContents"/>
              <w:pBdr/>
              <w:bidi w:val="0"/>
              <w:spacing w:before="0" w:after="0"/>
              <w:ind w:left="0" w:right="0" w:hanging="0"/>
              <w:jc w:val="left"/>
              <w:rPr/>
            </w:pPr>
            <w:r>
              <w:rPr/>
            </w:r>
          </w:p>
        </w:tc>
      </w:tr>
      <w:tr>
        <w:trPr/>
        <w:tc>
          <w:tcPr>
            <w:tcW w:w="75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loss </w:t>
            </w:r>
          </w:p>
        </w:tc>
        <w:tc>
          <w:tcPr>
            <w:tcW w:w="25" w:type="dxa"/>
            <w:tcBorders/>
            <w:vAlign w:val="center"/>
          </w:tcPr>
          <w:p>
            <w:pPr>
              <w:pStyle w:val="TableContents"/>
              <w:pBdr/>
              <w:bidi w:val="0"/>
              <w:spacing w:before="0" w:after="0"/>
              <w:ind w:left="0" w:right="0" w:hanging="0"/>
              <w:jc w:val="left"/>
              <w:rPr/>
            </w:pPr>
            <w:r>
              <w:rPr/>
            </w:r>
          </w:p>
        </w:tc>
        <w:tc>
          <w:tcPr>
            <w:tcW w:w="268"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8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(1,401</w:t>
            </w:r>
          </w:p>
        </w:tc>
        <w:tc>
          <w:tcPr>
            <w:tcW w:w="149" w:type="dxa"/>
            <w:tcBorders/>
            <w:vAlign w:val="center"/>
          </w:tcPr>
          <w:p>
            <w:pPr>
              <w:pStyle w:val="TableContents"/>
              <w:bidi w:val="0"/>
              <w:spacing w:before="0" w:after="0"/>
              <w:ind w:left="0" w:right="0" w:hanging="0"/>
              <w:jc w:val="left"/>
              <w:rPr/>
            </w:pPr>
            <w:r>
              <w:rPr/>
              <w:t>)</w:t>
            </w:r>
          </w:p>
        </w:tc>
        <w:tc>
          <w:tcPr>
            <w:tcW w:w="35" w:type="dxa"/>
            <w:tcBorders/>
            <w:vAlign w:val="center"/>
          </w:tcPr>
          <w:p>
            <w:pPr>
              <w:pStyle w:val="TableContents"/>
              <w:pBdr/>
              <w:bidi w:val="0"/>
              <w:spacing w:before="0" w:after="0"/>
              <w:ind w:left="0" w:right="0" w:hanging="0"/>
              <w:jc w:val="left"/>
              <w:rPr/>
            </w:pPr>
            <w:r>
              <w:rPr/>
            </w:r>
          </w:p>
        </w:tc>
        <w:tc>
          <w:tcPr>
            <w:tcW w:w="268"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8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(7,406</w:t>
            </w:r>
          </w:p>
        </w:tc>
        <w:tc>
          <w:tcPr>
            <w:tcW w:w="123" w:type="dxa"/>
            <w:tcBorders/>
            <w:vAlign w:val="center"/>
          </w:tcPr>
          <w:p>
            <w:pPr>
              <w:pStyle w:val="TableContents"/>
              <w:bidi w:val="0"/>
              <w:spacing w:before="0" w:after="0"/>
              <w:jc w:val="left"/>
              <w:rPr/>
            </w:pPr>
            <w:r>
              <w:rPr/>
              <w:t>)</w:t>
            </w:r>
          </w:p>
        </w:tc>
      </w:tr>
      <w:tr>
        <w:trPr/>
        <w:tc>
          <w:tcPr>
            <w:tcW w:w="7573"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Adjustments to reconcile net loss to net cash used in operating activities:</w:t>
            </w:r>
          </w:p>
        </w:tc>
        <w:tc>
          <w:tcPr>
            <w:tcW w:w="25" w:type="dxa"/>
            <w:tcBorders/>
            <w:shd w:fill="CCEEFF" w:val="clear"/>
            <w:vAlign w:val="center"/>
          </w:tcPr>
          <w:p>
            <w:pPr>
              <w:pStyle w:val="TableContents"/>
              <w:bidi w:val="0"/>
              <w:spacing w:before="0" w:after="283"/>
              <w:ind w:left="0" w:right="0" w:hanging="0"/>
              <w:jc w:val="left"/>
              <w:rPr/>
            </w:pPr>
            <w:r>
              <w:rPr/>
            </w:r>
          </w:p>
        </w:tc>
        <w:tc>
          <w:tcPr>
            <w:tcW w:w="268" w:type="dxa"/>
            <w:tcBorders/>
            <w:shd w:fill="CCEEFF" w:val="clear"/>
            <w:vAlign w:val="center"/>
          </w:tcPr>
          <w:p>
            <w:pPr>
              <w:pStyle w:val="TableContents"/>
              <w:bidi w:val="0"/>
              <w:spacing w:before="0" w:after="283"/>
              <w:jc w:val="left"/>
              <w:rPr/>
            </w:pPr>
            <w:r>
              <w:rPr/>
            </w:r>
          </w:p>
        </w:tc>
        <w:tc>
          <w:tcPr>
            <w:tcW w:w="882" w:type="dxa"/>
            <w:tcBorders/>
            <w:shd w:fill="CCEEFF" w:val="clear"/>
            <w:vAlign w:val="center"/>
          </w:tcPr>
          <w:p>
            <w:pPr>
              <w:pStyle w:val="TableContents"/>
              <w:bidi w:val="0"/>
              <w:spacing w:before="0" w:after="283"/>
              <w:ind w:left="0" w:right="0" w:hanging="0"/>
              <w:jc w:val="left"/>
              <w:rPr/>
            </w:pPr>
            <w:r>
              <w:rPr/>
            </w:r>
          </w:p>
        </w:tc>
        <w:tc>
          <w:tcPr>
            <w:tcW w:w="149" w:type="dxa"/>
            <w:tcBorders/>
            <w:shd w:fill="CCEEFF" w:val="clear"/>
            <w:vAlign w:val="center"/>
          </w:tcPr>
          <w:p>
            <w:pPr>
              <w:pStyle w:val="TableContents"/>
              <w:bidi w:val="0"/>
              <w:spacing w:before="0" w:after="283"/>
              <w:ind w:left="0" w:right="0" w:hanging="0"/>
              <w:jc w:val="left"/>
              <w:rPr/>
            </w:pPr>
            <w:r>
              <w:rPr/>
            </w:r>
          </w:p>
        </w:tc>
        <w:tc>
          <w:tcPr>
            <w:tcW w:w="35" w:type="dxa"/>
            <w:tcBorders/>
            <w:shd w:fill="CCEEFF" w:val="clear"/>
            <w:vAlign w:val="center"/>
          </w:tcPr>
          <w:p>
            <w:pPr>
              <w:pStyle w:val="TableContents"/>
              <w:bidi w:val="0"/>
              <w:spacing w:before="0" w:after="283"/>
              <w:ind w:left="0" w:right="0" w:hanging="0"/>
              <w:jc w:val="left"/>
              <w:rPr/>
            </w:pPr>
            <w:r>
              <w:rPr/>
            </w:r>
          </w:p>
        </w:tc>
        <w:tc>
          <w:tcPr>
            <w:tcW w:w="268" w:type="dxa"/>
            <w:tcBorders/>
            <w:shd w:fill="CCEEFF" w:val="clear"/>
            <w:vAlign w:val="center"/>
          </w:tcPr>
          <w:p>
            <w:pPr>
              <w:pStyle w:val="TableContents"/>
              <w:bidi w:val="0"/>
              <w:spacing w:before="0" w:after="283"/>
              <w:jc w:val="left"/>
              <w:rPr/>
            </w:pPr>
            <w:r>
              <w:rPr/>
            </w:r>
          </w:p>
        </w:tc>
        <w:tc>
          <w:tcPr>
            <w:tcW w:w="882" w:type="dxa"/>
            <w:tcBorders/>
            <w:shd w:fill="CCEEFF" w:val="clear"/>
            <w:vAlign w:val="center"/>
          </w:tcPr>
          <w:p>
            <w:pPr>
              <w:pStyle w:val="TableContents"/>
              <w:bidi w:val="0"/>
              <w:spacing w:before="0" w:after="283"/>
              <w:ind w:left="0" w:right="0" w:hanging="0"/>
              <w:jc w:val="left"/>
              <w:rPr/>
            </w:pPr>
            <w:r>
              <w:rPr/>
            </w:r>
          </w:p>
        </w:tc>
        <w:tc>
          <w:tcPr>
            <w:tcW w:w="123" w:type="dxa"/>
            <w:tcBorders/>
            <w:shd w:fill="CCEEFF" w:val="clear"/>
            <w:vAlign w:val="center"/>
          </w:tcPr>
          <w:p>
            <w:pPr>
              <w:pStyle w:val="TableContents"/>
              <w:bidi w:val="0"/>
              <w:spacing w:before="0" w:after="283"/>
              <w:jc w:val="left"/>
              <w:rPr/>
            </w:pPr>
            <w:r>
              <w:rPr/>
            </w:r>
          </w:p>
        </w:tc>
      </w:tr>
      <w:tr>
        <w:trPr/>
        <w:tc>
          <w:tcPr>
            <w:tcW w:w="7573" w:type="dxa"/>
            <w:tcBorders/>
            <w:vAlign w:val="center"/>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Share-based compensation expense </w:t>
            </w:r>
          </w:p>
        </w:tc>
        <w:tc>
          <w:tcPr>
            <w:tcW w:w="25" w:type="dxa"/>
            <w:tcBorders/>
            <w:vAlign w:val="center"/>
          </w:tcPr>
          <w:p>
            <w:pPr>
              <w:pStyle w:val="TableContents"/>
              <w:pBdr/>
              <w:bidi w:val="0"/>
              <w:spacing w:before="0" w:after="0"/>
              <w:ind w:left="0" w:right="0" w:hanging="0"/>
              <w:jc w:val="left"/>
              <w:rPr/>
            </w:pPr>
            <w:r>
              <w:rPr/>
            </w:r>
          </w:p>
        </w:tc>
        <w:tc>
          <w:tcPr>
            <w:tcW w:w="268" w:type="dxa"/>
            <w:tcBorders/>
            <w:vAlign w:val="center"/>
          </w:tcPr>
          <w:p>
            <w:pPr>
              <w:pStyle w:val="TableContents"/>
              <w:pBdr/>
              <w:bidi w:val="0"/>
              <w:spacing w:before="0" w:after="0"/>
              <w:ind w:left="0" w:right="0" w:hanging="0"/>
              <w:jc w:val="left"/>
              <w:rPr/>
            </w:pPr>
            <w:r>
              <w:rPr/>
            </w:r>
          </w:p>
        </w:tc>
        <w:tc>
          <w:tcPr>
            <w:tcW w:w="882" w:type="dxa"/>
            <w:tcBorders/>
            <w:vAlign w:val="center"/>
          </w:tcPr>
          <w:p>
            <w:pPr>
              <w:pStyle w:val="TableContents"/>
              <w:bidi w:val="0"/>
              <w:spacing w:before="0" w:after="0"/>
              <w:ind w:left="0" w:right="0" w:hanging="0"/>
              <w:jc w:val="right"/>
              <w:rPr/>
            </w:pPr>
            <w:r>
              <w:rPr/>
              <w:t xml:space="preserve">— </w:t>
            </w:r>
          </w:p>
        </w:tc>
        <w:tc>
          <w:tcPr>
            <w:tcW w:w="149" w:type="dxa"/>
            <w:tcBorders/>
            <w:vAlign w:val="center"/>
          </w:tcPr>
          <w:p>
            <w:pPr>
              <w:pStyle w:val="TableContents"/>
              <w:pBdr/>
              <w:bidi w:val="0"/>
              <w:spacing w:before="0" w:after="0"/>
              <w:ind w:left="0" w:right="0" w:hanging="0"/>
              <w:jc w:val="left"/>
              <w:rPr/>
            </w:pPr>
            <w:r>
              <w:rPr/>
            </w:r>
          </w:p>
        </w:tc>
        <w:tc>
          <w:tcPr>
            <w:tcW w:w="35" w:type="dxa"/>
            <w:tcBorders/>
            <w:vAlign w:val="center"/>
          </w:tcPr>
          <w:p>
            <w:pPr>
              <w:pStyle w:val="TableContents"/>
              <w:pBdr/>
              <w:bidi w:val="0"/>
              <w:spacing w:before="0" w:after="0"/>
              <w:ind w:left="0" w:right="0" w:hanging="0"/>
              <w:jc w:val="left"/>
              <w:rPr/>
            </w:pPr>
            <w:r>
              <w:rPr/>
            </w:r>
          </w:p>
        </w:tc>
        <w:tc>
          <w:tcPr>
            <w:tcW w:w="268" w:type="dxa"/>
            <w:tcBorders/>
            <w:vAlign w:val="center"/>
          </w:tcPr>
          <w:p>
            <w:pPr>
              <w:pStyle w:val="TableContents"/>
              <w:pBdr/>
              <w:bidi w:val="0"/>
              <w:spacing w:before="0" w:after="0"/>
              <w:ind w:left="0" w:right="0" w:hanging="0"/>
              <w:jc w:val="left"/>
              <w:rPr/>
            </w:pPr>
            <w:r>
              <w:rPr/>
            </w:r>
          </w:p>
        </w:tc>
        <w:tc>
          <w:tcPr>
            <w:tcW w:w="88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44 </w:t>
            </w:r>
          </w:p>
        </w:tc>
        <w:tc>
          <w:tcPr>
            <w:tcW w:w="123" w:type="dxa"/>
            <w:tcBorders/>
            <w:vAlign w:val="center"/>
          </w:tcPr>
          <w:p>
            <w:pPr>
              <w:pStyle w:val="TableContents"/>
              <w:pBdr/>
              <w:bidi w:val="0"/>
              <w:spacing w:before="0" w:after="0"/>
              <w:ind w:left="0" w:right="0" w:hanging="0"/>
              <w:jc w:val="left"/>
              <w:rPr/>
            </w:pPr>
            <w:r>
              <w:rPr/>
            </w:r>
          </w:p>
        </w:tc>
      </w:tr>
      <w:tr>
        <w:trPr/>
        <w:tc>
          <w:tcPr>
            <w:tcW w:w="757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Changes in operating assets and liabilities: </w:t>
            </w:r>
          </w:p>
        </w:tc>
        <w:tc>
          <w:tcPr>
            <w:tcW w:w="25" w:type="dxa"/>
            <w:tcBorders/>
            <w:shd w:fill="CCEEFF" w:val="clear"/>
            <w:vAlign w:val="center"/>
          </w:tcPr>
          <w:p>
            <w:pPr>
              <w:pStyle w:val="TableContents"/>
              <w:pBdr/>
              <w:bidi w:val="0"/>
              <w:spacing w:before="0" w:after="0"/>
              <w:ind w:left="0" w:right="0" w:hanging="0"/>
              <w:jc w:val="left"/>
              <w:rPr/>
            </w:pPr>
            <w:r>
              <w:rPr/>
            </w:r>
          </w:p>
        </w:tc>
        <w:tc>
          <w:tcPr>
            <w:tcW w:w="268" w:type="dxa"/>
            <w:tcBorders/>
            <w:shd w:fill="CCEEFF" w:val="clear"/>
            <w:vAlign w:val="center"/>
          </w:tcPr>
          <w:p>
            <w:pPr>
              <w:pStyle w:val="TableContents"/>
              <w:pBdr/>
              <w:bidi w:val="0"/>
              <w:spacing w:before="0" w:after="0"/>
              <w:ind w:left="0" w:right="0" w:hanging="0"/>
              <w:jc w:val="left"/>
              <w:rPr/>
            </w:pPr>
            <w:r>
              <w:rPr/>
            </w:r>
          </w:p>
        </w:tc>
        <w:tc>
          <w:tcPr>
            <w:tcW w:w="882" w:type="dxa"/>
            <w:tcBorders/>
            <w:shd w:fill="CCEEFF" w:val="clear"/>
            <w:vAlign w:val="center"/>
          </w:tcPr>
          <w:p>
            <w:pPr>
              <w:pStyle w:val="TableContents"/>
              <w:bidi w:val="0"/>
              <w:spacing w:before="0" w:after="0"/>
              <w:ind w:left="0" w:right="0" w:hanging="0"/>
              <w:jc w:val="left"/>
              <w:rPr/>
            </w:pPr>
            <w:r>
              <w:rPr/>
            </w:r>
          </w:p>
        </w:tc>
        <w:tc>
          <w:tcPr>
            <w:tcW w:w="149" w:type="dxa"/>
            <w:tcBorders/>
            <w:shd w:fill="CCEEFF" w:val="clear"/>
            <w:vAlign w:val="center"/>
          </w:tcPr>
          <w:p>
            <w:pPr>
              <w:pStyle w:val="TableContents"/>
              <w:pBdr/>
              <w:bidi w:val="0"/>
              <w:spacing w:before="0" w:after="0"/>
              <w:ind w:left="0" w:right="0" w:hanging="0"/>
              <w:jc w:val="left"/>
              <w:rPr/>
            </w:pPr>
            <w:r>
              <w:rPr/>
            </w:r>
          </w:p>
        </w:tc>
        <w:tc>
          <w:tcPr>
            <w:tcW w:w="35" w:type="dxa"/>
            <w:tcBorders/>
            <w:shd w:fill="CCEEFF" w:val="clear"/>
            <w:vAlign w:val="center"/>
          </w:tcPr>
          <w:p>
            <w:pPr>
              <w:pStyle w:val="TableContents"/>
              <w:pBdr/>
              <w:bidi w:val="0"/>
              <w:spacing w:before="0" w:after="0"/>
              <w:ind w:left="0" w:right="0" w:hanging="0"/>
              <w:jc w:val="left"/>
              <w:rPr/>
            </w:pPr>
            <w:r>
              <w:rPr/>
            </w:r>
          </w:p>
        </w:tc>
        <w:tc>
          <w:tcPr>
            <w:tcW w:w="268" w:type="dxa"/>
            <w:tcBorders/>
            <w:shd w:fill="CCEEFF" w:val="clear"/>
            <w:vAlign w:val="center"/>
          </w:tcPr>
          <w:p>
            <w:pPr>
              <w:pStyle w:val="TableContents"/>
              <w:pBdr/>
              <w:bidi w:val="0"/>
              <w:spacing w:before="0" w:after="0"/>
              <w:ind w:left="0" w:right="0" w:hanging="0"/>
              <w:jc w:val="left"/>
              <w:rPr/>
            </w:pPr>
            <w:r>
              <w:rPr/>
            </w:r>
          </w:p>
        </w:tc>
        <w:tc>
          <w:tcPr>
            <w:tcW w:w="882" w:type="dxa"/>
            <w:tcBorders/>
            <w:shd w:fill="CCEEFF" w:val="clear"/>
            <w:vAlign w:val="center"/>
          </w:tcPr>
          <w:p>
            <w:pPr>
              <w:pStyle w:val="TableContents"/>
              <w:bidi w:val="0"/>
              <w:spacing w:before="0" w:after="0"/>
              <w:ind w:left="0" w:right="0" w:hanging="0"/>
              <w:jc w:val="left"/>
              <w:rPr/>
            </w:pPr>
            <w:r>
              <w:rPr/>
            </w:r>
          </w:p>
        </w:tc>
        <w:tc>
          <w:tcPr>
            <w:tcW w:w="123" w:type="dxa"/>
            <w:tcBorders/>
            <w:shd w:fill="CCEEFF" w:val="clear"/>
            <w:vAlign w:val="center"/>
          </w:tcPr>
          <w:p>
            <w:pPr>
              <w:pStyle w:val="TableContents"/>
              <w:pBdr/>
              <w:bidi w:val="0"/>
              <w:spacing w:before="0" w:after="0"/>
              <w:ind w:left="0" w:right="0" w:hanging="0"/>
              <w:jc w:val="left"/>
              <w:rPr/>
            </w:pPr>
            <w:r>
              <w:rPr/>
            </w:r>
          </w:p>
        </w:tc>
      </w:tr>
      <w:tr>
        <w:trPr/>
        <w:tc>
          <w:tcPr>
            <w:tcW w:w="7573" w:type="dxa"/>
            <w:tcBorders/>
            <w:vAlign w:val="center"/>
          </w:tcPr>
          <w:p>
            <w:pPr>
              <w:pStyle w:val="TableContents"/>
              <w:bidi w:val="0"/>
              <w:spacing w:before="0" w:after="283"/>
              <w:ind w:left="0" w:right="0" w:hanging="0"/>
              <w:jc w:val="left"/>
              <w:rPr/>
            </w:pPr>
            <w:r>
              <w:rPr/>
              <w:t>Inventories</w:t>
            </w:r>
          </w:p>
        </w:tc>
        <w:tc>
          <w:tcPr>
            <w:tcW w:w="25" w:type="dxa"/>
            <w:tcBorders/>
            <w:vAlign w:val="center"/>
          </w:tcPr>
          <w:p>
            <w:pPr>
              <w:pStyle w:val="TableContents"/>
              <w:bidi w:val="0"/>
              <w:spacing w:before="0" w:after="283"/>
              <w:ind w:left="0" w:right="0" w:hanging="0"/>
              <w:jc w:val="left"/>
              <w:rPr/>
            </w:pPr>
            <w:r>
              <w:rPr/>
            </w:r>
          </w:p>
        </w:tc>
        <w:tc>
          <w:tcPr>
            <w:tcW w:w="268" w:type="dxa"/>
            <w:tcBorders/>
            <w:vAlign w:val="center"/>
          </w:tcPr>
          <w:p>
            <w:pPr>
              <w:pStyle w:val="TableContents"/>
              <w:bidi w:val="0"/>
              <w:spacing w:before="0" w:after="283"/>
              <w:jc w:val="left"/>
              <w:rPr/>
            </w:pPr>
            <w:r>
              <w:rPr/>
            </w:r>
          </w:p>
        </w:tc>
        <w:tc>
          <w:tcPr>
            <w:tcW w:w="882" w:type="dxa"/>
            <w:tcBorders/>
            <w:vAlign w:val="center"/>
          </w:tcPr>
          <w:p>
            <w:pPr>
              <w:pStyle w:val="TableContents"/>
              <w:bidi w:val="0"/>
              <w:spacing w:before="0" w:after="283"/>
              <w:ind w:left="0" w:right="0" w:hanging="0"/>
              <w:jc w:val="right"/>
              <w:rPr/>
            </w:pPr>
            <w:r>
              <w:rPr/>
              <w:t>49</w:t>
            </w:r>
          </w:p>
        </w:tc>
        <w:tc>
          <w:tcPr>
            <w:tcW w:w="149" w:type="dxa"/>
            <w:tcBorders/>
            <w:vAlign w:val="center"/>
          </w:tcPr>
          <w:p>
            <w:pPr>
              <w:pStyle w:val="TableContents"/>
              <w:bidi w:val="0"/>
              <w:spacing w:before="0" w:after="283"/>
              <w:ind w:left="0" w:right="0" w:hanging="0"/>
              <w:jc w:val="left"/>
              <w:rPr/>
            </w:pPr>
            <w:r>
              <w:rPr/>
            </w:r>
          </w:p>
        </w:tc>
        <w:tc>
          <w:tcPr>
            <w:tcW w:w="35" w:type="dxa"/>
            <w:tcBorders/>
            <w:vAlign w:val="center"/>
          </w:tcPr>
          <w:p>
            <w:pPr>
              <w:pStyle w:val="TableContents"/>
              <w:bidi w:val="0"/>
              <w:spacing w:before="0" w:after="283"/>
              <w:ind w:left="0" w:right="0" w:hanging="0"/>
              <w:jc w:val="left"/>
              <w:rPr/>
            </w:pPr>
            <w:r>
              <w:rPr/>
            </w:r>
          </w:p>
        </w:tc>
        <w:tc>
          <w:tcPr>
            <w:tcW w:w="268" w:type="dxa"/>
            <w:tcBorders/>
            <w:vAlign w:val="center"/>
          </w:tcPr>
          <w:p>
            <w:pPr>
              <w:pStyle w:val="TableContents"/>
              <w:bidi w:val="0"/>
              <w:spacing w:before="0" w:after="283"/>
              <w:jc w:val="left"/>
              <w:rPr/>
            </w:pPr>
            <w:r>
              <w:rPr/>
            </w:r>
          </w:p>
        </w:tc>
        <w:tc>
          <w:tcPr>
            <w:tcW w:w="882" w:type="dxa"/>
            <w:tcBorders/>
            <w:vAlign w:val="center"/>
          </w:tcPr>
          <w:p>
            <w:pPr>
              <w:pStyle w:val="TableContents"/>
              <w:bidi w:val="0"/>
              <w:spacing w:before="0" w:after="283"/>
              <w:ind w:left="0" w:right="0" w:hanging="0"/>
              <w:jc w:val="right"/>
              <w:rPr/>
            </w:pPr>
            <w:r>
              <w:rPr/>
              <w:t>—</w:t>
            </w:r>
          </w:p>
        </w:tc>
        <w:tc>
          <w:tcPr>
            <w:tcW w:w="123" w:type="dxa"/>
            <w:tcBorders/>
            <w:vAlign w:val="center"/>
          </w:tcPr>
          <w:p>
            <w:pPr>
              <w:pStyle w:val="TableContents"/>
              <w:bidi w:val="0"/>
              <w:spacing w:before="0" w:after="283"/>
              <w:jc w:val="left"/>
              <w:rPr/>
            </w:pPr>
            <w:r>
              <w:rPr/>
            </w:r>
          </w:p>
        </w:tc>
      </w:tr>
      <w:tr>
        <w:trPr/>
        <w:tc>
          <w:tcPr>
            <w:tcW w:w="7573"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Prepaid expenses and other assets</w:t>
            </w:r>
          </w:p>
        </w:tc>
        <w:tc>
          <w:tcPr>
            <w:tcW w:w="25" w:type="dxa"/>
            <w:tcBorders/>
            <w:shd w:fill="CCEEFF" w:val="clear"/>
            <w:vAlign w:val="center"/>
          </w:tcPr>
          <w:p>
            <w:pPr>
              <w:pStyle w:val="TableContents"/>
              <w:bidi w:val="0"/>
              <w:spacing w:before="0" w:after="283"/>
              <w:ind w:left="0" w:right="0" w:hanging="0"/>
              <w:jc w:val="left"/>
              <w:rPr/>
            </w:pPr>
            <w:r>
              <w:rPr/>
            </w:r>
          </w:p>
        </w:tc>
        <w:tc>
          <w:tcPr>
            <w:tcW w:w="268" w:type="dxa"/>
            <w:tcBorders/>
            <w:shd w:fill="CCEEFF" w:val="clear"/>
            <w:vAlign w:val="center"/>
          </w:tcPr>
          <w:p>
            <w:pPr>
              <w:pStyle w:val="TableContents"/>
              <w:bidi w:val="0"/>
              <w:spacing w:before="0" w:after="283"/>
              <w:jc w:val="left"/>
              <w:rPr/>
            </w:pPr>
            <w:r>
              <w:rPr/>
            </w:r>
          </w:p>
        </w:tc>
        <w:tc>
          <w:tcPr>
            <w:tcW w:w="882" w:type="dxa"/>
            <w:tcBorders/>
            <w:shd w:fill="CCEEFF" w:val="clear"/>
            <w:vAlign w:val="center"/>
          </w:tcPr>
          <w:p>
            <w:pPr>
              <w:pStyle w:val="TableContents"/>
              <w:bidi w:val="0"/>
              <w:spacing w:before="0" w:after="283"/>
              <w:ind w:left="0" w:right="0" w:hanging="0"/>
              <w:jc w:val="right"/>
              <w:rPr/>
            </w:pPr>
            <w:r>
              <w:rPr/>
              <w:t>(10</w:t>
            </w:r>
          </w:p>
        </w:tc>
        <w:tc>
          <w:tcPr>
            <w:tcW w:w="149" w:type="dxa"/>
            <w:tcBorders/>
            <w:shd w:fill="CCEEFF" w:val="clear"/>
            <w:vAlign w:val="center"/>
          </w:tcPr>
          <w:p>
            <w:pPr>
              <w:pStyle w:val="TableContents"/>
              <w:bidi w:val="0"/>
              <w:spacing w:before="0" w:after="0"/>
              <w:ind w:left="0" w:right="0" w:hanging="0"/>
              <w:jc w:val="left"/>
              <w:rPr/>
            </w:pPr>
            <w:r>
              <w:rPr/>
              <w:t>)</w:t>
            </w:r>
          </w:p>
        </w:tc>
        <w:tc>
          <w:tcPr>
            <w:tcW w:w="35" w:type="dxa"/>
            <w:tcBorders/>
            <w:shd w:fill="CCEEFF" w:val="clear"/>
            <w:vAlign w:val="center"/>
          </w:tcPr>
          <w:p>
            <w:pPr>
              <w:pStyle w:val="TableContents"/>
              <w:bidi w:val="0"/>
              <w:spacing w:before="0" w:after="283"/>
              <w:ind w:left="0" w:right="0" w:hanging="0"/>
              <w:jc w:val="left"/>
              <w:rPr/>
            </w:pPr>
            <w:r>
              <w:rPr/>
            </w:r>
          </w:p>
        </w:tc>
        <w:tc>
          <w:tcPr>
            <w:tcW w:w="268" w:type="dxa"/>
            <w:tcBorders/>
            <w:shd w:fill="CCEEFF" w:val="clear"/>
            <w:vAlign w:val="center"/>
          </w:tcPr>
          <w:p>
            <w:pPr>
              <w:pStyle w:val="TableContents"/>
              <w:bidi w:val="0"/>
              <w:spacing w:before="0" w:after="283"/>
              <w:jc w:val="left"/>
              <w:rPr/>
            </w:pPr>
            <w:r>
              <w:rPr/>
            </w:r>
          </w:p>
        </w:tc>
        <w:tc>
          <w:tcPr>
            <w:tcW w:w="882" w:type="dxa"/>
            <w:tcBorders/>
            <w:shd w:fill="CCEEFF" w:val="clear"/>
            <w:vAlign w:val="center"/>
          </w:tcPr>
          <w:p>
            <w:pPr>
              <w:pStyle w:val="TableContents"/>
              <w:bidi w:val="0"/>
              <w:spacing w:before="0" w:after="283"/>
              <w:ind w:left="0" w:right="0" w:hanging="0"/>
              <w:jc w:val="right"/>
              <w:rPr/>
            </w:pPr>
            <w:r>
              <w:rPr/>
              <w:t>—</w:t>
            </w:r>
          </w:p>
        </w:tc>
        <w:tc>
          <w:tcPr>
            <w:tcW w:w="123" w:type="dxa"/>
            <w:tcBorders/>
            <w:shd w:fill="CCEEFF" w:val="clear"/>
            <w:vAlign w:val="center"/>
          </w:tcPr>
          <w:p>
            <w:pPr>
              <w:pStyle w:val="TableContents"/>
              <w:bidi w:val="0"/>
              <w:spacing w:before="0" w:after="283"/>
              <w:jc w:val="left"/>
              <w:rPr>
                <w:sz w:val="4"/>
                <w:szCs w:val="4"/>
              </w:rPr>
            </w:pPr>
            <w:r>
              <w:rPr>
                <w:sz w:val="4"/>
                <w:szCs w:val="4"/>
              </w:rPr>
            </w:r>
          </w:p>
        </w:tc>
      </w:tr>
      <w:tr>
        <w:trPr/>
        <w:tc>
          <w:tcPr>
            <w:tcW w:w="75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Accounts payable </w:t>
            </w:r>
          </w:p>
        </w:tc>
        <w:tc>
          <w:tcPr>
            <w:tcW w:w="25" w:type="dxa"/>
            <w:tcBorders/>
            <w:vAlign w:val="center"/>
          </w:tcPr>
          <w:p>
            <w:pPr>
              <w:pStyle w:val="TableContents"/>
              <w:pBdr/>
              <w:bidi w:val="0"/>
              <w:spacing w:before="0" w:after="0"/>
              <w:ind w:left="0" w:right="0" w:hanging="0"/>
              <w:jc w:val="left"/>
              <w:rPr/>
            </w:pPr>
            <w:r>
              <w:rPr/>
            </w:r>
          </w:p>
        </w:tc>
        <w:tc>
          <w:tcPr>
            <w:tcW w:w="268" w:type="dxa"/>
            <w:tcBorders/>
            <w:vAlign w:val="center"/>
          </w:tcPr>
          <w:p>
            <w:pPr>
              <w:pStyle w:val="TableContents"/>
              <w:pBdr/>
              <w:bidi w:val="0"/>
              <w:spacing w:before="0" w:after="0"/>
              <w:ind w:left="0" w:right="0" w:hanging="0"/>
              <w:jc w:val="left"/>
              <w:rPr/>
            </w:pPr>
            <w:r>
              <w:rPr/>
            </w:r>
          </w:p>
        </w:tc>
        <w:tc>
          <w:tcPr>
            <w:tcW w:w="88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w:t>
            </w:r>
          </w:p>
        </w:tc>
        <w:tc>
          <w:tcPr>
            <w:tcW w:w="149" w:type="dxa"/>
            <w:tcBorders/>
            <w:vAlign w:val="center"/>
          </w:tcPr>
          <w:p>
            <w:pPr>
              <w:pStyle w:val="TableContents"/>
              <w:bidi w:val="0"/>
              <w:spacing w:before="0" w:after="283"/>
              <w:ind w:left="0" w:right="0" w:hanging="0"/>
              <w:jc w:val="left"/>
              <w:rPr>
                <w:sz w:val="4"/>
                <w:szCs w:val="4"/>
              </w:rPr>
            </w:pPr>
            <w:r>
              <w:rPr>
                <w:sz w:val="4"/>
                <w:szCs w:val="4"/>
              </w:rPr>
            </w:r>
          </w:p>
        </w:tc>
        <w:tc>
          <w:tcPr>
            <w:tcW w:w="35" w:type="dxa"/>
            <w:tcBorders/>
            <w:vAlign w:val="center"/>
          </w:tcPr>
          <w:p>
            <w:pPr>
              <w:pStyle w:val="TableContents"/>
              <w:pBdr/>
              <w:bidi w:val="0"/>
              <w:spacing w:before="0" w:after="0"/>
              <w:ind w:left="0" w:right="0" w:hanging="0"/>
              <w:jc w:val="left"/>
              <w:rPr/>
            </w:pPr>
            <w:r>
              <w:rPr/>
            </w:r>
          </w:p>
        </w:tc>
        <w:tc>
          <w:tcPr>
            <w:tcW w:w="268" w:type="dxa"/>
            <w:tcBorders/>
            <w:vAlign w:val="center"/>
          </w:tcPr>
          <w:p>
            <w:pPr>
              <w:pStyle w:val="TableContents"/>
              <w:pBdr/>
              <w:bidi w:val="0"/>
              <w:spacing w:before="0" w:after="0"/>
              <w:ind w:left="0" w:right="0" w:hanging="0"/>
              <w:jc w:val="left"/>
              <w:rPr/>
            </w:pPr>
            <w:r>
              <w:rPr/>
            </w:r>
          </w:p>
        </w:tc>
        <w:tc>
          <w:tcPr>
            <w:tcW w:w="88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w:t>
            </w:r>
          </w:p>
        </w:tc>
        <w:tc>
          <w:tcPr>
            <w:tcW w:w="123" w:type="dxa"/>
            <w:tcBorders/>
            <w:vAlign w:val="center"/>
          </w:tcPr>
          <w:p>
            <w:pPr>
              <w:pStyle w:val="TableContents"/>
              <w:bidi w:val="0"/>
              <w:spacing w:before="0" w:after="283"/>
              <w:jc w:val="left"/>
              <w:rPr>
                <w:sz w:val="4"/>
                <w:szCs w:val="4"/>
              </w:rPr>
            </w:pPr>
            <w:r>
              <w:rPr>
                <w:sz w:val="4"/>
                <w:szCs w:val="4"/>
              </w:rPr>
            </w:r>
          </w:p>
        </w:tc>
      </w:tr>
      <w:tr>
        <w:trPr/>
        <w:tc>
          <w:tcPr>
            <w:tcW w:w="757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Accrued liabilities </w:t>
            </w:r>
          </w:p>
        </w:tc>
        <w:tc>
          <w:tcPr>
            <w:tcW w:w="25" w:type="dxa"/>
            <w:tcBorders/>
            <w:shd w:fill="CCEEFF" w:val="clear"/>
            <w:vAlign w:val="center"/>
          </w:tcPr>
          <w:p>
            <w:pPr>
              <w:pStyle w:val="TableContents"/>
              <w:pBdr/>
              <w:bidi w:val="0"/>
              <w:spacing w:before="0" w:after="0"/>
              <w:ind w:left="0" w:right="0" w:hanging="0"/>
              <w:jc w:val="left"/>
              <w:rPr/>
            </w:pPr>
            <w:r>
              <w:rPr/>
            </w:r>
          </w:p>
        </w:tc>
        <w:tc>
          <w:tcPr>
            <w:tcW w:w="268" w:type="dxa"/>
            <w:tcBorders/>
            <w:shd w:fill="CCEEFF" w:val="clear"/>
            <w:vAlign w:val="center"/>
          </w:tcPr>
          <w:p>
            <w:pPr>
              <w:pStyle w:val="TableContents"/>
              <w:pBdr/>
              <w:bidi w:val="0"/>
              <w:spacing w:before="0" w:after="0"/>
              <w:ind w:left="0" w:right="0" w:hanging="0"/>
              <w:jc w:val="left"/>
              <w:rPr/>
            </w:pPr>
            <w:r>
              <w:rPr/>
            </w:r>
          </w:p>
        </w:tc>
        <w:tc>
          <w:tcPr>
            <w:tcW w:w="8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(448</w:t>
            </w:r>
          </w:p>
        </w:tc>
        <w:tc>
          <w:tcPr>
            <w:tcW w:w="149" w:type="dxa"/>
            <w:tcBorders/>
            <w:shd w:fill="CCEEFF" w:val="clear"/>
            <w:vAlign w:val="center"/>
          </w:tcPr>
          <w:p>
            <w:pPr>
              <w:pStyle w:val="TableContents"/>
              <w:bidi w:val="0"/>
              <w:spacing w:before="0" w:after="0"/>
              <w:ind w:left="0" w:right="0" w:hanging="0"/>
              <w:jc w:val="left"/>
              <w:rPr/>
            </w:pPr>
            <w:r>
              <w:rPr/>
              <w:t>)</w:t>
            </w:r>
          </w:p>
        </w:tc>
        <w:tc>
          <w:tcPr>
            <w:tcW w:w="35" w:type="dxa"/>
            <w:tcBorders/>
            <w:shd w:fill="CCEEFF" w:val="clear"/>
            <w:vAlign w:val="center"/>
          </w:tcPr>
          <w:p>
            <w:pPr>
              <w:pStyle w:val="TableContents"/>
              <w:pBdr/>
              <w:bidi w:val="0"/>
              <w:spacing w:before="0" w:after="0"/>
              <w:ind w:left="0" w:right="0" w:hanging="0"/>
              <w:jc w:val="left"/>
              <w:rPr/>
            </w:pPr>
            <w:r>
              <w:rPr/>
            </w:r>
          </w:p>
        </w:tc>
        <w:tc>
          <w:tcPr>
            <w:tcW w:w="268" w:type="dxa"/>
            <w:tcBorders/>
            <w:shd w:fill="CCEEFF" w:val="clear"/>
            <w:vAlign w:val="center"/>
          </w:tcPr>
          <w:p>
            <w:pPr>
              <w:pStyle w:val="TableContents"/>
              <w:pBdr/>
              <w:bidi w:val="0"/>
              <w:spacing w:before="0" w:after="0"/>
              <w:ind w:left="0" w:right="0" w:hanging="0"/>
              <w:jc w:val="left"/>
              <w:rPr/>
            </w:pPr>
            <w:r>
              <w:rPr/>
            </w:r>
          </w:p>
        </w:tc>
        <w:tc>
          <w:tcPr>
            <w:tcW w:w="8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219</w:t>
            </w:r>
          </w:p>
        </w:tc>
        <w:tc>
          <w:tcPr>
            <w:tcW w:w="123" w:type="dxa"/>
            <w:tcBorders/>
            <w:shd w:fill="CCEEFF" w:val="clear"/>
            <w:vAlign w:val="center"/>
          </w:tcPr>
          <w:p>
            <w:pPr>
              <w:pStyle w:val="TableContents"/>
              <w:bidi w:val="0"/>
              <w:spacing w:before="0" w:after="283"/>
              <w:jc w:val="left"/>
              <w:rPr>
                <w:sz w:val="4"/>
                <w:szCs w:val="4"/>
              </w:rPr>
            </w:pPr>
            <w:r>
              <w:rPr>
                <w:sz w:val="4"/>
                <w:szCs w:val="4"/>
              </w:rPr>
            </w:r>
          </w:p>
        </w:tc>
      </w:tr>
      <w:tr>
        <w:trPr/>
        <w:tc>
          <w:tcPr>
            <w:tcW w:w="7573" w:type="dxa"/>
            <w:tcBorders/>
            <w:vAlign w:val="center"/>
          </w:tcPr>
          <w:p>
            <w:pPr>
              <w:pStyle w:val="TableContents"/>
              <w:bidi w:val="0"/>
              <w:spacing w:before="0" w:after="283"/>
              <w:ind w:left="0" w:right="0" w:hanging="0"/>
              <w:jc w:val="left"/>
              <w:rPr/>
            </w:pPr>
            <w:r>
              <w:rPr>
                <w:rFonts w:ascii="Times New Roman;serif" w:hAnsi="Times New Roman;serif"/>
                <w:color w:val="000000"/>
                <w:sz w:val="20"/>
              </w:rPr>
              <w:t>Operating lease liabilities</w:t>
            </w:r>
            <w:r>
              <w:rPr/>
              <w:t xml:space="preserve"> </w:t>
            </w:r>
          </w:p>
        </w:tc>
        <w:tc>
          <w:tcPr>
            <w:tcW w:w="25" w:type="dxa"/>
            <w:tcBorders/>
            <w:vAlign w:val="center"/>
          </w:tcPr>
          <w:p>
            <w:pPr>
              <w:pStyle w:val="TableContents"/>
              <w:bidi w:val="0"/>
              <w:spacing w:before="0" w:after="283"/>
              <w:ind w:left="0" w:right="0" w:hanging="0"/>
              <w:jc w:val="left"/>
              <w:rPr/>
            </w:pPr>
            <w:r>
              <w:rPr/>
            </w:r>
          </w:p>
        </w:tc>
        <w:tc>
          <w:tcPr>
            <w:tcW w:w="268" w:type="dxa"/>
            <w:tcBorders/>
            <w:vAlign w:val="center"/>
          </w:tcPr>
          <w:p>
            <w:pPr>
              <w:pStyle w:val="TableContents"/>
              <w:bidi w:val="0"/>
              <w:spacing w:before="0" w:after="283"/>
              <w:jc w:val="left"/>
              <w:rPr/>
            </w:pPr>
            <w:r>
              <w:rPr/>
            </w:r>
          </w:p>
        </w:tc>
        <w:tc>
          <w:tcPr>
            <w:tcW w:w="882" w:type="dxa"/>
            <w:tcBorders/>
            <w:vAlign w:val="center"/>
          </w:tcPr>
          <w:p>
            <w:pPr>
              <w:pStyle w:val="TableContents"/>
              <w:bidi w:val="0"/>
              <w:spacing w:before="0" w:after="283"/>
              <w:ind w:left="0" w:right="0" w:hanging="0"/>
              <w:jc w:val="right"/>
              <w:rPr/>
            </w:pPr>
            <w:r>
              <w:rPr/>
              <w:t>—</w:t>
            </w:r>
          </w:p>
        </w:tc>
        <w:tc>
          <w:tcPr>
            <w:tcW w:w="149" w:type="dxa"/>
            <w:tcBorders/>
            <w:vAlign w:val="center"/>
          </w:tcPr>
          <w:p>
            <w:pPr>
              <w:pStyle w:val="TableContents"/>
              <w:bidi w:val="0"/>
              <w:spacing w:before="0" w:after="283"/>
              <w:ind w:left="0" w:right="0" w:hanging="0"/>
              <w:jc w:val="left"/>
              <w:rPr>
                <w:sz w:val="4"/>
                <w:szCs w:val="4"/>
              </w:rPr>
            </w:pPr>
            <w:r>
              <w:rPr>
                <w:sz w:val="4"/>
                <w:szCs w:val="4"/>
              </w:rPr>
            </w:r>
          </w:p>
        </w:tc>
        <w:tc>
          <w:tcPr>
            <w:tcW w:w="35" w:type="dxa"/>
            <w:tcBorders/>
            <w:vAlign w:val="center"/>
          </w:tcPr>
          <w:p>
            <w:pPr>
              <w:pStyle w:val="TableContents"/>
              <w:bidi w:val="0"/>
              <w:spacing w:before="0" w:after="283"/>
              <w:ind w:left="0" w:right="0" w:hanging="0"/>
              <w:jc w:val="left"/>
              <w:rPr/>
            </w:pPr>
            <w:r>
              <w:rPr/>
            </w:r>
          </w:p>
        </w:tc>
        <w:tc>
          <w:tcPr>
            <w:tcW w:w="268" w:type="dxa"/>
            <w:tcBorders/>
            <w:vAlign w:val="center"/>
          </w:tcPr>
          <w:p>
            <w:pPr>
              <w:pStyle w:val="TableContents"/>
              <w:bidi w:val="0"/>
              <w:spacing w:before="0" w:after="283"/>
              <w:jc w:val="left"/>
              <w:rPr/>
            </w:pPr>
            <w:r>
              <w:rPr/>
            </w:r>
          </w:p>
        </w:tc>
        <w:tc>
          <w:tcPr>
            <w:tcW w:w="882" w:type="dxa"/>
            <w:tcBorders/>
            <w:vAlign w:val="center"/>
          </w:tcPr>
          <w:p>
            <w:pPr>
              <w:pStyle w:val="TableContents"/>
              <w:bidi w:val="0"/>
              <w:spacing w:before="0" w:after="283"/>
              <w:ind w:left="0" w:right="0" w:hanging="0"/>
              <w:jc w:val="right"/>
              <w:rPr/>
            </w:pPr>
            <w:r>
              <w:rPr/>
              <w:t>(1</w:t>
            </w:r>
          </w:p>
        </w:tc>
        <w:tc>
          <w:tcPr>
            <w:tcW w:w="123" w:type="dxa"/>
            <w:tcBorders/>
            <w:vAlign w:val="center"/>
          </w:tcPr>
          <w:p>
            <w:pPr>
              <w:pStyle w:val="TableContents"/>
              <w:bidi w:val="0"/>
              <w:spacing w:before="0" w:after="0"/>
              <w:jc w:val="left"/>
              <w:rPr/>
            </w:pPr>
            <w:r>
              <w:rPr/>
              <w:t>)</w:t>
            </w:r>
          </w:p>
        </w:tc>
      </w:tr>
      <w:tr>
        <w:trPr/>
        <w:tc>
          <w:tcPr>
            <w:tcW w:w="7573"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Net cash used in operating activities, continuing operations </w:t>
            </w:r>
          </w:p>
        </w:tc>
        <w:tc>
          <w:tcPr>
            <w:tcW w:w="25" w:type="dxa"/>
            <w:tcBorders/>
            <w:shd w:fill="CCEEFF" w:val="clear"/>
            <w:vAlign w:val="center"/>
          </w:tcPr>
          <w:p>
            <w:pPr>
              <w:pStyle w:val="TableContents"/>
              <w:pBdr/>
              <w:bidi w:val="0"/>
              <w:spacing w:before="0" w:after="0"/>
              <w:ind w:left="0" w:right="0" w:hanging="0"/>
              <w:jc w:val="left"/>
              <w:rPr/>
            </w:pPr>
            <w:r>
              <w:rPr/>
            </w:r>
          </w:p>
        </w:tc>
        <w:tc>
          <w:tcPr>
            <w:tcW w:w="268" w:type="dxa"/>
            <w:tcBorders/>
            <w:shd w:fill="CCEEFF" w:val="clear"/>
            <w:vAlign w:val="center"/>
          </w:tcPr>
          <w:p>
            <w:pPr>
              <w:pStyle w:val="TableContents"/>
              <w:pBdr/>
              <w:bidi w:val="0"/>
              <w:spacing w:before="0" w:after="0"/>
              <w:ind w:left="0" w:right="0" w:hanging="0"/>
              <w:jc w:val="left"/>
              <w:rPr/>
            </w:pPr>
            <w:r>
              <w:rPr/>
            </w:r>
          </w:p>
        </w:tc>
        <w:tc>
          <w:tcPr>
            <w:tcW w:w="8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(1,585</w:t>
            </w:r>
          </w:p>
        </w:tc>
        <w:tc>
          <w:tcPr>
            <w:tcW w:w="149" w:type="dxa"/>
            <w:tcBorders/>
            <w:shd w:fill="CCEEFF" w:val="clear"/>
            <w:vAlign w:val="center"/>
          </w:tcPr>
          <w:p>
            <w:pPr>
              <w:pStyle w:val="TableContents"/>
              <w:bidi w:val="0"/>
              <w:spacing w:before="0" w:after="0"/>
              <w:ind w:left="0" w:right="0" w:hanging="0"/>
              <w:jc w:val="left"/>
              <w:rPr/>
            </w:pPr>
            <w:r>
              <w:rPr/>
              <w:t>)</w:t>
            </w:r>
          </w:p>
        </w:tc>
        <w:tc>
          <w:tcPr>
            <w:tcW w:w="35" w:type="dxa"/>
            <w:tcBorders/>
            <w:shd w:fill="CCEEFF" w:val="clear"/>
            <w:vAlign w:val="center"/>
          </w:tcPr>
          <w:p>
            <w:pPr>
              <w:pStyle w:val="TableContents"/>
              <w:pBdr/>
              <w:bidi w:val="0"/>
              <w:spacing w:before="0" w:after="0"/>
              <w:ind w:left="0" w:right="0" w:hanging="0"/>
              <w:jc w:val="left"/>
              <w:rPr/>
            </w:pPr>
            <w:r>
              <w:rPr/>
            </w:r>
          </w:p>
        </w:tc>
        <w:tc>
          <w:tcPr>
            <w:tcW w:w="268" w:type="dxa"/>
            <w:tcBorders/>
            <w:shd w:fill="CCEEFF" w:val="clear"/>
            <w:vAlign w:val="center"/>
          </w:tcPr>
          <w:p>
            <w:pPr>
              <w:pStyle w:val="TableContents"/>
              <w:pBdr/>
              <w:bidi w:val="0"/>
              <w:spacing w:before="0" w:after="0"/>
              <w:ind w:left="0" w:right="0" w:hanging="0"/>
              <w:jc w:val="left"/>
              <w:rPr/>
            </w:pPr>
            <w:r>
              <w:rPr/>
            </w:r>
          </w:p>
        </w:tc>
        <w:tc>
          <w:tcPr>
            <w:tcW w:w="8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(7,052</w:t>
            </w:r>
          </w:p>
        </w:tc>
        <w:tc>
          <w:tcPr>
            <w:tcW w:w="123" w:type="dxa"/>
            <w:tcBorders/>
            <w:shd w:fill="CCEEFF" w:val="clear"/>
            <w:vAlign w:val="center"/>
          </w:tcPr>
          <w:p>
            <w:pPr>
              <w:pStyle w:val="TableContents"/>
              <w:bidi w:val="0"/>
              <w:spacing w:before="0" w:after="0"/>
              <w:jc w:val="left"/>
              <w:rPr/>
            </w:pPr>
            <w:r>
              <w:rPr/>
              <w:t>)</w:t>
            </w:r>
          </w:p>
        </w:tc>
      </w:tr>
      <w:tr>
        <w:trPr/>
        <w:tc>
          <w:tcPr>
            <w:tcW w:w="7573"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Cash provided by (used in) operating activities, discontinued operations</w:t>
            </w:r>
          </w:p>
        </w:tc>
        <w:tc>
          <w:tcPr>
            <w:tcW w:w="25" w:type="dxa"/>
            <w:tcBorders/>
            <w:vAlign w:val="center"/>
          </w:tcPr>
          <w:p>
            <w:pPr>
              <w:pStyle w:val="TableContents"/>
              <w:bidi w:val="0"/>
              <w:spacing w:before="0" w:after="283"/>
              <w:ind w:left="0" w:right="0" w:hanging="0"/>
              <w:jc w:val="left"/>
              <w:rPr/>
            </w:pPr>
            <w:r>
              <w:rPr/>
            </w:r>
          </w:p>
        </w:tc>
        <w:tc>
          <w:tcPr>
            <w:tcW w:w="268" w:type="dxa"/>
            <w:tcBorders/>
            <w:vAlign w:val="center"/>
          </w:tcPr>
          <w:p>
            <w:pPr>
              <w:pStyle w:val="TableContents"/>
              <w:bidi w:val="0"/>
              <w:spacing w:before="0" w:after="283"/>
              <w:jc w:val="left"/>
              <w:rPr/>
            </w:pPr>
            <w:r>
              <w:rPr/>
            </w:r>
          </w:p>
        </w:tc>
        <w:tc>
          <w:tcPr>
            <w:tcW w:w="882" w:type="dxa"/>
            <w:tcBorders/>
            <w:vAlign w:val="center"/>
          </w:tcPr>
          <w:p>
            <w:pPr>
              <w:pStyle w:val="TableContents"/>
              <w:bidi w:val="0"/>
              <w:spacing w:before="0" w:after="283"/>
              <w:ind w:left="0" w:right="0" w:hanging="0"/>
              <w:jc w:val="right"/>
              <w:rPr/>
            </w:pPr>
            <w:r>
              <w:rPr/>
              <w:t>(860</w:t>
            </w:r>
          </w:p>
        </w:tc>
        <w:tc>
          <w:tcPr>
            <w:tcW w:w="149" w:type="dxa"/>
            <w:tcBorders/>
            <w:vAlign w:val="center"/>
          </w:tcPr>
          <w:p>
            <w:pPr>
              <w:pStyle w:val="TableContents"/>
              <w:bidi w:val="0"/>
              <w:spacing w:before="0" w:after="0"/>
              <w:ind w:left="0" w:right="0" w:hanging="0"/>
              <w:jc w:val="left"/>
              <w:rPr/>
            </w:pPr>
            <w:r>
              <w:rPr/>
              <w:t>)</w:t>
            </w:r>
          </w:p>
        </w:tc>
        <w:tc>
          <w:tcPr>
            <w:tcW w:w="35" w:type="dxa"/>
            <w:tcBorders/>
            <w:vAlign w:val="center"/>
          </w:tcPr>
          <w:p>
            <w:pPr>
              <w:pStyle w:val="TableContents"/>
              <w:bidi w:val="0"/>
              <w:spacing w:before="0" w:after="283"/>
              <w:ind w:left="0" w:right="0" w:hanging="0"/>
              <w:jc w:val="left"/>
              <w:rPr/>
            </w:pPr>
            <w:r>
              <w:rPr/>
            </w:r>
          </w:p>
        </w:tc>
        <w:tc>
          <w:tcPr>
            <w:tcW w:w="268" w:type="dxa"/>
            <w:tcBorders/>
            <w:vAlign w:val="center"/>
          </w:tcPr>
          <w:p>
            <w:pPr>
              <w:pStyle w:val="TableContents"/>
              <w:bidi w:val="0"/>
              <w:spacing w:before="0" w:after="283"/>
              <w:jc w:val="left"/>
              <w:rPr/>
            </w:pPr>
            <w:r>
              <w:rPr/>
            </w:r>
          </w:p>
        </w:tc>
        <w:tc>
          <w:tcPr>
            <w:tcW w:w="882" w:type="dxa"/>
            <w:tcBorders/>
            <w:vAlign w:val="center"/>
          </w:tcPr>
          <w:p>
            <w:pPr>
              <w:pStyle w:val="TableContents"/>
              <w:bidi w:val="0"/>
              <w:spacing w:before="0" w:after="283"/>
              <w:ind w:left="0" w:right="0" w:hanging="0"/>
              <w:jc w:val="right"/>
              <w:rPr/>
            </w:pPr>
            <w:r>
              <w:rPr/>
              <w:t>4,484</w:t>
            </w:r>
          </w:p>
        </w:tc>
        <w:tc>
          <w:tcPr>
            <w:tcW w:w="123" w:type="dxa"/>
            <w:tcBorders/>
            <w:vAlign w:val="center"/>
          </w:tcPr>
          <w:p>
            <w:pPr>
              <w:pStyle w:val="TableContents"/>
              <w:bidi w:val="0"/>
              <w:spacing w:before="0" w:after="283"/>
              <w:jc w:val="left"/>
              <w:rPr>
                <w:sz w:val="4"/>
                <w:szCs w:val="4"/>
              </w:rPr>
            </w:pPr>
            <w:r>
              <w:rPr>
                <w:sz w:val="4"/>
                <w:szCs w:val="4"/>
              </w:rPr>
            </w:r>
          </w:p>
        </w:tc>
      </w:tr>
      <w:tr>
        <w:trPr/>
        <w:tc>
          <w:tcPr>
            <w:tcW w:w="7573" w:type="dxa"/>
            <w:tcBorders/>
            <w:shd w:fill="CCEEFF" w:val="clear"/>
            <w:vAlign w:val="center"/>
          </w:tcPr>
          <w:p>
            <w:pPr>
              <w:pStyle w:val="TableContents"/>
              <w:bidi w:val="0"/>
              <w:spacing w:before="0" w:after="283"/>
              <w:ind w:left="0" w:right="0" w:hanging="0"/>
              <w:jc w:val="left"/>
              <w:rPr/>
            </w:pPr>
            <w:r>
              <w:rPr/>
            </w:r>
          </w:p>
        </w:tc>
        <w:tc>
          <w:tcPr>
            <w:tcW w:w="25" w:type="dxa"/>
            <w:tcBorders/>
            <w:shd w:fill="CCEEFF" w:val="clear"/>
            <w:vAlign w:val="center"/>
          </w:tcPr>
          <w:p>
            <w:pPr>
              <w:pStyle w:val="TableContents"/>
              <w:bidi w:val="0"/>
              <w:spacing w:before="0" w:after="283"/>
              <w:ind w:left="0" w:right="0" w:hanging="0"/>
              <w:jc w:val="left"/>
              <w:rPr/>
            </w:pPr>
            <w:r>
              <w:rPr/>
            </w:r>
          </w:p>
        </w:tc>
        <w:tc>
          <w:tcPr>
            <w:tcW w:w="268" w:type="dxa"/>
            <w:tcBorders/>
            <w:shd w:fill="CCEEFF" w:val="clear"/>
            <w:vAlign w:val="center"/>
          </w:tcPr>
          <w:p>
            <w:pPr>
              <w:pStyle w:val="TableContents"/>
              <w:bidi w:val="0"/>
              <w:spacing w:before="0" w:after="283"/>
              <w:jc w:val="left"/>
              <w:rPr/>
            </w:pPr>
            <w:r>
              <w:rPr/>
            </w:r>
          </w:p>
        </w:tc>
        <w:tc>
          <w:tcPr>
            <w:tcW w:w="882" w:type="dxa"/>
            <w:tcBorders/>
            <w:shd w:fill="CCEEFF" w:val="clear"/>
            <w:vAlign w:val="center"/>
          </w:tcPr>
          <w:p>
            <w:pPr>
              <w:pStyle w:val="TableContents"/>
              <w:bidi w:val="0"/>
              <w:spacing w:before="0" w:after="283"/>
              <w:ind w:left="0" w:right="0" w:hanging="0"/>
              <w:jc w:val="left"/>
              <w:rPr/>
            </w:pPr>
            <w:r>
              <w:rPr/>
            </w:r>
          </w:p>
        </w:tc>
        <w:tc>
          <w:tcPr>
            <w:tcW w:w="149" w:type="dxa"/>
            <w:tcBorders/>
            <w:shd w:fill="CCEEFF" w:val="clear"/>
            <w:vAlign w:val="center"/>
          </w:tcPr>
          <w:p>
            <w:pPr>
              <w:pStyle w:val="TableContents"/>
              <w:bidi w:val="0"/>
              <w:spacing w:before="0" w:after="283"/>
              <w:ind w:left="0" w:right="0" w:hanging="0"/>
              <w:jc w:val="left"/>
              <w:rPr/>
            </w:pPr>
            <w:r>
              <w:rPr/>
            </w:r>
          </w:p>
        </w:tc>
        <w:tc>
          <w:tcPr>
            <w:tcW w:w="35" w:type="dxa"/>
            <w:tcBorders/>
            <w:shd w:fill="CCEEFF" w:val="clear"/>
            <w:vAlign w:val="center"/>
          </w:tcPr>
          <w:p>
            <w:pPr>
              <w:pStyle w:val="TableContents"/>
              <w:bidi w:val="0"/>
              <w:spacing w:before="0" w:after="283"/>
              <w:ind w:left="0" w:right="0" w:hanging="0"/>
              <w:jc w:val="left"/>
              <w:rPr/>
            </w:pPr>
            <w:r>
              <w:rPr/>
            </w:r>
          </w:p>
        </w:tc>
        <w:tc>
          <w:tcPr>
            <w:tcW w:w="268" w:type="dxa"/>
            <w:tcBorders/>
            <w:shd w:fill="CCEEFF" w:val="clear"/>
            <w:vAlign w:val="center"/>
          </w:tcPr>
          <w:p>
            <w:pPr>
              <w:pStyle w:val="TableContents"/>
              <w:bidi w:val="0"/>
              <w:spacing w:before="0" w:after="283"/>
              <w:jc w:val="left"/>
              <w:rPr/>
            </w:pPr>
            <w:r>
              <w:rPr/>
            </w:r>
          </w:p>
        </w:tc>
        <w:tc>
          <w:tcPr>
            <w:tcW w:w="882" w:type="dxa"/>
            <w:tcBorders/>
            <w:shd w:fill="CCEEFF" w:val="clear"/>
            <w:vAlign w:val="center"/>
          </w:tcPr>
          <w:p>
            <w:pPr>
              <w:pStyle w:val="TableContents"/>
              <w:bidi w:val="0"/>
              <w:spacing w:before="0" w:after="283"/>
              <w:ind w:left="0" w:right="0" w:hanging="0"/>
              <w:jc w:val="left"/>
              <w:rPr/>
            </w:pPr>
            <w:r>
              <w:rPr/>
            </w:r>
          </w:p>
        </w:tc>
        <w:tc>
          <w:tcPr>
            <w:tcW w:w="123" w:type="dxa"/>
            <w:tcBorders/>
            <w:shd w:fill="CCEEFF" w:val="clear"/>
            <w:vAlign w:val="center"/>
          </w:tcPr>
          <w:p>
            <w:pPr>
              <w:pStyle w:val="TableContents"/>
              <w:bidi w:val="0"/>
              <w:spacing w:before="0" w:after="283"/>
              <w:jc w:val="left"/>
              <w:rPr/>
            </w:pPr>
            <w:r>
              <w:rPr/>
            </w:r>
          </w:p>
        </w:tc>
      </w:tr>
      <w:tr>
        <w:trPr/>
        <w:tc>
          <w:tcPr>
            <w:tcW w:w="7573"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Cash flows from investing activities:</w:t>
            </w:r>
          </w:p>
        </w:tc>
        <w:tc>
          <w:tcPr>
            <w:tcW w:w="25" w:type="dxa"/>
            <w:tcBorders/>
            <w:vAlign w:val="center"/>
          </w:tcPr>
          <w:p>
            <w:pPr>
              <w:pStyle w:val="TableContents"/>
              <w:bidi w:val="0"/>
              <w:spacing w:before="0" w:after="283"/>
              <w:ind w:left="0" w:right="0" w:hanging="0"/>
              <w:jc w:val="left"/>
              <w:rPr/>
            </w:pPr>
            <w:r>
              <w:rPr/>
            </w:r>
          </w:p>
        </w:tc>
        <w:tc>
          <w:tcPr>
            <w:tcW w:w="268" w:type="dxa"/>
            <w:tcBorders/>
            <w:vAlign w:val="center"/>
          </w:tcPr>
          <w:p>
            <w:pPr>
              <w:pStyle w:val="TableContents"/>
              <w:bidi w:val="0"/>
              <w:spacing w:before="0" w:after="283"/>
              <w:jc w:val="left"/>
              <w:rPr/>
            </w:pPr>
            <w:r>
              <w:rPr/>
            </w:r>
          </w:p>
        </w:tc>
        <w:tc>
          <w:tcPr>
            <w:tcW w:w="882" w:type="dxa"/>
            <w:tcBorders/>
            <w:vAlign w:val="center"/>
          </w:tcPr>
          <w:p>
            <w:pPr>
              <w:pStyle w:val="TableContents"/>
              <w:bidi w:val="0"/>
              <w:spacing w:before="0" w:after="283"/>
              <w:ind w:left="0" w:right="0" w:hanging="0"/>
              <w:jc w:val="left"/>
              <w:rPr/>
            </w:pPr>
            <w:r>
              <w:rPr/>
            </w:r>
          </w:p>
        </w:tc>
        <w:tc>
          <w:tcPr>
            <w:tcW w:w="149" w:type="dxa"/>
            <w:tcBorders/>
            <w:vAlign w:val="center"/>
          </w:tcPr>
          <w:p>
            <w:pPr>
              <w:pStyle w:val="TableContents"/>
              <w:bidi w:val="0"/>
              <w:spacing w:before="0" w:after="283"/>
              <w:ind w:left="0" w:right="0" w:hanging="0"/>
              <w:jc w:val="left"/>
              <w:rPr/>
            </w:pPr>
            <w:r>
              <w:rPr/>
            </w:r>
          </w:p>
        </w:tc>
        <w:tc>
          <w:tcPr>
            <w:tcW w:w="35" w:type="dxa"/>
            <w:tcBorders/>
            <w:vAlign w:val="center"/>
          </w:tcPr>
          <w:p>
            <w:pPr>
              <w:pStyle w:val="TableContents"/>
              <w:bidi w:val="0"/>
              <w:spacing w:before="0" w:after="283"/>
              <w:ind w:left="0" w:right="0" w:hanging="0"/>
              <w:jc w:val="left"/>
              <w:rPr/>
            </w:pPr>
            <w:r>
              <w:rPr/>
            </w:r>
          </w:p>
        </w:tc>
        <w:tc>
          <w:tcPr>
            <w:tcW w:w="268" w:type="dxa"/>
            <w:tcBorders/>
            <w:vAlign w:val="center"/>
          </w:tcPr>
          <w:p>
            <w:pPr>
              <w:pStyle w:val="TableContents"/>
              <w:bidi w:val="0"/>
              <w:spacing w:before="0" w:after="283"/>
              <w:jc w:val="left"/>
              <w:rPr/>
            </w:pPr>
            <w:r>
              <w:rPr/>
            </w:r>
          </w:p>
        </w:tc>
        <w:tc>
          <w:tcPr>
            <w:tcW w:w="882" w:type="dxa"/>
            <w:tcBorders/>
            <w:vAlign w:val="center"/>
          </w:tcPr>
          <w:p>
            <w:pPr>
              <w:pStyle w:val="TableContents"/>
              <w:bidi w:val="0"/>
              <w:spacing w:before="0" w:after="283"/>
              <w:ind w:left="0" w:right="0" w:hanging="0"/>
              <w:jc w:val="left"/>
              <w:rPr/>
            </w:pPr>
            <w:r>
              <w:rPr/>
            </w:r>
          </w:p>
        </w:tc>
        <w:tc>
          <w:tcPr>
            <w:tcW w:w="123" w:type="dxa"/>
            <w:tcBorders/>
            <w:vAlign w:val="center"/>
          </w:tcPr>
          <w:p>
            <w:pPr>
              <w:pStyle w:val="TableContents"/>
              <w:bidi w:val="0"/>
              <w:spacing w:before="0" w:after="283"/>
              <w:jc w:val="left"/>
              <w:rPr/>
            </w:pPr>
            <w:r>
              <w:rPr/>
            </w:r>
          </w:p>
        </w:tc>
      </w:tr>
      <w:tr>
        <w:trPr/>
        <w:tc>
          <w:tcPr>
            <w:tcW w:w="7573" w:type="dxa"/>
            <w:tcBorders/>
            <w:shd w:fill="CCEEFF" w:val="clear"/>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Net cash provided by investing activities, continuing operations </w:t>
            </w:r>
          </w:p>
        </w:tc>
        <w:tc>
          <w:tcPr>
            <w:tcW w:w="25" w:type="dxa"/>
            <w:tcBorders/>
            <w:shd w:fill="CCEEFF" w:val="clear"/>
            <w:vAlign w:val="center"/>
          </w:tcPr>
          <w:p>
            <w:pPr>
              <w:pStyle w:val="TableContents"/>
              <w:bidi w:val="0"/>
              <w:spacing w:before="0" w:after="283"/>
              <w:ind w:left="0" w:right="0" w:hanging="0"/>
              <w:jc w:val="left"/>
              <w:rPr/>
            </w:pPr>
            <w:r>
              <w:rPr/>
            </w:r>
          </w:p>
        </w:tc>
        <w:tc>
          <w:tcPr>
            <w:tcW w:w="268" w:type="dxa"/>
            <w:tcBorders/>
            <w:shd w:fill="CCEEFF" w:val="clear"/>
            <w:vAlign w:val="center"/>
          </w:tcPr>
          <w:p>
            <w:pPr>
              <w:pStyle w:val="TableContents"/>
              <w:bidi w:val="0"/>
              <w:spacing w:before="0" w:after="283"/>
              <w:jc w:val="left"/>
              <w:rPr/>
            </w:pPr>
            <w:r>
              <w:rPr/>
            </w:r>
          </w:p>
        </w:tc>
        <w:tc>
          <w:tcPr>
            <w:tcW w:w="882" w:type="dxa"/>
            <w:tcBorders/>
            <w:shd w:fill="CCEEFF" w:val="clear"/>
            <w:vAlign w:val="center"/>
          </w:tcPr>
          <w:p>
            <w:pPr>
              <w:pStyle w:val="TableContents"/>
              <w:bidi w:val="0"/>
              <w:spacing w:before="0" w:after="283"/>
              <w:ind w:left="0" w:right="0" w:hanging="0"/>
              <w:jc w:val="right"/>
              <w:rPr/>
            </w:pPr>
            <w:r>
              <w:rPr/>
              <w:t>—</w:t>
            </w:r>
          </w:p>
        </w:tc>
        <w:tc>
          <w:tcPr>
            <w:tcW w:w="14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5" w:type="dxa"/>
            <w:tcBorders/>
            <w:shd w:fill="CCEEFF" w:val="clear"/>
            <w:vAlign w:val="center"/>
          </w:tcPr>
          <w:p>
            <w:pPr>
              <w:pStyle w:val="TableContents"/>
              <w:bidi w:val="0"/>
              <w:spacing w:before="0" w:after="283"/>
              <w:ind w:left="0" w:right="0" w:hanging="0"/>
              <w:jc w:val="left"/>
              <w:rPr/>
            </w:pPr>
            <w:r>
              <w:rPr/>
            </w:r>
          </w:p>
        </w:tc>
        <w:tc>
          <w:tcPr>
            <w:tcW w:w="268" w:type="dxa"/>
            <w:tcBorders/>
            <w:shd w:fill="CCEEFF" w:val="clear"/>
            <w:vAlign w:val="center"/>
          </w:tcPr>
          <w:p>
            <w:pPr>
              <w:pStyle w:val="TableContents"/>
              <w:bidi w:val="0"/>
              <w:spacing w:before="0" w:after="283"/>
              <w:jc w:val="left"/>
              <w:rPr/>
            </w:pPr>
            <w:r>
              <w:rPr/>
            </w:r>
          </w:p>
        </w:tc>
        <w:tc>
          <w:tcPr>
            <w:tcW w:w="882" w:type="dxa"/>
            <w:tcBorders/>
            <w:shd w:fill="CCEEFF" w:val="clear"/>
            <w:vAlign w:val="center"/>
          </w:tcPr>
          <w:p>
            <w:pPr>
              <w:pStyle w:val="TableContents"/>
              <w:bidi w:val="0"/>
              <w:spacing w:before="0" w:after="283"/>
              <w:ind w:left="0" w:right="0" w:hanging="0"/>
              <w:jc w:val="right"/>
              <w:rPr/>
            </w:pPr>
            <w:r>
              <w:rPr/>
              <w:t>—</w:t>
            </w:r>
          </w:p>
        </w:tc>
        <w:tc>
          <w:tcPr>
            <w:tcW w:w="123" w:type="dxa"/>
            <w:tcBorders/>
            <w:shd w:fill="CCEEFF" w:val="clear"/>
            <w:vAlign w:val="center"/>
          </w:tcPr>
          <w:p>
            <w:pPr>
              <w:pStyle w:val="TableContents"/>
              <w:bidi w:val="0"/>
              <w:spacing w:before="0" w:after="283"/>
              <w:jc w:val="left"/>
              <w:rPr>
                <w:sz w:val="4"/>
                <w:szCs w:val="4"/>
              </w:rPr>
            </w:pPr>
            <w:r>
              <w:rPr>
                <w:sz w:val="4"/>
                <w:szCs w:val="4"/>
              </w:rPr>
            </w:r>
          </w:p>
        </w:tc>
      </w:tr>
      <w:tr>
        <w:trPr/>
        <w:tc>
          <w:tcPr>
            <w:tcW w:w="7573"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Cash used in investing activities, discontinued operations </w:t>
            </w:r>
          </w:p>
        </w:tc>
        <w:tc>
          <w:tcPr>
            <w:tcW w:w="25" w:type="dxa"/>
            <w:tcBorders/>
            <w:vAlign w:val="center"/>
          </w:tcPr>
          <w:p>
            <w:pPr>
              <w:pStyle w:val="TableContents"/>
              <w:bidi w:val="0"/>
              <w:spacing w:before="0" w:after="283"/>
              <w:ind w:left="0" w:right="0" w:hanging="0"/>
              <w:jc w:val="left"/>
              <w:rPr/>
            </w:pPr>
            <w:r>
              <w:rPr/>
            </w:r>
          </w:p>
        </w:tc>
        <w:tc>
          <w:tcPr>
            <w:tcW w:w="268" w:type="dxa"/>
            <w:tcBorders/>
            <w:vAlign w:val="center"/>
          </w:tcPr>
          <w:p>
            <w:pPr>
              <w:pStyle w:val="TableContents"/>
              <w:bidi w:val="0"/>
              <w:spacing w:before="0" w:after="283"/>
              <w:jc w:val="left"/>
              <w:rPr/>
            </w:pPr>
            <w:r>
              <w:rPr/>
            </w:r>
          </w:p>
        </w:tc>
        <w:tc>
          <w:tcPr>
            <w:tcW w:w="882" w:type="dxa"/>
            <w:tcBorders/>
            <w:vAlign w:val="center"/>
          </w:tcPr>
          <w:p>
            <w:pPr>
              <w:pStyle w:val="TableContents"/>
              <w:bidi w:val="0"/>
              <w:spacing w:before="0" w:after="283"/>
              <w:ind w:left="0" w:right="0" w:hanging="0"/>
              <w:jc w:val="right"/>
              <w:rPr/>
            </w:pPr>
            <w:r>
              <w:rPr/>
              <w:t>—</w:t>
            </w:r>
          </w:p>
        </w:tc>
        <w:tc>
          <w:tcPr>
            <w:tcW w:w="149" w:type="dxa"/>
            <w:tcBorders/>
            <w:vAlign w:val="center"/>
          </w:tcPr>
          <w:p>
            <w:pPr>
              <w:pStyle w:val="TableContents"/>
              <w:bidi w:val="0"/>
              <w:spacing w:before="0" w:after="283"/>
              <w:ind w:left="0" w:right="0" w:hanging="0"/>
              <w:jc w:val="left"/>
              <w:rPr/>
            </w:pPr>
            <w:r>
              <w:rPr/>
            </w:r>
          </w:p>
        </w:tc>
        <w:tc>
          <w:tcPr>
            <w:tcW w:w="35" w:type="dxa"/>
            <w:tcBorders/>
            <w:vAlign w:val="center"/>
          </w:tcPr>
          <w:p>
            <w:pPr>
              <w:pStyle w:val="TableContents"/>
              <w:bidi w:val="0"/>
              <w:spacing w:before="0" w:after="283"/>
              <w:ind w:left="0" w:right="0" w:hanging="0"/>
              <w:jc w:val="left"/>
              <w:rPr/>
            </w:pPr>
            <w:r>
              <w:rPr/>
            </w:r>
          </w:p>
        </w:tc>
        <w:tc>
          <w:tcPr>
            <w:tcW w:w="268" w:type="dxa"/>
            <w:tcBorders/>
            <w:vAlign w:val="center"/>
          </w:tcPr>
          <w:p>
            <w:pPr>
              <w:pStyle w:val="TableContents"/>
              <w:bidi w:val="0"/>
              <w:spacing w:before="0" w:after="283"/>
              <w:jc w:val="left"/>
              <w:rPr/>
            </w:pPr>
            <w:r>
              <w:rPr/>
            </w:r>
          </w:p>
        </w:tc>
        <w:tc>
          <w:tcPr>
            <w:tcW w:w="882" w:type="dxa"/>
            <w:tcBorders/>
            <w:vAlign w:val="center"/>
          </w:tcPr>
          <w:p>
            <w:pPr>
              <w:pStyle w:val="TableContents"/>
              <w:bidi w:val="0"/>
              <w:spacing w:before="0" w:after="283"/>
              <w:ind w:left="0" w:right="0" w:hanging="0"/>
              <w:jc w:val="right"/>
              <w:rPr/>
            </w:pPr>
            <w:r>
              <w:rPr/>
              <w:t>(21</w:t>
            </w:r>
          </w:p>
        </w:tc>
        <w:tc>
          <w:tcPr>
            <w:tcW w:w="123" w:type="dxa"/>
            <w:tcBorders/>
            <w:vAlign w:val="center"/>
          </w:tcPr>
          <w:p>
            <w:pPr>
              <w:pStyle w:val="TableContents"/>
              <w:bidi w:val="0"/>
              <w:spacing w:before="0" w:after="0"/>
              <w:jc w:val="left"/>
              <w:rPr/>
            </w:pPr>
            <w:r>
              <w:rPr/>
              <w:t>)</w:t>
            </w:r>
          </w:p>
        </w:tc>
      </w:tr>
      <w:tr>
        <w:trPr/>
        <w:tc>
          <w:tcPr>
            <w:tcW w:w="7573" w:type="dxa"/>
            <w:tcBorders/>
            <w:shd w:fill="CCEEFF" w:val="clear"/>
            <w:vAlign w:val="center"/>
          </w:tcPr>
          <w:p>
            <w:pPr>
              <w:pStyle w:val="TableContents"/>
              <w:bidi w:val="0"/>
              <w:spacing w:before="0" w:after="0"/>
              <w:ind w:left="0" w:right="0" w:hanging="0"/>
              <w:jc w:val="left"/>
              <w:rPr/>
            </w:pPr>
            <w:r>
              <w:rPr/>
            </w:r>
          </w:p>
        </w:tc>
        <w:tc>
          <w:tcPr>
            <w:tcW w:w="25" w:type="dxa"/>
            <w:tcBorders/>
            <w:shd w:fill="CCEEFF" w:val="clear"/>
            <w:vAlign w:val="center"/>
          </w:tcPr>
          <w:p>
            <w:pPr>
              <w:pStyle w:val="TableContents"/>
              <w:pBdr/>
              <w:bidi w:val="0"/>
              <w:spacing w:before="0" w:after="0"/>
              <w:ind w:left="0" w:right="0" w:hanging="0"/>
              <w:jc w:val="left"/>
              <w:rPr/>
            </w:pPr>
            <w:r>
              <w:rPr/>
            </w:r>
          </w:p>
        </w:tc>
        <w:tc>
          <w:tcPr>
            <w:tcW w:w="268" w:type="dxa"/>
            <w:tcBorders/>
            <w:shd w:fill="CCEEFF" w:val="clear"/>
            <w:vAlign w:val="center"/>
          </w:tcPr>
          <w:p>
            <w:pPr>
              <w:pStyle w:val="TableContents"/>
              <w:pBdr/>
              <w:bidi w:val="0"/>
              <w:spacing w:before="0" w:after="0"/>
              <w:ind w:left="0" w:right="0" w:hanging="0"/>
              <w:jc w:val="left"/>
              <w:rPr/>
            </w:pPr>
            <w:r>
              <w:rPr/>
            </w:r>
          </w:p>
        </w:tc>
        <w:tc>
          <w:tcPr>
            <w:tcW w:w="882" w:type="dxa"/>
            <w:tcBorders/>
            <w:shd w:fill="CCEEFF" w:val="clear"/>
            <w:vAlign w:val="center"/>
          </w:tcPr>
          <w:p>
            <w:pPr>
              <w:pStyle w:val="TableContents"/>
              <w:bidi w:val="0"/>
              <w:spacing w:before="0" w:after="0"/>
              <w:ind w:left="0" w:right="0" w:hanging="0"/>
              <w:jc w:val="left"/>
              <w:rPr/>
            </w:pPr>
            <w:r>
              <w:rPr/>
            </w:r>
          </w:p>
        </w:tc>
        <w:tc>
          <w:tcPr>
            <w:tcW w:w="149" w:type="dxa"/>
            <w:tcBorders/>
            <w:shd w:fill="CCEEFF" w:val="clear"/>
            <w:vAlign w:val="center"/>
          </w:tcPr>
          <w:p>
            <w:pPr>
              <w:pStyle w:val="TableContents"/>
              <w:pBdr/>
              <w:bidi w:val="0"/>
              <w:spacing w:before="0" w:after="0"/>
              <w:ind w:left="0" w:right="0" w:hanging="0"/>
              <w:jc w:val="left"/>
              <w:rPr/>
            </w:pPr>
            <w:r>
              <w:rPr/>
            </w:r>
          </w:p>
        </w:tc>
        <w:tc>
          <w:tcPr>
            <w:tcW w:w="35" w:type="dxa"/>
            <w:tcBorders/>
            <w:shd w:fill="CCEEFF" w:val="clear"/>
            <w:vAlign w:val="center"/>
          </w:tcPr>
          <w:p>
            <w:pPr>
              <w:pStyle w:val="TableContents"/>
              <w:pBdr/>
              <w:bidi w:val="0"/>
              <w:spacing w:before="0" w:after="0"/>
              <w:ind w:left="0" w:right="0" w:hanging="0"/>
              <w:jc w:val="left"/>
              <w:rPr/>
            </w:pPr>
            <w:r>
              <w:rPr/>
            </w:r>
          </w:p>
        </w:tc>
        <w:tc>
          <w:tcPr>
            <w:tcW w:w="268" w:type="dxa"/>
            <w:tcBorders/>
            <w:shd w:fill="CCEEFF" w:val="clear"/>
            <w:vAlign w:val="center"/>
          </w:tcPr>
          <w:p>
            <w:pPr>
              <w:pStyle w:val="TableContents"/>
              <w:pBdr/>
              <w:bidi w:val="0"/>
              <w:spacing w:before="0" w:after="0"/>
              <w:ind w:left="0" w:right="0" w:hanging="0"/>
              <w:jc w:val="left"/>
              <w:rPr/>
            </w:pPr>
            <w:r>
              <w:rPr/>
            </w:r>
          </w:p>
        </w:tc>
        <w:tc>
          <w:tcPr>
            <w:tcW w:w="882" w:type="dxa"/>
            <w:tcBorders/>
            <w:shd w:fill="CCEEFF" w:val="clear"/>
            <w:vAlign w:val="center"/>
          </w:tcPr>
          <w:p>
            <w:pPr>
              <w:pStyle w:val="TableContents"/>
              <w:bidi w:val="0"/>
              <w:spacing w:before="0" w:after="0"/>
              <w:ind w:left="0" w:right="0" w:hanging="0"/>
              <w:jc w:val="left"/>
              <w:rPr/>
            </w:pPr>
            <w:r>
              <w:rPr/>
            </w:r>
          </w:p>
        </w:tc>
        <w:tc>
          <w:tcPr>
            <w:tcW w:w="123" w:type="dxa"/>
            <w:tcBorders/>
            <w:shd w:fill="CCEEFF" w:val="clear"/>
            <w:vAlign w:val="center"/>
          </w:tcPr>
          <w:p>
            <w:pPr>
              <w:pStyle w:val="TableContents"/>
              <w:pBdr/>
              <w:bidi w:val="0"/>
              <w:spacing w:before="0" w:after="0"/>
              <w:ind w:left="0" w:right="0" w:hanging="0"/>
              <w:jc w:val="left"/>
              <w:rPr/>
            </w:pPr>
            <w:r>
              <w:rPr/>
            </w:r>
          </w:p>
        </w:tc>
      </w:tr>
      <w:tr>
        <w:trPr/>
        <w:tc>
          <w:tcPr>
            <w:tcW w:w="75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flows from financing activities: </w:t>
            </w:r>
          </w:p>
        </w:tc>
        <w:tc>
          <w:tcPr>
            <w:tcW w:w="25" w:type="dxa"/>
            <w:tcBorders/>
            <w:vAlign w:val="center"/>
          </w:tcPr>
          <w:p>
            <w:pPr>
              <w:pStyle w:val="TableContents"/>
              <w:pBdr/>
              <w:bidi w:val="0"/>
              <w:spacing w:before="0" w:after="0"/>
              <w:ind w:left="0" w:right="0" w:hanging="0"/>
              <w:jc w:val="left"/>
              <w:rPr/>
            </w:pPr>
            <w:r>
              <w:rPr/>
            </w:r>
          </w:p>
        </w:tc>
        <w:tc>
          <w:tcPr>
            <w:tcW w:w="268" w:type="dxa"/>
            <w:tcBorders/>
            <w:vAlign w:val="center"/>
          </w:tcPr>
          <w:p>
            <w:pPr>
              <w:pStyle w:val="TableContents"/>
              <w:pBdr/>
              <w:bidi w:val="0"/>
              <w:spacing w:before="0" w:after="0"/>
              <w:ind w:left="0" w:right="0" w:hanging="0"/>
              <w:jc w:val="left"/>
              <w:rPr/>
            </w:pPr>
            <w:r>
              <w:rPr/>
            </w:r>
          </w:p>
        </w:tc>
        <w:tc>
          <w:tcPr>
            <w:tcW w:w="882" w:type="dxa"/>
            <w:tcBorders/>
            <w:vAlign w:val="center"/>
          </w:tcPr>
          <w:p>
            <w:pPr>
              <w:pStyle w:val="TableContents"/>
              <w:bidi w:val="0"/>
              <w:spacing w:before="0" w:after="0"/>
              <w:ind w:left="0" w:right="0" w:hanging="0"/>
              <w:jc w:val="left"/>
              <w:rPr/>
            </w:pPr>
            <w:r>
              <w:rPr/>
            </w:r>
          </w:p>
        </w:tc>
        <w:tc>
          <w:tcPr>
            <w:tcW w:w="149" w:type="dxa"/>
            <w:tcBorders/>
            <w:vAlign w:val="center"/>
          </w:tcPr>
          <w:p>
            <w:pPr>
              <w:pStyle w:val="TableContents"/>
              <w:pBdr/>
              <w:bidi w:val="0"/>
              <w:spacing w:before="0" w:after="0"/>
              <w:ind w:left="0" w:right="0" w:hanging="0"/>
              <w:jc w:val="left"/>
              <w:rPr/>
            </w:pPr>
            <w:r>
              <w:rPr/>
            </w:r>
          </w:p>
        </w:tc>
        <w:tc>
          <w:tcPr>
            <w:tcW w:w="35" w:type="dxa"/>
            <w:tcBorders/>
            <w:vAlign w:val="center"/>
          </w:tcPr>
          <w:p>
            <w:pPr>
              <w:pStyle w:val="TableContents"/>
              <w:pBdr/>
              <w:bidi w:val="0"/>
              <w:spacing w:before="0" w:after="0"/>
              <w:ind w:left="0" w:right="0" w:hanging="0"/>
              <w:jc w:val="left"/>
              <w:rPr/>
            </w:pPr>
            <w:r>
              <w:rPr/>
            </w:r>
          </w:p>
        </w:tc>
        <w:tc>
          <w:tcPr>
            <w:tcW w:w="268" w:type="dxa"/>
            <w:tcBorders/>
            <w:vAlign w:val="center"/>
          </w:tcPr>
          <w:p>
            <w:pPr>
              <w:pStyle w:val="TableContents"/>
              <w:pBdr/>
              <w:bidi w:val="0"/>
              <w:spacing w:before="0" w:after="0"/>
              <w:ind w:left="0" w:right="0" w:hanging="0"/>
              <w:jc w:val="left"/>
              <w:rPr/>
            </w:pPr>
            <w:r>
              <w:rPr/>
            </w:r>
          </w:p>
        </w:tc>
        <w:tc>
          <w:tcPr>
            <w:tcW w:w="882" w:type="dxa"/>
            <w:tcBorders/>
            <w:vAlign w:val="center"/>
          </w:tcPr>
          <w:p>
            <w:pPr>
              <w:pStyle w:val="TableContents"/>
              <w:bidi w:val="0"/>
              <w:spacing w:before="0" w:after="0"/>
              <w:ind w:left="0" w:right="0" w:hanging="0"/>
              <w:jc w:val="left"/>
              <w:rPr/>
            </w:pPr>
            <w:r>
              <w:rPr/>
            </w:r>
          </w:p>
        </w:tc>
        <w:tc>
          <w:tcPr>
            <w:tcW w:w="123" w:type="dxa"/>
            <w:tcBorders/>
            <w:vAlign w:val="center"/>
          </w:tcPr>
          <w:p>
            <w:pPr>
              <w:pStyle w:val="TableContents"/>
              <w:pBdr/>
              <w:bidi w:val="0"/>
              <w:spacing w:before="0" w:after="0"/>
              <w:ind w:left="0" w:right="0" w:hanging="0"/>
              <w:jc w:val="left"/>
              <w:rPr/>
            </w:pPr>
            <w:r>
              <w:rPr/>
            </w:r>
          </w:p>
        </w:tc>
      </w:tr>
      <w:tr>
        <w:trPr/>
        <w:tc>
          <w:tcPr>
            <w:tcW w:w="7573"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Proceeds from sale of stock </w:t>
            </w:r>
          </w:p>
        </w:tc>
        <w:tc>
          <w:tcPr>
            <w:tcW w:w="25" w:type="dxa"/>
            <w:tcBorders/>
            <w:shd w:fill="CCEEFF" w:val="clear"/>
            <w:vAlign w:val="center"/>
          </w:tcPr>
          <w:p>
            <w:pPr>
              <w:pStyle w:val="TableContents"/>
              <w:bidi w:val="0"/>
              <w:spacing w:before="0" w:after="283"/>
              <w:ind w:left="0" w:right="0" w:hanging="0"/>
              <w:jc w:val="left"/>
              <w:rPr/>
            </w:pPr>
            <w:r>
              <w:rPr/>
            </w:r>
          </w:p>
        </w:tc>
        <w:tc>
          <w:tcPr>
            <w:tcW w:w="268" w:type="dxa"/>
            <w:tcBorders/>
            <w:shd w:fill="CCEEFF" w:val="clear"/>
            <w:vAlign w:val="center"/>
          </w:tcPr>
          <w:p>
            <w:pPr>
              <w:pStyle w:val="TableContents"/>
              <w:bidi w:val="0"/>
              <w:spacing w:before="0" w:after="283"/>
              <w:jc w:val="left"/>
              <w:rPr/>
            </w:pPr>
            <w:r>
              <w:rPr/>
            </w:r>
          </w:p>
        </w:tc>
        <w:tc>
          <w:tcPr>
            <w:tcW w:w="882" w:type="dxa"/>
            <w:tcBorders/>
            <w:shd w:fill="CCEEFF" w:val="clear"/>
            <w:vAlign w:val="center"/>
          </w:tcPr>
          <w:p>
            <w:pPr>
              <w:pStyle w:val="TableContents"/>
              <w:bidi w:val="0"/>
              <w:spacing w:before="0" w:after="283"/>
              <w:ind w:left="0" w:right="0" w:hanging="0"/>
              <w:jc w:val="right"/>
              <w:rPr/>
            </w:pPr>
            <w:r>
              <w:rPr/>
              <w:t>1,750</w:t>
            </w:r>
          </w:p>
        </w:tc>
        <w:tc>
          <w:tcPr>
            <w:tcW w:w="149" w:type="dxa"/>
            <w:tcBorders/>
            <w:shd w:fill="CCEEFF" w:val="clear"/>
            <w:vAlign w:val="center"/>
          </w:tcPr>
          <w:p>
            <w:pPr>
              <w:pStyle w:val="TableContents"/>
              <w:bidi w:val="0"/>
              <w:spacing w:before="0" w:after="283"/>
              <w:ind w:left="0" w:right="0" w:hanging="0"/>
              <w:jc w:val="left"/>
              <w:rPr/>
            </w:pPr>
            <w:r>
              <w:rPr/>
            </w:r>
          </w:p>
        </w:tc>
        <w:tc>
          <w:tcPr>
            <w:tcW w:w="35" w:type="dxa"/>
            <w:tcBorders/>
            <w:shd w:fill="CCEEFF" w:val="clear"/>
            <w:vAlign w:val="center"/>
          </w:tcPr>
          <w:p>
            <w:pPr>
              <w:pStyle w:val="TableContents"/>
              <w:bidi w:val="0"/>
              <w:spacing w:before="0" w:after="283"/>
              <w:ind w:left="0" w:right="0" w:hanging="0"/>
              <w:jc w:val="left"/>
              <w:rPr/>
            </w:pPr>
            <w:r>
              <w:rPr/>
            </w:r>
          </w:p>
        </w:tc>
        <w:tc>
          <w:tcPr>
            <w:tcW w:w="268" w:type="dxa"/>
            <w:tcBorders/>
            <w:shd w:fill="CCEEFF" w:val="clear"/>
            <w:vAlign w:val="center"/>
          </w:tcPr>
          <w:p>
            <w:pPr>
              <w:pStyle w:val="TableContents"/>
              <w:bidi w:val="0"/>
              <w:spacing w:before="0" w:after="283"/>
              <w:jc w:val="left"/>
              <w:rPr/>
            </w:pPr>
            <w:r>
              <w:rPr/>
            </w:r>
          </w:p>
        </w:tc>
        <w:tc>
          <w:tcPr>
            <w:tcW w:w="882" w:type="dxa"/>
            <w:tcBorders/>
            <w:shd w:fill="CCEEFF" w:val="clear"/>
            <w:vAlign w:val="center"/>
          </w:tcPr>
          <w:p>
            <w:pPr>
              <w:pStyle w:val="TableContents"/>
              <w:bidi w:val="0"/>
              <w:spacing w:before="0" w:after="283"/>
              <w:ind w:left="0" w:right="0" w:hanging="0"/>
              <w:jc w:val="right"/>
              <w:rPr/>
            </w:pPr>
            <w:r>
              <w:rPr/>
              <w:t>1,000</w:t>
            </w:r>
          </w:p>
        </w:tc>
        <w:tc>
          <w:tcPr>
            <w:tcW w:w="123" w:type="dxa"/>
            <w:tcBorders/>
            <w:shd w:fill="CCEEFF" w:val="clear"/>
            <w:vAlign w:val="center"/>
          </w:tcPr>
          <w:p>
            <w:pPr>
              <w:pStyle w:val="TableContents"/>
              <w:bidi w:val="0"/>
              <w:spacing w:before="0" w:after="283"/>
              <w:jc w:val="left"/>
              <w:rPr>
                <w:sz w:val="4"/>
                <w:szCs w:val="4"/>
              </w:rPr>
            </w:pPr>
            <w:r>
              <w:rPr>
                <w:sz w:val="4"/>
                <w:szCs w:val="4"/>
              </w:rPr>
            </w:r>
          </w:p>
        </w:tc>
      </w:tr>
      <w:tr>
        <w:trPr/>
        <w:tc>
          <w:tcPr>
            <w:tcW w:w="7573"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Proceeds from issuance of convertible note</w:t>
            </w:r>
          </w:p>
        </w:tc>
        <w:tc>
          <w:tcPr>
            <w:tcW w:w="25" w:type="dxa"/>
            <w:tcBorders/>
            <w:vAlign w:val="center"/>
          </w:tcPr>
          <w:p>
            <w:pPr>
              <w:pStyle w:val="TableContents"/>
              <w:bidi w:val="0"/>
              <w:spacing w:before="0" w:after="283"/>
              <w:ind w:left="0" w:right="0" w:hanging="0"/>
              <w:jc w:val="left"/>
              <w:rPr/>
            </w:pPr>
            <w:r>
              <w:rPr/>
            </w:r>
          </w:p>
        </w:tc>
        <w:tc>
          <w:tcPr>
            <w:tcW w:w="268" w:type="dxa"/>
            <w:tcBorders/>
            <w:vAlign w:val="center"/>
          </w:tcPr>
          <w:p>
            <w:pPr>
              <w:pStyle w:val="TableContents"/>
              <w:bidi w:val="0"/>
              <w:spacing w:before="0" w:after="283"/>
              <w:jc w:val="left"/>
              <w:rPr/>
            </w:pPr>
            <w:r>
              <w:rPr/>
            </w:r>
          </w:p>
        </w:tc>
        <w:tc>
          <w:tcPr>
            <w:tcW w:w="882" w:type="dxa"/>
            <w:tcBorders/>
            <w:vAlign w:val="center"/>
          </w:tcPr>
          <w:p>
            <w:pPr>
              <w:pStyle w:val="TableContents"/>
              <w:bidi w:val="0"/>
              <w:spacing w:before="0" w:after="283"/>
              <w:ind w:left="0" w:right="0" w:hanging="0"/>
              <w:jc w:val="right"/>
              <w:rPr/>
            </w:pPr>
            <w:r>
              <w:rPr/>
              <w:t>—</w:t>
            </w:r>
          </w:p>
        </w:tc>
        <w:tc>
          <w:tcPr>
            <w:tcW w:w="149" w:type="dxa"/>
            <w:tcBorders/>
            <w:vAlign w:val="center"/>
          </w:tcPr>
          <w:p>
            <w:pPr>
              <w:pStyle w:val="TableContents"/>
              <w:bidi w:val="0"/>
              <w:spacing w:before="0" w:after="283"/>
              <w:ind w:left="0" w:right="0" w:hanging="0"/>
              <w:jc w:val="left"/>
              <w:rPr/>
            </w:pPr>
            <w:r>
              <w:rPr/>
            </w:r>
          </w:p>
        </w:tc>
        <w:tc>
          <w:tcPr>
            <w:tcW w:w="35" w:type="dxa"/>
            <w:tcBorders/>
            <w:vAlign w:val="center"/>
          </w:tcPr>
          <w:p>
            <w:pPr>
              <w:pStyle w:val="TableContents"/>
              <w:bidi w:val="0"/>
              <w:spacing w:before="0" w:after="283"/>
              <w:ind w:left="0" w:right="0" w:hanging="0"/>
              <w:jc w:val="left"/>
              <w:rPr/>
            </w:pPr>
            <w:r>
              <w:rPr/>
            </w:r>
          </w:p>
        </w:tc>
        <w:tc>
          <w:tcPr>
            <w:tcW w:w="268" w:type="dxa"/>
            <w:tcBorders/>
            <w:vAlign w:val="center"/>
          </w:tcPr>
          <w:p>
            <w:pPr>
              <w:pStyle w:val="TableContents"/>
              <w:bidi w:val="0"/>
              <w:spacing w:before="0" w:after="283"/>
              <w:jc w:val="left"/>
              <w:rPr/>
            </w:pPr>
            <w:r>
              <w:rPr/>
            </w:r>
          </w:p>
        </w:tc>
        <w:tc>
          <w:tcPr>
            <w:tcW w:w="882" w:type="dxa"/>
            <w:tcBorders/>
            <w:vAlign w:val="center"/>
          </w:tcPr>
          <w:p>
            <w:pPr>
              <w:pStyle w:val="TableContents"/>
              <w:bidi w:val="0"/>
              <w:spacing w:before="0" w:after="283"/>
              <w:ind w:left="0" w:right="0" w:hanging="0"/>
              <w:jc w:val="right"/>
              <w:rPr/>
            </w:pPr>
            <w:r>
              <w:rPr/>
              <w:t>3,000</w:t>
            </w:r>
          </w:p>
        </w:tc>
        <w:tc>
          <w:tcPr>
            <w:tcW w:w="123" w:type="dxa"/>
            <w:tcBorders/>
            <w:vAlign w:val="center"/>
          </w:tcPr>
          <w:p>
            <w:pPr>
              <w:pStyle w:val="TableContents"/>
              <w:bidi w:val="0"/>
              <w:spacing w:before="0" w:after="283"/>
              <w:jc w:val="left"/>
              <w:rPr/>
            </w:pPr>
            <w:r>
              <w:rPr/>
            </w:r>
          </w:p>
        </w:tc>
      </w:tr>
      <w:tr>
        <w:trPr/>
        <w:tc>
          <w:tcPr>
            <w:tcW w:w="7573" w:type="dxa"/>
            <w:tcBorders/>
            <w:shd w:fill="CCEEFF" w:val="clear"/>
            <w:vAlign w:val="center"/>
          </w:tcPr>
          <w:p>
            <w:pPr>
              <w:pStyle w:val="TableContents"/>
              <w:bidi w:val="0"/>
              <w:spacing w:before="0" w:after="283"/>
              <w:ind w:left="0" w:right="0" w:hanging="0"/>
              <w:jc w:val="left"/>
              <w:rPr/>
            </w:pPr>
            <w:r>
              <w:rPr/>
              <w:t>Proceeds from issuance of short-term note</w:t>
            </w:r>
          </w:p>
        </w:tc>
        <w:tc>
          <w:tcPr>
            <w:tcW w:w="25" w:type="dxa"/>
            <w:tcBorders/>
            <w:shd w:fill="CCEEFF" w:val="clear"/>
            <w:vAlign w:val="center"/>
          </w:tcPr>
          <w:p>
            <w:pPr>
              <w:pStyle w:val="TableContents"/>
              <w:bidi w:val="0"/>
              <w:spacing w:before="0" w:after="283"/>
              <w:ind w:left="0" w:right="0" w:hanging="0"/>
              <w:jc w:val="left"/>
              <w:rPr/>
            </w:pPr>
            <w:r>
              <w:rPr/>
            </w:r>
          </w:p>
        </w:tc>
        <w:tc>
          <w:tcPr>
            <w:tcW w:w="268" w:type="dxa"/>
            <w:tcBorders/>
            <w:shd w:fill="CCEEFF" w:val="clear"/>
            <w:vAlign w:val="center"/>
          </w:tcPr>
          <w:p>
            <w:pPr>
              <w:pStyle w:val="TableContents"/>
              <w:bidi w:val="0"/>
              <w:spacing w:before="0" w:after="283"/>
              <w:jc w:val="left"/>
              <w:rPr/>
            </w:pPr>
            <w:r>
              <w:rPr/>
            </w:r>
          </w:p>
        </w:tc>
        <w:tc>
          <w:tcPr>
            <w:tcW w:w="882" w:type="dxa"/>
            <w:tcBorders/>
            <w:shd w:fill="CCEEFF" w:val="clear"/>
            <w:vAlign w:val="center"/>
          </w:tcPr>
          <w:p>
            <w:pPr>
              <w:pStyle w:val="TableContents"/>
              <w:bidi w:val="0"/>
              <w:spacing w:before="0" w:after="283"/>
              <w:ind w:left="0" w:right="0" w:hanging="0"/>
              <w:jc w:val="right"/>
              <w:rPr/>
            </w:pPr>
            <w:r>
              <w:rPr/>
              <w:t>500</w:t>
            </w:r>
          </w:p>
        </w:tc>
        <w:tc>
          <w:tcPr>
            <w:tcW w:w="149" w:type="dxa"/>
            <w:tcBorders/>
            <w:shd w:fill="CCEEFF" w:val="clear"/>
            <w:vAlign w:val="center"/>
          </w:tcPr>
          <w:p>
            <w:pPr>
              <w:pStyle w:val="TableContents"/>
              <w:bidi w:val="0"/>
              <w:spacing w:before="0" w:after="283"/>
              <w:ind w:left="0" w:right="0" w:hanging="0"/>
              <w:jc w:val="left"/>
              <w:rPr/>
            </w:pPr>
            <w:r>
              <w:rPr/>
            </w:r>
          </w:p>
        </w:tc>
        <w:tc>
          <w:tcPr>
            <w:tcW w:w="35" w:type="dxa"/>
            <w:tcBorders/>
            <w:shd w:fill="CCEEFF" w:val="clear"/>
            <w:vAlign w:val="center"/>
          </w:tcPr>
          <w:p>
            <w:pPr>
              <w:pStyle w:val="TableContents"/>
              <w:bidi w:val="0"/>
              <w:spacing w:before="0" w:after="283"/>
              <w:ind w:left="0" w:right="0" w:hanging="0"/>
              <w:jc w:val="left"/>
              <w:rPr/>
            </w:pPr>
            <w:r>
              <w:rPr/>
            </w:r>
          </w:p>
        </w:tc>
        <w:tc>
          <w:tcPr>
            <w:tcW w:w="268" w:type="dxa"/>
            <w:tcBorders/>
            <w:shd w:fill="CCEEFF" w:val="clear"/>
            <w:vAlign w:val="center"/>
          </w:tcPr>
          <w:p>
            <w:pPr>
              <w:pStyle w:val="TableContents"/>
              <w:bidi w:val="0"/>
              <w:spacing w:before="0" w:after="283"/>
              <w:jc w:val="left"/>
              <w:rPr/>
            </w:pPr>
            <w:r>
              <w:rPr/>
            </w:r>
          </w:p>
        </w:tc>
        <w:tc>
          <w:tcPr>
            <w:tcW w:w="882" w:type="dxa"/>
            <w:tcBorders/>
            <w:shd w:fill="CCEEFF" w:val="clear"/>
            <w:vAlign w:val="center"/>
          </w:tcPr>
          <w:p>
            <w:pPr>
              <w:pStyle w:val="TableContents"/>
              <w:bidi w:val="0"/>
              <w:spacing w:before="0" w:after="283"/>
              <w:ind w:left="0" w:right="0" w:hanging="0"/>
              <w:jc w:val="left"/>
              <w:rPr/>
            </w:pPr>
            <w:r>
              <w:rPr/>
            </w:r>
          </w:p>
        </w:tc>
        <w:tc>
          <w:tcPr>
            <w:tcW w:w="123" w:type="dxa"/>
            <w:tcBorders/>
            <w:shd w:fill="CCEEFF" w:val="clear"/>
            <w:vAlign w:val="center"/>
          </w:tcPr>
          <w:p>
            <w:pPr>
              <w:pStyle w:val="TableContents"/>
              <w:bidi w:val="0"/>
              <w:spacing w:before="0" w:after="283"/>
              <w:jc w:val="left"/>
              <w:rPr/>
            </w:pPr>
            <w:r>
              <w:rPr/>
            </w:r>
          </w:p>
        </w:tc>
      </w:tr>
      <w:tr>
        <w:trPr/>
        <w:tc>
          <w:tcPr>
            <w:tcW w:w="7573" w:type="dxa"/>
            <w:tcBorders/>
            <w:vAlign w:val="center"/>
          </w:tcPr>
          <w:p>
            <w:pPr>
              <w:pStyle w:val="TableContents"/>
              <w:bidi w:val="0"/>
              <w:spacing w:before="0" w:after="283"/>
              <w:ind w:left="0" w:right="0" w:hanging="0"/>
              <w:jc w:val="left"/>
              <w:rPr>
                <w:rFonts w:ascii="times new roman;times" w:hAnsi="times new roman;times"/>
                <w:color w:val="000000"/>
                <w:sz w:val="20"/>
              </w:rPr>
            </w:pPr>
            <w:r>
              <w:rPr>
                <w:rFonts w:ascii="times new roman;times" w:hAnsi="times new roman;times"/>
                <w:color w:val="000000"/>
                <w:sz w:val="20"/>
              </w:rPr>
              <w:t xml:space="preserve">Purchases of outstanding warrants </w:t>
            </w:r>
          </w:p>
        </w:tc>
        <w:tc>
          <w:tcPr>
            <w:tcW w:w="25" w:type="dxa"/>
            <w:tcBorders/>
            <w:vAlign w:val="center"/>
          </w:tcPr>
          <w:p>
            <w:pPr>
              <w:pStyle w:val="TableContents"/>
              <w:bidi w:val="0"/>
              <w:spacing w:before="0" w:after="283"/>
              <w:ind w:left="0" w:right="0" w:hanging="0"/>
              <w:jc w:val="left"/>
              <w:rPr/>
            </w:pPr>
            <w:r>
              <w:rPr/>
            </w:r>
          </w:p>
        </w:tc>
        <w:tc>
          <w:tcPr>
            <w:tcW w:w="268" w:type="dxa"/>
            <w:tcBorders/>
            <w:vAlign w:val="center"/>
          </w:tcPr>
          <w:p>
            <w:pPr>
              <w:pStyle w:val="TableContents"/>
              <w:bidi w:val="0"/>
              <w:spacing w:before="0" w:after="283"/>
              <w:jc w:val="left"/>
              <w:rPr/>
            </w:pPr>
            <w:r>
              <w:rPr/>
            </w:r>
          </w:p>
        </w:tc>
        <w:tc>
          <w:tcPr>
            <w:tcW w:w="882" w:type="dxa"/>
            <w:tcBorders/>
            <w:vAlign w:val="center"/>
          </w:tcPr>
          <w:p>
            <w:pPr>
              <w:pStyle w:val="TableContents"/>
              <w:bidi w:val="0"/>
              <w:spacing w:before="0" w:after="283"/>
              <w:ind w:left="0" w:right="0" w:hanging="0"/>
              <w:jc w:val="right"/>
              <w:rPr/>
            </w:pPr>
            <w:r>
              <w:rPr/>
              <w:t>(22</w:t>
            </w:r>
          </w:p>
        </w:tc>
        <w:tc>
          <w:tcPr>
            <w:tcW w:w="149" w:type="dxa"/>
            <w:tcBorders/>
            <w:vAlign w:val="center"/>
          </w:tcPr>
          <w:p>
            <w:pPr>
              <w:pStyle w:val="TableContents"/>
              <w:bidi w:val="0"/>
              <w:spacing w:before="0" w:after="0"/>
              <w:ind w:left="0" w:right="0" w:hanging="0"/>
              <w:jc w:val="left"/>
              <w:rPr/>
            </w:pPr>
            <w:r>
              <w:rPr/>
              <w:t>)</w:t>
            </w:r>
          </w:p>
        </w:tc>
        <w:tc>
          <w:tcPr>
            <w:tcW w:w="35" w:type="dxa"/>
            <w:tcBorders/>
            <w:vAlign w:val="center"/>
          </w:tcPr>
          <w:p>
            <w:pPr>
              <w:pStyle w:val="TableContents"/>
              <w:bidi w:val="0"/>
              <w:spacing w:before="0" w:after="283"/>
              <w:ind w:left="0" w:right="0" w:hanging="0"/>
              <w:jc w:val="left"/>
              <w:rPr/>
            </w:pPr>
            <w:r>
              <w:rPr/>
            </w:r>
          </w:p>
        </w:tc>
        <w:tc>
          <w:tcPr>
            <w:tcW w:w="268" w:type="dxa"/>
            <w:tcBorders/>
            <w:vAlign w:val="center"/>
          </w:tcPr>
          <w:p>
            <w:pPr>
              <w:pStyle w:val="TableContents"/>
              <w:bidi w:val="0"/>
              <w:spacing w:before="0" w:after="283"/>
              <w:jc w:val="left"/>
              <w:rPr/>
            </w:pPr>
            <w:r>
              <w:rPr/>
            </w:r>
          </w:p>
        </w:tc>
        <w:tc>
          <w:tcPr>
            <w:tcW w:w="882" w:type="dxa"/>
            <w:tcBorders/>
            <w:vAlign w:val="center"/>
          </w:tcPr>
          <w:p>
            <w:pPr>
              <w:pStyle w:val="TableContents"/>
              <w:bidi w:val="0"/>
              <w:spacing w:before="0" w:after="283"/>
              <w:ind w:left="0" w:right="0" w:hanging="0"/>
              <w:jc w:val="right"/>
              <w:rPr/>
            </w:pPr>
            <w:r>
              <w:rPr/>
              <w:t>—</w:t>
            </w:r>
          </w:p>
        </w:tc>
        <w:tc>
          <w:tcPr>
            <w:tcW w:w="123" w:type="dxa"/>
            <w:tcBorders/>
            <w:vAlign w:val="center"/>
          </w:tcPr>
          <w:p>
            <w:pPr>
              <w:pStyle w:val="TableContents"/>
              <w:bidi w:val="0"/>
              <w:spacing w:before="0" w:after="283"/>
              <w:jc w:val="left"/>
              <w:rPr/>
            </w:pPr>
            <w:r>
              <w:rPr/>
            </w:r>
          </w:p>
        </w:tc>
      </w:tr>
      <w:tr>
        <w:trPr/>
        <w:tc>
          <w:tcPr>
            <w:tcW w:w="7573" w:type="dxa"/>
            <w:tcBorders/>
            <w:shd w:fill="CCEEFF" w:val="clear"/>
            <w:vAlign w:val="center"/>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Net cash provided by financing activities, continuing operations </w:t>
            </w:r>
          </w:p>
        </w:tc>
        <w:tc>
          <w:tcPr>
            <w:tcW w:w="25" w:type="dxa"/>
            <w:tcBorders/>
            <w:shd w:fill="CCEEFF" w:val="clear"/>
            <w:vAlign w:val="center"/>
          </w:tcPr>
          <w:p>
            <w:pPr>
              <w:pStyle w:val="TableContents"/>
              <w:pBdr/>
              <w:bidi w:val="0"/>
              <w:spacing w:before="0" w:after="0"/>
              <w:ind w:left="0" w:right="0" w:hanging="0"/>
              <w:jc w:val="left"/>
              <w:rPr/>
            </w:pPr>
            <w:r>
              <w:rPr/>
            </w:r>
          </w:p>
        </w:tc>
        <w:tc>
          <w:tcPr>
            <w:tcW w:w="268" w:type="dxa"/>
            <w:tcBorders/>
            <w:shd w:fill="CCEEFF" w:val="clear"/>
            <w:vAlign w:val="center"/>
          </w:tcPr>
          <w:p>
            <w:pPr>
              <w:pStyle w:val="TableContents"/>
              <w:pBdr/>
              <w:bidi w:val="0"/>
              <w:spacing w:before="0" w:after="0"/>
              <w:ind w:left="0" w:right="0" w:hanging="0"/>
              <w:jc w:val="left"/>
              <w:rPr/>
            </w:pPr>
            <w:r>
              <w:rPr/>
            </w:r>
          </w:p>
        </w:tc>
        <w:tc>
          <w:tcPr>
            <w:tcW w:w="8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2,228</w:t>
            </w:r>
          </w:p>
        </w:tc>
        <w:tc>
          <w:tcPr>
            <w:tcW w:w="149"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35" w:type="dxa"/>
            <w:tcBorders/>
            <w:shd w:fill="CCEEFF" w:val="clear"/>
            <w:vAlign w:val="center"/>
          </w:tcPr>
          <w:p>
            <w:pPr>
              <w:pStyle w:val="TableContents"/>
              <w:pBdr/>
              <w:bidi w:val="0"/>
              <w:spacing w:before="0" w:after="0"/>
              <w:ind w:left="0" w:right="0" w:hanging="0"/>
              <w:jc w:val="left"/>
              <w:rPr/>
            </w:pPr>
            <w:r>
              <w:rPr/>
            </w:r>
          </w:p>
        </w:tc>
        <w:tc>
          <w:tcPr>
            <w:tcW w:w="268" w:type="dxa"/>
            <w:tcBorders/>
            <w:shd w:fill="CCEEFF" w:val="clear"/>
            <w:vAlign w:val="center"/>
          </w:tcPr>
          <w:p>
            <w:pPr>
              <w:pStyle w:val="TableContents"/>
              <w:pBdr/>
              <w:bidi w:val="0"/>
              <w:spacing w:before="0" w:after="0"/>
              <w:ind w:left="0" w:right="0" w:hanging="0"/>
              <w:jc w:val="left"/>
              <w:rPr/>
            </w:pPr>
            <w:r>
              <w:rPr/>
            </w:r>
          </w:p>
        </w:tc>
        <w:tc>
          <w:tcPr>
            <w:tcW w:w="8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4,000</w:t>
            </w:r>
          </w:p>
        </w:tc>
        <w:tc>
          <w:tcPr>
            <w:tcW w:w="123" w:type="dxa"/>
            <w:tcBorders/>
            <w:shd w:fill="CCEEFF" w:val="clear"/>
            <w:vAlign w:val="center"/>
          </w:tcPr>
          <w:p>
            <w:pPr>
              <w:pStyle w:val="TableContents"/>
              <w:bidi w:val="0"/>
              <w:spacing w:before="0" w:after="283"/>
              <w:jc w:val="left"/>
              <w:rPr>
                <w:sz w:val="4"/>
                <w:szCs w:val="4"/>
              </w:rPr>
            </w:pPr>
            <w:r>
              <w:rPr>
                <w:sz w:val="4"/>
                <w:szCs w:val="4"/>
              </w:rPr>
            </w:r>
          </w:p>
        </w:tc>
      </w:tr>
      <w:tr>
        <w:trPr/>
        <w:tc>
          <w:tcPr>
            <w:tcW w:w="7573" w:type="dxa"/>
            <w:tcBorders/>
            <w:vAlign w:val="center"/>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Cash provided by financing activities, discontinued operations</w:t>
            </w:r>
            <w:r>
              <w:rPr>
                <w:rFonts w:ascii="times new roman;times" w:hAnsi="times new roman;times"/>
                <w:b w:val="false"/>
                <w:i w:val="false"/>
                <w:caps w:val="false"/>
                <w:smallCaps w:val="false"/>
                <w:color w:val="000000"/>
                <w:spacing w:val="0"/>
                <w:sz w:val="20"/>
              </w:rPr>
              <w:t xml:space="preserve"> </w:t>
            </w:r>
          </w:p>
        </w:tc>
        <w:tc>
          <w:tcPr>
            <w:tcW w:w="25" w:type="dxa"/>
            <w:tcBorders/>
            <w:vAlign w:val="center"/>
          </w:tcPr>
          <w:p>
            <w:pPr>
              <w:pStyle w:val="TableContents"/>
              <w:bidi w:val="0"/>
              <w:spacing w:before="0" w:after="283"/>
              <w:ind w:left="0" w:right="0" w:hanging="0"/>
              <w:jc w:val="left"/>
              <w:rPr/>
            </w:pPr>
            <w:r>
              <w:rPr/>
            </w:r>
          </w:p>
        </w:tc>
        <w:tc>
          <w:tcPr>
            <w:tcW w:w="268" w:type="dxa"/>
            <w:tcBorders/>
            <w:vAlign w:val="center"/>
          </w:tcPr>
          <w:p>
            <w:pPr>
              <w:pStyle w:val="TableContents"/>
              <w:bidi w:val="0"/>
              <w:spacing w:before="0" w:after="283"/>
              <w:jc w:val="left"/>
              <w:rPr/>
            </w:pPr>
            <w:r>
              <w:rPr/>
            </w:r>
          </w:p>
        </w:tc>
        <w:tc>
          <w:tcPr>
            <w:tcW w:w="882" w:type="dxa"/>
            <w:tcBorders/>
            <w:vAlign w:val="center"/>
          </w:tcPr>
          <w:p>
            <w:pPr>
              <w:pStyle w:val="TableContents"/>
              <w:bidi w:val="0"/>
              <w:spacing w:before="0" w:after="283"/>
              <w:ind w:left="0" w:right="0" w:hanging="0"/>
              <w:jc w:val="right"/>
              <w:rPr/>
            </w:pPr>
            <w:r>
              <w:rPr/>
              <w:t>—</w:t>
            </w:r>
          </w:p>
        </w:tc>
        <w:tc>
          <w:tcPr>
            <w:tcW w:w="149" w:type="dxa"/>
            <w:tcBorders/>
            <w:vAlign w:val="center"/>
          </w:tcPr>
          <w:p>
            <w:pPr>
              <w:pStyle w:val="TableContents"/>
              <w:bidi w:val="0"/>
              <w:spacing w:before="0" w:after="283"/>
              <w:ind w:left="0" w:right="0" w:hanging="0"/>
              <w:jc w:val="left"/>
              <w:rPr/>
            </w:pPr>
            <w:r>
              <w:rPr/>
            </w:r>
          </w:p>
        </w:tc>
        <w:tc>
          <w:tcPr>
            <w:tcW w:w="35" w:type="dxa"/>
            <w:tcBorders/>
            <w:vAlign w:val="center"/>
          </w:tcPr>
          <w:p>
            <w:pPr>
              <w:pStyle w:val="TableContents"/>
              <w:bidi w:val="0"/>
              <w:spacing w:before="0" w:after="283"/>
              <w:ind w:left="0" w:right="0" w:hanging="0"/>
              <w:jc w:val="left"/>
              <w:rPr/>
            </w:pPr>
            <w:r>
              <w:rPr/>
            </w:r>
          </w:p>
        </w:tc>
        <w:tc>
          <w:tcPr>
            <w:tcW w:w="268" w:type="dxa"/>
            <w:tcBorders/>
            <w:vAlign w:val="center"/>
          </w:tcPr>
          <w:p>
            <w:pPr>
              <w:pStyle w:val="TableContents"/>
              <w:bidi w:val="0"/>
              <w:spacing w:before="0" w:after="283"/>
              <w:jc w:val="left"/>
              <w:rPr/>
            </w:pPr>
            <w:r>
              <w:rPr/>
            </w:r>
          </w:p>
        </w:tc>
        <w:tc>
          <w:tcPr>
            <w:tcW w:w="882" w:type="dxa"/>
            <w:tcBorders/>
            <w:vAlign w:val="center"/>
          </w:tcPr>
          <w:p>
            <w:pPr>
              <w:pStyle w:val="TableContents"/>
              <w:bidi w:val="0"/>
              <w:spacing w:before="0" w:after="283"/>
              <w:ind w:left="0" w:right="0" w:hanging="0"/>
              <w:jc w:val="right"/>
              <w:rPr/>
            </w:pPr>
            <w:r>
              <w:rPr/>
              <w:t>—</w:t>
            </w:r>
          </w:p>
        </w:tc>
        <w:tc>
          <w:tcPr>
            <w:tcW w:w="123" w:type="dxa"/>
            <w:tcBorders/>
            <w:vAlign w:val="center"/>
          </w:tcPr>
          <w:p>
            <w:pPr>
              <w:pStyle w:val="TableContents"/>
              <w:bidi w:val="0"/>
              <w:spacing w:before="0" w:after="283"/>
              <w:jc w:val="left"/>
              <w:rPr/>
            </w:pPr>
            <w:r>
              <w:rPr/>
            </w:r>
          </w:p>
        </w:tc>
      </w:tr>
      <w:tr>
        <w:trPr/>
        <w:tc>
          <w:tcPr>
            <w:tcW w:w="7573" w:type="dxa"/>
            <w:tcBorders/>
            <w:shd w:fill="CCEEFF" w:val="clear"/>
            <w:vAlign w:val="center"/>
          </w:tcPr>
          <w:p>
            <w:pPr>
              <w:pStyle w:val="TableContents"/>
              <w:bidi w:val="0"/>
              <w:spacing w:before="0" w:after="0"/>
              <w:ind w:left="0" w:right="0" w:hanging="0"/>
              <w:jc w:val="left"/>
              <w:rPr/>
            </w:pPr>
            <w:r>
              <w:rPr/>
            </w:r>
          </w:p>
        </w:tc>
        <w:tc>
          <w:tcPr>
            <w:tcW w:w="25" w:type="dxa"/>
            <w:tcBorders/>
            <w:shd w:fill="CCEEFF" w:val="clear"/>
            <w:vAlign w:val="center"/>
          </w:tcPr>
          <w:p>
            <w:pPr>
              <w:pStyle w:val="TableContents"/>
              <w:pBdr/>
              <w:bidi w:val="0"/>
              <w:spacing w:before="0" w:after="0"/>
              <w:ind w:left="0" w:right="0" w:hanging="0"/>
              <w:jc w:val="left"/>
              <w:rPr/>
            </w:pPr>
            <w:r>
              <w:rPr/>
            </w:r>
          </w:p>
        </w:tc>
        <w:tc>
          <w:tcPr>
            <w:tcW w:w="268" w:type="dxa"/>
            <w:tcBorders/>
            <w:shd w:fill="CCEEFF" w:val="clear"/>
            <w:vAlign w:val="center"/>
          </w:tcPr>
          <w:p>
            <w:pPr>
              <w:pStyle w:val="TableContents"/>
              <w:pBdr/>
              <w:bidi w:val="0"/>
              <w:spacing w:before="0" w:after="0"/>
              <w:ind w:left="0" w:right="0" w:hanging="0"/>
              <w:jc w:val="left"/>
              <w:rPr/>
            </w:pPr>
            <w:r>
              <w:rPr/>
            </w:r>
          </w:p>
        </w:tc>
        <w:tc>
          <w:tcPr>
            <w:tcW w:w="882" w:type="dxa"/>
            <w:tcBorders/>
            <w:shd w:fill="CCEEFF" w:val="clear"/>
            <w:vAlign w:val="center"/>
          </w:tcPr>
          <w:p>
            <w:pPr>
              <w:pStyle w:val="TableContents"/>
              <w:bidi w:val="0"/>
              <w:spacing w:before="0" w:after="0"/>
              <w:ind w:left="0" w:right="0" w:hanging="0"/>
              <w:jc w:val="left"/>
              <w:rPr/>
            </w:pPr>
            <w:r>
              <w:rPr/>
            </w:r>
          </w:p>
        </w:tc>
        <w:tc>
          <w:tcPr>
            <w:tcW w:w="149" w:type="dxa"/>
            <w:tcBorders/>
            <w:shd w:fill="CCEEFF" w:val="clear"/>
            <w:vAlign w:val="center"/>
          </w:tcPr>
          <w:p>
            <w:pPr>
              <w:pStyle w:val="TableContents"/>
              <w:pBdr/>
              <w:bidi w:val="0"/>
              <w:spacing w:before="0" w:after="0"/>
              <w:ind w:left="0" w:right="0" w:hanging="0"/>
              <w:jc w:val="left"/>
              <w:rPr/>
            </w:pPr>
            <w:r>
              <w:rPr/>
            </w:r>
          </w:p>
        </w:tc>
        <w:tc>
          <w:tcPr>
            <w:tcW w:w="35" w:type="dxa"/>
            <w:tcBorders/>
            <w:shd w:fill="CCEEFF" w:val="clear"/>
            <w:vAlign w:val="center"/>
          </w:tcPr>
          <w:p>
            <w:pPr>
              <w:pStyle w:val="TableContents"/>
              <w:pBdr/>
              <w:bidi w:val="0"/>
              <w:spacing w:before="0" w:after="0"/>
              <w:ind w:left="0" w:right="0" w:hanging="0"/>
              <w:jc w:val="left"/>
              <w:rPr/>
            </w:pPr>
            <w:r>
              <w:rPr/>
            </w:r>
          </w:p>
        </w:tc>
        <w:tc>
          <w:tcPr>
            <w:tcW w:w="268" w:type="dxa"/>
            <w:tcBorders/>
            <w:shd w:fill="CCEEFF" w:val="clear"/>
            <w:vAlign w:val="center"/>
          </w:tcPr>
          <w:p>
            <w:pPr>
              <w:pStyle w:val="TableContents"/>
              <w:pBdr/>
              <w:bidi w:val="0"/>
              <w:spacing w:before="0" w:after="0"/>
              <w:ind w:left="0" w:right="0" w:hanging="0"/>
              <w:jc w:val="left"/>
              <w:rPr/>
            </w:pPr>
            <w:r>
              <w:rPr/>
            </w:r>
          </w:p>
        </w:tc>
        <w:tc>
          <w:tcPr>
            <w:tcW w:w="882" w:type="dxa"/>
            <w:tcBorders/>
            <w:shd w:fill="CCEEFF" w:val="clear"/>
            <w:vAlign w:val="center"/>
          </w:tcPr>
          <w:p>
            <w:pPr>
              <w:pStyle w:val="TableContents"/>
              <w:bidi w:val="0"/>
              <w:spacing w:before="0" w:after="0"/>
              <w:ind w:left="0" w:right="0" w:hanging="0"/>
              <w:jc w:val="left"/>
              <w:rPr/>
            </w:pPr>
            <w:r>
              <w:rPr/>
            </w:r>
          </w:p>
        </w:tc>
        <w:tc>
          <w:tcPr>
            <w:tcW w:w="123" w:type="dxa"/>
            <w:tcBorders/>
            <w:shd w:fill="CCEEFF" w:val="clear"/>
            <w:vAlign w:val="center"/>
          </w:tcPr>
          <w:p>
            <w:pPr>
              <w:pStyle w:val="TableContents"/>
              <w:pBdr/>
              <w:bidi w:val="0"/>
              <w:spacing w:before="0" w:after="0"/>
              <w:ind w:left="0" w:right="0" w:hanging="0"/>
              <w:jc w:val="left"/>
              <w:rPr/>
            </w:pPr>
            <w:r>
              <w:rPr/>
            </w:r>
          </w:p>
        </w:tc>
      </w:tr>
      <w:tr>
        <w:trPr/>
        <w:tc>
          <w:tcPr>
            <w:tcW w:w="75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Effect of exchange rate changes on cash and cash equivalents </w:t>
            </w:r>
          </w:p>
        </w:tc>
        <w:tc>
          <w:tcPr>
            <w:tcW w:w="25" w:type="dxa"/>
            <w:tcBorders/>
            <w:vAlign w:val="center"/>
          </w:tcPr>
          <w:p>
            <w:pPr>
              <w:pStyle w:val="TableContents"/>
              <w:pBdr/>
              <w:bidi w:val="0"/>
              <w:spacing w:before="0" w:after="0"/>
              <w:ind w:left="0" w:right="0" w:hanging="0"/>
              <w:jc w:val="left"/>
              <w:rPr/>
            </w:pPr>
            <w:r>
              <w:rPr/>
            </w:r>
          </w:p>
        </w:tc>
        <w:tc>
          <w:tcPr>
            <w:tcW w:w="268" w:type="dxa"/>
            <w:tcBorders/>
            <w:vAlign w:val="center"/>
          </w:tcPr>
          <w:p>
            <w:pPr>
              <w:pStyle w:val="TableContents"/>
              <w:pBdr/>
              <w:bidi w:val="0"/>
              <w:spacing w:before="0" w:after="0"/>
              <w:ind w:left="0" w:right="0" w:hanging="0"/>
              <w:jc w:val="left"/>
              <w:rPr/>
            </w:pPr>
            <w:r>
              <w:rPr/>
            </w:r>
          </w:p>
        </w:tc>
        <w:tc>
          <w:tcPr>
            <w:tcW w:w="882" w:type="dxa"/>
            <w:tcBorders/>
            <w:vAlign w:val="center"/>
          </w:tcPr>
          <w:p>
            <w:pPr>
              <w:pStyle w:val="TableContents"/>
              <w:bidi w:val="0"/>
              <w:spacing w:before="0" w:after="0"/>
              <w:ind w:left="0" w:right="0" w:hanging="0"/>
              <w:jc w:val="right"/>
              <w:rPr/>
            </w:pPr>
            <w:r>
              <w:rPr/>
              <w:t>—</w:t>
            </w:r>
          </w:p>
        </w:tc>
        <w:tc>
          <w:tcPr>
            <w:tcW w:w="149" w:type="dxa"/>
            <w:tcBorders/>
            <w:vAlign w:val="center"/>
          </w:tcPr>
          <w:p>
            <w:pPr>
              <w:pStyle w:val="TableContents"/>
              <w:bidi w:val="0"/>
              <w:spacing w:before="0" w:after="283"/>
              <w:ind w:left="0" w:right="0" w:hanging="0"/>
              <w:jc w:val="left"/>
              <w:rPr>
                <w:sz w:val="4"/>
                <w:szCs w:val="4"/>
              </w:rPr>
            </w:pPr>
            <w:r>
              <w:rPr>
                <w:sz w:val="4"/>
                <w:szCs w:val="4"/>
              </w:rPr>
            </w:r>
          </w:p>
        </w:tc>
        <w:tc>
          <w:tcPr>
            <w:tcW w:w="35" w:type="dxa"/>
            <w:tcBorders/>
            <w:vAlign w:val="center"/>
          </w:tcPr>
          <w:p>
            <w:pPr>
              <w:pStyle w:val="TableContents"/>
              <w:pBdr/>
              <w:bidi w:val="0"/>
              <w:spacing w:before="0" w:after="0"/>
              <w:ind w:left="0" w:right="0" w:hanging="0"/>
              <w:jc w:val="left"/>
              <w:rPr/>
            </w:pPr>
            <w:r>
              <w:rPr/>
            </w:r>
          </w:p>
        </w:tc>
        <w:tc>
          <w:tcPr>
            <w:tcW w:w="268" w:type="dxa"/>
            <w:tcBorders/>
            <w:vAlign w:val="center"/>
          </w:tcPr>
          <w:p>
            <w:pPr>
              <w:pStyle w:val="TableContents"/>
              <w:pBdr/>
              <w:bidi w:val="0"/>
              <w:spacing w:before="0" w:after="0"/>
              <w:ind w:left="0" w:right="0" w:hanging="0"/>
              <w:jc w:val="left"/>
              <w:rPr/>
            </w:pPr>
            <w:r>
              <w:rPr/>
            </w:r>
          </w:p>
        </w:tc>
        <w:tc>
          <w:tcPr>
            <w:tcW w:w="88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c>
          <w:tcPr>
            <w:tcW w:w="123" w:type="dxa"/>
            <w:tcBorders/>
            <w:vAlign w:val="center"/>
          </w:tcPr>
          <w:p>
            <w:pPr>
              <w:pStyle w:val="TableContents"/>
              <w:bidi w:val="0"/>
              <w:spacing w:before="0" w:after="0"/>
              <w:jc w:val="left"/>
              <w:rPr/>
            </w:pPr>
            <w:r>
              <w:rPr/>
              <w:t>)</w:t>
            </w:r>
          </w:p>
        </w:tc>
      </w:tr>
      <w:tr>
        <w:trPr/>
        <w:tc>
          <w:tcPr>
            <w:tcW w:w="7573" w:type="dxa"/>
            <w:tcBorders/>
            <w:shd w:fill="CCEEFF" w:val="clear"/>
            <w:vAlign w:val="center"/>
          </w:tcPr>
          <w:p>
            <w:pPr>
              <w:pStyle w:val="TableContents"/>
              <w:bidi w:val="0"/>
              <w:spacing w:before="0" w:after="0"/>
              <w:ind w:left="0" w:right="0" w:hanging="0"/>
              <w:jc w:val="left"/>
              <w:rPr/>
            </w:pPr>
            <w:r>
              <w:rPr/>
            </w:r>
          </w:p>
        </w:tc>
        <w:tc>
          <w:tcPr>
            <w:tcW w:w="25" w:type="dxa"/>
            <w:tcBorders/>
            <w:shd w:fill="CCEEFF" w:val="clear"/>
            <w:vAlign w:val="center"/>
          </w:tcPr>
          <w:p>
            <w:pPr>
              <w:pStyle w:val="TableContents"/>
              <w:pBdr/>
              <w:bidi w:val="0"/>
              <w:spacing w:before="0" w:after="0"/>
              <w:ind w:left="0" w:right="0" w:hanging="0"/>
              <w:jc w:val="left"/>
              <w:rPr/>
            </w:pPr>
            <w:r>
              <w:rPr/>
            </w:r>
          </w:p>
        </w:tc>
        <w:tc>
          <w:tcPr>
            <w:tcW w:w="268" w:type="dxa"/>
            <w:tcBorders/>
            <w:shd w:fill="CCEEFF" w:val="clear"/>
            <w:vAlign w:val="center"/>
          </w:tcPr>
          <w:p>
            <w:pPr>
              <w:pStyle w:val="TableContents"/>
              <w:pBdr/>
              <w:bidi w:val="0"/>
              <w:spacing w:before="0" w:after="0"/>
              <w:ind w:left="0" w:right="0" w:hanging="0"/>
              <w:jc w:val="left"/>
              <w:rPr/>
            </w:pPr>
            <w:r>
              <w:rPr/>
            </w:r>
          </w:p>
        </w:tc>
        <w:tc>
          <w:tcPr>
            <w:tcW w:w="882" w:type="dxa"/>
            <w:tcBorders/>
            <w:shd w:fill="CCEEFF" w:val="clear"/>
            <w:vAlign w:val="center"/>
          </w:tcPr>
          <w:p>
            <w:pPr>
              <w:pStyle w:val="TableContents"/>
              <w:bidi w:val="0"/>
              <w:spacing w:before="0" w:after="0"/>
              <w:ind w:left="0" w:right="0" w:hanging="0"/>
              <w:jc w:val="left"/>
              <w:rPr/>
            </w:pPr>
            <w:r>
              <w:rPr/>
            </w:r>
          </w:p>
        </w:tc>
        <w:tc>
          <w:tcPr>
            <w:tcW w:w="149" w:type="dxa"/>
            <w:tcBorders/>
            <w:shd w:fill="CCEEFF" w:val="clear"/>
            <w:vAlign w:val="center"/>
          </w:tcPr>
          <w:p>
            <w:pPr>
              <w:pStyle w:val="TableContents"/>
              <w:pBdr/>
              <w:bidi w:val="0"/>
              <w:spacing w:before="0" w:after="0"/>
              <w:ind w:left="0" w:right="0" w:hanging="0"/>
              <w:jc w:val="left"/>
              <w:rPr/>
            </w:pPr>
            <w:r>
              <w:rPr/>
            </w:r>
          </w:p>
        </w:tc>
        <w:tc>
          <w:tcPr>
            <w:tcW w:w="35" w:type="dxa"/>
            <w:tcBorders/>
            <w:shd w:fill="CCEEFF" w:val="clear"/>
            <w:vAlign w:val="center"/>
          </w:tcPr>
          <w:p>
            <w:pPr>
              <w:pStyle w:val="TableContents"/>
              <w:pBdr/>
              <w:bidi w:val="0"/>
              <w:spacing w:before="0" w:after="0"/>
              <w:ind w:left="0" w:right="0" w:hanging="0"/>
              <w:jc w:val="left"/>
              <w:rPr/>
            </w:pPr>
            <w:r>
              <w:rPr/>
            </w:r>
          </w:p>
        </w:tc>
        <w:tc>
          <w:tcPr>
            <w:tcW w:w="268" w:type="dxa"/>
            <w:tcBorders/>
            <w:shd w:fill="CCEEFF" w:val="clear"/>
            <w:vAlign w:val="center"/>
          </w:tcPr>
          <w:p>
            <w:pPr>
              <w:pStyle w:val="TableContents"/>
              <w:pBdr/>
              <w:bidi w:val="0"/>
              <w:spacing w:before="0" w:after="0"/>
              <w:ind w:left="0" w:right="0" w:hanging="0"/>
              <w:jc w:val="left"/>
              <w:rPr/>
            </w:pPr>
            <w:r>
              <w:rPr/>
            </w:r>
          </w:p>
        </w:tc>
        <w:tc>
          <w:tcPr>
            <w:tcW w:w="882" w:type="dxa"/>
            <w:tcBorders/>
            <w:shd w:fill="CCEEFF" w:val="clear"/>
            <w:vAlign w:val="center"/>
          </w:tcPr>
          <w:p>
            <w:pPr>
              <w:pStyle w:val="TableContents"/>
              <w:bidi w:val="0"/>
              <w:spacing w:before="0" w:after="0"/>
              <w:ind w:left="0" w:right="0" w:hanging="0"/>
              <w:jc w:val="left"/>
              <w:rPr/>
            </w:pPr>
            <w:r>
              <w:rPr/>
            </w:r>
          </w:p>
        </w:tc>
        <w:tc>
          <w:tcPr>
            <w:tcW w:w="123" w:type="dxa"/>
            <w:tcBorders/>
            <w:shd w:fill="CCEEFF" w:val="clear"/>
            <w:vAlign w:val="center"/>
          </w:tcPr>
          <w:p>
            <w:pPr>
              <w:pStyle w:val="TableContents"/>
              <w:pBdr/>
              <w:bidi w:val="0"/>
              <w:spacing w:before="0" w:after="0"/>
              <w:ind w:left="0" w:right="0" w:hanging="0"/>
              <w:jc w:val="left"/>
              <w:rPr/>
            </w:pPr>
            <w:r>
              <w:rPr/>
            </w:r>
          </w:p>
        </w:tc>
      </w:tr>
      <w:tr>
        <w:trPr/>
        <w:tc>
          <w:tcPr>
            <w:tcW w:w="75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Net increase (decrease) in cash and cash equivalents </w:t>
            </w:r>
          </w:p>
        </w:tc>
        <w:tc>
          <w:tcPr>
            <w:tcW w:w="25" w:type="dxa"/>
            <w:tcBorders/>
            <w:vAlign w:val="center"/>
          </w:tcPr>
          <w:p>
            <w:pPr>
              <w:pStyle w:val="TableContents"/>
              <w:pBdr/>
              <w:bidi w:val="0"/>
              <w:spacing w:before="0" w:after="0"/>
              <w:ind w:left="0" w:right="0" w:hanging="0"/>
              <w:jc w:val="left"/>
              <w:rPr/>
            </w:pPr>
            <w:r>
              <w:rPr/>
            </w:r>
          </w:p>
        </w:tc>
        <w:tc>
          <w:tcPr>
            <w:tcW w:w="268" w:type="dxa"/>
            <w:tcBorders/>
            <w:vAlign w:val="center"/>
          </w:tcPr>
          <w:p>
            <w:pPr>
              <w:pStyle w:val="TableContents"/>
              <w:pBdr/>
              <w:bidi w:val="0"/>
              <w:spacing w:before="0" w:after="0"/>
              <w:ind w:left="0" w:right="0" w:hanging="0"/>
              <w:jc w:val="left"/>
              <w:rPr/>
            </w:pPr>
            <w:r>
              <w:rPr/>
            </w:r>
          </w:p>
        </w:tc>
        <w:tc>
          <w:tcPr>
            <w:tcW w:w="88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(217</w:t>
            </w:r>
          </w:p>
        </w:tc>
        <w:tc>
          <w:tcPr>
            <w:tcW w:w="149" w:type="dxa"/>
            <w:tcBorders/>
            <w:vAlign w:val="center"/>
          </w:tcPr>
          <w:p>
            <w:pPr>
              <w:pStyle w:val="TableContents"/>
              <w:bidi w:val="0"/>
              <w:spacing w:before="0" w:after="0"/>
              <w:ind w:left="0" w:right="0" w:hanging="0"/>
              <w:jc w:val="left"/>
              <w:rPr/>
            </w:pPr>
            <w:r>
              <w:rPr/>
              <w:t>)</w:t>
            </w:r>
          </w:p>
        </w:tc>
        <w:tc>
          <w:tcPr>
            <w:tcW w:w="35" w:type="dxa"/>
            <w:tcBorders/>
            <w:vAlign w:val="center"/>
          </w:tcPr>
          <w:p>
            <w:pPr>
              <w:pStyle w:val="TableContents"/>
              <w:pBdr/>
              <w:bidi w:val="0"/>
              <w:spacing w:before="0" w:after="0"/>
              <w:ind w:left="0" w:right="0" w:hanging="0"/>
              <w:jc w:val="left"/>
              <w:rPr/>
            </w:pPr>
            <w:r>
              <w:rPr/>
            </w:r>
          </w:p>
        </w:tc>
        <w:tc>
          <w:tcPr>
            <w:tcW w:w="268" w:type="dxa"/>
            <w:tcBorders/>
            <w:vAlign w:val="center"/>
          </w:tcPr>
          <w:p>
            <w:pPr>
              <w:pStyle w:val="TableContents"/>
              <w:pBdr/>
              <w:bidi w:val="0"/>
              <w:spacing w:before="0" w:after="0"/>
              <w:ind w:left="0" w:right="0" w:hanging="0"/>
              <w:jc w:val="left"/>
              <w:rPr/>
            </w:pPr>
            <w:r>
              <w:rPr/>
            </w:r>
          </w:p>
        </w:tc>
        <w:tc>
          <w:tcPr>
            <w:tcW w:w="88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1,393</w:t>
            </w:r>
          </w:p>
        </w:tc>
        <w:tc>
          <w:tcPr>
            <w:tcW w:w="123" w:type="dxa"/>
            <w:tcBorders/>
            <w:vAlign w:val="center"/>
          </w:tcPr>
          <w:p>
            <w:pPr>
              <w:pStyle w:val="TableContents"/>
              <w:bidi w:val="0"/>
              <w:spacing w:before="0" w:after="283"/>
              <w:jc w:val="left"/>
              <w:rPr>
                <w:sz w:val="4"/>
                <w:szCs w:val="4"/>
              </w:rPr>
            </w:pPr>
            <w:r>
              <w:rPr>
                <w:sz w:val="4"/>
                <w:szCs w:val="4"/>
              </w:rPr>
            </w:r>
          </w:p>
        </w:tc>
      </w:tr>
      <w:tr>
        <w:trPr/>
        <w:tc>
          <w:tcPr>
            <w:tcW w:w="7573" w:type="dxa"/>
            <w:tcBorders/>
            <w:shd w:fill="CCEEFF" w:val="clear"/>
            <w:vAlign w:val="center"/>
          </w:tcPr>
          <w:p>
            <w:pPr>
              <w:pStyle w:val="TableContents"/>
              <w:bidi w:val="0"/>
              <w:spacing w:before="0" w:after="0"/>
              <w:ind w:left="0" w:right="0" w:hanging="0"/>
              <w:jc w:val="left"/>
              <w:rPr/>
            </w:pPr>
            <w:r>
              <w:rPr/>
              <w:t>Cash, cash equivalents and restricted cash at the beginning of the period</w:t>
            </w:r>
          </w:p>
        </w:tc>
        <w:tc>
          <w:tcPr>
            <w:tcW w:w="25" w:type="dxa"/>
            <w:tcBorders/>
            <w:shd w:fill="CCEEFF" w:val="clear"/>
            <w:vAlign w:val="center"/>
          </w:tcPr>
          <w:p>
            <w:pPr>
              <w:pStyle w:val="TableContents"/>
              <w:pBdr/>
              <w:bidi w:val="0"/>
              <w:spacing w:before="0" w:after="0"/>
              <w:ind w:left="0" w:right="0" w:hanging="0"/>
              <w:jc w:val="left"/>
              <w:rPr/>
            </w:pPr>
            <w:r>
              <w:rPr/>
            </w:r>
          </w:p>
        </w:tc>
        <w:tc>
          <w:tcPr>
            <w:tcW w:w="268" w:type="dxa"/>
            <w:tcBorders/>
            <w:shd w:fill="CCEEFF" w:val="clear"/>
            <w:vAlign w:val="center"/>
          </w:tcPr>
          <w:p>
            <w:pPr>
              <w:pStyle w:val="TableContents"/>
              <w:pBdr/>
              <w:bidi w:val="0"/>
              <w:spacing w:before="0" w:after="0"/>
              <w:ind w:left="0" w:right="0" w:hanging="0"/>
              <w:jc w:val="left"/>
              <w:rPr/>
            </w:pPr>
            <w:r>
              <w:rPr/>
            </w:r>
          </w:p>
        </w:tc>
        <w:tc>
          <w:tcPr>
            <w:tcW w:w="8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739 </w:t>
            </w:r>
          </w:p>
        </w:tc>
        <w:tc>
          <w:tcPr>
            <w:tcW w:w="149" w:type="dxa"/>
            <w:tcBorders/>
            <w:shd w:fill="CCEEFF" w:val="clear"/>
            <w:vAlign w:val="center"/>
          </w:tcPr>
          <w:p>
            <w:pPr>
              <w:pStyle w:val="TableContents"/>
              <w:pBdr/>
              <w:bidi w:val="0"/>
              <w:spacing w:before="0" w:after="0"/>
              <w:ind w:left="0" w:right="0" w:hanging="0"/>
              <w:jc w:val="left"/>
              <w:rPr/>
            </w:pPr>
            <w:r>
              <w:rPr/>
            </w:r>
          </w:p>
        </w:tc>
        <w:tc>
          <w:tcPr>
            <w:tcW w:w="35" w:type="dxa"/>
            <w:tcBorders/>
            <w:shd w:fill="CCEEFF" w:val="clear"/>
            <w:vAlign w:val="center"/>
          </w:tcPr>
          <w:p>
            <w:pPr>
              <w:pStyle w:val="TableContents"/>
              <w:pBdr/>
              <w:bidi w:val="0"/>
              <w:spacing w:before="0" w:after="0"/>
              <w:ind w:left="0" w:right="0" w:hanging="0"/>
              <w:jc w:val="left"/>
              <w:rPr/>
            </w:pPr>
            <w:r>
              <w:rPr/>
            </w:r>
          </w:p>
        </w:tc>
        <w:tc>
          <w:tcPr>
            <w:tcW w:w="268" w:type="dxa"/>
            <w:tcBorders/>
            <w:shd w:fill="CCEEFF" w:val="clear"/>
            <w:vAlign w:val="center"/>
          </w:tcPr>
          <w:p>
            <w:pPr>
              <w:pStyle w:val="TableContents"/>
              <w:pBdr/>
              <w:bidi w:val="0"/>
              <w:spacing w:before="0" w:after="0"/>
              <w:ind w:left="0" w:right="0" w:hanging="0"/>
              <w:jc w:val="left"/>
              <w:rPr/>
            </w:pPr>
            <w:r>
              <w:rPr/>
            </w:r>
          </w:p>
        </w:tc>
        <w:tc>
          <w:tcPr>
            <w:tcW w:w="8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xml:space="preserve">1,417 </w:t>
            </w:r>
          </w:p>
        </w:tc>
        <w:tc>
          <w:tcPr>
            <w:tcW w:w="123" w:type="dxa"/>
            <w:tcBorders/>
            <w:shd w:fill="CCEEFF" w:val="clear"/>
            <w:vAlign w:val="center"/>
          </w:tcPr>
          <w:p>
            <w:pPr>
              <w:pStyle w:val="TableContents"/>
              <w:pBdr/>
              <w:bidi w:val="0"/>
              <w:spacing w:before="0" w:after="0"/>
              <w:ind w:left="0" w:right="0" w:hanging="0"/>
              <w:jc w:val="left"/>
              <w:rPr/>
            </w:pPr>
            <w:r>
              <w:rPr/>
            </w:r>
          </w:p>
        </w:tc>
      </w:tr>
      <w:tr>
        <w:trPr/>
        <w:tc>
          <w:tcPr>
            <w:tcW w:w="7573" w:type="dxa"/>
            <w:tcBorders/>
            <w:vAlign w:val="center"/>
          </w:tcPr>
          <w:p>
            <w:pPr>
              <w:pStyle w:val="TableContents"/>
              <w:bidi w:val="0"/>
              <w:spacing w:before="0" w:after="0"/>
              <w:ind w:left="0" w:right="0" w:hanging="0"/>
              <w:jc w:val="left"/>
              <w:rPr/>
            </w:pPr>
            <w:r>
              <w:rPr/>
              <w:t>Cash, cash equivalents and restricted cash at the end of the period</w:t>
            </w:r>
          </w:p>
        </w:tc>
        <w:tc>
          <w:tcPr>
            <w:tcW w:w="25" w:type="dxa"/>
            <w:tcBorders/>
            <w:vAlign w:val="center"/>
          </w:tcPr>
          <w:p>
            <w:pPr>
              <w:pStyle w:val="TableContents"/>
              <w:pBdr/>
              <w:bidi w:val="0"/>
              <w:spacing w:before="0" w:after="0"/>
              <w:ind w:left="0" w:right="0" w:hanging="0"/>
              <w:jc w:val="left"/>
              <w:rPr/>
            </w:pPr>
            <w:r>
              <w:rPr/>
            </w:r>
          </w:p>
        </w:tc>
        <w:tc>
          <w:tcPr>
            <w:tcW w:w="268"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8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522</w:t>
            </w:r>
          </w:p>
        </w:tc>
        <w:tc>
          <w:tcPr>
            <w:tcW w:w="149" w:type="dxa"/>
            <w:tcBorders/>
            <w:vAlign w:val="center"/>
          </w:tcPr>
          <w:p>
            <w:pPr>
              <w:pStyle w:val="TableContents"/>
              <w:bidi w:val="0"/>
              <w:spacing w:before="0" w:after="283"/>
              <w:ind w:left="0" w:right="0" w:hanging="0"/>
              <w:jc w:val="left"/>
              <w:rPr>
                <w:sz w:val="4"/>
                <w:szCs w:val="4"/>
              </w:rPr>
            </w:pPr>
            <w:r>
              <w:rPr>
                <w:sz w:val="4"/>
                <w:szCs w:val="4"/>
              </w:rPr>
            </w:r>
          </w:p>
        </w:tc>
        <w:tc>
          <w:tcPr>
            <w:tcW w:w="35" w:type="dxa"/>
            <w:tcBorders/>
            <w:vAlign w:val="center"/>
          </w:tcPr>
          <w:p>
            <w:pPr>
              <w:pStyle w:val="TableContents"/>
              <w:pBdr/>
              <w:bidi w:val="0"/>
              <w:spacing w:before="0" w:after="0"/>
              <w:ind w:left="0" w:right="0" w:hanging="0"/>
              <w:jc w:val="left"/>
              <w:rPr/>
            </w:pPr>
            <w:r>
              <w:rPr/>
            </w:r>
          </w:p>
        </w:tc>
        <w:tc>
          <w:tcPr>
            <w:tcW w:w="268"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8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2,810</w:t>
            </w:r>
          </w:p>
        </w:tc>
        <w:tc>
          <w:tcPr>
            <w:tcW w:w="123" w:type="dxa"/>
            <w:tcBorders/>
            <w:vAlign w:val="center"/>
          </w:tcPr>
          <w:p>
            <w:pPr>
              <w:pStyle w:val="TableContents"/>
              <w:pBdr/>
              <w:bidi w:val="0"/>
              <w:spacing w:before="0" w:after="0"/>
              <w:ind w:left="0" w:right="0" w:hanging="0"/>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r>
    </w:p>
    <w:p>
      <w:pPr>
        <w:pStyle w:val="TextBody"/>
        <w:bidi w:val="0"/>
        <w:spacing w:lineRule="auto" w:line="288" w:before="0" w:after="200"/>
        <w:ind w:left="144" w:right="144" w:hanging="0"/>
        <w:jc w:val="center"/>
        <w:rPr>
          <w:rFonts w:ascii="Times New Roman" w:hAnsi="Times New Roman"/>
          <w:i/>
          <w:sz w:val="20"/>
        </w:rPr>
      </w:pPr>
      <w:r>
        <w:rPr>
          <w:rFonts w:ascii="Times New Roman" w:hAnsi="Times New Roman"/>
          <w:i/>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72" w:name="PageBreakNo5"/>
            <w:bookmarkEnd w:id="72"/>
            <w:r>
              <w:rPr>
                <w:sz w:val="20"/>
              </w:rPr>
              <w:t>5</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200" w:after="0"/>
        <w:ind w:left="0" w:right="0"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CONDENSED CONSOLIDATED STATEMENTS OF CASH FLOWS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The following is a summary of supplemental cash flow information: </w:t>
      </w:r>
    </w:p>
    <w:p>
      <w:pPr>
        <w:pStyle w:val="TextBody"/>
        <w:bidi w:val="0"/>
        <w:spacing w:lineRule="auto" w:line="288" w:before="0" w:after="0"/>
        <w:ind w:left="0" w:right="0" w:hanging="0"/>
        <w:jc w:val="left"/>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957"/>
        <w:gridCol w:w="50"/>
        <w:gridCol w:w="961"/>
        <w:gridCol w:w="1468"/>
        <w:gridCol w:w="128"/>
        <w:gridCol w:w="129"/>
        <w:gridCol w:w="961"/>
        <w:gridCol w:w="1468"/>
        <w:gridCol w:w="83"/>
      </w:tblGrid>
      <w:tr>
        <w:trPr/>
        <w:tc>
          <w:tcPr>
            <w:tcW w:w="4957" w:type="dxa"/>
            <w:tcBorders/>
            <w:vAlign w:val="center"/>
          </w:tcPr>
          <w:p>
            <w:pPr>
              <w:pStyle w:val="TableContents"/>
              <w:bidi w:val="0"/>
              <w:spacing w:before="0" w:after="0"/>
              <w:ind w:left="0" w:right="0" w:hanging="0"/>
              <w:jc w:val="left"/>
              <w:rPr/>
            </w:pPr>
            <w:r>
              <w:rPr/>
            </w:r>
          </w:p>
        </w:tc>
        <w:tc>
          <w:tcPr>
            <w:tcW w:w="50" w:type="dxa"/>
            <w:tcBorders/>
            <w:vAlign w:val="center"/>
          </w:tcPr>
          <w:p>
            <w:pPr>
              <w:pStyle w:val="TableContents"/>
              <w:bidi w:val="0"/>
              <w:spacing w:before="0" w:after="0"/>
              <w:ind w:left="0" w:right="0" w:hanging="0"/>
              <w:jc w:val="left"/>
              <w:rPr/>
            </w:pPr>
            <w:r>
              <w:rPr/>
            </w:r>
          </w:p>
        </w:tc>
        <w:tc>
          <w:tcPr>
            <w:tcW w:w="5115" w:type="dxa"/>
            <w:gridSpan w:val="6"/>
            <w:tcBorders/>
            <w:vAlign w:val="center"/>
          </w:tcPr>
          <w:p>
            <w:pPr>
              <w:pStyle w:val="TableContents"/>
              <w:bidi w:val="0"/>
              <w:spacing w:before="0" w:after="0"/>
              <w:ind w:left="0" w:right="0" w:hanging="0"/>
              <w:jc w:val="center"/>
              <w:rPr>
                <w:rFonts w:ascii="Times New Roman" w:hAnsi="Times New Roman"/>
                <w:b/>
                <w:sz w:val="20"/>
              </w:rPr>
            </w:pPr>
            <w:bookmarkStart w:id="73" w:name="fs_8YC9OFYZ4G00000000000000000000FM"/>
            <w:bookmarkEnd w:id="73"/>
            <w:r>
              <w:rPr>
                <w:rFonts w:ascii="Times New Roman" w:hAnsi="Times New Roman"/>
                <w:b/>
                <w:sz w:val="20"/>
              </w:rPr>
              <w:t xml:space="preserve">Six Months Ended June 30, </w:t>
            </w:r>
          </w:p>
        </w:tc>
        <w:tc>
          <w:tcPr>
            <w:tcW w:w="83" w:type="dxa"/>
            <w:tcBorders/>
            <w:vAlign w:val="center"/>
          </w:tcPr>
          <w:p>
            <w:pPr>
              <w:pStyle w:val="TableContents"/>
              <w:bidi w:val="0"/>
              <w:spacing w:before="0" w:after="0"/>
              <w:ind w:left="0" w:right="0" w:hanging="0"/>
              <w:jc w:val="left"/>
              <w:rPr/>
            </w:pPr>
            <w:r>
              <w:rPr/>
            </w:r>
          </w:p>
        </w:tc>
      </w:tr>
      <w:tr>
        <w:trPr/>
        <w:tc>
          <w:tcPr>
            <w:tcW w:w="4957" w:type="dxa"/>
            <w:tcBorders/>
            <w:vAlign w:val="center"/>
          </w:tcPr>
          <w:p>
            <w:pPr>
              <w:pStyle w:val="TableContents"/>
              <w:bidi w:val="0"/>
              <w:spacing w:before="0" w:after="0"/>
              <w:ind w:left="0" w:right="0" w:hanging="0"/>
              <w:jc w:val="left"/>
              <w:rPr/>
            </w:pPr>
            <w:r>
              <w:rPr/>
            </w:r>
          </w:p>
        </w:tc>
        <w:tc>
          <w:tcPr>
            <w:tcW w:w="50" w:type="dxa"/>
            <w:tcBorders/>
            <w:vAlign w:val="center"/>
          </w:tcPr>
          <w:p>
            <w:pPr>
              <w:pStyle w:val="TableContents"/>
              <w:bidi w:val="0"/>
              <w:spacing w:before="0" w:after="0"/>
              <w:ind w:left="0" w:right="0" w:hanging="0"/>
              <w:jc w:val="left"/>
              <w:rPr/>
            </w:pPr>
            <w:r>
              <w:rPr/>
            </w:r>
          </w:p>
        </w:tc>
        <w:tc>
          <w:tcPr>
            <w:tcW w:w="2429" w:type="dxa"/>
            <w:gridSpan w:val="2"/>
            <w:tcBorders/>
            <w:vAlign w:val="center"/>
          </w:tcPr>
          <w:p>
            <w:pPr>
              <w:pStyle w:val="TableContents"/>
              <w:bidi w:val="0"/>
              <w:spacing w:before="0" w:after="0"/>
              <w:ind w:left="0" w:right="0" w:hanging="0"/>
              <w:jc w:val="center"/>
              <w:rPr>
                <w:rFonts w:ascii="Times New Roman" w:hAnsi="Times New Roman"/>
                <w:b/>
                <w:sz w:val="20"/>
              </w:rPr>
            </w:pPr>
            <w:bookmarkStart w:id="74" w:name="fs_DXY77T54CW00000000000000000000fs"/>
            <w:bookmarkEnd w:id="74"/>
            <w:r>
              <w:rPr>
                <w:rFonts w:ascii="Times New Roman" w:hAnsi="Times New Roman"/>
                <w:b/>
                <w:sz w:val="20"/>
              </w:rPr>
              <w:t xml:space="preserve">2026 </w:t>
            </w:r>
          </w:p>
        </w:tc>
        <w:tc>
          <w:tcPr>
            <w:tcW w:w="128" w:type="dxa"/>
            <w:tcBorders/>
            <w:vAlign w:val="center"/>
          </w:tcPr>
          <w:p>
            <w:pPr>
              <w:pStyle w:val="TableContents"/>
              <w:bidi w:val="0"/>
              <w:spacing w:before="0" w:after="0"/>
              <w:ind w:left="0" w:right="0" w:hanging="0"/>
              <w:jc w:val="left"/>
              <w:rPr/>
            </w:pPr>
            <w:r>
              <w:rPr/>
            </w:r>
          </w:p>
        </w:tc>
        <w:tc>
          <w:tcPr>
            <w:tcW w:w="129" w:type="dxa"/>
            <w:tcBorders/>
            <w:vAlign w:val="center"/>
          </w:tcPr>
          <w:p>
            <w:pPr>
              <w:pStyle w:val="TableContents"/>
              <w:bidi w:val="0"/>
              <w:spacing w:before="0" w:after="0"/>
              <w:ind w:left="0" w:right="0" w:hanging="0"/>
              <w:jc w:val="left"/>
              <w:rPr/>
            </w:pPr>
            <w:r>
              <w:rPr/>
            </w:r>
          </w:p>
        </w:tc>
        <w:tc>
          <w:tcPr>
            <w:tcW w:w="2429" w:type="dxa"/>
            <w:gridSpan w:val="2"/>
            <w:tcBorders/>
            <w:vAlign w:val="center"/>
          </w:tcPr>
          <w:p>
            <w:pPr>
              <w:pStyle w:val="TableContents"/>
              <w:bidi w:val="0"/>
              <w:spacing w:before="0" w:after="0"/>
              <w:ind w:left="0" w:right="0" w:hanging="0"/>
              <w:jc w:val="center"/>
              <w:rPr>
                <w:rFonts w:ascii="Times New Roman" w:hAnsi="Times New Roman"/>
                <w:b/>
                <w:sz w:val="20"/>
              </w:rPr>
            </w:pPr>
            <w:bookmarkStart w:id="75" w:name="fs_LAXI2WFYRK00000000000000000000fs"/>
            <w:bookmarkEnd w:id="75"/>
            <w:r>
              <w:rPr>
                <w:rFonts w:ascii="Times New Roman" w:hAnsi="Times New Roman"/>
                <w:b/>
                <w:sz w:val="20"/>
              </w:rPr>
              <w:t xml:space="preserve">2025 </w:t>
            </w:r>
          </w:p>
        </w:tc>
        <w:tc>
          <w:tcPr>
            <w:tcW w:w="83" w:type="dxa"/>
            <w:tcBorders/>
            <w:vAlign w:val="center"/>
          </w:tcPr>
          <w:p>
            <w:pPr>
              <w:pStyle w:val="TableContents"/>
              <w:bidi w:val="0"/>
              <w:spacing w:before="0" w:after="0"/>
              <w:ind w:left="0" w:right="0" w:hanging="0"/>
              <w:jc w:val="left"/>
              <w:rPr/>
            </w:pPr>
            <w:r>
              <w:rPr/>
            </w:r>
          </w:p>
        </w:tc>
      </w:tr>
      <w:tr>
        <w:trPr/>
        <w:tc>
          <w:tcPr>
            <w:tcW w:w="49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paid for income taxes </w:t>
            </w:r>
          </w:p>
        </w:tc>
        <w:tc>
          <w:tcPr>
            <w:tcW w:w="50" w:type="dxa"/>
            <w:tcBorders/>
            <w:shd w:fill="CCEEFF" w:val="clear"/>
            <w:vAlign w:val="center"/>
          </w:tcPr>
          <w:p>
            <w:pPr>
              <w:pStyle w:val="TableContents"/>
              <w:bidi w:val="0"/>
              <w:spacing w:before="0" w:after="0"/>
              <w:ind w:left="0" w:right="0" w:hanging="0"/>
              <w:jc w:val="left"/>
              <w:rPr/>
            </w:pPr>
            <w:r>
              <w:rPr/>
            </w:r>
          </w:p>
        </w:tc>
        <w:tc>
          <w:tcPr>
            <w:tcW w:w="96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68" w:type="dxa"/>
            <w:tcBorders/>
            <w:shd w:fill="CCEEFF" w:val="clear"/>
            <w:vAlign w:val="center"/>
          </w:tcPr>
          <w:p>
            <w:pPr>
              <w:pStyle w:val="TableContents"/>
              <w:bidi w:val="0"/>
              <w:spacing w:before="0" w:after="0"/>
              <w:ind w:left="0" w:right="0" w:hanging="0"/>
              <w:jc w:val="right"/>
              <w:rPr/>
            </w:pPr>
            <w:r>
              <w:rPr/>
              <w:t>—</w:t>
            </w:r>
          </w:p>
        </w:tc>
        <w:tc>
          <w:tcPr>
            <w:tcW w:w="128" w:type="dxa"/>
            <w:tcBorders/>
            <w:shd w:fill="CCEEFF" w:val="clear"/>
            <w:vAlign w:val="center"/>
          </w:tcPr>
          <w:p>
            <w:pPr>
              <w:pStyle w:val="TableContents"/>
              <w:bidi w:val="0"/>
              <w:spacing w:before="0" w:after="283"/>
              <w:jc w:val="left"/>
              <w:rPr>
                <w:sz w:val="4"/>
                <w:szCs w:val="4"/>
              </w:rPr>
            </w:pPr>
            <w:r>
              <w:rPr>
                <w:sz w:val="4"/>
                <w:szCs w:val="4"/>
              </w:rPr>
            </w:r>
          </w:p>
        </w:tc>
        <w:tc>
          <w:tcPr>
            <w:tcW w:w="129" w:type="dxa"/>
            <w:tcBorders/>
            <w:shd w:fill="CCEEFF" w:val="clear"/>
            <w:vAlign w:val="center"/>
          </w:tcPr>
          <w:p>
            <w:pPr>
              <w:pStyle w:val="TableContents"/>
              <w:bidi w:val="0"/>
              <w:spacing w:before="0" w:after="0"/>
              <w:ind w:left="0" w:right="0" w:hanging="0"/>
              <w:jc w:val="left"/>
              <w:rPr/>
            </w:pPr>
            <w:r>
              <w:rPr/>
            </w:r>
          </w:p>
        </w:tc>
        <w:tc>
          <w:tcPr>
            <w:tcW w:w="96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468" w:type="dxa"/>
            <w:tcBorders/>
            <w:shd w:fill="CCEEFF" w:val="clear"/>
            <w:vAlign w:val="center"/>
          </w:tcPr>
          <w:p>
            <w:pPr>
              <w:pStyle w:val="TableContents"/>
              <w:bidi w:val="0"/>
              <w:spacing w:before="0" w:after="0"/>
              <w:ind w:left="0" w:right="0" w:hanging="0"/>
              <w:jc w:val="right"/>
              <w:rPr/>
            </w:pPr>
            <w:r>
              <w:rPr/>
              <w:t>—</w:t>
            </w:r>
          </w:p>
        </w:tc>
        <w:tc>
          <w:tcPr>
            <w:tcW w:w="83"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pStyle w:val="TextBody"/>
        <w:bidi w:val="0"/>
        <w:spacing w:lineRule="auto" w:line="288" w:before="0" w:after="200"/>
        <w:ind w:left="0" w:right="0" w:hanging="0"/>
        <w:jc w:val="center"/>
        <w:rPr>
          <w:rFonts w:ascii="Times New Roman" w:hAnsi="Times New Roman"/>
          <w:i/>
          <w:sz w:val="20"/>
        </w:rPr>
      </w:pPr>
      <w:r>
        <w:rPr>
          <w:rFonts w:ascii="Times New Roman" w:hAnsi="Times New Roman"/>
          <w:i/>
          <w:sz w:val="20"/>
        </w:rPr>
        <w:t>See accompanying notes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76" w:name="PageBreakNo6"/>
            <w:bookmarkEnd w:id="76"/>
            <w:r>
              <w:rPr>
                <w:sz w:val="20"/>
              </w:rPr>
              <w:t>6</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before="0" w:after="0"/>
        <w:ind w:left="0" w:right="0" w:hanging="0"/>
        <w:jc w:val="left"/>
        <w:rPr/>
      </w:pPr>
      <w:r>
        <w:rPr/>
        <w:t> </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CLEARONE, INC.</w:t>
      </w:r>
    </w:p>
    <w:p>
      <w:pPr>
        <w:pStyle w:val="TextBody"/>
        <w:bidi w:val="0"/>
        <w:spacing w:lineRule="auto" w:line="288"/>
        <w:ind w:left="144" w:right="144" w:hanging="0"/>
        <w:jc w:val="center"/>
        <w:rPr/>
      </w:pPr>
      <w:hyperlink r:id="rId9">
        <w:bookmarkStart w:id="77" w:name="BF_IMSU8UN3GG00000000000000000000"/>
        <w:bookmarkEnd w:id="77"/>
        <w:r>
          <w:rPr>
            <w:rStyle w:val="InternetLink"/>
            <w:rFonts w:ascii="Times New Roman" w:hAnsi="Times New Roman"/>
            <w:b/>
            <w:strike w:val="false"/>
            <w:dstrike w:val="false"/>
            <w:color w:val="000000"/>
            <w:sz w:val="20"/>
            <w:u w:val="none"/>
            <w:effect w:val="none"/>
          </w:rPr>
          <w:t>UNAUDITED NOTES TO CONDENSED CONSOLIDATED FINANCIAL STATEMENTS</w:t>
        </w:r>
      </w:hyperlink>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(Unaudited - Dollars in thousands, except per share amounts)</w:t>
      </w: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1</w:t>
      </w:r>
      <w:r>
        <w:rPr>
          <w:rFonts w:ascii="Times New Roman" w:hAnsi="Times New Roman"/>
          <w:b/>
          <w:sz w:val="20"/>
        </w:rPr>
        <w:t>. Business Description, Basis of Presentation and Significant Accounting Policies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Business Description: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serif" w:hAnsi="Times New Roman;serif"/>
          <w:sz w:val="20"/>
        </w:rPr>
        <w:t>ClearOne, Inc., together with its subsidiaries (collectively, “ClearOne” or the “Company”), was a global market competitor providing conferencing, collaboration, and AV streaming solutions supporting voice and visual communications. Following the October 24, 2025 disposition of substantially all operating assets and intellectual property to Biamp Systems, LLC, the Company no longer sells products. The Company’s continuing operations are now limited to (i) fulfilling warranty and technical support obligations for legacy products, (ii) maintaining public-company compliance and governance, (iii) collecting accounts receivable and recovering prepaid assets and (iv) and pursuing strategic alternatives to maximize stockholder value. On July 1, 2026, the Company entered into an Agreement and Plan of Merger by and among the Company, CLRO Merger Sub, Inc., Cortigent, Inc. and Vivani Medical, Inc. See Note 14 — Subsequent Events. See also the discussion of going concern below and Note 2 — Discontinued Operations and Assets Held for Sale.</w:t>
      </w:r>
      <w:r>
        <w:rPr>
          <w:rFonts w:ascii="times new roman;times" w:hAnsi="times new roman;times"/>
          <w:sz w:val="20"/>
        </w:rPr>
        <w:t xml:space="preserve"> </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 w:hAnsi="Times New Roman"/>
          <w:b/>
          <w:i/>
          <w:sz w:val="20"/>
        </w:rPr>
      </w:pPr>
      <w:r>
        <w:rPr>
          <w:rFonts w:ascii="Times New Roman" w:hAnsi="Times New Roman"/>
          <w:b/>
          <w:i/>
          <w:sz w:val="20"/>
        </w:rPr>
        <w:t>Going Concern:</w:t>
      </w:r>
    </w:p>
    <w:p>
      <w:pPr>
        <w:pStyle w:val="TextBody"/>
        <w:bidi w:val="0"/>
        <w:spacing w:lineRule="auto" w:line="288" w:before="0" w:after="0"/>
        <w:ind w:left="0" w:right="0" w:hanging="0"/>
        <w:jc w:val="both"/>
        <w:rPr/>
      </w:pPr>
      <w:r>
        <w:rPr/>
      </w:r>
    </w:p>
    <w:p>
      <w:pPr>
        <w:pStyle w:val="TextBody"/>
        <w:bidi w:val="0"/>
        <w:spacing w:lineRule="atLeast" w:line="240" w:before="0" w:after="0"/>
        <w:ind w:left="0" w:right="0" w:hanging="0"/>
        <w:jc w:val="both"/>
        <w:rPr>
          <w:rFonts w:ascii="Times New Roman;serif" w:hAnsi="Times New Roman;serif"/>
          <w:sz w:val="20"/>
        </w:rPr>
      </w:pPr>
      <w:r>
        <w:rPr>
          <w:rFonts w:ascii="Times New Roman;serif" w:hAnsi="Times New Roman;serif"/>
          <w:sz w:val="20"/>
        </w:rPr>
        <w:t xml:space="preserve">The accompanying condensed consolidated financial statements have been prepared assuming the Company will continue as a going concern, which contemplates the realization of assets and the satisfaction of liabilities in the normal course of business.  </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sz w:val="20"/>
        </w:rPr>
      </w:pPr>
      <w:r>
        <w:rPr>
          <w:rFonts w:ascii="Times New Roman;serif" w:hAnsi="Times New Roman;serif"/>
          <w:sz w:val="20"/>
        </w:rPr>
        <w:t>Following the Asset Sale (as described below) completed on October 24, 2025, the Company has no revenue-generating operations. The Company has incurred recurring losses and negative cash flows from operations, and its continuing operations are not expected to generate revenue at levels sufficient to fund its ongoing costs, which consist primarily of public-company reporting and compliance, professional and advisory fees, and residual warranty support for legacy products. As of June 30, 2026, the Company had cash and cash equivalents of $75, restricted cash of $447, and a note payable to a related party of $500. Disbursement of the restricted loan proceeds is subject to the approval of the related-party lender. On June 30, 2026, the Company entered into a Loan Agreement with First Finance Ltd. (“First Finance”) providing for advances of up to $1,000, of which $500 was received on June 29, 2026 and the remaining $500 was received on July 16, 2026. All amounts outstanding under the Loan Agreement bear interest at 11% per annum and mature on the earlier of December 30, 2026, which is within twelve months after the date these condensed consolidated financial statements are issued, </w:t>
      </w:r>
      <w:r>
        <w:rPr>
          <w:rFonts w:ascii="Times New Roman;serif" w:hAnsi="Times New Roman;serif"/>
          <w:b w:val="false"/>
          <w:i w:val="false"/>
          <w:caps w:val="false"/>
          <w:smallCaps w:val="false"/>
          <w:color w:val="000000"/>
          <w:spacing w:val="0"/>
          <w:sz w:val="20"/>
        </w:rPr>
        <w:t>or such date as the parties may mutually agree in writing.</w:t>
      </w:r>
      <w:r>
        <w:rPr>
          <w:rFonts w:ascii="Times New Roman;serif" w:hAnsi="Times New Roman;serif"/>
          <w:sz w:val="20"/>
        </w:rPr>
        <w:t> See Note 4 — Notes Payable.</w:t>
      </w:r>
      <w:r>
        <w:rPr>
          <w:rFonts w:ascii="times new roman;times" w:hAnsi="times new roman;times"/>
          <w:sz w:val="20"/>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serif" w:hAnsi="Times New Roman;serif"/>
          <w:sz w:val="20"/>
        </w:rPr>
        <w:t>These conditions raise substantial doubt about the Company's ability to continue as a going concern within one year after the date these condensed consolidated financial statements are issued.</w:t>
      </w:r>
      <w:r>
        <w:rPr>
          <w:rFonts w:ascii="times new roman;times" w:hAnsi="times new roman;times"/>
          <w:sz w:val="20"/>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serif" w:hAnsi="Times New Roman;serif"/>
          <w:sz w:val="20"/>
        </w:rPr>
        <w:t>Management's plans to address these conditions consist principally of the transactions contemplated by the Merger Agreement entered into on July 1, 2026, including the concurrent registered offering of a minimum of $10,000 and a maximum of $15,000 described in Note 14 — Subsequent Events. Consummation of those transactions is subject to conditions that are not within the Company's control, including effectiveness of a registration statement on Form S-1, completion of the offering, approval by Nasdaq of the initial listing application required as a result of the Change of Control determination described in Note 14, and satisfaction of the remaining closing conditions under the Merger Agreement. Because the execution and ultimate success of these plans depend on the occurrence of significant events that are outside the Company's control, management cannot conclude that the plans will be effectively implemented in a manner that alleviates the conditions giving rise to substantial doubt. Accordingly, substantial doubt about the Company's ability to continue as a going concern is not alleviated as of the date these condensed consolidated financial statements are issued.</w:t>
      </w:r>
      <w:r>
        <w:rPr>
          <w:rFonts w:ascii="times new roman;times" w:hAnsi="times new roman;times"/>
          <w:sz w:val="20"/>
        </w:rPr>
        <w:t xml:space="preserve"> </w:t>
      </w:r>
    </w:p>
    <w:p>
      <w:pPr>
        <w:pStyle w:val="TextBody"/>
        <w:bidi w:val="0"/>
        <w:spacing w:lineRule="auto" w:line="288" w:before="0" w:after="0"/>
        <w:ind w:left="0" w:right="0" w:hanging="0"/>
        <w:jc w:val="both"/>
        <w:rPr/>
      </w:pPr>
      <w:r>
        <w:rPr/>
      </w:r>
    </w:p>
    <w:p>
      <w:pPr>
        <w:pStyle w:val="TextBody"/>
        <w:bidi w:val="0"/>
        <w:spacing w:lineRule="atLeast" w:line="240" w:before="0" w:after="0"/>
        <w:ind w:left="0" w:right="0" w:hanging="0"/>
        <w:jc w:val="both"/>
        <w:rPr>
          <w:rFonts w:ascii="Times New Roman;serif" w:hAnsi="Times New Roman;serif"/>
          <w:sz w:val="20"/>
        </w:rPr>
      </w:pPr>
      <w:r>
        <w:rPr>
          <w:rFonts w:ascii="Times New Roman;serif" w:hAnsi="Times New Roman;serif"/>
          <w:sz w:val="20"/>
        </w:rPr>
        <w:t>The condensed consolidated financial statements do not include any adjustments relating to the recoverability and classification of recorded asset amounts or the amount and classification of liabilities that might result from the outcome of this uncertainty.</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both"/>
        <w:rPr>
          <w:rFonts w:ascii="Times New Roman" w:hAnsi="Times New Roman"/>
          <w:b/>
          <w:i/>
          <w:sz w:val="20"/>
        </w:rPr>
      </w:pPr>
      <w:r>
        <w:rPr>
          <w:rFonts w:ascii="Times New Roman" w:hAnsi="Times New Roman"/>
          <w:b/>
          <w:i/>
          <w:sz w:val="20"/>
        </w:rPr>
        <w:t>Basis of Presentation:</w:t>
      </w:r>
    </w:p>
    <w:p>
      <w:pPr>
        <w:pStyle w:val="TextBody"/>
        <w:bidi w:val="0"/>
        <w:spacing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fiscal year for ClearOne is the </w:t>
      </w:r>
      <w:bookmarkStart w:id="78" w:name="fs_AQUKFNWM6O00000000000000000000fs"/>
      <w:bookmarkEnd w:id="78"/>
      <w:r>
        <w:rPr>
          <w:rFonts w:ascii="times new roman;times" w:hAnsi="times new roman;times"/>
          <w:sz w:val="20"/>
        </w:rPr>
        <w:t>twelve months ending on December 31. The condensed consolidated financial statements include the accounts of ClearOne and its subsidiaries. All significant inter-company accounts and transactions have been eliminated.</w:t>
      </w:r>
    </w:p>
    <w:p>
      <w:pPr>
        <w:pStyle w:val="TextBody"/>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79" w:name="PageBreakNo7"/>
            <w:bookmarkEnd w:id="79"/>
            <w:r>
              <w:rPr>
                <w:sz w:val="20"/>
              </w:rPr>
              <w:t>7</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On October 24, 2025, the Company completed the sale of certain intellectual property, product inventory, and non-exclusive rights to customer data (the “Asset Sale”). The disposal represented a strategic shift that has had a major effect on the Company’s operations and financial results. Accordingly, the related operating results are presented as discontinued operations in accordance with ASC </w:t>
      </w:r>
      <w:bookmarkStart w:id="80" w:name="fs_STW3GI959C00000000000000000000fs"/>
      <w:bookmarkEnd w:id="80"/>
      <w:r>
        <w:rPr>
          <w:rFonts w:ascii="times new roman;times" w:hAnsi="times new roman;times"/>
          <w:sz w:val="20"/>
        </w:rPr>
        <w:t>205-</w:t>
      </w:r>
      <w:bookmarkStart w:id="81" w:name="fs_QUJVMQOELC00000000000000000000fs"/>
      <w:bookmarkEnd w:id="81"/>
      <w:r>
        <w:rPr>
          <w:rFonts w:ascii="times new roman;times" w:hAnsi="times new roman;times"/>
          <w:sz w:val="20"/>
        </w:rPr>
        <w:t xml:space="preserve">20 for all periods presented. Prior-period amounts in the unaudited condensed consolidated statements of operations and cash flows have been recast to conform to this presentation. See Note </w:t>
      </w:r>
      <w:bookmarkStart w:id="82" w:name="fs_6UO2TROUY800000000000000000000fs"/>
      <w:bookmarkEnd w:id="82"/>
      <w:r>
        <w:rPr>
          <w:rFonts w:ascii="times new roman;times" w:hAnsi="times new roman;times"/>
          <w:sz w:val="20"/>
        </w:rPr>
        <w:t>2 — Discontinued Operations and Assets Held for Sale for additional information.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These accompanying interim unaudited condensed consolidated financial statements have been prepared by the Company pursuant to the rules and regulations of the Securities and Exchange Commission (“SEC”) and are not audited. Certain information and footnote disclosures that are usually included in financial statements prepared in accordance with generally accepted accounting principles in the United States (“GAAP”) have been either condensed or omitted in accordance with SEC rules and regulations. The accompanying condensed consolidated financial statements contain all adjustments, consisting of normal recurring accruals, necessary for a fair presentation of our financial position as of </w:t>
      </w:r>
      <w:bookmarkStart w:id="83" w:name="fs_641EEBBWZK00000000000000000000FM"/>
      <w:bookmarkEnd w:id="83"/>
      <w:r>
        <w:rPr>
          <w:rFonts w:ascii="times new roman;times" w:hAnsi="times new roman;times"/>
          <w:sz w:val="20"/>
        </w:rPr>
        <w:t xml:space="preserve">June 30, 2026 and </w:t>
      </w:r>
      <w:bookmarkStart w:id="84" w:name="fs_1A9O6XXGCG00000000000000000000FM"/>
      <w:bookmarkEnd w:id="84"/>
      <w:r>
        <w:rPr>
          <w:rFonts w:ascii="times new roman;times" w:hAnsi="times new roman;times"/>
          <w:sz w:val="20"/>
        </w:rPr>
        <w:t xml:space="preserve">December 31, 2025, the results of operations for the </w:t>
      </w:r>
      <w:bookmarkStart w:id="85" w:name="fs_TSPHAPPMAO00000000000000000000FM"/>
      <w:bookmarkEnd w:id="85"/>
      <w:r>
        <w:rPr>
          <w:rFonts w:ascii="times new roman;times" w:hAnsi="times new roman;times"/>
          <w:sz w:val="20"/>
        </w:rPr>
        <w:t xml:space="preserve">three and six months ended </w:t>
      </w:r>
      <w:bookmarkStart w:id="86" w:name="fs_J5FCCUO2E800000000000000000000FM"/>
      <w:bookmarkEnd w:id="86"/>
      <w:r>
        <w:rPr>
          <w:rFonts w:ascii="times new roman;times" w:hAnsi="times new roman;times"/>
          <w:sz w:val="20"/>
        </w:rPr>
        <w:t xml:space="preserve">June 30, 2026 and </w:t>
      </w:r>
      <w:bookmarkStart w:id="87" w:name="fs_IYO7KXY44W00000000000000000000FM"/>
      <w:bookmarkEnd w:id="87"/>
      <w:r>
        <w:rPr>
          <w:rFonts w:ascii="times new roman;times" w:hAnsi="times new roman;times"/>
          <w:sz w:val="20"/>
        </w:rPr>
        <w:t xml:space="preserve">2025, and the cash flows for the </w:t>
      </w:r>
      <w:bookmarkStart w:id="88" w:name="fs_ACDYPVRL0G00000000000000000000FM"/>
      <w:bookmarkEnd w:id="88"/>
      <w:r>
        <w:rPr>
          <w:rFonts w:ascii="times new roman;times" w:hAnsi="times new roman;times"/>
          <w:sz w:val="20"/>
        </w:rPr>
        <w:t xml:space="preserve">six months ended June 30, 2026 and </w:t>
      </w:r>
      <w:bookmarkStart w:id="89" w:name="fs_HLI7WFN54G00000000000000000000fs"/>
      <w:bookmarkEnd w:id="89"/>
      <w:r>
        <w:rPr>
          <w:rFonts w:ascii="times new roman;times" w:hAnsi="times new roman;times"/>
          <w:sz w:val="20"/>
        </w:rPr>
        <w:t xml:space="preserve">2025. The results of operations for the </w:t>
      </w:r>
      <w:bookmarkStart w:id="90" w:name="fs_UUJ6V03LC000000000000000000000FM"/>
      <w:bookmarkEnd w:id="90"/>
      <w:r>
        <w:rPr>
          <w:rFonts w:ascii="times new roman;times" w:hAnsi="times new roman;times"/>
          <w:sz w:val="20"/>
        </w:rPr>
        <w:t xml:space="preserve">three and six months ended </w:t>
      </w:r>
      <w:bookmarkStart w:id="91" w:name="fs_WRYZY5XIXS00000000000000000000FM"/>
      <w:bookmarkEnd w:id="91"/>
      <w:r>
        <w:rPr>
          <w:rFonts w:ascii="times new roman;times" w:hAnsi="times new roman;times"/>
          <w:sz w:val="20"/>
        </w:rPr>
        <w:t xml:space="preserve">June 30, 2026 and </w:t>
      </w:r>
      <w:bookmarkStart w:id="92" w:name="fs_6RUD1L7QIO00000000000000000000fs"/>
      <w:bookmarkEnd w:id="92"/>
      <w:r>
        <w:rPr>
          <w:rFonts w:ascii="times new roman;times" w:hAnsi="times new roman;times"/>
          <w:sz w:val="20"/>
        </w:rPr>
        <w:t>2025 are not necessarily indicative of the results for a full-year period. These interim unaudited condensed consolidated financial statements should be read in conjunction with the financial statements included in our Annual Report on Form 10-K for the year ended December 31, 2025 filed with the SEC.</w:t>
      </w:r>
    </w:p>
    <w:p>
      <w:pPr>
        <w:pStyle w:val="TextBody"/>
        <w:bidi w:val="0"/>
        <w:spacing w:lineRule="atLeast" w:line="240"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On April 22, 2026 the Company completed its reincorporation from Delaware to Nevada by conversion pursuant to the Plan of Conversion approved by stockholders on March 12, 2026. The Company is now a Nevada corporation, and all references to the </w:t>
      </w:r>
      <w:r>
        <w:rPr>
          <w:rFonts w:ascii="Times New Roman;serif" w:hAnsi="Times New Roman;serif"/>
          <w:sz w:val="20"/>
        </w:rPr>
        <w:t>Company's</w:t>
      </w:r>
      <w:r>
        <w:rPr>
          <w:rFonts w:ascii="times new roman;times" w:hAnsi="times new roman;times"/>
          <w:sz w:val="20"/>
        </w:rPr>
        <w:t xml:space="preserve"> governing law and stockholder rights in these financial statements should be read in light of Nevada law. </w:t>
      </w:r>
      <w:r>
        <w:rPr>
          <w:rFonts w:ascii="Times New Roman;serif" w:hAnsi="Times New Roman;serif"/>
          <w:sz w:val="20"/>
        </w:rPr>
        <w:t>The conversion was a change in legal domicile only; the Company's assets and liabilities were carried forward at their historical carrying amounts, and the conversion had no effect on the Company's financial position, results of operations, or cash flows. See Note 10 — Shareholders' Equity.</w:t>
      </w:r>
      <w:r>
        <w:rPr>
          <w:rFonts w:ascii="times new roman;times" w:hAnsi="times new roman;times"/>
          <w:sz w:val="20"/>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b/>
          <w:i/>
          <w:sz w:val="20"/>
        </w:rPr>
      </w:pPr>
      <w:r>
        <w:rPr>
          <w:rFonts w:ascii="times new roman;times" w:hAnsi="times new roman;times"/>
          <w:b/>
          <w:i/>
          <w:sz w:val="20"/>
        </w:rPr>
        <w:t>Reverse Stock Split</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Company completed a 1-for-15 reverse stock split of the Company's issued and outstanding common stock, par value $0.001 per share, effective at </w:t>
      </w:r>
      <w:bookmarkStart w:id="93" w:name="fs_EQJ52BVAHS00000000000000000000fs"/>
      <w:bookmarkEnd w:id="93"/>
      <w:r>
        <w:rPr>
          <w:rFonts w:ascii="times new roman;times" w:hAnsi="times new roman;times"/>
          <w:sz w:val="20"/>
        </w:rPr>
        <w:t>5:</w:t>
      </w:r>
      <w:bookmarkStart w:id="94" w:name="fs_J0B2E1U6M800000000000000000000fs"/>
      <w:bookmarkEnd w:id="94"/>
      <w:r>
        <w:rPr>
          <w:rFonts w:ascii="times new roman;times" w:hAnsi="times new roman;times"/>
          <w:sz w:val="20"/>
        </w:rPr>
        <w:t xml:space="preserve">00 p.m. Eastern Time on June 9, 2025. The common stock began trading on a split-adjusted basis on the Nasdaq Capital Market on June 10, 2025, under the symbol "CLRO" and a new CUSIP number of </w:t>
      </w:r>
      <w:bookmarkStart w:id="95" w:name="fs_HBU4ZKVSQO00000000000000000000fs"/>
      <w:bookmarkEnd w:id="95"/>
      <w:r>
        <w:rPr>
          <w:rFonts w:ascii="times new roman;times" w:hAnsi="times new roman;times"/>
          <w:sz w:val="20"/>
        </w:rPr>
        <w:t>18506U</w:t>
      </w:r>
      <w:bookmarkStart w:id="96" w:name="fs_7WDDBM1L6800000000000000000000fs"/>
      <w:bookmarkEnd w:id="96"/>
      <w:r>
        <w:rPr>
          <w:rFonts w:ascii="times new roman;times" w:hAnsi="times new roman;times"/>
          <w:sz w:val="20"/>
        </w:rPr>
        <w:t xml:space="preserve">203. The reverse stock split was primarily intended to increase the per share market price of the common stock in order to regain compliance with the minimum bid price requirement for continued listing on the Nasdaq Capital Market. As a result of the reverse stock split, every 15 shares of issued and outstanding common stock were automatically combined into </w:t>
      </w:r>
      <w:bookmarkStart w:id="97" w:name="fs_3HC7QF4NCW00000000000000000000FM"/>
      <w:bookmarkEnd w:id="97"/>
      <w:r>
        <w:rPr>
          <w:rFonts w:ascii="times new roman;times" w:hAnsi="times new roman;times"/>
          <w:sz w:val="20"/>
        </w:rPr>
        <w:t xml:space="preserve">one share, with no fractional shares issued (any fractional interests were rounded up to the next whole share). The reverse stock split did not change the par value of the common stock or the authorized number of shares but reduced the number of issued and outstanding shares from approximately 26.0 million to approximately 1.7 million, with proportional adjustments to outstanding stock options, warrants, and shares reserved under equity incentive plans. For additional details, refer to the Company's Current Report on Form 8-K filed with the SEC on June 2, 2025, including the press release attached as Exhibit </w:t>
      </w:r>
      <w:bookmarkStart w:id="98" w:name="fs_R1BTIF01FK00000000000000000000fs"/>
      <w:bookmarkEnd w:id="98"/>
      <w:r>
        <w:rPr>
          <w:rFonts w:ascii="times new roman;times" w:hAnsi="times new roman;times"/>
          <w:sz w:val="20"/>
        </w:rPr>
        <w:t xml:space="preserve">99.1 thereto.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All share and per-share amounts in these condensed consolidated financial statements and related notes have been retroactively adjusted to reflect the reverse stock split for all periods presented.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rPr>
      </w:pPr>
      <w:r>
        <w:rPr>
          <w:rFonts w:ascii="times new roman;times" w:hAnsi="times new roman;times"/>
          <w:b/>
          <w:i/>
          <w:sz w:val="20"/>
        </w:rPr>
        <w:t>Restricted Cash</w:t>
      </w:r>
      <w:r>
        <w:rPr>
          <w:rFonts w:ascii="times new roman;times" w:hAnsi="times new roman;times"/>
        </w:rPr>
        <w:t xml:space="preserve">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 includes restricted cash with cash and cash equivalents when reconciling the beginning-of-period and end-of-period total amounts shown on the </w:t>
      </w:r>
      <w:r>
        <w:rPr>
          <w:rFonts w:ascii="Times New Roman;serif" w:hAnsi="Times New Roman;serif"/>
          <w:sz w:val="20"/>
        </w:rPr>
        <w:t xml:space="preserve">condensed consolidated statements </w:t>
      </w:r>
      <w:r>
        <w:rPr>
          <w:rFonts w:ascii="times new roman;times" w:hAnsi="times new roman;times"/>
          <w:sz w:val="20"/>
        </w:rPr>
        <w:t xml:space="preserve">of cash flows, in accordance with ASU </w:t>
      </w:r>
      <w:bookmarkStart w:id="99" w:name="fs_ARI8HUZK6800000000000000000000fs"/>
      <w:bookmarkEnd w:id="99"/>
      <w:r>
        <w:rPr>
          <w:rFonts w:ascii="times new roman;times" w:hAnsi="times new roman;times"/>
          <w:sz w:val="20"/>
        </w:rPr>
        <w:t>2016-</w:t>
      </w:r>
      <w:bookmarkStart w:id="100" w:name="fs_RXJ37KDSUO00000000000000000000fs"/>
      <w:bookmarkEnd w:id="100"/>
      <w:r>
        <w:rPr>
          <w:rFonts w:ascii="times new roman;times" w:hAnsi="times new roman;times"/>
          <w:sz w:val="20"/>
        </w:rPr>
        <w:t>18.</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serif" w:hAnsi="Times New Roman;serif"/>
          <w:sz w:val="20"/>
        </w:rPr>
        <w:t>Restricted cash was $447 as of June 30, 2026 and $519 as of December 31, 2025.</w:t>
      </w:r>
      <w:r>
        <w:rPr>
          <w:rFonts w:ascii="times new roman;times" w:hAnsi="times new roman;times"/>
          <w:sz w:val="20"/>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As of </w:t>
      </w:r>
      <w:r>
        <w:rPr>
          <w:rFonts w:ascii="Times New Roman;serif" w:hAnsi="Times New Roman;serif"/>
          <w:sz w:val="20"/>
        </w:rPr>
        <w:t>December 31, 2025</w:t>
      </w:r>
      <w:r>
        <w:rPr>
          <w:rFonts w:ascii="times new roman;times" w:hAnsi="times new roman;times"/>
          <w:sz w:val="20"/>
        </w:rPr>
        <w:t xml:space="preserve">, restricted cash consisted of the remaining proceeds of the $3,000 convertible note issued to First Finance on June 20, 2025, which were subject to contractual </w:t>
      </w:r>
      <w:r>
        <w:rPr>
          <w:rFonts w:ascii="Times New Roman;serif" w:hAnsi="Times New Roman;serif"/>
          <w:sz w:val="20"/>
        </w:rPr>
        <w:t>disbursement</w:t>
      </w:r>
      <w:r>
        <w:rPr>
          <w:rFonts w:ascii="times new roman;times" w:hAnsi="times new roman;times"/>
          <w:sz w:val="20"/>
        </w:rPr>
        <w:t xml:space="preserve"> restrictions under the related Note Purchase Agreement, and </w:t>
      </w:r>
      <w:r>
        <w:rPr>
          <w:rFonts w:ascii="Times New Roman;serif" w:hAnsi="Times New Roman;serif"/>
          <w:sz w:val="20"/>
        </w:rPr>
        <w:t>were fully disbursed during the six months ended June 30, 2026.</w:t>
      </w:r>
      <w:r>
        <w:rPr>
          <w:rFonts w:ascii="times new roman;times" w:hAnsi="times new roman;times"/>
          <w:sz w:val="20"/>
        </w:rPr>
        <w:t> </w:t>
      </w:r>
    </w:p>
    <w:p>
      <w:pPr>
        <w:pStyle w:val="TextBody"/>
        <w:bidi w:val="0"/>
        <w:spacing w:lineRule="auto" w:line="288" w:before="0" w:after="0"/>
        <w:ind w:left="0" w:right="0" w:hanging="0"/>
        <w:jc w:val="both"/>
        <w:rPr/>
      </w:pPr>
      <w:r>
        <w:rPr/>
      </w:r>
    </w:p>
    <w:p>
      <w:pPr>
        <w:pStyle w:val="TextBody"/>
        <w:bidi w:val="0"/>
        <w:spacing w:lineRule="atLeast" w:line="240" w:before="0" w:after="0"/>
        <w:ind w:left="0" w:right="0" w:hanging="0"/>
        <w:jc w:val="both"/>
        <w:rPr>
          <w:rFonts w:ascii="Times New Roman;serif" w:hAnsi="Times New Roman;serif"/>
          <w:sz w:val="20"/>
        </w:rPr>
      </w:pPr>
      <w:r>
        <w:rPr>
          <w:rFonts w:ascii="Times New Roman;serif" w:hAnsi="Times New Roman;serif"/>
          <w:sz w:val="20"/>
        </w:rPr>
        <w:t>As of June 30, 2026, restricted cash consisted of proceeds of the Loan Agreement entered into with First Finance on June 30, 2026. Under the terms of the Loan Agreement, disbursement of the loan proceeds is subject to review and approval by the lender. See Note 4 — Notes Payable.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101" w:name="PageBreakNo8"/>
            <w:bookmarkEnd w:id="101"/>
            <w:r>
              <w:rPr>
                <w:sz w:val="20"/>
              </w:rPr>
              <w:t>8</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center"/>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uto" w:line="288" w:before="0" w:after="0"/>
        <w:ind w:left="0" w:right="0" w:hanging="0"/>
        <w:jc w:val="both"/>
        <w:rPr>
          <w:rFonts w:ascii="times new roman;times" w:hAnsi="times new roman;times"/>
          <w:b w:val="false"/>
          <w:i/>
          <w:color w:val="000000"/>
          <w:spacing w:val="0"/>
          <w:sz w:val="20"/>
        </w:rPr>
      </w:pPr>
      <w:r>
        <w:rPr>
          <w:rFonts w:ascii="times new roman;times" w:hAnsi="times new roman;times"/>
          <w:b w:val="false"/>
          <w:i/>
          <w:color w:val="000000"/>
          <w:spacing w:val="0"/>
          <w:sz w:val="20"/>
        </w:rPr>
        <w:t>Product Warranties</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 xml:space="preserve">The Company provides assurance-type warranties on previously sold products and records a liability for the estimated cost to repair or replace products under warranty at the time of sale in accordance with ASC </w:t>
      </w:r>
      <w:bookmarkStart w:id="102" w:name="fs_4ZCM3TZYTC00000000000000000000fs"/>
      <w:bookmarkEnd w:id="102"/>
      <w:r>
        <w:rPr>
          <w:rFonts w:ascii="times new roman;times" w:hAnsi="times new roman;times"/>
          <w:b w:val="false"/>
          <w:color w:val="000000"/>
          <w:spacing w:val="0"/>
          <w:sz w:val="20"/>
        </w:rPr>
        <w:t>460. The liability is based on historical claim experience, the nature of the underlying products, current information on repair costs and expected failure rates. The Company reviews warranty estimates each period and records adjustments to the liability when facts and circumstances indicate changes in expected claims or costs.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Significant Accounting Policies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The significant accounting policies were described in Note </w:t>
      </w:r>
      <w:bookmarkStart w:id="103" w:name="fs_DB0510MHYO00000000000000000000fs"/>
      <w:bookmarkEnd w:id="103"/>
      <w:r>
        <w:rPr>
          <w:rFonts w:ascii="Times New Roman" w:hAnsi="Times New Roman"/>
          <w:sz w:val="20"/>
        </w:rPr>
        <w:t xml:space="preserve">1 to the audited consolidated financial statements included in the Company’s annual report on Form 10-K for the year ended </w:t>
      </w:r>
      <w:bookmarkStart w:id="104" w:name="fs_BZLMTPSKCG00000000000000000000FM"/>
      <w:bookmarkEnd w:id="104"/>
      <w:r>
        <w:rPr>
          <w:rFonts w:ascii="Times New Roman" w:hAnsi="Times New Roman"/>
          <w:sz w:val="20"/>
        </w:rPr>
        <w:t>December 31, 2025. There have been no changes to these policies during the quarter ended </w:t>
      </w:r>
      <w:bookmarkStart w:id="105" w:name="fs_7AIKCCPYOW00000000000000000000FM"/>
      <w:bookmarkEnd w:id="105"/>
      <w:r>
        <w:rPr>
          <w:rFonts w:ascii="Times New Roman" w:hAnsi="Times New Roman"/>
          <w:sz w:val="20"/>
        </w:rPr>
        <w:t xml:space="preserve">June 30, 2026 that are of significance or potential significance to the Company, other than presentation of discontinued operations as described above and in Note </w:t>
      </w:r>
      <w:bookmarkStart w:id="106" w:name="fs_VH09IXNLPS00000000000000000000fs"/>
      <w:bookmarkEnd w:id="106"/>
      <w:r>
        <w:rPr>
          <w:rFonts w:ascii="Times New Roman" w:hAnsi="Times New Roman"/>
          <w:sz w:val="20"/>
        </w:rPr>
        <w:t xml:space="preserve">2, </w:t>
      </w:r>
      <w:r>
        <w:rPr>
          <w:rFonts w:ascii="Times New Roman;serif" w:hAnsi="Times New Roman;serif"/>
          <w:sz w:val="20"/>
        </w:rPr>
        <w:t>and the addition of the Company's accounting for the related party note payable described in Note 4, which is recorded at amortized cost with interest expense recognized as incurred</w:t>
      </w:r>
      <w:r>
        <w:rPr>
          <w:rFonts w:ascii="Times New Roman" w:hAnsi="Times New Roman"/>
          <w:sz w:val="2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 w:hAnsi="Times New Roman"/>
          <w:b/>
          <w:i/>
          <w:sz w:val="20"/>
        </w:rPr>
      </w:pPr>
      <w:r>
        <w:rPr>
          <w:rFonts w:ascii="Times New Roman" w:hAnsi="Times New Roman"/>
          <w:b/>
          <w:i/>
          <w:sz w:val="20"/>
        </w:rPr>
        <w:t>Recent Accounting Pronouncements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i/>
          <w:color w:val="000000"/>
          <w:sz w:val="20"/>
        </w:rPr>
      </w:pPr>
      <w:r>
        <w:rPr>
          <w:rFonts w:ascii="times new roman;times" w:hAnsi="times new roman;times"/>
          <w:i/>
          <w:color w:val="000000"/>
          <w:sz w:val="20"/>
        </w:rPr>
        <w:t xml:space="preserve">ASU </w:t>
      </w:r>
      <w:bookmarkStart w:id="107" w:name="fs_4FIX5VYOUO00000000000000000000fs"/>
      <w:bookmarkEnd w:id="107"/>
      <w:r>
        <w:rPr>
          <w:rFonts w:ascii="times new roman;times" w:hAnsi="times new roman;times"/>
          <w:i/>
          <w:color w:val="000000"/>
          <w:sz w:val="20"/>
        </w:rPr>
        <w:t>2024-</w:t>
      </w:r>
      <w:bookmarkStart w:id="108" w:name="fs_S5MYQA81S000000000000000000000fs"/>
      <w:bookmarkEnd w:id="108"/>
      <w:r>
        <w:rPr>
          <w:rFonts w:ascii="times new roman;times" w:hAnsi="times new roman;times"/>
          <w:i/>
          <w:color w:val="000000"/>
          <w:sz w:val="20"/>
        </w:rPr>
        <w:t xml:space="preserve">03, Income Statement—Reporting Comprehensive Income (Topic </w:t>
      </w:r>
      <w:bookmarkStart w:id="109" w:name="fs_NKPS31OKQO00000000000000000000fs"/>
      <w:bookmarkEnd w:id="109"/>
      <w:r>
        <w:rPr>
          <w:rFonts w:ascii="times new roman;times" w:hAnsi="times new roman;times"/>
          <w:i/>
          <w:color w:val="000000"/>
          <w:sz w:val="20"/>
        </w:rPr>
        <w:t>220): Disaggregation of Income Statement Expenses</w:t>
      </w:r>
    </w:p>
    <w:p>
      <w:pPr>
        <w:pStyle w:val="TextBody"/>
        <w:bidi w:val="0"/>
        <w:spacing w:lineRule="auto" w:line="288" w:before="0" w:after="0"/>
        <w:ind w:left="0" w:right="0" w:hanging="0"/>
        <w:jc w:val="both"/>
        <w:rPr/>
      </w:pPr>
      <w:r>
        <w:rPr/>
      </w:r>
    </w:p>
    <w:p>
      <w:pPr>
        <w:pStyle w:val="TextBody"/>
        <w:bidi w:val="0"/>
        <w:spacing w:lineRule="atLeast" w:line="240" w:before="0" w:after="0"/>
        <w:ind w:left="0" w:right="0" w:hanging="0"/>
        <w:jc w:val="both"/>
        <w:rPr>
          <w:rFonts w:ascii="Times New Roman;serif" w:hAnsi="Times New Roman;serif"/>
          <w:sz w:val="20"/>
        </w:rPr>
      </w:pPr>
      <w:r>
        <w:rPr>
          <w:rFonts w:ascii="Times New Roman;serif" w:hAnsi="Times New Roman;serif"/>
          <w:sz w:val="20"/>
        </w:rPr>
        <w:t xml:space="preserve">In November 2024, the FASB issued ASU No. 2024-03, </w:t>
      </w:r>
      <w:r>
        <w:rPr>
          <w:rFonts w:ascii="Times New Roman;serif" w:hAnsi="Times New Roman;serif"/>
          <w:i/>
          <w:sz w:val="20"/>
        </w:rPr>
        <w:t>Income Statement—Reporting Comprehensive Income (Topic 220): Disaggregation of Income Statement Expenses</w:t>
      </w:r>
      <w:r>
        <w:rPr>
          <w:rFonts w:ascii="Times New Roman;serif" w:hAnsi="Times New Roman;serif"/>
          <w:sz w:val="20"/>
        </w:rPr>
        <w:t>, which requires disaggregated disclosure of specified natural expense categories underlying certain income statement expense captions. The standard is effective for annual periods beginning after December 15, 2026 and interim periods beginning after December 15, 2027, with early adoption permitted, and may be applied prospectively or retrospectively. The Company is evaluating the impact of the standard and does not expect adoption to have a material effect on its financial position or results of operations.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 has determined that recently issued accounting standards, other than the above discussed, will not have a material impact on its consolidated financial position, results of operations or cash flows.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2. </w:t>
      </w:r>
      <w:r>
        <w:rPr>
          <w:rFonts w:ascii="times new roman;times" w:hAnsi="times new roman;times"/>
          <w:b/>
          <w:sz w:val="20"/>
        </w:rPr>
        <w:t>Discontinued</w:t>
      </w:r>
      <w:r>
        <w:rPr>
          <w:rFonts w:ascii="Times New Roman;serif" w:hAnsi="Times New Roman;serif"/>
          <w:b/>
          <w:sz w:val="20"/>
        </w:rPr>
        <w:t xml:space="preserve"> </w:t>
      </w:r>
      <w:r>
        <w:rPr>
          <w:rFonts w:ascii="times new roman;times" w:hAnsi="times new roman;times"/>
          <w:b/>
          <w:sz w:val="20"/>
        </w:rPr>
        <w:t>Operations and Assets Held for Sale</w:t>
      </w:r>
      <w:r>
        <w:rPr>
          <w:rFonts w:ascii="Times New Roman" w:hAnsi="Times New Roman"/>
          <w:b/>
          <w:sz w:val="20"/>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On October 24, 2025, the Company completed the </w:t>
      </w:r>
      <w:r>
        <w:rPr>
          <w:rFonts w:ascii="Times New Roman;serif" w:hAnsi="Times New Roman;serif"/>
          <w:sz w:val="20"/>
        </w:rPr>
        <w:t>Asset Sale</w:t>
      </w:r>
      <w:r>
        <w:rPr>
          <w:rFonts w:ascii="times new roman;times" w:hAnsi="times new roman;times"/>
          <w:sz w:val="20"/>
        </w:rPr>
        <w:t>. The transaction represented a strategic shift that had  a major effect on the </w:t>
      </w:r>
      <w:r>
        <w:rPr>
          <w:rFonts w:ascii="Times New Roman;serif" w:hAnsi="Times New Roman;serif"/>
          <w:sz w:val="20"/>
        </w:rPr>
        <w:t>Company's</w:t>
      </w:r>
      <w:r>
        <w:rPr>
          <w:rFonts w:ascii="times new roman;times" w:hAnsi="times new roman;times"/>
          <w:sz w:val="20"/>
        </w:rPr>
        <w:t xml:space="preserve"> operations and financial results. Accordingly, the results of the disposed component are presented as discontinued operations in the accompanying condensed consolidated statements of operations and cash flows for all periods presented, in accordance with ASC </w:t>
      </w:r>
      <w:bookmarkStart w:id="110" w:name="fs_HVF3X6FN0W00000000000000000000fs"/>
      <w:bookmarkEnd w:id="110"/>
      <w:r>
        <w:rPr>
          <w:rFonts w:ascii="times new roman;times" w:hAnsi="times new roman;times"/>
          <w:sz w:val="20"/>
        </w:rPr>
        <w:t>205-</w:t>
      </w:r>
      <w:bookmarkStart w:id="111" w:name="fs_PECVIA2DTC00000000000000000000fs"/>
      <w:bookmarkEnd w:id="111"/>
      <w:r>
        <w:rPr>
          <w:rFonts w:ascii="times new roman;times" w:hAnsi="times new roman;times"/>
          <w:sz w:val="20"/>
        </w:rPr>
        <w:t>20.</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disposal of the product business was completed prior to December 31, 2025, and the Company generated no revenue from discontinued operations in the three or six months ended June 30, 2026. Product returns and related credits are reflected within cost of goods sold. The amounts reported within discontinued operations in the 2026 periods relate to the settlement and wind-down of the previously disposed business rather than to any continuing activity, and consist principally of (i) a benefit from the release of liabilities for uncertain tax positions upon the lapse of statutes of limitations, (ii) product warranty and returns cost adjustments, and (iii) costs associated with the wind-down of the Company’s former foreign subsidiaries. These amounts are presented as adjustments to amounts previously reported in discontinued operations in accordance with ASC 205-20-45-4. Residual assets and liabilities of the disposed component remain on the condensed consolidated balance sheets and are presented separately as assets and liabilities related to discontinued operations pending final collection and settlement. </w:t>
      </w:r>
    </w:p>
    <w:p>
      <w:pPr>
        <w:pStyle w:val="TextBody"/>
        <w:bidi w:val="0"/>
        <w:spacing w:lineRule="auto" w:line="288" w:before="0" w:after="0"/>
        <w:ind w:left="0" w:right="0" w:hanging="0"/>
        <w:jc w:val="both"/>
        <w:rPr/>
      </w:pPr>
      <w:r>
        <w:rPr/>
      </w:r>
    </w:p>
    <w:tbl>
      <w:tblPr>
        <w:tblW w:w="271" w:type="dxa"/>
        <w:jc w:val="left"/>
        <w:tblInd w:w="0" w:type="dxa"/>
        <w:tblLayout w:type="fixed"/>
        <w:tblCellMar>
          <w:top w:w="0" w:type="dxa"/>
          <w:left w:w="0" w:type="dxa"/>
          <w:bottom w:w="0" w:type="dxa"/>
          <w:right w:w="0" w:type="dxa"/>
        </w:tblCellMar>
      </w:tblPr>
      <w:tblGrid>
        <w:gridCol w:w="271"/>
      </w:tblGrid>
      <w:tr>
        <w:trPr/>
        <w:tc>
          <w:tcPr>
            <w:tcW w:w="271" w:type="dxa"/>
            <w:tcBorders/>
            <w:vAlign w:val="center"/>
          </w:tcPr>
          <w:p>
            <w:pPr>
              <w:pStyle w:val="TableContents"/>
              <w:bidi w:val="0"/>
              <w:spacing w:before="0" w:after="283"/>
              <w:jc w:val="center"/>
              <w:rPr>
                <w:sz w:val="20"/>
              </w:rPr>
            </w:pPr>
            <w:bookmarkStart w:id="112" w:name="PageBreakNo9"/>
            <w:bookmarkEnd w:id="112"/>
            <w:r>
              <w:rPr>
                <w:sz w:val="20"/>
              </w:rPr>
              <w:t>9</w:t>
            </w:r>
          </w:p>
        </w:tc>
      </w:tr>
    </w:tbl>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144" w:right="144" w:hanging="0"/>
        <w:jc w:val="center"/>
        <w:rPr/>
      </w:pPr>
      <w:r>
        <w:rPr/>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both"/>
        <w:rPr/>
      </w:pPr>
      <w:r>
        <w:rPr/>
      </w:r>
    </w:p>
    <w:p>
      <w:pPr>
        <w:pStyle w:val="TextBody"/>
        <w:bidi w:val="0"/>
        <w:spacing w:lineRule="atLeast" w:line="240" w:before="0" w:after="0"/>
        <w:ind w:left="0" w:right="0" w:hanging="0"/>
        <w:jc w:val="both"/>
        <w:rPr>
          <w:rFonts w:ascii="times new roman;times" w:hAnsi="times new roman;times"/>
          <w:sz w:val="20"/>
        </w:rPr>
      </w:pPr>
      <w:r>
        <w:rPr>
          <w:rFonts w:ascii="times new roman;times" w:hAnsi="times new roman;times"/>
          <w:sz w:val="20"/>
        </w:rPr>
        <w:t>The Company continues to fulfill limited warranty and technical support obligations for legacy products sold prior to the Asset Sale. Those activities, together with residual collections, are reflected in continuing operations. Settlements of liabilities of the disposed component are reflected within discontinued operations.</w:t>
      </w:r>
    </w:p>
    <w:p>
      <w:pPr>
        <w:pStyle w:val="TextBody"/>
        <w:bidi w:val="0"/>
        <w:spacing w:lineRule="atLeast" w:line="240"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tLeast" w:line="240" w:before="0" w:after="0"/>
        <w:ind w:left="0" w:right="0" w:hanging="0"/>
        <w:jc w:val="both"/>
        <w:rPr>
          <w:rFonts w:ascii="times new roman;times" w:hAnsi="times new roman;times"/>
          <w:sz w:val="20"/>
        </w:rPr>
      </w:pPr>
      <w:r>
        <w:rPr>
          <w:rFonts w:ascii="times new roman;times" w:hAnsi="times new roman;times"/>
          <w:sz w:val="20"/>
        </w:rPr>
        <w:t xml:space="preserve">Cash flows of discontinued operations were as follows: net cash (used in) provided by operating activities of $(860) and $4,484, and net cash used in investing activities of $0 and $(21), for the six months ended June 30, 2026 and 2025, respectively. </w:t>
      </w:r>
    </w:p>
    <w:p>
      <w:pPr>
        <w:pStyle w:val="TextBody"/>
        <w:bidi w:val="0"/>
        <w:spacing w:lineRule="atLeast" w:line="240" w:before="200" w:after="200"/>
        <w:ind w:left="0" w:right="0" w:hanging="0"/>
        <w:jc w:val="both"/>
        <w:rPr>
          <w:rFonts w:ascii="times new roman;times" w:hAnsi="times new roman;times"/>
          <w:sz w:val="20"/>
        </w:rPr>
      </w:pPr>
      <w:r>
        <w:rPr>
          <w:rFonts w:ascii="times new roman;times" w:hAnsi="times new roman;times"/>
          <w:sz w:val="20"/>
        </w:rPr>
        <w:t xml:space="preserve">For a full description of the Asset Sale, including the Strategic Plan approved by the Board in September 2025, and the classification of assets and liabilities as held for sale, see Note </w:t>
      </w:r>
      <w:bookmarkStart w:id="113" w:name="fs_SYWRHCDAV400000000000000000000fs"/>
      <w:bookmarkEnd w:id="113"/>
      <w:r>
        <w:rPr>
          <w:rFonts w:ascii="times new roman;times" w:hAnsi="times new roman;times"/>
          <w:sz w:val="20"/>
        </w:rPr>
        <w:t>2 to the Company's Annual Report on Form 10-K for the year ended December 31, 2025.</w:t>
      </w:r>
    </w:p>
    <w:p>
      <w:pPr>
        <w:pStyle w:val="TextBody"/>
        <w:bidi w:val="0"/>
        <w:spacing w:before="0" w:after="0"/>
        <w:jc w:val="left"/>
        <w:rPr>
          <w:rFonts w:ascii="times new roman;times" w:hAnsi="times new roman;times"/>
          <w:sz w:val="20"/>
        </w:rPr>
      </w:pPr>
      <w:r>
        <w:rPr>
          <w:rFonts w:ascii="times new roman;times" w:hAnsi="times new roman;times"/>
          <w:sz w:val="20"/>
        </w:rPr>
        <w:t xml:space="preserve">Major line items of results of discontinued operations (unaudited): </w:t>
      </w: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082"/>
        <w:gridCol w:w="60"/>
        <w:gridCol w:w="125"/>
        <w:gridCol w:w="881"/>
        <w:gridCol w:w="159"/>
        <w:gridCol w:w="46"/>
        <w:gridCol w:w="250"/>
        <w:gridCol w:w="1092"/>
        <w:gridCol w:w="80"/>
        <w:gridCol w:w="23"/>
        <w:gridCol w:w="125"/>
        <w:gridCol w:w="797"/>
        <w:gridCol w:w="143"/>
        <w:gridCol w:w="41"/>
        <w:gridCol w:w="226"/>
        <w:gridCol w:w="988"/>
        <w:gridCol w:w="87"/>
      </w:tblGrid>
      <w:tr>
        <w:trPr/>
        <w:tc>
          <w:tcPr>
            <w:tcW w:w="5082"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60"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25" w:type="dxa"/>
            <w:tcBorders/>
            <w:vAlign w:val="bottom"/>
          </w:tcPr>
          <w:p>
            <w:pPr>
              <w:pStyle w:val="TableContents"/>
              <w:bidi w:val="0"/>
              <w:spacing w:before="0" w:after="283"/>
              <w:jc w:val="left"/>
              <w:rPr/>
            </w:pPr>
            <w:r>
              <w:rPr/>
            </w:r>
          </w:p>
        </w:tc>
        <w:tc>
          <w:tcPr>
            <w:tcW w:w="2428" w:type="dxa"/>
            <w:gridSpan w:val="5"/>
            <w:tcBorders/>
            <w:vAlign w:val="bottom"/>
          </w:tcPr>
          <w:p>
            <w:pPr>
              <w:pStyle w:val="TableContents"/>
              <w:bidi w:val="0"/>
              <w:spacing w:before="0" w:after="283"/>
              <w:jc w:val="center"/>
              <w:rPr>
                <w:rFonts w:ascii="times new roman;times" w:hAnsi="times new roman;times"/>
                <w:b/>
                <w:strike w:val="false"/>
                <w:dstrike w:val="false"/>
                <w:color w:val="000000"/>
                <w:sz w:val="20"/>
                <w:u w:val="none"/>
                <w:effect w:val="none"/>
              </w:rPr>
            </w:pPr>
            <w:bookmarkStart w:id="114" w:name="fs_YA36JZV3K000000000000000000000FM"/>
            <w:bookmarkEnd w:id="114"/>
            <w:r>
              <w:rPr>
                <w:rFonts w:ascii="times new roman;times" w:hAnsi="times new roman;times"/>
                <w:b/>
                <w:strike w:val="false"/>
                <w:dstrike w:val="false"/>
                <w:color w:val="000000"/>
                <w:sz w:val="20"/>
                <w:u w:val="none"/>
                <w:effect w:val="none"/>
              </w:rPr>
              <w:t>Three months ended June 30,</w:t>
            </w:r>
          </w:p>
        </w:tc>
        <w:tc>
          <w:tcPr>
            <w:tcW w:w="80"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2195" w:type="dxa"/>
            <w:gridSpan w:val="5"/>
            <w:tcBorders/>
            <w:vAlign w:val="bottom"/>
          </w:tcPr>
          <w:p>
            <w:pPr>
              <w:pStyle w:val="TableContents"/>
              <w:widowControl/>
              <w:bidi w:val="0"/>
              <w:spacing w:before="0" w:after="283"/>
              <w:ind w:left="0" w:right="0" w:hanging="0"/>
              <w:jc w:val="center"/>
              <w:rPr>
                <w:rFonts w:ascii="times new roman;times" w:hAnsi="times new roman;times"/>
                <w:b/>
                <w:i w:val="false"/>
                <w:caps w:val="false"/>
                <w:smallCaps w:val="false"/>
                <w:strike w:val="false"/>
                <w:dstrike w:val="false"/>
                <w:color w:val="000000"/>
                <w:spacing w:val="0"/>
                <w:sz w:val="20"/>
                <w:u w:val="none"/>
                <w:effect w:val="none"/>
              </w:rPr>
            </w:pPr>
            <w:bookmarkStart w:id="115" w:name="fs_HY2B2SX01C00000000000000000000FM"/>
            <w:bookmarkEnd w:id="115"/>
            <w:r>
              <w:rPr>
                <w:rFonts w:ascii="times new roman;times" w:hAnsi="times new roman;times"/>
                <w:b/>
                <w:i w:val="false"/>
                <w:caps w:val="false"/>
                <w:smallCaps w:val="false"/>
                <w:strike w:val="false"/>
                <w:dstrike w:val="false"/>
                <w:color w:val="000000"/>
                <w:spacing w:val="0"/>
                <w:sz w:val="20"/>
                <w:u w:val="none"/>
                <w:effect w:val="none"/>
              </w:rPr>
              <w:t>Six months ended June 30,</w:t>
            </w:r>
          </w:p>
        </w:tc>
        <w:tc>
          <w:tcPr>
            <w:tcW w:w="87" w:type="dxa"/>
            <w:tcBorders/>
            <w:vAlign w:val="bottom"/>
          </w:tcPr>
          <w:p>
            <w:pPr>
              <w:pStyle w:val="TableContents"/>
              <w:bidi w:val="0"/>
              <w:spacing w:before="0" w:after="283"/>
              <w:jc w:val="left"/>
              <w:rPr/>
            </w:pPr>
            <w:r>
              <w:rPr/>
            </w:r>
          </w:p>
        </w:tc>
      </w:tr>
      <w:tr>
        <w:trPr/>
        <w:tc>
          <w:tcPr>
            <w:tcW w:w="5082"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60"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25" w:type="dxa"/>
            <w:tcBorders/>
            <w:vAlign w:val="bottom"/>
          </w:tcPr>
          <w:p>
            <w:pPr>
              <w:pStyle w:val="TableContents"/>
              <w:bidi w:val="0"/>
              <w:spacing w:before="0" w:after="283"/>
              <w:jc w:val="left"/>
              <w:rPr/>
            </w:pPr>
            <w:r>
              <w:rPr/>
            </w:r>
          </w:p>
        </w:tc>
        <w:tc>
          <w:tcPr>
            <w:tcW w:w="881" w:type="dxa"/>
            <w:tcBorders/>
            <w:vAlign w:val="bottom"/>
          </w:tcPr>
          <w:p>
            <w:pPr>
              <w:pStyle w:val="TableContents"/>
              <w:bidi w:val="0"/>
              <w:spacing w:before="0" w:after="283"/>
              <w:jc w:val="center"/>
              <w:rPr>
                <w:rFonts w:ascii="times new roman;times" w:hAnsi="times new roman;times"/>
                <w:b/>
                <w:strike w:val="false"/>
                <w:dstrike w:val="false"/>
                <w:color w:val="000000"/>
                <w:sz w:val="20"/>
                <w:u w:val="none"/>
                <w:effect w:val="none"/>
              </w:rPr>
            </w:pPr>
            <w:bookmarkStart w:id="116" w:name="fs_ZQIY0H76HC00000000000000000000fs"/>
            <w:bookmarkEnd w:id="116"/>
            <w:r>
              <w:rPr>
                <w:rFonts w:ascii="times new roman;times" w:hAnsi="times new roman;times"/>
                <w:b/>
                <w:strike w:val="false"/>
                <w:dstrike w:val="false"/>
                <w:color w:val="000000"/>
                <w:sz w:val="20"/>
                <w:u w:val="none"/>
                <w:effect w:val="none"/>
              </w:rPr>
              <w:t>2026</w:t>
            </w:r>
          </w:p>
        </w:tc>
        <w:tc>
          <w:tcPr>
            <w:tcW w:w="159" w:type="dxa"/>
            <w:tcBorders/>
            <w:vAlign w:val="bottom"/>
          </w:tcPr>
          <w:p>
            <w:pPr>
              <w:pStyle w:val="TableContents"/>
              <w:bidi w:val="0"/>
              <w:spacing w:before="0" w:after="283"/>
              <w:jc w:val="left"/>
              <w:rPr/>
            </w:pPr>
            <w:r>
              <w:rPr/>
            </w:r>
          </w:p>
        </w:tc>
        <w:tc>
          <w:tcPr>
            <w:tcW w:w="46" w:type="dxa"/>
            <w:tcBorders/>
            <w:vAlign w:val="bottom"/>
          </w:tcPr>
          <w:p>
            <w:pPr>
              <w:pStyle w:val="TableContents"/>
              <w:bidi w:val="0"/>
              <w:spacing w:before="0" w:after="283"/>
              <w:jc w:val="left"/>
              <w:rPr/>
            </w:pPr>
            <w:r>
              <w:rPr/>
            </w:r>
          </w:p>
        </w:tc>
        <w:tc>
          <w:tcPr>
            <w:tcW w:w="250" w:type="dxa"/>
            <w:tcBorders/>
            <w:vAlign w:val="bottom"/>
          </w:tcPr>
          <w:p>
            <w:pPr>
              <w:pStyle w:val="TableContents"/>
              <w:bidi w:val="0"/>
              <w:spacing w:before="0" w:after="283"/>
              <w:jc w:val="left"/>
              <w:rPr/>
            </w:pPr>
            <w:r>
              <w:rPr/>
            </w:r>
          </w:p>
        </w:tc>
        <w:tc>
          <w:tcPr>
            <w:tcW w:w="1092" w:type="dxa"/>
            <w:tcBorders/>
            <w:vAlign w:val="bottom"/>
          </w:tcPr>
          <w:p>
            <w:pPr>
              <w:pStyle w:val="TableContents"/>
              <w:bidi w:val="0"/>
              <w:spacing w:before="0" w:after="283"/>
              <w:jc w:val="center"/>
              <w:rPr>
                <w:rFonts w:ascii="times new roman;times" w:hAnsi="times new roman;times"/>
                <w:b/>
                <w:strike w:val="false"/>
                <w:dstrike w:val="false"/>
                <w:color w:val="000000"/>
                <w:sz w:val="20"/>
                <w:u w:val="none"/>
                <w:effect w:val="none"/>
              </w:rPr>
            </w:pPr>
            <w:bookmarkStart w:id="117" w:name="fs_YBHN7EKMUO00000000000000000000fs"/>
            <w:bookmarkEnd w:id="117"/>
            <w:r>
              <w:rPr>
                <w:rFonts w:ascii="times new roman;times" w:hAnsi="times new roman;times"/>
                <w:b/>
                <w:strike w:val="false"/>
                <w:dstrike w:val="false"/>
                <w:color w:val="000000"/>
                <w:sz w:val="20"/>
                <w:u w:val="none"/>
                <w:effect w:val="none"/>
              </w:rPr>
              <w:t>2025</w:t>
            </w:r>
          </w:p>
        </w:tc>
        <w:tc>
          <w:tcPr>
            <w:tcW w:w="80"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797" w:type="dxa"/>
            <w:tcBorders/>
            <w:vAlign w:val="bottom"/>
          </w:tcPr>
          <w:p>
            <w:pPr>
              <w:pStyle w:val="TableContents"/>
              <w:bidi w:val="0"/>
              <w:spacing w:before="0" w:after="283"/>
              <w:jc w:val="center"/>
              <w:rPr>
                <w:rFonts w:ascii="times new roman;times" w:hAnsi="times new roman;times"/>
                <w:b/>
                <w:strike w:val="false"/>
                <w:dstrike w:val="false"/>
                <w:color w:val="000000"/>
                <w:sz w:val="20"/>
                <w:u w:val="none"/>
                <w:effect w:val="none"/>
              </w:rPr>
            </w:pPr>
            <w:r>
              <w:rPr>
                <w:rFonts w:ascii="times new roman;times" w:hAnsi="times new roman;times"/>
                <w:b/>
                <w:strike w:val="false"/>
                <w:dstrike w:val="false"/>
                <w:color w:val="000000"/>
                <w:sz w:val="20"/>
                <w:u w:val="none"/>
                <w:effect w:val="none"/>
              </w:rPr>
              <w:t>2026</w:t>
            </w:r>
          </w:p>
        </w:tc>
        <w:tc>
          <w:tcPr>
            <w:tcW w:w="143" w:type="dxa"/>
            <w:tcBorders/>
            <w:vAlign w:val="bottom"/>
          </w:tcPr>
          <w:p>
            <w:pPr>
              <w:pStyle w:val="TableContents"/>
              <w:bidi w:val="0"/>
              <w:spacing w:before="0" w:after="283"/>
              <w:jc w:val="left"/>
              <w:rPr/>
            </w:pPr>
            <w:r>
              <w:rPr/>
            </w:r>
          </w:p>
        </w:tc>
        <w:tc>
          <w:tcPr>
            <w:tcW w:w="41" w:type="dxa"/>
            <w:tcBorders/>
            <w:vAlign w:val="bottom"/>
          </w:tcPr>
          <w:p>
            <w:pPr>
              <w:pStyle w:val="TableContents"/>
              <w:bidi w:val="0"/>
              <w:spacing w:before="0" w:after="283"/>
              <w:jc w:val="left"/>
              <w:rPr/>
            </w:pPr>
            <w:r>
              <w:rPr/>
            </w:r>
          </w:p>
        </w:tc>
        <w:tc>
          <w:tcPr>
            <w:tcW w:w="226" w:type="dxa"/>
            <w:tcBorders/>
            <w:vAlign w:val="bottom"/>
          </w:tcPr>
          <w:p>
            <w:pPr>
              <w:pStyle w:val="TableContents"/>
              <w:bidi w:val="0"/>
              <w:spacing w:before="0" w:after="283"/>
              <w:jc w:val="left"/>
              <w:rPr/>
            </w:pPr>
            <w:r>
              <w:rPr/>
            </w:r>
          </w:p>
        </w:tc>
        <w:tc>
          <w:tcPr>
            <w:tcW w:w="988" w:type="dxa"/>
            <w:tcBorders/>
            <w:vAlign w:val="bottom"/>
          </w:tcPr>
          <w:p>
            <w:pPr>
              <w:pStyle w:val="TableContents"/>
              <w:bidi w:val="0"/>
              <w:spacing w:before="0" w:after="283"/>
              <w:jc w:val="center"/>
              <w:rPr>
                <w:rFonts w:ascii="times new roman;times" w:hAnsi="times new roman;times"/>
                <w:b/>
                <w:strike w:val="false"/>
                <w:dstrike w:val="false"/>
                <w:color w:val="000000"/>
                <w:sz w:val="20"/>
                <w:u w:val="none"/>
                <w:effect w:val="none"/>
              </w:rPr>
            </w:pPr>
            <w:r>
              <w:rPr>
                <w:rFonts w:ascii="times new roman;times" w:hAnsi="times new roman;times"/>
                <w:b/>
                <w:strike w:val="false"/>
                <w:dstrike w:val="false"/>
                <w:color w:val="000000"/>
                <w:sz w:val="20"/>
                <w:u w:val="none"/>
                <w:effect w:val="none"/>
              </w:rPr>
              <w:t>2025</w:t>
            </w:r>
          </w:p>
        </w:tc>
        <w:tc>
          <w:tcPr>
            <w:tcW w:w="87" w:type="dxa"/>
            <w:tcBorders/>
            <w:vAlign w:val="bottom"/>
          </w:tcPr>
          <w:p>
            <w:pPr>
              <w:pStyle w:val="TableContents"/>
              <w:bidi w:val="0"/>
              <w:spacing w:before="0" w:after="283"/>
              <w:jc w:val="left"/>
              <w:rPr/>
            </w:pPr>
            <w:r>
              <w:rPr/>
            </w:r>
          </w:p>
        </w:tc>
      </w:tr>
      <w:tr>
        <w:trPr/>
        <w:tc>
          <w:tcPr>
            <w:tcW w:w="5082" w:type="dxa"/>
            <w:tcBorders/>
            <w:shd w:fill="CCEEFF" w:val="clear"/>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Revenue</w:t>
            </w:r>
          </w:p>
        </w:tc>
        <w:tc>
          <w:tcPr>
            <w:tcW w:w="60" w:type="dxa"/>
            <w:tcBorders/>
            <w:shd w:fill="CCEEFF" w:val="clear"/>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25" w:type="dxa"/>
            <w:tcBorders/>
            <w:shd w:fill="CCEEFF" w:val="clear"/>
            <w:vAlign w:val="bottom"/>
          </w:tcPr>
          <w:p>
            <w:pPr>
              <w:pStyle w:val="TableContents"/>
              <w:bidi w:val="0"/>
              <w:spacing w:before="0" w:after="283"/>
              <w:jc w:val="lef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c>
          <w:tcPr>
            <w:tcW w:w="881" w:type="dxa"/>
            <w:tcBorders/>
            <w:shd w:fill="CCEEFF" w:val="clear"/>
            <w:vAlign w:val="bottom"/>
          </w:tcPr>
          <w:p>
            <w:pPr>
              <w:pStyle w:val="TableContents"/>
              <w:bidi w:val="0"/>
              <w:spacing w:before="0" w:after="283"/>
              <w:jc w:val="right"/>
              <w:rPr>
                <w:strike w:val="false"/>
                <w:dstrike w:val="false"/>
                <w:color w:val="000000"/>
                <w:u w:val="none"/>
                <w:effect w:val="none"/>
              </w:rPr>
            </w:pPr>
            <w:r>
              <w:rPr>
                <w:strike w:val="false"/>
                <w:dstrike w:val="false"/>
                <w:color w:val="000000"/>
                <w:u w:val="none"/>
                <w:effect w:val="none"/>
              </w:rPr>
              <w:t>—</w:t>
            </w:r>
          </w:p>
        </w:tc>
        <w:tc>
          <w:tcPr>
            <w:tcW w:w="159" w:type="dxa"/>
            <w:tcBorders/>
            <w:shd w:fill="CCEEFF" w:val="clear"/>
            <w:vAlign w:val="bottom"/>
          </w:tcPr>
          <w:p>
            <w:pPr>
              <w:pStyle w:val="TableContents"/>
              <w:bidi w:val="0"/>
              <w:spacing w:before="0" w:after="283"/>
              <w:jc w:val="left"/>
              <w:rPr/>
            </w:pPr>
            <w:r>
              <w:rPr/>
            </w:r>
          </w:p>
        </w:tc>
        <w:tc>
          <w:tcPr>
            <w:tcW w:w="46" w:type="dxa"/>
            <w:tcBorders/>
            <w:shd w:fill="CCEEFF" w:val="clear"/>
            <w:vAlign w:val="bottom"/>
          </w:tcPr>
          <w:p>
            <w:pPr>
              <w:pStyle w:val="TableContents"/>
              <w:bidi w:val="0"/>
              <w:spacing w:before="0" w:after="283"/>
              <w:jc w:val="left"/>
              <w:rPr/>
            </w:pPr>
            <w:r>
              <w:rPr/>
            </w:r>
          </w:p>
        </w:tc>
        <w:tc>
          <w:tcPr>
            <w:tcW w:w="250" w:type="dxa"/>
            <w:tcBorders/>
            <w:shd w:fill="CCEEFF" w:val="clear"/>
            <w:vAlign w:val="bottom"/>
          </w:tcPr>
          <w:p>
            <w:pPr>
              <w:pStyle w:val="TableContents"/>
              <w:bidi w:val="0"/>
              <w:spacing w:before="0" w:after="283"/>
              <w:jc w:val="lef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c>
          <w:tcPr>
            <w:tcW w:w="1092"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1,916</w:t>
            </w:r>
          </w:p>
        </w:tc>
        <w:tc>
          <w:tcPr>
            <w:tcW w:w="80"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25" w:type="dxa"/>
            <w:tcBorders/>
            <w:shd w:fill="CCEEFF" w:val="clear"/>
            <w:vAlign w:val="bottom"/>
          </w:tcPr>
          <w:p>
            <w:pPr>
              <w:pStyle w:val="TableContents"/>
              <w:widowControl/>
              <w:bidi w:val="0"/>
              <w:spacing w:before="0" w:after="283"/>
              <w:ind w:left="0" w:right="0" w:hanging="0"/>
              <w:jc w:val="left"/>
              <w:rPr>
                <w:rFonts w:ascii="times new roman;times" w:hAnsi="times new roman;times"/>
                <w:b w:val="false"/>
                <w:strike w:val="false"/>
                <w:dstrike w:val="false"/>
                <w:color w:val="000000"/>
                <w:spacing w:val="0"/>
                <w:sz w:val="20"/>
                <w:u w:val="none"/>
                <w:effect w:val="none"/>
              </w:rPr>
            </w:pPr>
            <w:r>
              <w:rPr>
                <w:rFonts w:ascii="times new roman;times" w:hAnsi="times new roman;times"/>
                <w:b w:val="false"/>
                <w:strike w:val="false"/>
                <w:dstrike w:val="false"/>
                <w:color w:val="000000"/>
                <w:spacing w:val="0"/>
                <w:sz w:val="20"/>
                <w:u w:val="none"/>
                <w:effect w:val="none"/>
              </w:rPr>
              <w:t>$</w:t>
            </w:r>
          </w:p>
        </w:tc>
        <w:tc>
          <w:tcPr>
            <w:tcW w:w="797" w:type="dxa"/>
            <w:tcBorders/>
            <w:shd w:fill="CCEEFF" w:val="clear"/>
            <w:vAlign w:val="bottom"/>
          </w:tcPr>
          <w:p>
            <w:pPr>
              <w:pStyle w:val="TableContents"/>
              <w:bidi w:val="0"/>
              <w:spacing w:before="0" w:after="283"/>
              <w:jc w:val="right"/>
              <w:rPr>
                <w:strike w:val="false"/>
                <w:dstrike w:val="false"/>
                <w:color w:val="000000"/>
                <w:u w:val="none"/>
                <w:effect w:val="none"/>
              </w:rPr>
            </w:pPr>
            <w:r>
              <w:rPr>
                <w:strike w:val="false"/>
                <w:dstrike w:val="false"/>
                <w:color w:val="000000"/>
                <w:u w:val="none"/>
                <w:effect w:val="none"/>
              </w:rPr>
              <w:t>—</w:t>
            </w:r>
          </w:p>
        </w:tc>
        <w:tc>
          <w:tcPr>
            <w:tcW w:w="143" w:type="dxa"/>
            <w:tcBorders/>
            <w:shd w:fill="CCEEFF" w:val="clear"/>
            <w:vAlign w:val="bottom"/>
          </w:tcPr>
          <w:p>
            <w:pPr>
              <w:pStyle w:val="TableContents"/>
              <w:bidi w:val="0"/>
              <w:spacing w:before="0" w:after="283"/>
              <w:jc w:val="left"/>
              <w:rPr/>
            </w:pPr>
            <w:r>
              <w:rPr/>
            </w:r>
          </w:p>
        </w:tc>
        <w:tc>
          <w:tcPr>
            <w:tcW w:w="41" w:type="dxa"/>
            <w:tcBorders/>
            <w:shd w:fill="CCEEFF" w:val="clear"/>
            <w:vAlign w:val="bottom"/>
          </w:tcPr>
          <w:p>
            <w:pPr>
              <w:pStyle w:val="TableContents"/>
              <w:bidi w:val="0"/>
              <w:spacing w:before="0" w:after="283"/>
              <w:jc w:val="left"/>
              <w:rPr/>
            </w:pPr>
            <w:r>
              <w:rPr/>
            </w:r>
          </w:p>
        </w:tc>
        <w:tc>
          <w:tcPr>
            <w:tcW w:w="226" w:type="dxa"/>
            <w:tcBorders/>
            <w:shd w:fill="CCEEFF" w:val="clear"/>
            <w:vAlign w:val="bottom"/>
          </w:tcPr>
          <w:p>
            <w:pPr>
              <w:pStyle w:val="TableContents"/>
              <w:widowControl/>
              <w:bidi w:val="0"/>
              <w:spacing w:before="0" w:after="283"/>
              <w:ind w:left="0" w:right="0" w:hanging="0"/>
              <w:jc w:val="left"/>
              <w:rPr>
                <w:rFonts w:ascii="times new roman;times" w:hAnsi="times new roman;times"/>
                <w:b w:val="false"/>
                <w:strike w:val="false"/>
                <w:dstrike w:val="false"/>
                <w:color w:val="000000"/>
                <w:spacing w:val="0"/>
                <w:sz w:val="20"/>
                <w:u w:val="none"/>
                <w:effect w:val="none"/>
              </w:rPr>
            </w:pPr>
            <w:r>
              <w:rPr>
                <w:rFonts w:ascii="times new roman;times" w:hAnsi="times new roman;times"/>
                <w:b w:val="false"/>
                <w:strike w:val="false"/>
                <w:dstrike w:val="false"/>
                <w:color w:val="000000"/>
                <w:spacing w:val="0"/>
                <w:sz w:val="20"/>
                <w:u w:val="none"/>
                <w:effect w:val="none"/>
              </w:rPr>
              <w:t>$</w:t>
            </w:r>
          </w:p>
        </w:tc>
        <w:tc>
          <w:tcPr>
            <w:tcW w:w="988"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4,229</w:t>
            </w:r>
          </w:p>
        </w:tc>
        <w:tc>
          <w:tcPr>
            <w:tcW w:w="87" w:type="dxa"/>
            <w:tcBorders/>
            <w:shd w:fill="CCEEFF" w:val="clear"/>
            <w:vAlign w:val="bottom"/>
          </w:tcPr>
          <w:p>
            <w:pPr>
              <w:pStyle w:val="TableContents"/>
              <w:bidi w:val="0"/>
              <w:spacing w:before="0" w:after="283"/>
              <w:jc w:val="left"/>
              <w:rPr/>
            </w:pPr>
            <w:r>
              <w:rPr/>
            </w:r>
          </w:p>
        </w:tc>
      </w:tr>
      <w:tr>
        <w:trPr/>
        <w:tc>
          <w:tcPr>
            <w:tcW w:w="5082" w:type="dxa"/>
            <w:tcBorders/>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Cost of goods sold</w:t>
            </w:r>
          </w:p>
        </w:tc>
        <w:tc>
          <w:tcPr>
            <w:tcW w:w="60"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25" w:type="dxa"/>
            <w:tcBorders/>
            <w:vAlign w:val="bottom"/>
          </w:tcPr>
          <w:p>
            <w:pPr>
              <w:pStyle w:val="TableContents"/>
              <w:bidi w:val="0"/>
              <w:spacing w:before="0" w:after="283"/>
              <w:jc w:val="left"/>
              <w:rPr/>
            </w:pPr>
            <w:r>
              <w:rPr/>
            </w:r>
          </w:p>
        </w:tc>
        <w:tc>
          <w:tcPr>
            <w:tcW w:w="881"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107</w:t>
            </w:r>
          </w:p>
        </w:tc>
        <w:tc>
          <w:tcPr>
            <w:tcW w:w="159" w:type="dxa"/>
            <w:tcBorders/>
            <w:vAlign w:val="bottom"/>
          </w:tcPr>
          <w:p>
            <w:pPr>
              <w:pStyle w:val="TableContents"/>
              <w:bidi w:val="0"/>
              <w:spacing w:before="0" w:after="283"/>
              <w:jc w:val="left"/>
              <w:rPr/>
            </w:pPr>
            <w:r>
              <w:rPr/>
            </w:r>
          </w:p>
        </w:tc>
        <w:tc>
          <w:tcPr>
            <w:tcW w:w="46" w:type="dxa"/>
            <w:tcBorders/>
            <w:vAlign w:val="bottom"/>
          </w:tcPr>
          <w:p>
            <w:pPr>
              <w:pStyle w:val="TableContents"/>
              <w:bidi w:val="0"/>
              <w:spacing w:before="0" w:after="283"/>
              <w:jc w:val="left"/>
              <w:rPr/>
            </w:pPr>
            <w:r>
              <w:rPr/>
            </w:r>
          </w:p>
        </w:tc>
        <w:tc>
          <w:tcPr>
            <w:tcW w:w="250" w:type="dxa"/>
            <w:tcBorders/>
            <w:vAlign w:val="bottom"/>
          </w:tcPr>
          <w:p>
            <w:pPr>
              <w:pStyle w:val="TableContents"/>
              <w:bidi w:val="0"/>
              <w:spacing w:before="0" w:after="283"/>
              <w:jc w:val="left"/>
              <w:rPr/>
            </w:pPr>
            <w:r>
              <w:rPr/>
            </w:r>
          </w:p>
        </w:tc>
        <w:tc>
          <w:tcPr>
            <w:tcW w:w="1092"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2,047</w:t>
            </w:r>
          </w:p>
        </w:tc>
        <w:tc>
          <w:tcPr>
            <w:tcW w:w="80"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797"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195</w:t>
            </w:r>
          </w:p>
        </w:tc>
        <w:tc>
          <w:tcPr>
            <w:tcW w:w="143" w:type="dxa"/>
            <w:tcBorders/>
            <w:vAlign w:val="bottom"/>
          </w:tcPr>
          <w:p>
            <w:pPr>
              <w:pStyle w:val="TableContents"/>
              <w:bidi w:val="0"/>
              <w:spacing w:before="0" w:after="283"/>
              <w:jc w:val="left"/>
              <w:rPr/>
            </w:pPr>
            <w:r>
              <w:rPr/>
            </w:r>
          </w:p>
        </w:tc>
        <w:tc>
          <w:tcPr>
            <w:tcW w:w="41" w:type="dxa"/>
            <w:tcBorders/>
            <w:vAlign w:val="bottom"/>
          </w:tcPr>
          <w:p>
            <w:pPr>
              <w:pStyle w:val="TableContents"/>
              <w:bidi w:val="0"/>
              <w:spacing w:before="0" w:after="283"/>
              <w:jc w:val="left"/>
              <w:rPr/>
            </w:pPr>
            <w:r>
              <w:rPr/>
            </w:r>
          </w:p>
        </w:tc>
        <w:tc>
          <w:tcPr>
            <w:tcW w:w="226" w:type="dxa"/>
            <w:tcBorders/>
            <w:vAlign w:val="bottom"/>
          </w:tcPr>
          <w:p>
            <w:pPr>
              <w:pStyle w:val="TableContents"/>
              <w:bidi w:val="0"/>
              <w:spacing w:before="0" w:after="283"/>
              <w:jc w:val="left"/>
              <w:rPr/>
            </w:pPr>
            <w:r>
              <w:rPr/>
            </w:r>
          </w:p>
        </w:tc>
        <w:tc>
          <w:tcPr>
            <w:tcW w:w="988"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4,212</w:t>
            </w:r>
          </w:p>
        </w:tc>
        <w:tc>
          <w:tcPr>
            <w:tcW w:w="87" w:type="dxa"/>
            <w:tcBorders/>
            <w:vAlign w:val="bottom"/>
          </w:tcPr>
          <w:p>
            <w:pPr>
              <w:pStyle w:val="TableContents"/>
              <w:bidi w:val="0"/>
              <w:spacing w:before="0" w:after="283"/>
              <w:jc w:val="left"/>
              <w:rPr/>
            </w:pPr>
            <w:r>
              <w:rPr/>
            </w:r>
          </w:p>
        </w:tc>
      </w:tr>
      <w:tr>
        <w:trPr/>
        <w:tc>
          <w:tcPr>
            <w:tcW w:w="5082" w:type="dxa"/>
            <w:tcBorders/>
            <w:shd w:fill="CCEEFF" w:val="clear"/>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Gross profit (loss)</w:t>
            </w:r>
          </w:p>
        </w:tc>
        <w:tc>
          <w:tcPr>
            <w:tcW w:w="60" w:type="dxa"/>
            <w:tcBorders/>
            <w:shd w:fill="CCEEFF" w:val="clear"/>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25" w:type="dxa"/>
            <w:tcBorders/>
            <w:shd w:fill="CCEEFF" w:val="clear"/>
            <w:vAlign w:val="bottom"/>
          </w:tcPr>
          <w:p>
            <w:pPr>
              <w:pStyle w:val="TableContents"/>
              <w:bidi w:val="0"/>
              <w:spacing w:before="0" w:after="283"/>
              <w:jc w:val="left"/>
              <w:rPr/>
            </w:pPr>
            <w:r>
              <w:rPr/>
            </w:r>
          </w:p>
        </w:tc>
        <w:tc>
          <w:tcPr>
            <w:tcW w:w="881"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(107</w:t>
            </w:r>
          </w:p>
        </w:tc>
        <w:tc>
          <w:tcPr>
            <w:tcW w:w="159" w:type="dxa"/>
            <w:tcBorders/>
            <w:shd w:fill="CCEEFF" w:val="clear"/>
            <w:vAlign w:val="bottom"/>
          </w:tcPr>
          <w:p>
            <w:pPr>
              <w:pStyle w:val="TableContents"/>
              <w:bidi w:val="0"/>
              <w:spacing w:before="0" w:after="283"/>
              <w:jc w:val="lef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c>
          <w:tcPr>
            <w:tcW w:w="46" w:type="dxa"/>
            <w:tcBorders/>
            <w:shd w:fill="CCEEFF" w:val="clear"/>
            <w:vAlign w:val="bottom"/>
          </w:tcPr>
          <w:p>
            <w:pPr>
              <w:pStyle w:val="TableContents"/>
              <w:bidi w:val="0"/>
              <w:spacing w:before="0" w:after="283"/>
              <w:jc w:val="left"/>
              <w:rPr/>
            </w:pPr>
            <w:r>
              <w:rPr/>
            </w:r>
          </w:p>
        </w:tc>
        <w:tc>
          <w:tcPr>
            <w:tcW w:w="250" w:type="dxa"/>
            <w:tcBorders/>
            <w:shd w:fill="CCEEFF" w:val="clear"/>
            <w:vAlign w:val="bottom"/>
          </w:tcPr>
          <w:p>
            <w:pPr>
              <w:pStyle w:val="TableContents"/>
              <w:bidi w:val="0"/>
              <w:spacing w:before="0" w:after="283"/>
              <w:jc w:val="left"/>
              <w:rPr/>
            </w:pPr>
            <w:r>
              <w:rPr/>
            </w:r>
          </w:p>
        </w:tc>
        <w:tc>
          <w:tcPr>
            <w:tcW w:w="1092"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(131</w:t>
            </w:r>
          </w:p>
        </w:tc>
        <w:tc>
          <w:tcPr>
            <w:tcW w:w="80" w:type="dxa"/>
            <w:tcBorders/>
            <w:shd w:fill="CCEEFF" w:val="clear"/>
            <w:vAlign w:val="bottom"/>
          </w:tcPr>
          <w:p>
            <w:pPr>
              <w:pStyle w:val="TableContents"/>
              <w:bidi w:val="0"/>
              <w:spacing w:before="0" w:after="283"/>
              <w:jc w:val="lef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c>
          <w:tcPr>
            <w:tcW w:w="23" w:type="dxa"/>
            <w:tcBorders/>
            <w:shd w:fill="CCEEFF" w:val="clear"/>
            <w:vAlign w:val="bottom"/>
          </w:tcPr>
          <w:p>
            <w:pPr>
              <w:pStyle w:val="TableContents"/>
              <w:bidi w:val="0"/>
              <w:spacing w:before="0" w:after="283"/>
              <w:jc w:val="left"/>
              <w:rPr/>
            </w:pPr>
            <w:r>
              <w:rPr/>
            </w:r>
          </w:p>
        </w:tc>
        <w:tc>
          <w:tcPr>
            <w:tcW w:w="125" w:type="dxa"/>
            <w:tcBorders/>
            <w:shd w:fill="CCEEFF" w:val="clear"/>
            <w:vAlign w:val="bottom"/>
          </w:tcPr>
          <w:p>
            <w:pPr>
              <w:pStyle w:val="TableContents"/>
              <w:bidi w:val="0"/>
              <w:spacing w:before="0" w:after="283"/>
              <w:jc w:val="left"/>
              <w:rPr/>
            </w:pPr>
            <w:r>
              <w:rPr/>
            </w:r>
          </w:p>
        </w:tc>
        <w:tc>
          <w:tcPr>
            <w:tcW w:w="797"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(195</w:t>
            </w:r>
          </w:p>
        </w:tc>
        <w:tc>
          <w:tcPr>
            <w:tcW w:w="143" w:type="dxa"/>
            <w:tcBorders/>
            <w:shd w:fill="CCEEFF" w:val="clear"/>
            <w:vAlign w:val="bottom"/>
          </w:tcPr>
          <w:p>
            <w:pPr>
              <w:pStyle w:val="TableContents"/>
              <w:bidi w:val="0"/>
              <w:spacing w:before="0" w:after="283"/>
              <w:jc w:val="lef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c>
          <w:tcPr>
            <w:tcW w:w="41" w:type="dxa"/>
            <w:tcBorders/>
            <w:shd w:fill="CCEEFF" w:val="clear"/>
            <w:vAlign w:val="bottom"/>
          </w:tcPr>
          <w:p>
            <w:pPr>
              <w:pStyle w:val="TableContents"/>
              <w:bidi w:val="0"/>
              <w:spacing w:before="0" w:after="283"/>
              <w:jc w:val="left"/>
              <w:rPr/>
            </w:pPr>
            <w:r>
              <w:rPr/>
            </w:r>
          </w:p>
        </w:tc>
        <w:tc>
          <w:tcPr>
            <w:tcW w:w="226" w:type="dxa"/>
            <w:tcBorders/>
            <w:shd w:fill="CCEEFF" w:val="clear"/>
            <w:vAlign w:val="bottom"/>
          </w:tcPr>
          <w:p>
            <w:pPr>
              <w:pStyle w:val="TableContents"/>
              <w:bidi w:val="0"/>
              <w:spacing w:before="0" w:after="283"/>
              <w:jc w:val="left"/>
              <w:rPr/>
            </w:pPr>
            <w:r>
              <w:rPr/>
            </w:r>
          </w:p>
        </w:tc>
        <w:tc>
          <w:tcPr>
            <w:tcW w:w="988"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17</w:t>
            </w:r>
          </w:p>
        </w:tc>
        <w:tc>
          <w:tcPr>
            <w:tcW w:w="87" w:type="dxa"/>
            <w:tcBorders/>
            <w:shd w:fill="CCEEFF" w:val="clear"/>
            <w:vAlign w:val="bottom"/>
          </w:tcPr>
          <w:p>
            <w:pPr>
              <w:pStyle w:val="TableContents"/>
              <w:bidi w:val="0"/>
              <w:spacing w:before="0" w:after="283"/>
              <w:jc w:val="left"/>
              <w:rPr/>
            </w:pPr>
            <w:r>
              <w:rPr/>
            </w:r>
          </w:p>
        </w:tc>
      </w:tr>
      <w:tr>
        <w:trPr/>
        <w:tc>
          <w:tcPr>
            <w:tcW w:w="5082" w:type="dxa"/>
            <w:tcBorders/>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Operating expenses</w:t>
            </w:r>
          </w:p>
        </w:tc>
        <w:tc>
          <w:tcPr>
            <w:tcW w:w="60"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25" w:type="dxa"/>
            <w:tcBorders/>
            <w:vAlign w:val="bottom"/>
          </w:tcPr>
          <w:p>
            <w:pPr>
              <w:pStyle w:val="TableContents"/>
              <w:bidi w:val="0"/>
              <w:spacing w:before="0" w:after="283"/>
              <w:jc w:val="left"/>
              <w:rPr/>
            </w:pPr>
            <w:r>
              <w:rPr/>
            </w:r>
          </w:p>
        </w:tc>
        <w:tc>
          <w:tcPr>
            <w:tcW w:w="881"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(92</w:t>
            </w:r>
          </w:p>
        </w:tc>
        <w:tc>
          <w:tcPr>
            <w:tcW w:w="159" w:type="dxa"/>
            <w:tcBorders/>
            <w:vAlign w:val="bottom"/>
          </w:tcPr>
          <w:p>
            <w:pPr>
              <w:pStyle w:val="TableContents"/>
              <w:bidi w:val="0"/>
              <w:spacing w:before="0" w:after="283"/>
              <w:jc w:val="lef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c>
          <w:tcPr>
            <w:tcW w:w="46" w:type="dxa"/>
            <w:tcBorders/>
            <w:vAlign w:val="bottom"/>
          </w:tcPr>
          <w:p>
            <w:pPr>
              <w:pStyle w:val="TableContents"/>
              <w:bidi w:val="0"/>
              <w:spacing w:before="0" w:after="283"/>
              <w:jc w:val="left"/>
              <w:rPr/>
            </w:pPr>
            <w:r>
              <w:rPr/>
            </w:r>
          </w:p>
        </w:tc>
        <w:tc>
          <w:tcPr>
            <w:tcW w:w="250" w:type="dxa"/>
            <w:tcBorders/>
            <w:vAlign w:val="bottom"/>
          </w:tcPr>
          <w:p>
            <w:pPr>
              <w:pStyle w:val="TableContents"/>
              <w:bidi w:val="0"/>
              <w:spacing w:before="0" w:after="283"/>
              <w:jc w:val="left"/>
              <w:rPr/>
            </w:pPr>
            <w:r>
              <w:rPr/>
            </w:r>
          </w:p>
        </w:tc>
        <w:tc>
          <w:tcPr>
            <w:tcW w:w="1092"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3,236</w:t>
            </w:r>
          </w:p>
        </w:tc>
        <w:tc>
          <w:tcPr>
            <w:tcW w:w="80" w:type="dxa"/>
            <w:tcBorders/>
            <w:vAlign w:val="bottom"/>
          </w:tcPr>
          <w:p>
            <w:pPr>
              <w:pStyle w:val="TableContents"/>
              <w:bidi w:val="0"/>
              <w:spacing w:before="0" w:after="283"/>
              <w:jc w:val="left"/>
              <w:rPr/>
            </w:pPr>
            <w:r>
              <w:rPr/>
            </w:r>
          </w:p>
        </w:tc>
        <w:tc>
          <w:tcPr>
            <w:tcW w:w="23"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797"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172</w:t>
            </w:r>
          </w:p>
        </w:tc>
        <w:tc>
          <w:tcPr>
            <w:tcW w:w="143" w:type="dxa"/>
            <w:tcBorders/>
            <w:vAlign w:val="bottom"/>
          </w:tcPr>
          <w:p>
            <w:pPr>
              <w:pStyle w:val="TableContents"/>
              <w:bidi w:val="0"/>
              <w:spacing w:before="0" w:after="283"/>
              <w:jc w:val="left"/>
              <w:rPr/>
            </w:pPr>
            <w:r>
              <w:rPr/>
            </w:r>
          </w:p>
        </w:tc>
        <w:tc>
          <w:tcPr>
            <w:tcW w:w="41" w:type="dxa"/>
            <w:tcBorders/>
            <w:vAlign w:val="bottom"/>
          </w:tcPr>
          <w:p>
            <w:pPr>
              <w:pStyle w:val="TableContents"/>
              <w:bidi w:val="0"/>
              <w:spacing w:before="0" w:after="283"/>
              <w:jc w:val="left"/>
              <w:rPr/>
            </w:pPr>
            <w:r>
              <w:rPr/>
            </w:r>
          </w:p>
        </w:tc>
        <w:tc>
          <w:tcPr>
            <w:tcW w:w="226" w:type="dxa"/>
            <w:tcBorders/>
            <w:vAlign w:val="bottom"/>
          </w:tcPr>
          <w:p>
            <w:pPr>
              <w:pStyle w:val="TableContents"/>
              <w:bidi w:val="0"/>
              <w:spacing w:before="0" w:after="283"/>
              <w:jc w:val="left"/>
              <w:rPr/>
            </w:pPr>
            <w:r>
              <w:rPr/>
            </w:r>
          </w:p>
        </w:tc>
        <w:tc>
          <w:tcPr>
            <w:tcW w:w="988"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5,404</w:t>
            </w:r>
          </w:p>
        </w:tc>
        <w:tc>
          <w:tcPr>
            <w:tcW w:w="87" w:type="dxa"/>
            <w:tcBorders/>
            <w:vAlign w:val="bottom"/>
          </w:tcPr>
          <w:p>
            <w:pPr>
              <w:pStyle w:val="TableContents"/>
              <w:bidi w:val="0"/>
              <w:spacing w:before="0" w:after="283"/>
              <w:jc w:val="left"/>
              <w:rPr/>
            </w:pPr>
            <w:r>
              <w:rPr/>
            </w:r>
          </w:p>
        </w:tc>
      </w:tr>
      <w:tr>
        <w:trPr/>
        <w:tc>
          <w:tcPr>
            <w:tcW w:w="5082" w:type="dxa"/>
            <w:tcBorders/>
            <w:shd w:fill="CCEEFF" w:val="clear"/>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 xml:space="preserve">Other (income) expenses, net </w:t>
            </w:r>
          </w:p>
        </w:tc>
        <w:tc>
          <w:tcPr>
            <w:tcW w:w="60" w:type="dxa"/>
            <w:tcBorders/>
            <w:shd w:fill="CCEEFF" w:val="clear"/>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25" w:type="dxa"/>
            <w:tcBorders/>
            <w:shd w:fill="CCEEFF" w:val="clear"/>
            <w:vAlign w:val="bottom"/>
          </w:tcPr>
          <w:p>
            <w:pPr>
              <w:pStyle w:val="TableContents"/>
              <w:bidi w:val="0"/>
              <w:spacing w:before="0" w:after="283"/>
              <w:jc w:val="left"/>
              <w:rPr/>
            </w:pPr>
            <w:r>
              <w:rPr/>
            </w:r>
          </w:p>
        </w:tc>
        <w:tc>
          <w:tcPr>
            <w:tcW w:w="881"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(50</w:t>
            </w:r>
          </w:p>
        </w:tc>
        <w:tc>
          <w:tcPr>
            <w:tcW w:w="159" w:type="dxa"/>
            <w:tcBorders/>
            <w:shd w:fill="CCEEFF" w:val="clear"/>
            <w:vAlign w:val="bottom"/>
          </w:tcPr>
          <w:p>
            <w:pPr>
              <w:pStyle w:val="TableContents"/>
              <w:bidi w:val="0"/>
              <w:spacing w:before="0" w:after="283"/>
              <w:jc w:val="lef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c>
          <w:tcPr>
            <w:tcW w:w="46" w:type="dxa"/>
            <w:tcBorders/>
            <w:shd w:fill="CCEEFF" w:val="clear"/>
            <w:vAlign w:val="bottom"/>
          </w:tcPr>
          <w:p>
            <w:pPr>
              <w:pStyle w:val="TableContents"/>
              <w:bidi w:val="0"/>
              <w:spacing w:before="0" w:after="283"/>
              <w:jc w:val="left"/>
              <w:rPr/>
            </w:pPr>
            <w:r>
              <w:rPr/>
            </w:r>
          </w:p>
        </w:tc>
        <w:tc>
          <w:tcPr>
            <w:tcW w:w="250" w:type="dxa"/>
            <w:tcBorders/>
            <w:shd w:fill="CCEEFF" w:val="clear"/>
            <w:vAlign w:val="bottom"/>
          </w:tcPr>
          <w:p>
            <w:pPr>
              <w:pStyle w:val="TableContents"/>
              <w:bidi w:val="0"/>
              <w:spacing w:before="0" w:after="283"/>
              <w:jc w:val="left"/>
              <w:rPr/>
            </w:pPr>
            <w:r>
              <w:rPr/>
            </w:r>
          </w:p>
        </w:tc>
        <w:tc>
          <w:tcPr>
            <w:tcW w:w="1092" w:type="dxa"/>
            <w:tcBorders/>
            <w:shd w:fill="CCEEFF" w:val="clear"/>
            <w:vAlign w:val="bottom"/>
          </w:tcPr>
          <w:p>
            <w:pPr>
              <w:pStyle w:val="TableContents"/>
              <w:bidi w:val="0"/>
              <w:spacing w:before="0" w:after="283"/>
              <w:jc w:val="right"/>
              <w:rPr>
                <w:strike w:val="false"/>
                <w:dstrike w:val="false"/>
                <w:color w:val="000000"/>
                <w:u w:val="none"/>
                <w:effect w:val="none"/>
              </w:rPr>
            </w:pPr>
            <w:r>
              <w:rPr>
                <w:strike w:val="false"/>
                <w:dstrike w:val="false"/>
                <w:color w:val="000000"/>
                <w:u w:val="none"/>
                <w:effect w:val="none"/>
              </w:rPr>
              <w:t>—</w:t>
            </w:r>
          </w:p>
        </w:tc>
        <w:tc>
          <w:tcPr>
            <w:tcW w:w="80"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25" w:type="dxa"/>
            <w:tcBorders/>
            <w:shd w:fill="CCEEFF" w:val="clear"/>
            <w:vAlign w:val="bottom"/>
          </w:tcPr>
          <w:p>
            <w:pPr>
              <w:pStyle w:val="TableContents"/>
              <w:bidi w:val="0"/>
              <w:spacing w:before="0" w:after="283"/>
              <w:jc w:val="left"/>
              <w:rPr/>
            </w:pPr>
            <w:r>
              <w:rPr/>
            </w:r>
          </w:p>
        </w:tc>
        <w:tc>
          <w:tcPr>
            <w:tcW w:w="797"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28</w:t>
            </w:r>
          </w:p>
        </w:tc>
        <w:tc>
          <w:tcPr>
            <w:tcW w:w="143" w:type="dxa"/>
            <w:tcBorders/>
            <w:shd w:fill="CCEEFF" w:val="clear"/>
            <w:vAlign w:val="bottom"/>
          </w:tcPr>
          <w:p>
            <w:pPr>
              <w:pStyle w:val="TableContents"/>
              <w:bidi w:val="0"/>
              <w:spacing w:before="0" w:after="283"/>
              <w:jc w:val="left"/>
              <w:rPr/>
            </w:pPr>
            <w:r>
              <w:rPr/>
            </w:r>
          </w:p>
        </w:tc>
        <w:tc>
          <w:tcPr>
            <w:tcW w:w="41" w:type="dxa"/>
            <w:tcBorders/>
            <w:shd w:fill="CCEEFF" w:val="clear"/>
            <w:vAlign w:val="bottom"/>
          </w:tcPr>
          <w:p>
            <w:pPr>
              <w:pStyle w:val="TableContents"/>
              <w:bidi w:val="0"/>
              <w:spacing w:before="0" w:after="283"/>
              <w:jc w:val="left"/>
              <w:rPr/>
            </w:pPr>
            <w:r>
              <w:rPr/>
            </w:r>
          </w:p>
        </w:tc>
        <w:tc>
          <w:tcPr>
            <w:tcW w:w="226" w:type="dxa"/>
            <w:tcBorders/>
            <w:shd w:fill="CCEEFF" w:val="clear"/>
            <w:vAlign w:val="bottom"/>
          </w:tcPr>
          <w:p>
            <w:pPr>
              <w:pStyle w:val="TableContents"/>
              <w:bidi w:val="0"/>
              <w:spacing w:before="0" w:after="283"/>
              <w:jc w:val="left"/>
              <w:rPr/>
            </w:pPr>
            <w:r>
              <w:rPr/>
            </w:r>
          </w:p>
        </w:tc>
        <w:tc>
          <w:tcPr>
            <w:tcW w:w="988" w:type="dxa"/>
            <w:tcBorders/>
            <w:shd w:fill="CCEEFF" w:val="clear"/>
            <w:vAlign w:val="bottom"/>
          </w:tcPr>
          <w:p>
            <w:pPr>
              <w:pStyle w:val="TableContents"/>
              <w:bidi w:val="0"/>
              <w:spacing w:before="0" w:after="283"/>
              <w:jc w:val="right"/>
              <w:rPr>
                <w:strike w:val="false"/>
                <w:dstrike w:val="false"/>
                <w:color w:val="000000"/>
                <w:u w:val="none"/>
                <w:effect w:val="none"/>
              </w:rPr>
            </w:pPr>
            <w:r>
              <w:rPr>
                <w:strike w:val="false"/>
                <w:dstrike w:val="false"/>
                <w:color w:val="000000"/>
                <w:u w:val="none"/>
                <w:effect w:val="none"/>
              </w:rPr>
              <w:t>—</w:t>
            </w:r>
          </w:p>
        </w:tc>
        <w:tc>
          <w:tcPr>
            <w:tcW w:w="87" w:type="dxa"/>
            <w:tcBorders/>
            <w:shd w:fill="CCEEFF" w:val="clear"/>
            <w:vAlign w:val="bottom"/>
          </w:tcPr>
          <w:p>
            <w:pPr>
              <w:pStyle w:val="TableContents"/>
              <w:bidi w:val="0"/>
              <w:spacing w:before="0" w:after="283"/>
              <w:jc w:val="left"/>
              <w:rPr/>
            </w:pPr>
            <w:r>
              <w:rPr/>
            </w:r>
          </w:p>
        </w:tc>
      </w:tr>
      <w:tr>
        <w:trPr/>
        <w:tc>
          <w:tcPr>
            <w:tcW w:w="5082" w:type="dxa"/>
            <w:tcBorders/>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 xml:space="preserve">Income (loss) from discontinued operations before income taxes </w:t>
            </w:r>
          </w:p>
        </w:tc>
        <w:tc>
          <w:tcPr>
            <w:tcW w:w="60"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25" w:type="dxa"/>
            <w:tcBorders/>
            <w:vAlign w:val="bottom"/>
          </w:tcPr>
          <w:p>
            <w:pPr>
              <w:pStyle w:val="TableContents"/>
              <w:bidi w:val="0"/>
              <w:spacing w:before="0" w:after="283"/>
              <w:jc w:val="left"/>
              <w:rPr/>
            </w:pPr>
            <w:r>
              <w:rPr/>
            </w:r>
          </w:p>
        </w:tc>
        <w:tc>
          <w:tcPr>
            <w:tcW w:w="881"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35</w:t>
            </w:r>
          </w:p>
        </w:tc>
        <w:tc>
          <w:tcPr>
            <w:tcW w:w="159" w:type="dxa"/>
            <w:tcBorders/>
            <w:vAlign w:val="bottom"/>
          </w:tcPr>
          <w:p>
            <w:pPr>
              <w:pStyle w:val="TableContents"/>
              <w:bidi w:val="0"/>
              <w:spacing w:before="0" w:after="283"/>
              <w:jc w:val="left"/>
              <w:rPr>
                <w:sz w:val="4"/>
                <w:szCs w:val="4"/>
              </w:rPr>
            </w:pPr>
            <w:r>
              <w:rPr>
                <w:sz w:val="4"/>
                <w:szCs w:val="4"/>
              </w:rPr>
            </w:r>
          </w:p>
        </w:tc>
        <w:tc>
          <w:tcPr>
            <w:tcW w:w="46" w:type="dxa"/>
            <w:tcBorders/>
            <w:vAlign w:val="bottom"/>
          </w:tcPr>
          <w:p>
            <w:pPr>
              <w:pStyle w:val="TableContents"/>
              <w:bidi w:val="0"/>
              <w:spacing w:before="0" w:after="283"/>
              <w:jc w:val="left"/>
              <w:rPr/>
            </w:pPr>
            <w:r>
              <w:rPr/>
            </w:r>
          </w:p>
        </w:tc>
        <w:tc>
          <w:tcPr>
            <w:tcW w:w="250" w:type="dxa"/>
            <w:tcBorders/>
            <w:vAlign w:val="bottom"/>
          </w:tcPr>
          <w:p>
            <w:pPr>
              <w:pStyle w:val="TableContents"/>
              <w:bidi w:val="0"/>
              <w:spacing w:before="0" w:after="283"/>
              <w:jc w:val="left"/>
              <w:rPr/>
            </w:pPr>
            <w:r>
              <w:rPr/>
            </w:r>
          </w:p>
        </w:tc>
        <w:tc>
          <w:tcPr>
            <w:tcW w:w="1092"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(3,367</w:t>
            </w:r>
          </w:p>
        </w:tc>
        <w:tc>
          <w:tcPr>
            <w:tcW w:w="80" w:type="dxa"/>
            <w:tcBorders/>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c>
          <w:tcPr>
            <w:tcW w:w="23" w:type="dxa"/>
            <w:tcBorders/>
            <w:vAlign w:val="bottom"/>
          </w:tcPr>
          <w:p>
            <w:pPr>
              <w:pStyle w:val="TableContents"/>
              <w:bidi w:val="0"/>
              <w:spacing w:before="0" w:after="283"/>
              <w:jc w:val="left"/>
              <w:rPr/>
            </w:pPr>
            <w:r>
              <w:rPr/>
            </w:r>
          </w:p>
        </w:tc>
        <w:tc>
          <w:tcPr>
            <w:tcW w:w="125" w:type="dxa"/>
            <w:tcBorders/>
            <w:vAlign w:val="bottom"/>
          </w:tcPr>
          <w:p>
            <w:pPr>
              <w:pStyle w:val="TableContents"/>
              <w:bidi w:val="0"/>
              <w:spacing w:before="0" w:after="283"/>
              <w:jc w:val="left"/>
              <w:rPr/>
            </w:pPr>
            <w:r>
              <w:rPr/>
            </w:r>
          </w:p>
        </w:tc>
        <w:tc>
          <w:tcPr>
            <w:tcW w:w="797"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(395</w:t>
            </w:r>
          </w:p>
        </w:tc>
        <w:tc>
          <w:tcPr>
            <w:tcW w:w="143" w:type="dxa"/>
            <w:tcBorders/>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c>
          <w:tcPr>
            <w:tcW w:w="41" w:type="dxa"/>
            <w:tcBorders/>
            <w:vAlign w:val="bottom"/>
          </w:tcPr>
          <w:p>
            <w:pPr>
              <w:pStyle w:val="TableContents"/>
              <w:bidi w:val="0"/>
              <w:spacing w:before="0" w:after="283"/>
              <w:jc w:val="left"/>
              <w:rPr/>
            </w:pPr>
            <w:r>
              <w:rPr/>
            </w:r>
          </w:p>
        </w:tc>
        <w:tc>
          <w:tcPr>
            <w:tcW w:w="226" w:type="dxa"/>
            <w:tcBorders/>
            <w:vAlign w:val="bottom"/>
          </w:tcPr>
          <w:p>
            <w:pPr>
              <w:pStyle w:val="TableContents"/>
              <w:bidi w:val="0"/>
              <w:spacing w:before="0" w:after="283"/>
              <w:jc w:val="left"/>
              <w:rPr/>
            </w:pPr>
            <w:r>
              <w:rPr/>
            </w:r>
          </w:p>
        </w:tc>
        <w:tc>
          <w:tcPr>
            <w:tcW w:w="988"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(5,387</w:t>
            </w:r>
          </w:p>
        </w:tc>
        <w:tc>
          <w:tcPr>
            <w:tcW w:w="87" w:type="dxa"/>
            <w:tcBorders/>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r>
      <w:tr>
        <w:trPr/>
        <w:tc>
          <w:tcPr>
            <w:tcW w:w="5082" w:type="dxa"/>
            <w:tcBorders/>
            <w:shd w:fill="CCEEFF" w:val="clear"/>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 xml:space="preserve">Provision (benefit) for income taxes </w:t>
            </w:r>
          </w:p>
        </w:tc>
        <w:tc>
          <w:tcPr>
            <w:tcW w:w="60" w:type="dxa"/>
            <w:tcBorders/>
            <w:shd w:fill="CCEEFF" w:val="clear"/>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25" w:type="dxa"/>
            <w:tcBorders/>
            <w:shd w:fill="CCEEFF" w:val="clear"/>
            <w:vAlign w:val="bottom"/>
          </w:tcPr>
          <w:p>
            <w:pPr>
              <w:pStyle w:val="TableContents"/>
              <w:bidi w:val="0"/>
              <w:spacing w:before="0" w:after="283"/>
              <w:jc w:val="left"/>
              <w:rPr/>
            </w:pPr>
            <w:r>
              <w:rPr/>
            </w:r>
          </w:p>
        </w:tc>
        <w:tc>
          <w:tcPr>
            <w:tcW w:w="881"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30</w:t>
            </w:r>
          </w:p>
        </w:tc>
        <w:tc>
          <w:tcPr>
            <w:tcW w:w="159" w:type="dxa"/>
            <w:tcBorders/>
            <w:shd w:fill="CCEEFF" w:val="clear"/>
            <w:vAlign w:val="bottom"/>
          </w:tcPr>
          <w:p>
            <w:pPr>
              <w:pStyle w:val="TableContents"/>
              <w:bidi w:val="0"/>
              <w:spacing w:before="0" w:after="283"/>
              <w:jc w:val="left"/>
              <w:rPr/>
            </w:pPr>
            <w:r>
              <w:rPr/>
            </w:r>
          </w:p>
        </w:tc>
        <w:tc>
          <w:tcPr>
            <w:tcW w:w="46" w:type="dxa"/>
            <w:tcBorders/>
            <w:shd w:fill="CCEEFF" w:val="clear"/>
            <w:vAlign w:val="bottom"/>
          </w:tcPr>
          <w:p>
            <w:pPr>
              <w:pStyle w:val="TableContents"/>
              <w:bidi w:val="0"/>
              <w:spacing w:before="0" w:after="283"/>
              <w:jc w:val="left"/>
              <w:rPr/>
            </w:pPr>
            <w:r>
              <w:rPr/>
            </w:r>
          </w:p>
        </w:tc>
        <w:tc>
          <w:tcPr>
            <w:tcW w:w="250" w:type="dxa"/>
            <w:tcBorders/>
            <w:shd w:fill="CCEEFF" w:val="clear"/>
            <w:vAlign w:val="bottom"/>
          </w:tcPr>
          <w:p>
            <w:pPr>
              <w:pStyle w:val="TableContents"/>
              <w:bidi w:val="0"/>
              <w:spacing w:before="0" w:after="283"/>
              <w:jc w:val="left"/>
              <w:rPr/>
            </w:pPr>
            <w:r>
              <w:rPr/>
            </w:r>
          </w:p>
        </w:tc>
        <w:tc>
          <w:tcPr>
            <w:tcW w:w="1092" w:type="dxa"/>
            <w:tcBorders/>
            <w:shd w:fill="CCEEFF" w:val="clear"/>
            <w:vAlign w:val="bottom"/>
          </w:tcPr>
          <w:p>
            <w:pPr>
              <w:pStyle w:val="TableContents"/>
              <w:bidi w:val="0"/>
              <w:spacing w:before="0" w:after="283"/>
              <w:jc w:val="right"/>
              <w:rPr>
                <w:strike w:val="false"/>
                <w:dstrike w:val="false"/>
                <w:color w:val="000000"/>
                <w:u w:val="none"/>
                <w:effect w:val="none"/>
              </w:rPr>
            </w:pPr>
            <w:r>
              <w:rPr>
                <w:strike w:val="false"/>
                <w:dstrike w:val="false"/>
                <w:color w:val="000000"/>
                <w:u w:val="none"/>
                <w:effect w:val="none"/>
              </w:rPr>
              <w:t>—</w:t>
            </w:r>
          </w:p>
        </w:tc>
        <w:tc>
          <w:tcPr>
            <w:tcW w:w="80" w:type="dxa"/>
            <w:tcBorders/>
            <w:shd w:fill="CCEEFF" w:val="clear"/>
            <w:vAlign w:val="bottom"/>
          </w:tcPr>
          <w:p>
            <w:pPr>
              <w:pStyle w:val="TableContents"/>
              <w:bidi w:val="0"/>
              <w:spacing w:before="0" w:after="283"/>
              <w:jc w:val="left"/>
              <w:rPr/>
            </w:pPr>
            <w:r>
              <w:rPr/>
            </w:r>
          </w:p>
        </w:tc>
        <w:tc>
          <w:tcPr>
            <w:tcW w:w="23" w:type="dxa"/>
            <w:tcBorders/>
            <w:shd w:fill="CCEEFF" w:val="clear"/>
            <w:vAlign w:val="bottom"/>
          </w:tcPr>
          <w:p>
            <w:pPr>
              <w:pStyle w:val="TableContents"/>
              <w:bidi w:val="0"/>
              <w:spacing w:before="0" w:after="283"/>
              <w:jc w:val="left"/>
              <w:rPr/>
            </w:pPr>
            <w:r>
              <w:rPr/>
            </w:r>
          </w:p>
        </w:tc>
        <w:tc>
          <w:tcPr>
            <w:tcW w:w="125" w:type="dxa"/>
            <w:tcBorders/>
            <w:shd w:fill="CCEEFF" w:val="clear"/>
            <w:vAlign w:val="bottom"/>
          </w:tcPr>
          <w:p>
            <w:pPr>
              <w:pStyle w:val="TableContents"/>
              <w:bidi w:val="0"/>
              <w:spacing w:before="0" w:after="283"/>
              <w:jc w:val="left"/>
              <w:rPr/>
            </w:pPr>
            <w:r>
              <w:rPr/>
            </w:r>
          </w:p>
        </w:tc>
        <w:tc>
          <w:tcPr>
            <w:tcW w:w="797"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(763</w:t>
            </w:r>
          </w:p>
        </w:tc>
        <w:tc>
          <w:tcPr>
            <w:tcW w:w="143" w:type="dxa"/>
            <w:tcBorders/>
            <w:shd w:fill="CCEEFF" w:val="clear"/>
            <w:vAlign w:val="bottom"/>
          </w:tcPr>
          <w:p>
            <w:pPr>
              <w:pStyle w:val="TableContents"/>
              <w:bidi w:val="0"/>
              <w:spacing w:before="0" w:after="283"/>
              <w:jc w:val="lef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c>
          <w:tcPr>
            <w:tcW w:w="41" w:type="dxa"/>
            <w:tcBorders/>
            <w:shd w:fill="CCEEFF" w:val="clear"/>
            <w:vAlign w:val="bottom"/>
          </w:tcPr>
          <w:p>
            <w:pPr>
              <w:pStyle w:val="TableContents"/>
              <w:bidi w:val="0"/>
              <w:spacing w:before="0" w:after="283"/>
              <w:jc w:val="left"/>
              <w:rPr/>
            </w:pPr>
            <w:r>
              <w:rPr/>
            </w:r>
          </w:p>
        </w:tc>
        <w:tc>
          <w:tcPr>
            <w:tcW w:w="226" w:type="dxa"/>
            <w:tcBorders/>
            <w:shd w:fill="CCEEFF" w:val="clear"/>
            <w:vAlign w:val="bottom"/>
          </w:tcPr>
          <w:p>
            <w:pPr>
              <w:pStyle w:val="TableContents"/>
              <w:bidi w:val="0"/>
              <w:spacing w:before="0" w:after="283"/>
              <w:jc w:val="left"/>
              <w:rPr/>
            </w:pPr>
            <w:r>
              <w:rPr/>
            </w:r>
          </w:p>
        </w:tc>
        <w:tc>
          <w:tcPr>
            <w:tcW w:w="988" w:type="dxa"/>
            <w:tcBorders/>
            <w:shd w:fill="CCEEFF" w:val="clear"/>
            <w:vAlign w:val="bottom"/>
          </w:tcPr>
          <w:p>
            <w:pPr>
              <w:pStyle w:val="TableContents"/>
              <w:bidi w:val="0"/>
              <w:spacing w:before="0" w:after="283"/>
              <w:jc w:val="right"/>
              <w:rPr>
                <w:strike w:val="false"/>
                <w:dstrike w:val="false"/>
                <w:color w:val="000000"/>
                <w:u w:val="none"/>
                <w:effect w:val="none"/>
              </w:rPr>
            </w:pPr>
            <w:r>
              <w:rPr>
                <w:strike w:val="false"/>
                <w:dstrike w:val="false"/>
                <w:color w:val="000000"/>
                <w:u w:val="none"/>
                <w:effect w:val="none"/>
              </w:rPr>
              <w:t>—</w:t>
            </w:r>
          </w:p>
        </w:tc>
        <w:tc>
          <w:tcPr>
            <w:tcW w:w="87" w:type="dxa"/>
            <w:tcBorders/>
            <w:shd w:fill="CCEEFF" w:val="clear"/>
            <w:vAlign w:val="bottom"/>
          </w:tcPr>
          <w:p>
            <w:pPr>
              <w:pStyle w:val="TableContents"/>
              <w:bidi w:val="0"/>
              <w:spacing w:before="0" w:after="283"/>
              <w:jc w:val="left"/>
              <w:rPr/>
            </w:pPr>
            <w:r>
              <w:rPr/>
            </w:r>
          </w:p>
        </w:tc>
      </w:tr>
      <w:tr>
        <w:trPr/>
        <w:tc>
          <w:tcPr>
            <w:tcW w:w="5082" w:type="dxa"/>
            <w:tcBorders/>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Income (Loss) from discontinued operations, net of tax</w:t>
            </w:r>
          </w:p>
        </w:tc>
        <w:tc>
          <w:tcPr>
            <w:tcW w:w="60"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125" w:type="dxa"/>
            <w:tcBorders/>
            <w:vAlign w:val="bottom"/>
          </w:tcPr>
          <w:p>
            <w:pPr>
              <w:pStyle w:val="TableContents"/>
              <w:bidi w:val="0"/>
              <w:spacing w:before="0" w:after="283"/>
              <w:jc w:val="lef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c>
          <w:tcPr>
            <w:tcW w:w="881"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5</w:t>
            </w:r>
          </w:p>
        </w:tc>
        <w:tc>
          <w:tcPr>
            <w:tcW w:w="159" w:type="dxa"/>
            <w:tcBorders/>
            <w:vAlign w:val="bottom"/>
          </w:tcPr>
          <w:p>
            <w:pPr>
              <w:pStyle w:val="TableContents"/>
              <w:bidi w:val="0"/>
              <w:spacing w:before="0" w:after="283"/>
              <w:jc w:val="left"/>
              <w:rPr>
                <w:sz w:val="4"/>
                <w:szCs w:val="4"/>
              </w:rPr>
            </w:pPr>
            <w:r>
              <w:rPr>
                <w:sz w:val="4"/>
                <w:szCs w:val="4"/>
              </w:rPr>
            </w:r>
          </w:p>
        </w:tc>
        <w:tc>
          <w:tcPr>
            <w:tcW w:w="46" w:type="dxa"/>
            <w:tcBorders/>
            <w:vAlign w:val="bottom"/>
          </w:tcPr>
          <w:p>
            <w:pPr>
              <w:pStyle w:val="TableContents"/>
              <w:bidi w:val="0"/>
              <w:spacing w:before="0" w:after="283"/>
              <w:jc w:val="left"/>
              <w:rPr/>
            </w:pPr>
            <w:r>
              <w:rPr/>
            </w:r>
          </w:p>
        </w:tc>
        <w:tc>
          <w:tcPr>
            <w:tcW w:w="250" w:type="dxa"/>
            <w:tcBorders/>
            <w:vAlign w:val="bottom"/>
          </w:tcPr>
          <w:p>
            <w:pPr>
              <w:pStyle w:val="TableContents"/>
              <w:bidi w:val="0"/>
              <w:spacing w:before="0" w:after="283"/>
              <w:jc w:val="lef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c>
          <w:tcPr>
            <w:tcW w:w="1092"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(3,367</w:t>
            </w:r>
          </w:p>
        </w:tc>
        <w:tc>
          <w:tcPr>
            <w:tcW w:w="80" w:type="dxa"/>
            <w:tcBorders/>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c>
          <w:tcPr>
            <w:tcW w:w="23" w:type="dxa"/>
            <w:tcBorders/>
            <w:vAlign w:val="bottom"/>
          </w:tcPr>
          <w:p>
            <w:pPr>
              <w:pStyle w:val="TableContents"/>
              <w:bidi w:val="0"/>
              <w:spacing w:before="0" w:after="283"/>
              <w:jc w:val="left"/>
              <w:rPr/>
            </w:pPr>
            <w:r>
              <w:rPr/>
            </w:r>
          </w:p>
        </w:tc>
        <w:tc>
          <w:tcPr>
            <w:tcW w:w="125" w:type="dxa"/>
            <w:tcBorders/>
            <w:vAlign w:val="bottom"/>
          </w:tcPr>
          <w:p>
            <w:pPr>
              <w:pStyle w:val="TableContents"/>
              <w:widowControl/>
              <w:bidi w:val="0"/>
              <w:spacing w:before="0" w:after="283"/>
              <w:ind w:left="0" w:right="0" w:hanging="0"/>
              <w:jc w:val="left"/>
              <w:rPr>
                <w:rFonts w:ascii="times new roman;times" w:hAnsi="times new roman;times"/>
                <w:b w:val="false"/>
                <w:strike w:val="false"/>
                <w:dstrike w:val="false"/>
                <w:color w:val="000000"/>
                <w:spacing w:val="0"/>
                <w:sz w:val="20"/>
                <w:u w:val="none"/>
                <w:effect w:val="none"/>
              </w:rPr>
            </w:pPr>
            <w:r>
              <w:rPr>
                <w:rFonts w:ascii="times new roman;times" w:hAnsi="times new roman;times"/>
                <w:b w:val="false"/>
                <w:strike w:val="false"/>
                <w:dstrike w:val="false"/>
                <w:color w:val="000000"/>
                <w:spacing w:val="0"/>
                <w:sz w:val="20"/>
                <w:u w:val="none"/>
                <w:effect w:val="none"/>
              </w:rPr>
              <w:t>$</w:t>
            </w:r>
          </w:p>
        </w:tc>
        <w:tc>
          <w:tcPr>
            <w:tcW w:w="797"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368</w:t>
            </w:r>
          </w:p>
        </w:tc>
        <w:tc>
          <w:tcPr>
            <w:tcW w:w="143" w:type="dxa"/>
            <w:tcBorders/>
            <w:vAlign w:val="bottom"/>
          </w:tcPr>
          <w:p>
            <w:pPr>
              <w:pStyle w:val="TableContents"/>
              <w:bidi w:val="0"/>
              <w:spacing w:before="0" w:after="283"/>
              <w:jc w:val="left"/>
              <w:rPr/>
            </w:pPr>
            <w:r>
              <w:rPr/>
            </w:r>
          </w:p>
        </w:tc>
        <w:tc>
          <w:tcPr>
            <w:tcW w:w="41" w:type="dxa"/>
            <w:tcBorders/>
            <w:vAlign w:val="bottom"/>
          </w:tcPr>
          <w:p>
            <w:pPr>
              <w:pStyle w:val="TableContents"/>
              <w:bidi w:val="0"/>
              <w:spacing w:before="0" w:after="283"/>
              <w:jc w:val="left"/>
              <w:rPr/>
            </w:pPr>
            <w:r>
              <w:rPr/>
            </w:r>
          </w:p>
        </w:tc>
        <w:tc>
          <w:tcPr>
            <w:tcW w:w="226" w:type="dxa"/>
            <w:tcBorders/>
            <w:vAlign w:val="bottom"/>
          </w:tcPr>
          <w:p>
            <w:pPr>
              <w:pStyle w:val="TableContents"/>
              <w:widowControl/>
              <w:bidi w:val="0"/>
              <w:spacing w:before="0" w:after="283"/>
              <w:ind w:left="0" w:right="0" w:hanging="0"/>
              <w:jc w:val="left"/>
              <w:rPr>
                <w:rFonts w:ascii="times new roman;times" w:hAnsi="times new roman;times"/>
                <w:b w:val="false"/>
                <w:strike w:val="false"/>
                <w:dstrike w:val="false"/>
                <w:color w:val="000000"/>
                <w:spacing w:val="0"/>
                <w:sz w:val="20"/>
                <w:u w:val="none"/>
                <w:effect w:val="none"/>
              </w:rPr>
            </w:pPr>
            <w:r>
              <w:rPr>
                <w:rFonts w:ascii="times new roman;times" w:hAnsi="times new roman;times"/>
                <w:b w:val="false"/>
                <w:strike w:val="false"/>
                <w:dstrike w:val="false"/>
                <w:color w:val="000000"/>
                <w:spacing w:val="0"/>
                <w:sz w:val="20"/>
                <w:u w:val="none"/>
                <w:effect w:val="none"/>
              </w:rPr>
              <w:t>$</w:t>
            </w:r>
          </w:p>
        </w:tc>
        <w:tc>
          <w:tcPr>
            <w:tcW w:w="988"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(5,387</w:t>
            </w:r>
          </w:p>
        </w:tc>
        <w:tc>
          <w:tcPr>
            <w:tcW w:w="87" w:type="dxa"/>
            <w:tcBorders/>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following table disaggregates the Company’s revenue into primary product groups: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419"/>
        <w:gridCol w:w="170"/>
        <w:gridCol w:w="483"/>
        <w:gridCol w:w="1006"/>
        <w:gridCol w:w="88"/>
        <w:gridCol w:w="88"/>
        <w:gridCol w:w="482"/>
        <w:gridCol w:w="2166"/>
        <w:gridCol w:w="33"/>
        <w:gridCol w:w="32"/>
        <w:gridCol w:w="356"/>
        <w:gridCol w:w="742"/>
        <w:gridCol w:w="65"/>
        <w:gridCol w:w="65"/>
        <w:gridCol w:w="356"/>
        <w:gridCol w:w="1599"/>
        <w:gridCol w:w="55"/>
      </w:tblGrid>
      <w:tr>
        <w:trPr/>
        <w:tc>
          <w:tcPr>
            <w:tcW w:w="2419" w:type="dxa"/>
            <w:tcBorders/>
            <w:vAlign w:val="bottom"/>
          </w:tcPr>
          <w:p>
            <w:pPr>
              <w:pStyle w:val="TableContents"/>
              <w:bidi w:val="0"/>
              <w:spacing w:before="0" w:after="0"/>
              <w:ind w:left="0" w:right="0" w:hanging="0"/>
              <w:jc w:val="left"/>
              <w:rPr/>
            </w:pPr>
            <w:r>
              <w:rPr/>
              <w:t xml:space="preserve">  </w:t>
            </w:r>
          </w:p>
        </w:tc>
        <w:tc>
          <w:tcPr>
            <w:tcW w:w="170" w:type="dxa"/>
            <w:tcBorders/>
            <w:vAlign w:val="bottom"/>
          </w:tcPr>
          <w:p>
            <w:pPr>
              <w:pStyle w:val="TableContents"/>
              <w:bidi w:val="0"/>
              <w:spacing w:before="0" w:after="0"/>
              <w:ind w:left="0" w:right="0" w:hanging="0"/>
              <w:jc w:val="left"/>
              <w:rPr/>
            </w:pPr>
            <w:r>
              <w:rPr/>
              <w:t xml:space="preserve">  </w:t>
            </w:r>
          </w:p>
        </w:tc>
        <w:tc>
          <w:tcPr>
            <w:tcW w:w="4313" w:type="dxa"/>
            <w:gridSpan w:val="6"/>
            <w:tcBorders/>
            <w:vAlign w:val="bottom"/>
          </w:tcPr>
          <w:p>
            <w:pPr>
              <w:pStyle w:val="TableContents"/>
              <w:bidi w:val="0"/>
              <w:spacing w:before="0" w:after="283"/>
              <w:jc w:val="center"/>
              <w:rPr>
                <w:rFonts w:ascii="times new roman;times" w:hAnsi="times new roman;times"/>
                <w:b/>
              </w:rPr>
            </w:pPr>
            <w:bookmarkStart w:id="118" w:name="fs_7WFTJJSJZ400000000000000000000FM"/>
            <w:bookmarkEnd w:id="118"/>
            <w:r>
              <w:rPr>
                <w:rFonts w:ascii="times new roman;times" w:hAnsi="times new roman;times"/>
                <w:b/>
              </w:rPr>
              <w:t>Three months ended June 30,</w:t>
            </w:r>
          </w:p>
        </w:tc>
        <w:tc>
          <w:tcPr>
            <w:tcW w:w="33" w:type="dxa"/>
            <w:tcBorders/>
            <w:vAlign w:val="bottom"/>
          </w:tcPr>
          <w:p>
            <w:pPr>
              <w:pStyle w:val="TableContents"/>
              <w:bidi w:val="0"/>
              <w:spacing w:before="0" w:after="283"/>
              <w:jc w:val="left"/>
              <w:rPr/>
            </w:pPr>
            <w:r>
              <w:rPr/>
            </w:r>
          </w:p>
        </w:tc>
        <w:tc>
          <w:tcPr>
            <w:tcW w:w="32" w:type="dxa"/>
            <w:tcBorders/>
            <w:vAlign w:val="center"/>
          </w:tcPr>
          <w:p>
            <w:pPr>
              <w:pStyle w:val="TableContents"/>
              <w:bidi w:val="0"/>
              <w:spacing w:before="0" w:after="283"/>
              <w:jc w:val="left"/>
              <w:rPr/>
            </w:pPr>
            <w:r>
              <w:rPr/>
            </w:r>
          </w:p>
        </w:tc>
        <w:tc>
          <w:tcPr>
            <w:tcW w:w="3183" w:type="dxa"/>
            <w:gridSpan w:val="6"/>
            <w:tcBorders/>
            <w:vAlign w:val="bottom"/>
          </w:tcPr>
          <w:p>
            <w:pPr>
              <w:pStyle w:val="TableContents"/>
              <w:widowControl/>
              <w:bidi w:val="0"/>
              <w:spacing w:before="0" w:after="283"/>
              <w:ind w:left="0" w:right="0" w:hanging="0"/>
              <w:jc w:val="center"/>
              <w:rPr>
                <w:rFonts w:ascii="times new roman;times" w:hAnsi="times new roman;times"/>
                <w:b/>
                <w:color w:val="000000"/>
                <w:spacing w:val="0"/>
                <w:sz w:val="20"/>
              </w:rPr>
            </w:pPr>
            <w:bookmarkStart w:id="119" w:name="fs_UW560DDLXC00000000000000000000FM"/>
            <w:bookmarkEnd w:id="119"/>
            <w:r>
              <w:rPr>
                <w:rFonts w:ascii="times new roman;times" w:hAnsi="times new roman;times"/>
                <w:b/>
                <w:color w:val="000000"/>
                <w:spacing w:val="0"/>
                <w:sz w:val="20"/>
              </w:rPr>
              <w:t>Six months ended June 30,</w:t>
            </w:r>
          </w:p>
        </w:tc>
        <w:tc>
          <w:tcPr>
            <w:tcW w:w="55" w:type="dxa"/>
            <w:tcBorders/>
            <w:vAlign w:val="bottom"/>
          </w:tcPr>
          <w:p>
            <w:pPr>
              <w:pStyle w:val="TableContents"/>
              <w:bidi w:val="0"/>
              <w:spacing w:before="0" w:after="283"/>
              <w:jc w:val="left"/>
              <w:rPr/>
            </w:pPr>
            <w:r>
              <w:rPr/>
            </w:r>
          </w:p>
        </w:tc>
      </w:tr>
      <w:tr>
        <w:trPr/>
        <w:tc>
          <w:tcPr>
            <w:tcW w:w="2419" w:type="dxa"/>
            <w:tcBorders/>
            <w:vAlign w:val="bottom"/>
          </w:tcPr>
          <w:p>
            <w:pPr>
              <w:pStyle w:val="TableContents"/>
              <w:bidi w:val="0"/>
              <w:spacing w:before="0" w:after="0"/>
              <w:ind w:left="0" w:right="0" w:hanging="0"/>
              <w:jc w:val="left"/>
              <w:rPr/>
            </w:pPr>
            <w:r>
              <w:rPr/>
              <w:t xml:space="preserve">  </w:t>
            </w:r>
          </w:p>
        </w:tc>
        <w:tc>
          <w:tcPr>
            <w:tcW w:w="170" w:type="dxa"/>
            <w:tcBorders/>
            <w:vAlign w:val="bottom"/>
          </w:tcPr>
          <w:p>
            <w:pPr>
              <w:pStyle w:val="TableContents"/>
              <w:bidi w:val="0"/>
              <w:spacing w:before="0" w:after="0"/>
              <w:ind w:left="0" w:right="0" w:hanging="0"/>
              <w:jc w:val="left"/>
              <w:rPr/>
            </w:pPr>
            <w:r>
              <w:rPr/>
              <w:t xml:space="preserve">  </w:t>
            </w:r>
          </w:p>
        </w:tc>
        <w:tc>
          <w:tcPr>
            <w:tcW w:w="1489" w:type="dxa"/>
            <w:gridSpan w:val="2"/>
            <w:tcBorders/>
            <w:vAlign w:val="bottom"/>
          </w:tcPr>
          <w:p>
            <w:pPr>
              <w:pStyle w:val="TableContents"/>
              <w:bidi w:val="0"/>
              <w:spacing w:before="0" w:after="283"/>
              <w:jc w:val="center"/>
              <w:rPr>
                <w:rFonts w:ascii="times new roman;times" w:hAnsi="times new roman;times"/>
                <w:b/>
              </w:rPr>
            </w:pPr>
            <w:bookmarkStart w:id="120" w:name="fs_NMNK6GU6KG00000000000000000000FM"/>
            <w:bookmarkEnd w:id="120"/>
            <w:r>
              <w:rPr>
                <w:rFonts w:ascii="times new roman;times" w:hAnsi="times new roman;times"/>
                <w:b/>
              </w:rPr>
              <w:t>2026</w:t>
            </w:r>
          </w:p>
        </w:tc>
        <w:tc>
          <w:tcPr>
            <w:tcW w:w="88" w:type="dxa"/>
            <w:tcBorders/>
            <w:vAlign w:val="bottom"/>
          </w:tcPr>
          <w:p>
            <w:pPr>
              <w:pStyle w:val="TableContents"/>
              <w:bidi w:val="0"/>
              <w:spacing w:before="0" w:after="283"/>
              <w:jc w:val="left"/>
              <w:rPr/>
            </w:pPr>
            <w:r>
              <w:rPr/>
            </w:r>
          </w:p>
        </w:tc>
        <w:tc>
          <w:tcPr>
            <w:tcW w:w="88" w:type="dxa"/>
            <w:tcBorders/>
            <w:vAlign w:val="bottom"/>
          </w:tcPr>
          <w:p>
            <w:pPr>
              <w:pStyle w:val="TableContents"/>
              <w:bidi w:val="0"/>
              <w:spacing w:before="0" w:after="283"/>
              <w:jc w:val="left"/>
              <w:rPr/>
            </w:pPr>
            <w:r>
              <w:rPr/>
            </w:r>
          </w:p>
        </w:tc>
        <w:tc>
          <w:tcPr>
            <w:tcW w:w="2648" w:type="dxa"/>
            <w:gridSpan w:val="2"/>
            <w:tcBorders/>
            <w:vAlign w:val="bottom"/>
          </w:tcPr>
          <w:p>
            <w:pPr>
              <w:pStyle w:val="TableContents"/>
              <w:widowControl/>
              <w:bidi w:val="0"/>
              <w:spacing w:before="0" w:after="283"/>
              <w:ind w:left="0" w:right="0" w:hanging="0"/>
              <w:jc w:val="center"/>
              <w:rPr>
                <w:rFonts w:ascii="times new roman;times" w:hAnsi="times new roman;times"/>
                <w:b/>
                <w:color w:val="000000"/>
                <w:spacing w:val="0"/>
                <w:sz w:val="20"/>
              </w:rPr>
            </w:pPr>
            <w:bookmarkStart w:id="121" w:name="fs_MADNN3TZRK00000000000000000000FM"/>
            <w:bookmarkEnd w:id="121"/>
            <w:r>
              <w:rPr>
                <w:rFonts w:ascii="times new roman;times" w:hAnsi="times new roman;times"/>
                <w:b/>
                <w:color w:val="000000"/>
                <w:spacing w:val="0"/>
                <w:sz w:val="20"/>
              </w:rPr>
              <w:t>2025</w:t>
            </w:r>
          </w:p>
        </w:tc>
        <w:tc>
          <w:tcPr>
            <w:tcW w:w="33" w:type="dxa"/>
            <w:tcBorders/>
            <w:vAlign w:val="bottom"/>
          </w:tcPr>
          <w:p>
            <w:pPr>
              <w:pStyle w:val="TableContents"/>
              <w:bidi w:val="0"/>
              <w:spacing w:before="0" w:after="283"/>
              <w:jc w:val="left"/>
              <w:rPr/>
            </w:pPr>
            <w:r>
              <w:rPr/>
            </w:r>
          </w:p>
        </w:tc>
        <w:tc>
          <w:tcPr>
            <w:tcW w:w="32" w:type="dxa"/>
            <w:tcBorders/>
            <w:vAlign w:val="center"/>
          </w:tcPr>
          <w:p>
            <w:pPr>
              <w:pStyle w:val="TableContents"/>
              <w:bidi w:val="0"/>
              <w:spacing w:before="0" w:after="283"/>
              <w:jc w:val="left"/>
              <w:rPr/>
            </w:pPr>
            <w:r>
              <w:rPr/>
            </w:r>
          </w:p>
        </w:tc>
        <w:tc>
          <w:tcPr>
            <w:tcW w:w="1098" w:type="dxa"/>
            <w:gridSpan w:val="2"/>
            <w:tcBorders/>
            <w:vAlign w:val="bottom"/>
          </w:tcPr>
          <w:p>
            <w:pPr>
              <w:pStyle w:val="TableContents"/>
              <w:bidi w:val="0"/>
              <w:spacing w:before="0" w:after="283"/>
              <w:jc w:val="center"/>
              <w:rPr>
                <w:rFonts w:ascii="times new roman;times" w:hAnsi="times new roman;times"/>
                <w:b/>
              </w:rPr>
            </w:pPr>
            <w:bookmarkStart w:id="122" w:name="fs_8YCA54AYHS00000000000000000000FM"/>
            <w:bookmarkEnd w:id="122"/>
            <w:r>
              <w:rPr>
                <w:rFonts w:ascii="times new roman;times" w:hAnsi="times new roman;times"/>
                <w:b/>
              </w:rPr>
              <w:t>2026</w:t>
            </w:r>
          </w:p>
        </w:tc>
        <w:tc>
          <w:tcPr>
            <w:tcW w:w="65" w:type="dxa"/>
            <w:tcBorders/>
            <w:vAlign w:val="bottom"/>
          </w:tcPr>
          <w:p>
            <w:pPr>
              <w:pStyle w:val="TableContents"/>
              <w:bidi w:val="0"/>
              <w:spacing w:before="0" w:after="283"/>
              <w:jc w:val="left"/>
              <w:rPr/>
            </w:pPr>
            <w:r>
              <w:rPr/>
            </w:r>
          </w:p>
        </w:tc>
        <w:tc>
          <w:tcPr>
            <w:tcW w:w="65" w:type="dxa"/>
            <w:tcBorders/>
            <w:vAlign w:val="bottom"/>
          </w:tcPr>
          <w:p>
            <w:pPr>
              <w:pStyle w:val="TableContents"/>
              <w:bidi w:val="0"/>
              <w:spacing w:before="0" w:after="283"/>
              <w:jc w:val="left"/>
              <w:rPr/>
            </w:pPr>
            <w:r>
              <w:rPr/>
            </w:r>
          </w:p>
        </w:tc>
        <w:tc>
          <w:tcPr>
            <w:tcW w:w="1955" w:type="dxa"/>
            <w:gridSpan w:val="2"/>
            <w:tcBorders/>
            <w:vAlign w:val="bottom"/>
          </w:tcPr>
          <w:p>
            <w:pPr>
              <w:pStyle w:val="TableContents"/>
              <w:bidi w:val="0"/>
              <w:spacing w:before="0" w:after="283"/>
              <w:jc w:val="center"/>
              <w:rPr>
                <w:rFonts w:ascii="times new roman;times" w:hAnsi="times new roman;times"/>
                <w:b/>
              </w:rPr>
            </w:pPr>
            <w:bookmarkStart w:id="123" w:name="fs_09YMUNX1VK00000000000000000000FM"/>
            <w:bookmarkEnd w:id="123"/>
            <w:r>
              <w:rPr>
                <w:rFonts w:ascii="times new roman;times" w:hAnsi="times new roman;times"/>
                <w:b/>
              </w:rPr>
              <w:t>2025</w:t>
            </w:r>
          </w:p>
        </w:tc>
        <w:tc>
          <w:tcPr>
            <w:tcW w:w="55" w:type="dxa"/>
            <w:tcBorders/>
            <w:vAlign w:val="bottom"/>
          </w:tcPr>
          <w:p>
            <w:pPr>
              <w:pStyle w:val="TableContents"/>
              <w:bidi w:val="0"/>
              <w:spacing w:before="0" w:after="283"/>
              <w:jc w:val="left"/>
              <w:rPr/>
            </w:pPr>
            <w:r>
              <w:rPr/>
            </w:r>
          </w:p>
        </w:tc>
      </w:tr>
      <w:tr>
        <w:trPr/>
        <w:tc>
          <w:tcPr>
            <w:tcW w:w="2419"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Audio conferencing </w:t>
            </w:r>
          </w:p>
        </w:tc>
        <w:tc>
          <w:tcPr>
            <w:tcW w:w="170" w:type="dxa"/>
            <w:tcBorders/>
            <w:shd w:fill="CCEEFF" w:val="clear"/>
            <w:vAlign w:val="bottom"/>
          </w:tcPr>
          <w:p>
            <w:pPr>
              <w:pStyle w:val="TableContents"/>
              <w:bidi w:val="0"/>
              <w:spacing w:before="0" w:after="0"/>
              <w:ind w:left="0" w:right="0" w:hanging="0"/>
              <w:jc w:val="left"/>
              <w:rPr/>
            </w:pPr>
            <w:r>
              <w:rPr/>
              <w:t xml:space="preserve">  </w:t>
            </w:r>
          </w:p>
        </w:tc>
        <w:tc>
          <w:tcPr>
            <w:tcW w:w="483" w:type="dxa"/>
            <w:tcBorders/>
            <w:shd w:fill="CCEEFF" w:val="clear"/>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006" w:type="dxa"/>
            <w:tcBorders/>
            <w:shd w:fill="CCEEFF" w:val="clear"/>
            <w:vAlign w:val="bottom"/>
          </w:tcPr>
          <w:p>
            <w:pPr>
              <w:pStyle w:val="TableContents"/>
              <w:bidi w:val="0"/>
              <w:spacing w:before="0" w:after="283"/>
              <w:jc w:val="right"/>
              <w:rPr/>
            </w:pPr>
            <w:r>
              <w:rPr/>
              <w:t>—</w:t>
            </w:r>
          </w:p>
        </w:tc>
        <w:tc>
          <w:tcPr>
            <w:tcW w:w="88" w:type="dxa"/>
            <w:tcBorders/>
            <w:shd w:fill="CCEEFF" w:val="clear"/>
            <w:vAlign w:val="bottom"/>
          </w:tcPr>
          <w:p>
            <w:pPr>
              <w:pStyle w:val="TableContents"/>
              <w:bidi w:val="0"/>
              <w:spacing w:before="0" w:after="283"/>
              <w:jc w:val="left"/>
              <w:rPr/>
            </w:pPr>
            <w:r>
              <w:rPr/>
            </w:r>
          </w:p>
        </w:tc>
        <w:tc>
          <w:tcPr>
            <w:tcW w:w="88" w:type="dxa"/>
            <w:tcBorders/>
            <w:shd w:fill="CCEEFF" w:val="clear"/>
            <w:vAlign w:val="bottom"/>
          </w:tcPr>
          <w:p>
            <w:pPr>
              <w:pStyle w:val="TableContents"/>
              <w:bidi w:val="0"/>
              <w:spacing w:before="0" w:after="283"/>
              <w:jc w:val="left"/>
              <w:rPr/>
            </w:pPr>
            <w:r>
              <w:rPr/>
            </w:r>
          </w:p>
        </w:tc>
        <w:tc>
          <w:tcPr>
            <w:tcW w:w="482" w:type="dxa"/>
            <w:tcBorders/>
            <w:shd w:fill="CCEEFF" w:val="clear"/>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2166" w:type="dxa"/>
            <w:tcBorders/>
            <w:shd w:fill="CCEEFF" w:val="clear"/>
            <w:vAlign w:val="bottom"/>
          </w:tcPr>
          <w:p>
            <w:pPr>
              <w:pStyle w:val="TableContents"/>
              <w:bidi w:val="0"/>
              <w:spacing w:before="0" w:after="283"/>
              <w:jc w:val="right"/>
              <w:rPr>
                <w:rFonts w:ascii="times new roman;times" w:hAnsi="times new roman;times"/>
              </w:rPr>
            </w:pPr>
            <w:r>
              <w:rPr>
                <w:rFonts w:ascii="times new roman;times" w:hAnsi="times new roman;times"/>
              </w:rPr>
              <w:t>625</w:t>
            </w:r>
          </w:p>
        </w:tc>
        <w:tc>
          <w:tcPr>
            <w:tcW w:w="33" w:type="dxa"/>
            <w:tcBorders/>
            <w:shd w:fill="CCEEFF" w:val="clear"/>
            <w:vAlign w:val="bottom"/>
          </w:tcPr>
          <w:p>
            <w:pPr>
              <w:pStyle w:val="TableContents"/>
              <w:bidi w:val="0"/>
              <w:spacing w:before="0" w:after="283"/>
              <w:jc w:val="left"/>
              <w:rPr/>
            </w:pPr>
            <w:r>
              <w:rPr/>
            </w:r>
          </w:p>
        </w:tc>
        <w:tc>
          <w:tcPr>
            <w:tcW w:w="32" w:type="dxa"/>
            <w:tcBorders/>
            <w:shd w:fill="CCEEFF" w:val="clear"/>
            <w:vAlign w:val="center"/>
          </w:tcPr>
          <w:p>
            <w:pPr>
              <w:pStyle w:val="TableContents"/>
              <w:bidi w:val="0"/>
              <w:spacing w:before="0" w:after="283"/>
              <w:jc w:val="left"/>
              <w:rPr/>
            </w:pPr>
            <w:r>
              <w:rPr/>
            </w:r>
          </w:p>
        </w:tc>
        <w:tc>
          <w:tcPr>
            <w:tcW w:w="356" w:type="dxa"/>
            <w:tcBorders/>
            <w:shd w:fill="CCEEFF" w:val="clear"/>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742"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r>
          </w:p>
        </w:tc>
        <w:tc>
          <w:tcPr>
            <w:tcW w:w="65" w:type="dxa"/>
            <w:tcBorders/>
            <w:shd w:fill="CCEEFF" w:val="clear"/>
            <w:vAlign w:val="bottom"/>
          </w:tcPr>
          <w:p>
            <w:pPr>
              <w:pStyle w:val="TableContents"/>
              <w:bidi w:val="0"/>
              <w:spacing w:before="0" w:after="283"/>
              <w:jc w:val="left"/>
              <w:rPr/>
            </w:pPr>
            <w:r>
              <w:rPr/>
            </w:r>
          </w:p>
        </w:tc>
        <w:tc>
          <w:tcPr>
            <w:tcW w:w="356" w:type="dxa"/>
            <w:tcBorders/>
            <w:shd w:fill="CCEEFF" w:val="clear"/>
            <w:vAlign w:val="bottom"/>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1599" w:type="dxa"/>
            <w:tcBorders/>
            <w:shd w:fill="CCEEFF" w:val="clear"/>
            <w:vAlign w:val="bottom"/>
          </w:tcPr>
          <w:p>
            <w:pPr>
              <w:pStyle w:val="TableContents"/>
              <w:bidi w:val="0"/>
              <w:spacing w:before="0" w:after="283"/>
              <w:jc w:val="right"/>
              <w:rPr>
                <w:rFonts w:ascii="times new roman;times" w:hAnsi="times new roman;times"/>
              </w:rPr>
            </w:pPr>
            <w:r>
              <w:rPr>
                <w:rFonts w:ascii="times new roman;times" w:hAnsi="times new roman;times"/>
              </w:rPr>
              <w:t>1,579</w:t>
            </w:r>
          </w:p>
        </w:tc>
        <w:tc>
          <w:tcPr>
            <w:tcW w:w="55" w:type="dxa"/>
            <w:tcBorders/>
            <w:shd w:fill="CCEEFF" w:val="clear"/>
            <w:vAlign w:val="bottom"/>
          </w:tcPr>
          <w:p>
            <w:pPr>
              <w:pStyle w:val="TableContents"/>
              <w:bidi w:val="0"/>
              <w:spacing w:before="0" w:after="283"/>
              <w:jc w:val="left"/>
              <w:rPr/>
            </w:pPr>
            <w:r>
              <w:rPr/>
            </w:r>
          </w:p>
        </w:tc>
      </w:tr>
      <w:tr>
        <w:trPr/>
        <w:tc>
          <w:tcPr>
            <w:tcW w:w="2419"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Microphones </w:t>
            </w:r>
          </w:p>
        </w:tc>
        <w:tc>
          <w:tcPr>
            <w:tcW w:w="170" w:type="dxa"/>
            <w:tcBorders/>
            <w:vAlign w:val="bottom"/>
          </w:tcPr>
          <w:p>
            <w:pPr>
              <w:pStyle w:val="TableContents"/>
              <w:bidi w:val="0"/>
              <w:spacing w:before="0" w:after="0"/>
              <w:ind w:left="0" w:right="0" w:hanging="0"/>
              <w:jc w:val="left"/>
              <w:rPr/>
            </w:pPr>
            <w:r>
              <w:rPr/>
              <w:t xml:space="preserve">  </w:t>
            </w:r>
          </w:p>
        </w:tc>
        <w:tc>
          <w:tcPr>
            <w:tcW w:w="483" w:type="dxa"/>
            <w:tcBorders/>
            <w:vAlign w:val="bottom"/>
          </w:tcPr>
          <w:p>
            <w:pPr>
              <w:pStyle w:val="TableContents"/>
              <w:bidi w:val="0"/>
              <w:spacing w:before="0" w:after="283"/>
              <w:jc w:val="left"/>
              <w:rPr/>
            </w:pPr>
            <w:r>
              <w:rPr/>
            </w:r>
          </w:p>
        </w:tc>
        <w:tc>
          <w:tcPr>
            <w:tcW w:w="1006" w:type="dxa"/>
            <w:tcBorders/>
            <w:vAlign w:val="bottom"/>
          </w:tcPr>
          <w:p>
            <w:pPr>
              <w:pStyle w:val="TableContents"/>
              <w:bidi w:val="0"/>
              <w:spacing w:before="0" w:after="283"/>
              <w:jc w:val="right"/>
              <w:rPr/>
            </w:pPr>
            <w:r>
              <w:rPr/>
              <w:t>—</w:t>
            </w:r>
          </w:p>
        </w:tc>
        <w:tc>
          <w:tcPr>
            <w:tcW w:w="88" w:type="dxa"/>
            <w:tcBorders/>
            <w:vAlign w:val="bottom"/>
          </w:tcPr>
          <w:p>
            <w:pPr>
              <w:pStyle w:val="TableContents"/>
              <w:bidi w:val="0"/>
              <w:spacing w:before="0" w:after="283"/>
              <w:jc w:val="left"/>
              <w:rPr/>
            </w:pPr>
            <w:r>
              <w:rPr/>
            </w:r>
          </w:p>
        </w:tc>
        <w:tc>
          <w:tcPr>
            <w:tcW w:w="88" w:type="dxa"/>
            <w:tcBorders/>
            <w:vAlign w:val="bottom"/>
          </w:tcPr>
          <w:p>
            <w:pPr>
              <w:pStyle w:val="TableContents"/>
              <w:bidi w:val="0"/>
              <w:spacing w:before="0" w:after="283"/>
              <w:jc w:val="left"/>
              <w:rPr/>
            </w:pPr>
            <w:r>
              <w:rPr/>
            </w:r>
          </w:p>
        </w:tc>
        <w:tc>
          <w:tcPr>
            <w:tcW w:w="482" w:type="dxa"/>
            <w:tcBorders/>
            <w:vAlign w:val="bottom"/>
          </w:tcPr>
          <w:p>
            <w:pPr>
              <w:pStyle w:val="TableContents"/>
              <w:bidi w:val="0"/>
              <w:spacing w:before="0" w:after="283"/>
              <w:jc w:val="left"/>
              <w:rPr/>
            </w:pPr>
            <w:r>
              <w:rPr/>
            </w:r>
          </w:p>
        </w:tc>
        <w:tc>
          <w:tcPr>
            <w:tcW w:w="2166" w:type="dxa"/>
            <w:tcBorders/>
            <w:vAlign w:val="bottom"/>
          </w:tcPr>
          <w:p>
            <w:pPr>
              <w:pStyle w:val="TableContents"/>
              <w:bidi w:val="0"/>
              <w:spacing w:before="0" w:after="283"/>
              <w:jc w:val="right"/>
              <w:rPr>
                <w:rFonts w:ascii="times new roman;times" w:hAnsi="times new roman;times"/>
              </w:rPr>
            </w:pPr>
            <w:r>
              <w:rPr>
                <w:rFonts w:ascii="times new roman;times" w:hAnsi="times new roman;times"/>
              </w:rPr>
              <w:t>971</w:t>
            </w:r>
          </w:p>
        </w:tc>
        <w:tc>
          <w:tcPr>
            <w:tcW w:w="33" w:type="dxa"/>
            <w:tcBorders/>
            <w:vAlign w:val="bottom"/>
          </w:tcPr>
          <w:p>
            <w:pPr>
              <w:pStyle w:val="TableContents"/>
              <w:bidi w:val="0"/>
              <w:spacing w:before="0" w:after="283"/>
              <w:jc w:val="left"/>
              <w:rPr/>
            </w:pPr>
            <w:r>
              <w:rPr/>
            </w:r>
          </w:p>
        </w:tc>
        <w:tc>
          <w:tcPr>
            <w:tcW w:w="32" w:type="dxa"/>
            <w:tcBorders/>
            <w:vAlign w:val="center"/>
          </w:tcPr>
          <w:p>
            <w:pPr>
              <w:pStyle w:val="TableContents"/>
              <w:bidi w:val="0"/>
              <w:spacing w:before="0" w:after="283"/>
              <w:jc w:val="left"/>
              <w:rPr/>
            </w:pPr>
            <w:r>
              <w:rPr/>
            </w:r>
          </w:p>
        </w:tc>
        <w:tc>
          <w:tcPr>
            <w:tcW w:w="356" w:type="dxa"/>
            <w:tcBorders/>
            <w:vAlign w:val="bottom"/>
          </w:tcPr>
          <w:p>
            <w:pPr>
              <w:pStyle w:val="TableContents"/>
              <w:bidi w:val="0"/>
              <w:spacing w:before="0" w:after="283"/>
              <w:jc w:val="left"/>
              <w:rPr/>
            </w:pPr>
            <w:r>
              <w:rPr/>
            </w:r>
          </w:p>
        </w:tc>
        <w:tc>
          <w:tcPr>
            <w:tcW w:w="742"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r>
          </w:p>
        </w:tc>
        <w:tc>
          <w:tcPr>
            <w:tcW w:w="65" w:type="dxa"/>
            <w:tcBorders/>
            <w:vAlign w:val="bottom"/>
          </w:tcPr>
          <w:p>
            <w:pPr>
              <w:pStyle w:val="TableContents"/>
              <w:bidi w:val="0"/>
              <w:spacing w:before="0" w:after="283"/>
              <w:jc w:val="left"/>
              <w:rPr/>
            </w:pPr>
            <w:r>
              <w:rPr/>
            </w:r>
          </w:p>
        </w:tc>
        <w:tc>
          <w:tcPr>
            <w:tcW w:w="356" w:type="dxa"/>
            <w:tcBorders/>
            <w:vAlign w:val="bottom"/>
          </w:tcPr>
          <w:p>
            <w:pPr>
              <w:pStyle w:val="TableContents"/>
              <w:bidi w:val="0"/>
              <w:spacing w:before="0" w:after="283"/>
              <w:jc w:val="left"/>
              <w:rPr/>
            </w:pPr>
            <w:r>
              <w:rPr/>
            </w:r>
          </w:p>
        </w:tc>
        <w:tc>
          <w:tcPr>
            <w:tcW w:w="1599" w:type="dxa"/>
            <w:tcBorders/>
            <w:vAlign w:val="bottom"/>
          </w:tcPr>
          <w:p>
            <w:pPr>
              <w:pStyle w:val="TableContents"/>
              <w:bidi w:val="0"/>
              <w:spacing w:before="0" w:after="283"/>
              <w:jc w:val="right"/>
              <w:rPr>
                <w:rFonts w:ascii="times new roman;times" w:hAnsi="times new roman;times"/>
              </w:rPr>
            </w:pPr>
            <w:r>
              <w:rPr>
                <w:rFonts w:ascii="times new roman;times" w:hAnsi="times new roman;times"/>
              </w:rPr>
              <w:t>2,089</w:t>
            </w:r>
          </w:p>
        </w:tc>
        <w:tc>
          <w:tcPr>
            <w:tcW w:w="55" w:type="dxa"/>
            <w:tcBorders/>
            <w:vAlign w:val="bottom"/>
          </w:tcPr>
          <w:p>
            <w:pPr>
              <w:pStyle w:val="TableContents"/>
              <w:bidi w:val="0"/>
              <w:spacing w:before="0" w:after="283"/>
              <w:jc w:val="left"/>
              <w:rPr/>
            </w:pPr>
            <w:r>
              <w:rPr/>
            </w:r>
          </w:p>
        </w:tc>
      </w:tr>
      <w:tr>
        <w:trPr/>
        <w:tc>
          <w:tcPr>
            <w:tcW w:w="2419"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Video products </w:t>
            </w:r>
          </w:p>
        </w:tc>
        <w:tc>
          <w:tcPr>
            <w:tcW w:w="170" w:type="dxa"/>
            <w:tcBorders/>
            <w:shd w:fill="CCEEFF" w:val="clear"/>
            <w:vAlign w:val="bottom"/>
          </w:tcPr>
          <w:p>
            <w:pPr>
              <w:pStyle w:val="TableContents"/>
              <w:bidi w:val="0"/>
              <w:spacing w:before="0" w:after="0"/>
              <w:ind w:left="0" w:right="0" w:hanging="0"/>
              <w:jc w:val="left"/>
              <w:rPr/>
            </w:pPr>
            <w:r>
              <w:rPr/>
              <w:t xml:space="preserve">  </w:t>
            </w:r>
          </w:p>
        </w:tc>
        <w:tc>
          <w:tcPr>
            <w:tcW w:w="483" w:type="dxa"/>
            <w:tcBorders/>
            <w:shd w:fill="CCEEFF" w:val="clear"/>
            <w:vAlign w:val="bottom"/>
          </w:tcPr>
          <w:p>
            <w:pPr>
              <w:pStyle w:val="TableContents"/>
              <w:bidi w:val="0"/>
              <w:spacing w:before="0" w:after="283"/>
              <w:jc w:val="left"/>
              <w:rPr/>
            </w:pPr>
            <w:r>
              <w:rPr/>
            </w:r>
          </w:p>
        </w:tc>
        <w:tc>
          <w:tcPr>
            <w:tcW w:w="1006" w:type="dxa"/>
            <w:tcBorders/>
            <w:shd w:fill="CCEEFF" w:val="clear"/>
            <w:vAlign w:val="bottom"/>
          </w:tcPr>
          <w:p>
            <w:pPr>
              <w:pStyle w:val="TableContents"/>
              <w:bidi w:val="0"/>
              <w:spacing w:before="0" w:after="283"/>
              <w:jc w:val="right"/>
              <w:rPr/>
            </w:pPr>
            <w:r>
              <w:rPr/>
              <w:t>—</w:t>
            </w:r>
          </w:p>
        </w:tc>
        <w:tc>
          <w:tcPr>
            <w:tcW w:w="88" w:type="dxa"/>
            <w:tcBorders/>
            <w:shd w:fill="CCEEFF" w:val="clear"/>
            <w:vAlign w:val="bottom"/>
          </w:tcPr>
          <w:p>
            <w:pPr>
              <w:pStyle w:val="TableContents"/>
              <w:bidi w:val="0"/>
              <w:spacing w:before="0" w:after="283"/>
              <w:jc w:val="left"/>
              <w:rPr/>
            </w:pPr>
            <w:r>
              <w:rPr/>
            </w:r>
          </w:p>
        </w:tc>
        <w:tc>
          <w:tcPr>
            <w:tcW w:w="88" w:type="dxa"/>
            <w:tcBorders/>
            <w:shd w:fill="CCEEFF" w:val="clear"/>
            <w:vAlign w:val="bottom"/>
          </w:tcPr>
          <w:p>
            <w:pPr>
              <w:pStyle w:val="TableContents"/>
              <w:bidi w:val="0"/>
              <w:spacing w:before="0" w:after="283"/>
              <w:jc w:val="left"/>
              <w:rPr/>
            </w:pPr>
            <w:r>
              <w:rPr/>
            </w:r>
          </w:p>
        </w:tc>
        <w:tc>
          <w:tcPr>
            <w:tcW w:w="482" w:type="dxa"/>
            <w:tcBorders/>
            <w:shd w:fill="CCEEFF" w:val="clear"/>
            <w:vAlign w:val="bottom"/>
          </w:tcPr>
          <w:p>
            <w:pPr>
              <w:pStyle w:val="TableContents"/>
              <w:bidi w:val="0"/>
              <w:spacing w:before="0" w:after="283"/>
              <w:jc w:val="left"/>
              <w:rPr/>
            </w:pPr>
            <w:r>
              <w:rPr/>
            </w:r>
          </w:p>
        </w:tc>
        <w:tc>
          <w:tcPr>
            <w:tcW w:w="2166" w:type="dxa"/>
            <w:tcBorders/>
            <w:shd w:fill="CCEEFF" w:val="clear"/>
            <w:vAlign w:val="bottom"/>
          </w:tcPr>
          <w:p>
            <w:pPr>
              <w:pStyle w:val="TableContents"/>
              <w:bidi w:val="0"/>
              <w:spacing w:before="0" w:after="283"/>
              <w:jc w:val="right"/>
              <w:rPr>
                <w:rFonts w:ascii="times new roman;times" w:hAnsi="times new roman;times"/>
              </w:rPr>
            </w:pPr>
            <w:r>
              <w:rPr>
                <w:rFonts w:ascii="times new roman;times" w:hAnsi="times new roman;times"/>
              </w:rPr>
              <w:t>320</w:t>
            </w:r>
          </w:p>
        </w:tc>
        <w:tc>
          <w:tcPr>
            <w:tcW w:w="33" w:type="dxa"/>
            <w:tcBorders/>
            <w:shd w:fill="CCEEFF" w:val="clear"/>
            <w:vAlign w:val="bottom"/>
          </w:tcPr>
          <w:p>
            <w:pPr>
              <w:pStyle w:val="TableContents"/>
              <w:bidi w:val="0"/>
              <w:spacing w:before="0" w:after="283"/>
              <w:jc w:val="left"/>
              <w:rPr/>
            </w:pPr>
            <w:r>
              <w:rPr/>
            </w:r>
          </w:p>
        </w:tc>
        <w:tc>
          <w:tcPr>
            <w:tcW w:w="32" w:type="dxa"/>
            <w:tcBorders/>
            <w:shd w:fill="CCEEFF" w:val="clear"/>
            <w:vAlign w:val="center"/>
          </w:tcPr>
          <w:p>
            <w:pPr>
              <w:pStyle w:val="TableContents"/>
              <w:bidi w:val="0"/>
              <w:spacing w:before="0" w:after="283"/>
              <w:jc w:val="left"/>
              <w:rPr/>
            </w:pPr>
            <w:r>
              <w:rPr/>
            </w:r>
          </w:p>
        </w:tc>
        <w:tc>
          <w:tcPr>
            <w:tcW w:w="356" w:type="dxa"/>
            <w:tcBorders/>
            <w:shd w:fill="CCEEFF" w:val="clear"/>
            <w:vAlign w:val="bottom"/>
          </w:tcPr>
          <w:p>
            <w:pPr>
              <w:pStyle w:val="TableContents"/>
              <w:bidi w:val="0"/>
              <w:spacing w:before="0" w:after="283"/>
              <w:jc w:val="left"/>
              <w:rPr/>
            </w:pPr>
            <w:r>
              <w:rPr/>
            </w:r>
          </w:p>
        </w:tc>
        <w:tc>
          <w:tcPr>
            <w:tcW w:w="742" w:type="dxa"/>
            <w:tcBorders/>
            <w:shd w:fill="CCEEFF" w:val="clear"/>
            <w:vAlign w:val="bottom"/>
          </w:tcPr>
          <w:p>
            <w:pPr>
              <w:pStyle w:val="TableContents"/>
              <w:bidi w:val="0"/>
              <w:spacing w:before="0" w:after="283"/>
              <w:jc w:val="right"/>
              <w:rPr/>
            </w:pPr>
            <w:r>
              <w:rPr/>
              <w:t>—</w:t>
            </w:r>
          </w:p>
        </w:tc>
        <w:tc>
          <w:tcPr>
            <w:tcW w:w="65" w:type="dxa"/>
            <w:tcBorders/>
            <w:shd w:fill="CCEEFF" w:val="clear"/>
            <w:vAlign w:val="bottom"/>
          </w:tcPr>
          <w:p>
            <w:pPr>
              <w:pStyle w:val="TableContents"/>
              <w:bidi w:val="0"/>
              <w:spacing w:before="0" w:after="283"/>
              <w:jc w:val="left"/>
              <w:rPr/>
            </w:pPr>
            <w:r>
              <w:rPr/>
            </w:r>
          </w:p>
        </w:tc>
        <w:tc>
          <w:tcPr>
            <w:tcW w:w="65" w:type="dxa"/>
            <w:tcBorders/>
            <w:shd w:fill="CCEEFF" w:val="clear"/>
            <w:vAlign w:val="bottom"/>
          </w:tcPr>
          <w:p>
            <w:pPr>
              <w:pStyle w:val="TableContents"/>
              <w:bidi w:val="0"/>
              <w:spacing w:before="0" w:after="283"/>
              <w:jc w:val="left"/>
              <w:rPr/>
            </w:pPr>
            <w:r>
              <w:rPr/>
            </w:r>
          </w:p>
        </w:tc>
        <w:tc>
          <w:tcPr>
            <w:tcW w:w="356" w:type="dxa"/>
            <w:tcBorders/>
            <w:shd w:fill="CCEEFF" w:val="clear"/>
            <w:vAlign w:val="bottom"/>
          </w:tcPr>
          <w:p>
            <w:pPr>
              <w:pStyle w:val="TableContents"/>
              <w:bidi w:val="0"/>
              <w:spacing w:before="0" w:after="283"/>
              <w:jc w:val="left"/>
              <w:rPr/>
            </w:pPr>
            <w:r>
              <w:rPr/>
            </w:r>
          </w:p>
        </w:tc>
        <w:tc>
          <w:tcPr>
            <w:tcW w:w="1599" w:type="dxa"/>
            <w:tcBorders/>
            <w:shd w:fill="CCEEFF" w:val="clear"/>
            <w:vAlign w:val="bottom"/>
          </w:tcPr>
          <w:p>
            <w:pPr>
              <w:pStyle w:val="TableContents"/>
              <w:bidi w:val="0"/>
              <w:spacing w:before="0" w:after="283"/>
              <w:jc w:val="right"/>
              <w:rPr>
                <w:rFonts w:ascii="times new roman;times" w:hAnsi="times new roman;times"/>
              </w:rPr>
            </w:pPr>
            <w:r>
              <w:rPr>
                <w:rFonts w:ascii="times new roman;times" w:hAnsi="times new roman;times"/>
              </w:rPr>
              <w:t>561</w:t>
            </w:r>
          </w:p>
        </w:tc>
        <w:tc>
          <w:tcPr>
            <w:tcW w:w="55" w:type="dxa"/>
            <w:tcBorders/>
            <w:shd w:fill="CCEEFF" w:val="clear"/>
            <w:vAlign w:val="bottom"/>
          </w:tcPr>
          <w:p>
            <w:pPr>
              <w:pStyle w:val="TableContents"/>
              <w:bidi w:val="0"/>
              <w:spacing w:before="0" w:after="283"/>
              <w:jc w:val="left"/>
              <w:rPr/>
            </w:pPr>
            <w:r>
              <w:rPr/>
            </w:r>
          </w:p>
        </w:tc>
      </w:tr>
      <w:tr>
        <w:trPr/>
        <w:tc>
          <w:tcPr>
            <w:tcW w:w="2419" w:type="dxa"/>
            <w:tcBorders/>
            <w:vAlign w:val="bottom"/>
          </w:tcPr>
          <w:p>
            <w:pPr>
              <w:pStyle w:val="TableContents"/>
              <w:bidi w:val="0"/>
              <w:spacing w:before="0" w:after="0"/>
              <w:ind w:left="0" w:right="0" w:hanging="0"/>
              <w:jc w:val="left"/>
              <w:rPr/>
            </w:pPr>
            <w:r>
              <w:rPr/>
              <w:t xml:space="preserve">  </w:t>
            </w:r>
          </w:p>
        </w:tc>
        <w:tc>
          <w:tcPr>
            <w:tcW w:w="170" w:type="dxa"/>
            <w:tcBorders/>
            <w:vAlign w:val="bottom"/>
          </w:tcPr>
          <w:p>
            <w:pPr>
              <w:pStyle w:val="TableContents"/>
              <w:bidi w:val="0"/>
              <w:spacing w:before="0" w:after="0"/>
              <w:ind w:left="0" w:right="0" w:hanging="0"/>
              <w:jc w:val="left"/>
              <w:rPr/>
            </w:pPr>
            <w:r>
              <w:rPr/>
              <w:t xml:space="preserve">  </w:t>
            </w:r>
          </w:p>
        </w:tc>
        <w:tc>
          <w:tcPr>
            <w:tcW w:w="483" w:type="dxa"/>
            <w:tcBorders/>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006" w:type="dxa"/>
            <w:tcBorders/>
            <w:vAlign w:val="bottom"/>
          </w:tcPr>
          <w:p>
            <w:pPr>
              <w:pStyle w:val="TableContents"/>
              <w:bidi w:val="0"/>
              <w:spacing w:before="0" w:after="283"/>
              <w:jc w:val="right"/>
              <w:rPr/>
            </w:pPr>
            <w:r>
              <w:rPr/>
              <w:t>—</w:t>
            </w:r>
          </w:p>
        </w:tc>
        <w:tc>
          <w:tcPr>
            <w:tcW w:w="88" w:type="dxa"/>
            <w:tcBorders/>
            <w:vAlign w:val="bottom"/>
          </w:tcPr>
          <w:p>
            <w:pPr>
              <w:pStyle w:val="TableContents"/>
              <w:bidi w:val="0"/>
              <w:spacing w:before="0" w:after="283"/>
              <w:jc w:val="left"/>
              <w:rPr/>
            </w:pPr>
            <w:r>
              <w:rPr/>
            </w:r>
          </w:p>
        </w:tc>
        <w:tc>
          <w:tcPr>
            <w:tcW w:w="88" w:type="dxa"/>
            <w:tcBorders/>
            <w:vAlign w:val="bottom"/>
          </w:tcPr>
          <w:p>
            <w:pPr>
              <w:pStyle w:val="TableContents"/>
              <w:bidi w:val="0"/>
              <w:spacing w:before="0" w:after="283"/>
              <w:jc w:val="left"/>
              <w:rPr/>
            </w:pPr>
            <w:r>
              <w:rPr/>
            </w:r>
          </w:p>
        </w:tc>
        <w:tc>
          <w:tcPr>
            <w:tcW w:w="482" w:type="dxa"/>
            <w:tcBorders/>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2166" w:type="dxa"/>
            <w:tcBorders/>
            <w:vAlign w:val="bottom"/>
          </w:tcPr>
          <w:p>
            <w:pPr>
              <w:pStyle w:val="TableContents"/>
              <w:bidi w:val="0"/>
              <w:spacing w:before="0" w:after="283"/>
              <w:jc w:val="right"/>
              <w:rPr>
                <w:rFonts w:ascii="times new roman;times" w:hAnsi="times new roman;times"/>
              </w:rPr>
            </w:pPr>
            <w:r>
              <w:rPr>
                <w:rFonts w:ascii="times new roman;times" w:hAnsi="times new roman;times"/>
              </w:rPr>
              <w:t>1,916</w:t>
            </w:r>
          </w:p>
        </w:tc>
        <w:tc>
          <w:tcPr>
            <w:tcW w:w="33" w:type="dxa"/>
            <w:tcBorders/>
            <w:vAlign w:val="bottom"/>
          </w:tcPr>
          <w:p>
            <w:pPr>
              <w:pStyle w:val="TableContents"/>
              <w:bidi w:val="0"/>
              <w:spacing w:before="0" w:after="283"/>
              <w:jc w:val="left"/>
              <w:rPr/>
            </w:pPr>
            <w:r>
              <w:rPr/>
            </w:r>
          </w:p>
        </w:tc>
        <w:tc>
          <w:tcPr>
            <w:tcW w:w="32" w:type="dxa"/>
            <w:tcBorders/>
            <w:vAlign w:val="center"/>
          </w:tcPr>
          <w:p>
            <w:pPr>
              <w:pStyle w:val="TableContents"/>
              <w:bidi w:val="0"/>
              <w:spacing w:before="0" w:after="283"/>
              <w:jc w:val="left"/>
              <w:rPr/>
            </w:pPr>
            <w:r>
              <w:rPr/>
            </w:r>
          </w:p>
        </w:tc>
        <w:tc>
          <w:tcPr>
            <w:tcW w:w="356" w:type="dxa"/>
            <w:tcBorders/>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742" w:type="dxa"/>
            <w:tcBorders/>
            <w:vAlign w:val="bottom"/>
          </w:tcPr>
          <w:p>
            <w:pPr>
              <w:pStyle w:val="TableContents"/>
              <w:bidi w:val="0"/>
              <w:spacing w:before="0" w:after="283"/>
              <w:jc w:val="right"/>
              <w:rPr/>
            </w:pPr>
            <w:r>
              <w:rPr/>
              <w:t>—</w:t>
            </w:r>
          </w:p>
        </w:tc>
        <w:tc>
          <w:tcPr>
            <w:tcW w:w="65" w:type="dxa"/>
            <w:tcBorders/>
            <w:vAlign w:val="bottom"/>
          </w:tcPr>
          <w:p>
            <w:pPr>
              <w:pStyle w:val="TableContents"/>
              <w:bidi w:val="0"/>
              <w:spacing w:before="0" w:after="283"/>
              <w:jc w:val="left"/>
              <w:rPr/>
            </w:pPr>
            <w:r>
              <w:rPr/>
            </w:r>
          </w:p>
        </w:tc>
        <w:tc>
          <w:tcPr>
            <w:tcW w:w="65" w:type="dxa"/>
            <w:tcBorders/>
            <w:vAlign w:val="bottom"/>
          </w:tcPr>
          <w:p>
            <w:pPr>
              <w:pStyle w:val="TableContents"/>
              <w:bidi w:val="0"/>
              <w:spacing w:before="0" w:after="283"/>
              <w:jc w:val="left"/>
              <w:rPr/>
            </w:pPr>
            <w:r>
              <w:rPr/>
            </w:r>
          </w:p>
        </w:tc>
        <w:tc>
          <w:tcPr>
            <w:tcW w:w="356" w:type="dxa"/>
            <w:tcBorders/>
            <w:vAlign w:val="bottom"/>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1599" w:type="dxa"/>
            <w:tcBorders/>
            <w:vAlign w:val="bottom"/>
          </w:tcPr>
          <w:p>
            <w:pPr>
              <w:pStyle w:val="TableContents"/>
              <w:bidi w:val="0"/>
              <w:spacing w:before="0" w:after="283"/>
              <w:jc w:val="right"/>
              <w:rPr>
                <w:rFonts w:ascii="times new roman;times" w:hAnsi="times new roman;times"/>
              </w:rPr>
            </w:pPr>
            <w:r>
              <w:rPr>
                <w:rFonts w:ascii="times new roman;times" w:hAnsi="times new roman;times"/>
              </w:rPr>
              <w:t>4,229</w:t>
            </w:r>
          </w:p>
        </w:tc>
        <w:tc>
          <w:tcPr>
            <w:tcW w:w="55" w:type="dxa"/>
            <w:tcBorders/>
            <w:vAlign w:val="bottom"/>
          </w:tcPr>
          <w:p>
            <w:pPr>
              <w:pStyle w:val="TableContents"/>
              <w:bidi w:val="0"/>
              <w:spacing w:before="0" w:after="283"/>
              <w:jc w:val="left"/>
              <w:rPr/>
            </w:pPr>
            <w:r>
              <w:rPr/>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144" w:right="144" w:hanging="0"/>
        <w:jc w:val="both"/>
        <w:rPr/>
      </w:pPr>
      <w:r>
        <w:rPr/>
      </w:r>
    </w:p>
    <w:p>
      <w:pPr>
        <w:pStyle w:val="TextBody"/>
        <w:bidi w:val="0"/>
        <w:spacing w:before="0" w:after="0"/>
        <w:ind w:left="0" w:right="0" w:hanging="0"/>
        <w:jc w:val="both"/>
        <w:rPr>
          <w:rFonts w:ascii="times new roman;times" w:hAnsi="times new roman;times"/>
          <w:sz w:val="20"/>
        </w:rPr>
      </w:pPr>
      <w:r>
        <w:rPr>
          <w:rFonts w:ascii="times new roman;times" w:hAnsi="times new roman;times"/>
          <w:sz w:val="20"/>
        </w:rPr>
        <w:t>The following table disaggregates the Company’s revenue into major regions: </w:t>
      </w:r>
    </w:p>
    <w:p>
      <w:pPr>
        <w:pStyle w:val="TextBody"/>
        <w:bidi w:val="0"/>
        <w:spacing w:before="0" w:after="0"/>
        <w:ind w:left="144" w:right="144" w:hanging="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642"/>
        <w:gridCol w:w="122"/>
        <w:gridCol w:w="344"/>
        <w:gridCol w:w="719"/>
        <w:gridCol w:w="63"/>
        <w:gridCol w:w="63"/>
        <w:gridCol w:w="345"/>
        <w:gridCol w:w="1548"/>
        <w:gridCol w:w="23"/>
        <w:gridCol w:w="23"/>
        <w:gridCol w:w="246"/>
        <w:gridCol w:w="514"/>
        <w:gridCol w:w="44"/>
        <w:gridCol w:w="118"/>
        <w:gridCol w:w="246"/>
        <w:gridCol w:w="1106"/>
        <w:gridCol w:w="39"/>
      </w:tblGrid>
      <w:tr>
        <w:trPr/>
        <w:tc>
          <w:tcPr>
            <w:tcW w:w="4642" w:type="dxa"/>
            <w:tcBorders/>
            <w:vAlign w:val="bottom"/>
          </w:tcPr>
          <w:p>
            <w:pPr>
              <w:pStyle w:val="TableContents"/>
              <w:bidi w:val="0"/>
              <w:spacing w:before="0" w:after="0"/>
              <w:ind w:left="0" w:right="0" w:hanging="0"/>
              <w:jc w:val="left"/>
              <w:rPr/>
            </w:pPr>
            <w:r>
              <w:rPr/>
              <w:t xml:space="preserve">  </w:t>
            </w:r>
          </w:p>
        </w:tc>
        <w:tc>
          <w:tcPr>
            <w:tcW w:w="122" w:type="dxa"/>
            <w:tcBorders/>
            <w:vAlign w:val="bottom"/>
          </w:tcPr>
          <w:p>
            <w:pPr>
              <w:pStyle w:val="TableContents"/>
              <w:bidi w:val="0"/>
              <w:spacing w:before="0" w:after="0"/>
              <w:ind w:left="0" w:right="0" w:hanging="0"/>
              <w:jc w:val="left"/>
              <w:rPr/>
            </w:pPr>
            <w:r>
              <w:rPr/>
              <w:t xml:space="preserve">  </w:t>
            </w:r>
          </w:p>
        </w:tc>
        <w:tc>
          <w:tcPr>
            <w:tcW w:w="3082" w:type="dxa"/>
            <w:gridSpan w:val="6"/>
            <w:tcBorders/>
            <w:vAlign w:val="bottom"/>
          </w:tcPr>
          <w:p>
            <w:pPr>
              <w:pStyle w:val="TableContents"/>
              <w:bidi w:val="0"/>
              <w:spacing w:before="0" w:after="283"/>
              <w:jc w:val="center"/>
              <w:rPr>
                <w:rFonts w:ascii="times new roman;times" w:hAnsi="times new roman;times"/>
                <w:b/>
              </w:rPr>
            </w:pPr>
            <w:bookmarkStart w:id="124" w:name="fs_977MBFIULS00000000000000000000FM"/>
            <w:bookmarkEnd w:id="124"/>
            <w:r>
              <w:rPr>
                <w:rFonts w:ascii="times new roman;times" w:hAnsi="times new roman;times"/>
                <w:b/>
              </w:rPr>
              <w:t>Three months ended June 30,</w:t>
            </w:r>
          </w:p>
        </w:tc>
        <w:tc>
          <w:tcPr>
            <w:tcW w:w="23" w:type="dxa"/>
            <w:tcBorders/>
            <w:vAlign w:val="bottom"/>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274" w:type="dxa"/>
            <w:gridSpan w:val="6"/>
            <w:tcBorders/>
            <w:vAlign w:val="bottom"/>
          </w:tcPr>
          <w:p>
            <w:pPr>
              <w:pStyle w:val="TableContents"/>
              <w:widowControl/>
              <w:bidi w:val="0"/>
              <w:spacing w:before="0" w:after="283"/>
              <w:ind w:left="0" w:right="0" w:hanging="0"/>
              <w:jc w:val="center"/>
              <w:rPr>
                <w:rFonts w:ascii="times new roman;times" w:hAnsi="times new roman;times"/>
                <w:b/>
                <w:color w:val="000000"/>
                <w:spacing w:val="0"/>
                <w:sz w:val="20"/>
              </w:rPr>
            </w:pPr>
            <w:bookmarkStart w:id="125" w:name="fs_CZF2DKITLC00000000000000000000FM"/>
            <w:bookmarkEnd w:id="125"/>
            <w:r>
              <w:rPr>
                <w:rFonts w:ascii="times new roman;times" w:hAnsi="times new roman;times"/>
                <w:b/>
                <w:color w:val="000000"/>
                <w:spacing w:val="0"/>
                <w:sz w:val="20"/>
              </w:rPr>
              <w:t>Six months ended June 30,</w:t>
            </w:r>
          </w:p>
        </w:tc>
        <w:tc>
          <w:tcPr>
            <w:tcW w:w="39" w:type="dxa"/>
            <w:tcBorders/>
            <w:vAlign w:val="bottom"/>
          </w:tcPr>
          <w:p>
            <w:pPr>
              <w:pStyle w:val="TableContents"/>
              <w:bidi w:val="0"/>
              <w:spacing w:before="0" w:after="283"/>
              <w:jc w:val="left"/>
              <w:rPr/>
            </w:pPr>
            <w:r>
              <w:rPr/>
            </w:r>
          </w:p>
        </w:tc>
      </w:tr>
      <w:tr>
        <w:trPr/>
        <w:tc>
          <w:tcPr>
            <w:tcW w:w="4642" w:type="dxa"/>
            <w:tcBorders/>
            <w:vAlign w:val="bottom"/>
          </w:tcPr>
          <w:p>
            <w:pPr>
              <w:pStyle w:val="TableContents"/>
              <w:bidi w:val="0"/>
              <w:spacing w:before="0" w:after="0"/>
              <w:ind w:left="0" w:right="0" w:hanging="0"/>
              <w:jc w:val="left"/>
              <w:rPr/>
            </w:pPr>
            <w:r>
              <w:rPr/>
              <w:t xml:space="preserve">  </w:t>
            </w:r>
          </w:p>
        </w:tc>
        <w:tc>
          <w:tcPr>
            <w:tcW w:w="122" w:type="dxa"/>
            <w:tcBorders/>
            <w:vAlign w:val="bottom"/>
          </w:tcPr>
          <w:p>
            <w:pPr>
              <w:pStyle w:val="TableContents"/>
              <w:bidi w:val="0"/>
              <w:spacing w:before="0" w:after="0"/>
              <w:ind w:left="0" w:right="0" w:hanging="0"/>
              <w:jc w:val="left"/>
              <w:rPr/>
            </w:pPr>
            <w:r>
              <w:rPr/>
              <w:t xml:space="preserve">  </w:t>
            </w:r>
          </w:p>
        </w:tc>
        <w:tc>
          <w:tcPr>
            <w:tcW w:w="1063" w:type="dxa"/>
            <w:gridSpan w:val="2"/>
            <w:tcBorders/>
            <w:vAlign w:val="bottom"/>
          </w:tcPr>
          <w:p>
            <w:pPr>
              <w:pStyle w:val="TableContents"/>
              <w:bidi w:val="0"/>
              <w:spacing w:before="0" w:after="283"/>
              <w:jc w:val="center"/>
              <w:rPr>
                <w:rFonts w:ascii="times new roman;times" w:hAnsi="times new roman;times"/>
                <w:b/>
              </w:rPr>
            </w:pPr>
            <w:bookmarkStart w:id="126" w:name="fs_XUYR60HWYO00000000000000000000fs"/>
            <w:bookmarkEnd w:id="126"/>
            <w:r>
              <w:rPr>
                <w:rFonts w:ascii="times new roman;times" w:hAnsi="times new roman;times"/>
                <w:b/>
              </w:rPr>
              <w:t>2026</w:t>
            </w:r>
          </w:p>
        </w:tc>
        <w:tc>
          <w:tcPr>
            <w:tcW w:w="63" w:type="dxa"/>
            <w:tcBorders/>
            <w:vAlign w:val="bottom"/>
          </w:tcPr>
          <w:p>
            <w:pPr>
              <w:pStyle w:val="TableContents"/>
              <w:bidi w:val="0"/>
              <w:spacing w:before="0" w:after="283"/>
              <w:jc w:val="left"/>
              <w:rPr/>
            </w:pPr>
            <w:r>
              <w:rPr/>
            </w:r>
          </w:p>
        </w:tc>
        <w:tc>
          <w:tcPr>
            <w:tcW w:w="63" w:type="dxa"/>
            <w:tcBorders/>
            <w:vAlign w:val="bottom"/>
          </w:tcPr>
          <w:p>
            <w:pPr>
              <w:pStyle w:val="TableContents"/>
              <w:bidi w:val="0"/>
              <w:spacing w:before="0" w:after="283"/>
              <w:jc w:val="left"/>
              <w:rPr/>
            </w:pPr>
            <w:r>
              <w:rPr/>
            </w:r>
          </w:p>
        </w:tc>
        <w:tc>
          <w:tcPr>
            <w:tcW w:w="1893" w:type="dxa"/>
            <w:gridSpan w:val="2"/>
            <w:tcBorders/>
            <w:vAlign w:val="bottom"/>
          </w:tcPr>
          <w:p>
            <w:pPr>
              <w:pStyle w:val="TableContents"/>
              <w:bidi w:val="0"/>
              <w:spacing w:before="0" w:after="283"/>
              <w:jc w:val="center"/>
              <w:rPr>
                <w:rFonts w:ascii="times new roman;times" w:hAnsi="times new roman;times"/>
                <w:b/>
              </w:rPr>
            </w:pPr>
            <w:bookmarkStart w:id="127" w:name="fs_48LMQLYDV400000000000000000000fs"/>
            <w:bookmarkEnd w:id="127"/>
            <w:r>
              <w:rPr>
                <w:rFonts w:ascii="times new roman;times" w:hAnsi="times new roman;times"/>
                <w:b/>
              </w:rPr>
              <w:t>2025</w:t>
            </w:r>
          </w:p>
        </w:tc>
        <w:tc>
          <w:tcPr>
            <w:tcW w:w="23" w:type="dxa"/>
            <w:tcBorders/>
            <w:vAlign w:val="bottom"/>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760" w:type="dxa"/>
            <w:gridSpan w:val="2"/>
            <w:tcBorders/>
            <w:vAlign w:val="bottom"/>
          </w:tcPr>
          <w:p>
            <w:pPr>
              <w:pStyle w:val="TableContents"/>
              <w:bidi w:val="0"/>
              <w:spacing w:before="0" w:after="283"/>
              <w:jc w:val="center"/>
              <w:rPr>
                <w:rFonts w:ascii="times new roman;times" w:hAnsi="times new roman;times"/>
                <w:b/>
              </w:rPr>
            </w:pPr>
            <w:bookmarkStart w:id="128" w:name="fs_TWVHEDN8ZK00000000000000000000FM"/>
            <w:bookmarkEnd w:id="128"/>
            <w:r>
              <w:rPr>
                <w:rFonts w:ascii="times new roman;times" w:hAnsi="times new roman;times"/>
                <w:b/>
              </w:rPr>
              <w:t>2026</w:t>
            </w:r>
          </w:p>
        </w:tc>
        <w:tc>
          <w:tcPr>
            <w:tcW w:w="44" w:type="dxa"/>
            <w:tcBorders/>
            <w:vAlign w:val="bottom"/>
          </w:tcPr>
          <w:p>
            <w:pPr>
              <w:pStyle w:val="TableContents"/>
              <w:bidi w:val="0"/>
              <w:spacing w:before="0" w:after="283"/>
              <w:jc w:val="left"/>
              <w:rPr/>
            </w:pPr>
            <w:r>
              <w:rPr/>
            </w:r>
          </w:p>
        </w:tc>
        <w:tc>
          <w:tcPr>
            <w:tcW w:w="118" w:type="dxa"/>
            <w:tcBorders/>
            <w:vAlign w:val="bottom"/>
          </w:tcPr>
          <w:p>
            <w:pPr>
              <w:pStyle w:val="TableContents"/>
              <w:bidi w:val="0"/>
              <w:spacing w:before="0" w:after="283"/>
              <w:jc w:val="left"/>
              <w:rPr/>
            </w:pPr>
            <w:r>
              <w:rPr/>
            </w:r>
          </w:p>
        </w:tc>
        <w:tc>
          <w:tcPr>
            <w:tcW w:w="1352" w:type="dxa"/>
            <w:gridSpan w:val="2"/>
            <w:tcBorders/>
            <w:vAlign w:val="bottom"/>
          </w:tcPr>
          <w:p>
            <w:pPr>
              <w:pStyle w:val="TableContents"/>
              <w:bidi w:val="0"/>
              <w:spacing w:before="0" w:after="283"/>
              <w:jc w:val="center"/>
              <w:rPr>
                <w:rFonts w:ascii="times new roman;times" w:hAnsi="times new roman;times"/>
                <w:b/>
              </w:rPr>
            </w:pPr>
            <w:bookmarkStart w:id="129" w:name="fs_CKT45TUVXC00000000000000000000FM"/>
            <w:bookmarkEnd w:id="129"/>
            <w:r>
              <w:rPr>
                <w:rFonts w:ascii="times new roman;times" w:hAnsi="times new roman;times"/>
                <w:b/>
              </w:rPr>
              <w:t>2025</w:t>
            </w:r>
          </w:p>
        </w:tc>
        <w:tc>
          <w:tcPr>
            <w:tcW w:w="39" w:type="dxa"/>
            <w:tcBorders/>
            <w:vAlign w:val="bottom"/>
          </w:tcPr>
          <w:p>
            <w:pPr>
              <w:pStyle w:val="TableContents"/>
              <w:bidi w:val="0"/>
              <w:spacing w:before="0" w:after="283"/>
              <w:jc w:val="left"/>
              <w:rPr/>
            </w:pPr>
            <w:r>
              <w:rPr/>
            </w:r>
          </w:p>
        </w:tc>
      </w:tr>
      <w:tr>
        <w:trPr/>
        <w:tc>
          <w:tcPr>
            <w:tcW w:w="4642"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North and South America  </w:t>
            </w:r>
          </w:p>
        </w:tc>
        <w:tc>
          <w:tcPr>
            <w:tcW w:w="122" w:type="dxa"/>
            <w:tcBorders/>
            <w:shd w:fill="CCEEFF" w:val="clear"/>
            <w:vAlign w:val="bottom"/>
          </w:tcPr>
          <w:p>
            <w:pPr>
              <w:pStyle w:val="TableContents"/>
              <w:bidi w:val="0"/>
              <w:spacing w:before="0" w:after="0"/>
              <w:ind w:left="0" w:right="0" w:hanging="0"/>
              <w:jc w:val="left"/>
              <w:rPr/>
            </w:pPr>
            <w:r>
              <w:rPr/>
              <w:t xml:space="preserve">  </w:t>
            </w:r>
          </w:p>
        </w:tc>
        <w:tc>
          <w:tcPr>
            <w:tcW w:w="344" w:type="dxa"/>
            <w:tcBorders/>
            <w:shd w:fill="CCEEFF" w:val="clear"/>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719"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r>
          </w:p>
        </w:tc>
        <w:tc>
          <w:tcPr>
            <w:tcW w:w="63" w:type="dxa"/>
            <w:tcBorders/>
            <w:shd w:fill="CCEEFF" w:val="clear"/>
            <w:vAlign w:val="bottom"/>
          </w:tcPr>
          <w:p>
            <w:pPr>
              <w:pStyle w:val="TableContents"/>
              <w:bidi w:val="0"/>
              <w:spacing w:before="0" w:after="283"/>
              <w:ind w:left="0" w:right="0" w:hanging="0"/>
              <w:jc w:val="left"/>
              <w:rPr/>
            </w:pPr>
            <w:r>
              <w:rPr/>
            </w:r>
          </w:p>
        </w:tc>
        <w:tc>
          <w:tcPr>
            <w:tcW w:w="345" w:type="dxa"/>
            <w:tcBorders/>
            <w:shd w:fill="CCEEFF" w:val="clear"/>
            <w:vAlign w:val="bottom"/>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548" w:type="dxa"/>
            <w:tcBorders/>
            <w:shd w:fill="CCEEFF" w:val="clear"/>
            <w:vAlign w:val="bottom"/>
          </w:tcPr>
          <w:p>
            <w:pPr>
              <w:pStyle w:val="TableContents"/>
              <w:bidi w:val="0"/>
              <w:spacing w:before="0" w:after="283"/>
              <w:jc w:val="right"/>
              <w:rPr>
                <w:rFonts w:ascii="times new roman;times" w:hAnsi="times new roman;times"/>
              </w:rPr>
            </w:pPr>
            <w:r>
              <w:rPr>
                <w:rFonts w:ascii="times new roman;times" w:hAnsi="times new roman;times"/>
              </w:rPr>
              <w:t>1,331</w:t>
            </w:r>
          </w:p>
        </w:tc>
        <w:tc>
          <w:tcPr>
            <w:tcW w:w="23" w:type="dxa"/>
            <w:tcBorders/>
            <w:shd w:fill="CCEEFF" w:val="clear"/>
            <w:vAlign w:val="bottom"/>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46" w:type="dxa"/>
            <w:tcBorders/>
            <w:shd w:fill="CCEEFF" w:val="clear"/>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514" w:type="dxa"/>
            <w:tcBorders/>
            <w:shd w:fill="CCEEFF" w:val="clear"/>
            <w:vAlign w:val="bottom"/>
          </w:tcPr>
          <w:p>
            <w:pPr>
              <w:pStyle w:val="TableContents"/>
              <w:bidi w:val="0"/>
              <w:spacing w:before="0" w:after="283"/>
              <w:jc w:val="right"/>
              <w:rPr/>
            </w:pPr>
            <w:r>
              <w:rPr/>
              <w:t>—</w:t>
            </w:r>
          </w:p>
        </w:tc>
        <w:tc>
          <w:tcPr>
            <w:tcW w:w="44" w:type="dxa"/>
            <w:tcBorders/>
            <w:shd w:fill="CCEEFF" w:val="clear"/>
            <w:vAlign w:val="bottom"/>
          </w:tcPr>
          <w:p>
            <w:pPr>
              <w:pStyle w:val="TableContents"/>
              <w:bidi w:val="0"/>
              <w:spacing w:before="0" w:after="283"/>
              <w:jc w:val="left"/>
              <w:rPr/>
            </w:pPr>
            <w:r>
              <w:rPr/>
            </w:r>
          </w:p>
        </w:tc>
        <w:tc>
          <w:tcPr>
            <w:tcW w:w="118" w:type="dxa"/>
            <w:tcBorders/>
            <w:shd w:fill="CCEEFF" w:val="clear"/>
            <w:vAlign w:val="bottom"/>
          </w:tcPr>
          <w:p>
            <w:pPr>
              <w:pStyle w:val="TableContents"/>
              <w:bidi w:val="0"/>
              <w:spacing w:before="0" w:after="283"/>
              <w:jc w:val="right"/>
              <w:rPr/>
            </w:pPr>
            <w:r>
              <w:rPr/>
              <w:t> </w:t>
            </w:r>
          </w:p>
        </w:tc>
        <w:tc>
          <w:tcPr>
            <w:tcW w:w="246" w:type="dxa"/>
            <w:tcBorders/>
            <w:shd w:fill="CCEEFF" w:val="clear"/>
            <w:vAlign w:val="bottom"/>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1106" w:type="dxa"/>
            <w:tcBorders/>
            <w:shd w:fill="CCEEFF" w:val="clear"/>
            <w:vAlign w:val="bottom"/>
          </w:tcPr>
          <w:p>
            <w:pPr>
              <w:pStyle w:val="TableContents"/>
              <w:bidi w:val="0"/>
              <w:spacing w:before="0" w:after="283"/>
              <w:jc w:val="right"/>
              <w:rPr>
                <w:rFonts w:ascii="times new roman;times" w:hAnsi="times new roman;times"/>
              </w:rPr>
            </w:pPr>
            <w:r>
              <w:rPr>
                <w:rFonts w:ascii="times new roman;times" w:hAnsi="times new roman;times"/>
              </w:rPr>
              <w:t>2,291</w:t>
            </w:r>
          </w:p>
        </w:tc>
        <w:tc>
          <w:tcPr>
            <w:tcW w:w="39" w:type="dxa"/>
            <w:tcBorders/>
            <w:shd w:fill="CCEEFF" w:val="clear"/>
            <w:vAlign w:val="bottom"/>
          </w:tcPr>
          <w:p>
            <w:pPr>
              <w:pStyle w:val="TableContents"/>
              <w:bidi w:val="0"/>
              <w:spacing w:before="0" w:after="283"/>
              <w:jc w:val="left"/>
              <w:rPr/>
            </w:pPr>
            <w:r>
              <w:rPr/>
            </w:r>
          </w:p>
        </w:tc>
      </w:tr>
      <w:tr>
        <w:trPr/>
        <w:tc>
          <w:tcPr>
            <w:tcW w:w="4642"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Asia Pacific (includes Middle East, India and Australia) </w:t>
            </w:r>
          </w:p>
        </w:tc>
        <w:tc>
          <w:tcPr>
            <w:tcW w:w="122" w:type="dxa"/>
            <w:tcBorders/>
            <w:vAlign w:val="bottom"/>
          </w:tcPr>
          <w:p>
            <w:pPr>
              <w:pStyle w:val="TableContents"/>
              <w:bidi w:val="0"/>
              <w:spacing w:before="0" w:after="0"/>
              <w:ind w:left="0" w:right="0" w:hanging="0"/>
              <w:jc w:val="left"/>
              <w:rPr/>
            </w:pPr>
            <w:r>
              <w:rPr/>
              <w:t xml:space="preserve">  </w:t>
            </w:r>
          </w:p>
        </w:tc>
        <w:tc>
          <w:tcPr>
            <w:tcW w:w="344" w:type="dxa"/>
            <w:tcBorders/>
            <w:vAlign w:val="bottom"/>
          </w:tcPr>
          <w:p>
            <w:pPr>
              <w:pStyle w:val="TableContents"/>
              <w:bidi w:val="0"/>
              <w:spacing w:before="0" w:after="283"/>
              <w:jc w:val="left"/>
              <w:rPr/>
            </w:pPr>
            <w:r>
              <w:rPr/>
            </w:r>
          </w:p>
        </w:tc>
        <w:tc>
          <w:tcPr>
            <w:tcW w:w="719"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r>
          </w:p>
        </w:tc>
        <w:tc>
          <w:tcPr>
            <w:tcW w:w="63" w:type="dxa"/>
            <w:tcBorders/>
            <w:vAlign w:val="bottom"/>
          </w:tcPr>
          <w:p>
            <w:pPr>
              <w:pStyle w:val="TableContents"/>
              <w:bidi w:val="0"/>
              <w:spacing w:before="0" w:after="283"/>
              <w:ind w:left="0" w:right="0" w:hanging="0"/>
              <w:jc w:val="left"/>
              <w:rPr/>
            </w:pPr>
            <w:r>
              <w:rPr/>
            </w:r>
          </w:p>
        </w:tc>
        <w:tc>
          <w:tcPr>
            <w:tcW w:w="345" w:type="dxa"/>
            <w:tcBorders/>
            <w:vAlign w:val="bottom"/>
          </w:tcPr>
          <w:p>
            <w:pPr>
              <w:pStyle w:val="TableContents"/>
              <w:bidi w:val="0"/>
              <w:spacing w:before="0" w:after="283"/>
              <w:jc w:val="left"/>
              <w:rPr/>
            </w:pPr>
            <w:r>
              <w:rPr/>
            </w:r>
          </w:p>
        </w:tc>
        <w:tc>
          <w:tcPr>
            <w:tcW w:w="1548" w:type="dxa"/>
            <w:tcBorders/>
            <w:vAlign w:val="bottom"/>
          </w:tcPr>
          <w:p>
            <w:pPr>
              <w:pStyle w:val="TableContents"/>
              <w:bidi w:val="0"/>
              <w:spacing w:before="0" w:after="283"/>
              <w:jc w:val="right"/>
              <w:rPr>
                <w:rFonts w:ascii="times new roman;times" w:hAnsi="times new roman;times"/>
              </w:rPr>
            </w:pPr>
            <w:r>
              <w:rPr>
                <w:rFonts w:ascii="times new roman;times" w:hAnsi="times new roman;times"/>
              </w:rPr>
              <w:t>230</w:t>
            </w:r>
          </w:p>
        </w:tc>
        <w:tc>
          <w:tcPr>
            <w:tcW w:w="23" w:type="dxa"/>
            <w:tcBorders/>
            <w:vAlign w:val="bottom"/>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46" w:type="dxa"/>
            <w:tcBorders/>
            <w:vAlign w:val="bottom"/>
          </w:tcPr>
          <w:p>
            <w:pPr>
              <w:pStyle w:val="TableContents"/>
              <w:bidi w:val="0"/>
              <w:spacing w:before="0" w:after="283"/>
              <w:jc w:val="left"/>
              <w:rPr/>
            </w:pPr>
            <w:r>
              <w:rPr/>
            </w:r>
          </w:p>
        </w:tc>
        <w:tc>
          <w:tcPr>
            <w:tcW w:w="514" w:type="dxa"/>
            <w:tcBorders/>
            <w:vAlign w:val="bottom"/>
          </w:tcPr>
          <w:p>
            <w:pPr>
              <w:pStyle w:val="TableContents"/>
              <w:bidi w:val="0"/>
              <w:spacing w:before="0" w:after="283"/>
              <w:jc w:val="right"/>
              <w:rPr/>
            </w:pPr>
            <w:r>
              <w:rPr/>
              <w:t>—</w:t>
            </w:r>
          </w:p>
        </w:tc>
        <w:tc>
          <w:tcPr>
            <w:tcW w:w="44" w:type="dxa"/>
            <w:tcBorders/>
            <w:vAlign w:val="bottom"/>
          </w:tcPr>
          <w:p>
            <w:pPr>
              <w:pStyle w:val="TableContents"/>
              <w:bidi w:val="0"/>
              <w:spacing w:before="0" w:after="283"/>
              <w:jc w:val="left"/>
              <w:rPr/>
            </w:pPr>
            <w:r>
              <w:rPr/>
            </w:r>
          </w:p>
        </w:tc>
        <w:tc>
          <w:tcPr>
            <w:tcW w:w="118" w:type="dxa"/>
            <w:tcBorders/>
            <w:vAlign w:val="bottom"/>
          </w:tcPr>
          <w:p>
            <w:pPr>
              <w:pStyle w:val="TableContents"/>
              <w:bidi w:val="0"/>
              <w:spacing w:before="0" w:after="283"/>
              <w:jc w:val="left"/>
              <w:rPr/>
            </w:pPr>
            <w:r>
              <w:rPr/>
            </w:r>
          </w:p>
        </w:tc>
        <w:tc>
          <w:tcPr>
            <w:tcW w:w="246" w:type="dxa"/>
            <w:tcBorders/>
            <w:vAlign w:val="bottom"/>
          </w:tcPr>
          <w:p>
            <w:pPr>
              <w:pStyle w:val="TableContents"/>
              <w:bidi w:val="0"/>
              <w:spacing w:before="0" w:after="283"/>
              <w:jc w:val="left"/>
              <w:rPr/>
            </w:pPr>
            <w:r>
              <w:rPr/>
            </w:r>
          </w:p>
        </w:tc>
        <w:tc>
          <w:tcPr>
            <w:tcW w:w="1106" w:type="dxa"/>
            <w:tcBorders/>
            <w:vAlign w:val="bottom"/>
          </w:tcPr>
          <w:p>
            <w:pPr>
              <w:pStyle w:val="TableContents"/>
              <w:bidi w:val="0"/>
              <w:spacing w:before="0" w:after="283"/>
              <w:jc w:val="right"/>
              <w:rPr>
                <w:rFonts w:ascii="times new roman;times" w:hAnsi="times new roman;times"/>
              </w:rPr>
            </w:pPr>
            <w:r>
              <w:rPr>
                <w:rFonts w:ascii="times new roman;times" w:hAnsi="times new roman;times"/>
              </w:rPr>
              <w:t>1,418</w:t>
            </w:r>
          </w:p>
        </w:tc>
        <w:tc>
          <w:tcPr>
            <w:tcW w:w="39" w:type="dxa"/>
            <w:tcBorders/>
            <w:vAlign w:val="bottom"/>
          </w:tcPr>
          <w:p>
            <w:pPr>
              <w:pStyle w:val="TableContents"/>
              <w:bidi w:val="0"/>
              <w:spacing w:before="0" w:after="283"/>
              <w:jc w:val="left"/>
              <w:rPr/>
            </w:pPr>
            <w:r>
              <w:rPr/>
            </w:r>
          </w:p>
        </w:tc>
      </w:tr>
      <w:tr>
        <w:trPr/>
        <w:tc>
          <w:tcPr>
            <w:tcW w:w="4642"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 xml:space="preserve">Europe and Africa </w:t>
            </w:r>
          </w:p>
        </w:tc>
        <w:tc>
          <w:tcPr>
            <w:tcW w:w="122" w:type="dxa"/>
            <w:tcBorders/>
            <w:shd w:fill="CCEEFF" w:val="clear"/>
            <w:vAlign w:val="bottom"/>
          </w:tcPr>
          <w:p>
            <w:pPr>
              <w:pStyle w:val="TableContents"/>
              <w:bidi w:val="0"/>
              <w:spacing w:before="0" w:after="0"/>
              <w:ind w:left="0" w:right="0" w:hanging="0"/>
              <w:jc w:val="left"/>
              <w:rPr/>
            </w:pPr>
            <w:r>
              <w:rPr/>
              <w:t xml:space="preserve">  </w:t>
            </w:r>
          </w:p>
        </w:tc>
        <w:tc>
          <w:tcPr>
            <w:tcW w:w="344" w:type="dxa"/>
            <w:tcBorders/>
            <w:shd w:fill="CCEEFF" w:val="clear"/>
            <w:vAlign w:val="bottom"/>
          </w:tcPr>
          <w:p>
            <w:pPr>
              <w:pStyle w:val="TableContents"/>
              <w:bidi w:val="0"/>
              <w:spacing w:before="0" w:after="283"/>
              <w:jc w:val="left"/>
              <w:rPr/>
            </w:pPr>
            <w:r>
              <w:rPr/>
            </w:r>
          </w:p>
        </w:tc>
        <w:tc>
          <w:tcPr>
            <w:tcW w:w="719" w:type="dxa"/>
            <w:tcBorders/>
            <w:shd w:fill="CCEEFF" w:val="clear"/>
            <w:vAlign w:val="bottom"/>
          </w:tcPr>
          <w:p>
            <w:pPr>
              <w:pStyle w:val="TableContents"/>
              <w:bidi w:val="0"/>
              <w:spacing w:before="0" w:after="283"/>
              <w:jc w:val="right"/>
              <w:rPr/>
            </w:pPr>
            <w:r>
              <w:rPr/>
              <w:t>—</w:t>
            </w:r>
          </w:p>
        </w:tc>
        <w:tc>
          <w:tcPr>
            <w:tcW w:w="63" w:type="dxa"/>
            <w:tcBorders/>
            <w:shd w:fill="CCEEFF" w:val="clear"/>
            <w:vAlign w:val="bottom"/>
          </w:tcPr>
          <w:p>
            <w:pPr>
              <w:pStyle w:val="TableContents"/>
              <w:bidi w:val="0"/>
              <w:spacing w:before="0" w:after="283"/>
              <w:jc w:val="left"/>
              <w:rPr/>
            </w:pPr>
            <w:r>
              <w:rPr/>
            </w:r>
          </w:p>
        </w:tc>
        <w:tc>
          <w:tcPr>
            <w:tcW w:w="63" w:type="dxa"/>
            <w:tcBorders/>
            <w:shd w:fill="CCEEFF" w:val="clear"/>
            <w:vAlign w:val="bottom"/>
          </w:tcPr>
          <w:p>
            <w:pPr>
              <w:pStyle w:val="TableContents"/>
              <w:bidi w:val="0"/>
              <w:spacing w:before="0" w:after="283"/>
              <w:ind w:left="0" w:right="0" w:hanging="0"/>
              <w:jc w:val="left"/>
              <w:rPr/>
            </w:pPr>
            <w:r>
              <w:rPr/>
            </w:r>
          </w:p>
        </w:tc>
        <w:tc>
          <w:tcPr>
            <w:tcW w:w="345" w:type="dxa"/>
            <w:tcBorders/>
            <w:shd w:fill="CCEEFF" w:val="clear"/>
            <w:vAlign w:val="bottom"/>
          </w:tcPr>
          <w:p>
            <w:pPr>
              <w:pStyle w:val="TableContents"/>
              <w:bidi w:val="0"/>
              <w:spacing w:before="0" w:after="283"/>
              <w:jc w:val="left"/>
              <w:rPr/>
            </w:pPr>
            <w:r>
              <w:rPr/>
            </w:r>
          </w:p>
        </w:tc>
        <w:tc>
          <w:tcPr>
            <w:tcW w:w="1548" w:type="dxa"/>
            <w:tcBorders/>
            <w:shd w:fill="CCEEFF" w:val="clear"/>
            <w:vAlign w:val="bottom"/>
          </w:tcPr>
          <w:p>
            <w:pPr>
              <w:pStyle w:val="TableContents"/>
              <w:bidi w:val="0"/>
              <w:spacing w:before="0" w:after="283"/>
              <w:jc w:val="right"/>
              <w:rPr>
                <w:rFonts w:ascii="times new roman;times" w:hAnsi="times new roman;times"/>
              </w:rPr>
            </w:pPr>
            <w:r>
              <w:rPr>
                <w:rFonts w:ascii="times new roman;times" w:hAnsi="times new roman;times"/>
              </w:rPr>
              <w:t>355</w:t>
            </w:r>
          </w:p>
        </w:tc>
        <w:tc>
          <w:tcPr>
            <w:tcW w:w="23" w:type="dxa"/>
            <w:tcBorders/>
            <w:shd w:fill="CCEEFF" w:val="clear"/>
            <w:vAlign w:val="bottom"/>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246" w:type="dxa"/>
            <w:tcBorders/>
            <w:shd w:fill="CCEEFF" w:val="clear"/>
            <w:vAlign w:val="bottom"/>
          </w:tcPr>
          <w:p>
            <w:pPr>
              <w:pStyle w:val="TableContents"/>
              <w:bidi w:val="0"/>
              <w:spacing w:before="0" w:after="283"/>
              <w:jc w:val="left"/>
              <w:rPr/>
            </w:pPr>
            <w:r>
              <w:rPr/>
            </w:r>
          </w:p>
        </w:tc>
        <w:tc>
          <w:tcPr>
            <w:tcW w:w="514" w:type="dxa"/>
            <w:tcBorders/>
            <w:shd w:fill="CCEEFF" w:val="clear"/>
            <w:vAlign w:val="bottom"/>
          </w:tcPr>
          <w:p>
            <w:pPr>
              <w:pStyle w:val="TableContents"/>
              <w:bidi w:val="0"/>
              <w:spacing w:before="0" w:after="283"/>
              <w:jc w:val="right"/>
              <w:rPr/>
            </w:pPr>
            <w:r>
              <w:rPr/>
              <w:t>—</w:t>
            </w:r>
          </w:p>
        </w:tc>
        <w:tc>
          <w:tcPr>
            <w:tcW w:w="44" w:type="dxa"/>
            <w:tcBorders/>
            <w:shd w:fill="CCEEFF" w:val="clear"/>
            <w:vAlign w:val="bottom"/>
          </w:tcPr>
          <w:p>
            <w:pPr>
              <w:pStyle w:val="TableContents"/>
              <w:bidi w:val="0"/>
              <w:spacing w:before="0" w:after="283"/>
              <w:jc w:val="left"/>
              <w:rPr/>
            </w:pPr>
            <w:r>
              <w:rPr/>
            </w:r>
          </w:p>
        </w:tc>
        <w:tc>
          <w:tcPr>
            <w:tcW w:w="118" w:type="dxa"/>
            <w:tcBorders/>
            <w:shd w:fill="CCEEFF" w:val="clear"/>
            <w:vAlign w:val="bottom"/>
          </w:tcPr>
          <w:p>
            <w:pPr>
              <w:pStyle w:val="TableContents"/>
              <w:bidi w:val="0"/>
              <w:spacing w:before="0" w:after="283"/>
              <w:jc w:val="left"/>
              <w:rPr/>
            </w:pPr>
            <w:r>
              <w:rPr/>
            </w:r>
          </w:p>
        </w:tc>
        <w:tc>
          <w:tcPr>
            <w:tcW w:w="246" w:type="dxa"/>
            <w:tcBorders/>
            <w:shd w:fill="CCEEFF" w:val="clear"/>
            <w:vAlign w:val="bottom"/>
          </w:tcPr>
          <w:p>
            <w:pPr>
              <w:pStyle w:val="TableContents"/>
              <w:bidi w:val="0"/>
              <w:spacing w:before="0" w:after="283"/>
              <w:jc w:val="left"/>
              <w:rPr/>
            </w:pPr>
            <w:r>
              <w:rPr/>
            </w:r>
          </w:p>
        </w:tc>
        <w:tc>
          <w:tcPr>
            <w:tcW w:w="1106" w:type="dxa"/>
            <w:tcBorders/>
            <w:shd w:fill="CCEEFF" w:val="clear"/>
            <w:vAlign w:val="bottom"/>
          </w:tcPr>
          <w:p>
            <w:pPr>
              <w:pStyle w:val="TableContents"/>
              <w:bidi w:val="0"/>
              <w:spacing w:before="0" w:after="283"/>
              <w:jc w:val="right"/>
              <w:rPr>
                <w:rFonts w:ascii="times new roman;times" w:hAnsi="times new roman;times"/>
              </w:rPr>
            </w:pPr>
            <w:r>
              <w:rPr>
                <w:rFonts w:ascii="times new roman;times" w:hAnsi="times new roman;times"/>
              </w:rPr>
              <w:t>520</w:t>
            </w:r>
          </w:p>
        </w:tc>
        <w:tc>
          <w:tcPr>
            <w:tcW w:w="39" w:type="dxa"/>
            <w:tcBorders/>
            <w:shd w:fill="CCEEFF" w:val="clear"/>
            <w:vAlign w:val="bottom"/>
          </w:tcPr>
          <w:p>
            <w:pPr>
              <w:pStyle w:val="TableContents"/>
              <w:bidi w:val="0"/>
              <w:spacing w:before="0" w:after="283"/>
              <w:jc w:val="left"/>
              <w:rPr/>
            </w:pPr>
            <w:r>
              <w:rPr/>
            </w:r>
          </w:p>
        </w:tc>
      </w:tr>
      <w:tr>
        <w:trPr/>
        <w:tc>
          <w:tcPr>
            <w:tcW w:w="4642" w:type="dxa"/>
            <w:tcBorders/>
            <w:vAlign w:val="bottom"/>
          </w:tcPr>
          <w:p>
            <w:pPr>
              <w:pStyle w:val="TableContents"/>
              <w:bidi w:val="0"/>
              <w:spacing w:before="0" w:after="0"/>
              <w:ind w:left="0" w:right="0" w:hanging="0"/>
              <w:jc w:val="left"/>
              <w:rPr/>
            </w:pPr>
            <w:r>
              <w:rPr/>
              <w:t xml:space="preserve">  </w:t>
            </w:r>
          </w:p>
        </w:tc>
        <w:tc>
          <w:tcPr>
            <w:tcW w:w="122" w:type="dxa"/>
            <w:tcBorders/>
            <w:vAlign w:val="bottom"/>
          </w:tcPr>
          <w:p>
            <w:pPr>
              <w:pStyle w:val="TableContents"/>
              <w:bidi w:val="0"/>
              <w:spacing w:before="0" w:after="0"/>
              <w:ind w:left="0" w:right="0" w:hanging="0"/>
              <w:jc w:val="left"/>
              <w:rPr/>
            </w:pPr>
            <w:r>
              <w:rPr/>
              <w:t xml:space="preserve">  </w:t>
            </w:r>
          </w:p>
        </w:tc>
        <w:tc>
          <w:tcPr>
            <w:tcW w:w="344" w:type="dxa"/>
            <w:tcBorders/>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719" w:type="dxa"/>
            <w:tcBorders/>
            <w:vAlign w:val="bottom"/>
          </w:tcPr>
          <w:p>
            <w:pPr>
              <w:pStyle w:val="TableContents"/>
              <w:bidi w:val="0"/>
              <w:spacing w:before="0" w:after="283"/>
              <w:jc w:val="right"/>
              <w:rPr/>
            </w:pPr>
            <w:r>
              <w:rPr/>
              <w:t>—</w:t>
            </w:r>
          </w:p>
        </w:tc>
        <w:tc>
          <w:tcPr>
            <w:tcW w:w="63" w:type="dxa"/>
            <w:tcBorders/>
            <w:vAlign w:val="bottom"/>
          </w:tcPr>
          <w:p>
            <w:pPr>
              <w:pStyle w:val="TableContents"/>
              <w:bidi w:val="0"/>
              <w:spacing w:before="0" w:after="283"/>
              <w:jc w:val="left"/>
              <w:rPr/>
            </w:pPr>
            <w:r>
              <w:rPr/>
            </w:r>
          </w:p>
        </w:tc>
        <w:tc>
          <w:tcPr>
            <w:tcW w:w="63" w:type="dxa"/>
            <w:tcBorders/>
            <w:vAlign w:val="bottom"/>
          </w:tcPr>
          <w:p>
            <w:pPr>
              <w:pStyle w:val="TableContents"/>
              <w:bidi w:val="0"/>
              <w:spacing w:before="0" w:after="283"/>
              <w:ind w:left="0" w:right="0" w:hanging="0"/>
              <w:jc w:val="left"/>
              <w:rPr/>
            </w:pPr>
            <w:r>
              <w:rPr/>
            </w:r>
          </w:p>
        </w:tc>
        <w:tc>
          <w:tcPr>
            <w:tcW w:w="345" w:type="dxa"/>
            <w:tcBorders/>
            <w:vAlign w:val="bottom"/>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1548" w:type="dxa"/>
            <w:tcBorders/>
            <w:vAlign w:val="bottom"/>
          </w:tcPr>
          <w:p>
            <w:pPr>
              <w:pStyle w:val="TableContents"/>
              <w:bidi w:val="0"/>
              <w:spacing w:before="0" w:after="283"/>
              <w:jc w:val="right"/>
              <w:rPr>
                <w:rFonts w:ascii="times new roman;times" w:hAnsi="times new roman;times"/>
                <w:sz w:val="20"/>
              </w:rPr>
            </w:pPr>
            <w:r>
              <w:rPr>
                <w:rFonts w:ascii="times new roman;times" w:hAnsi="times new roman;times"/>
                <w:sz w:val="20"/>
              </w:rPr>
              <w:t>1,916</w:t>
            </w:r>
          </w:p>
        </w:tc>
        <w:tc>
          <w:tcPr>
            <w:tcW w:w="23" w:type="dxa"/>
            <w:tcBorders/>
            <w:vAlign w:val="bottom"/>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46" w:type="dxa"/>
            <w:tcBorders/>
            <w:vAlign w:val="bottom"/>
          </w:tcPr>
          <w:p>
            <w:pPr>
              <w:pStyle w:val="TableContents"/>
              <w:widowControl/>
              <w:bidi w:val="0"/>
              <w:spacing w:before="0" w:after="283"/>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514" w:type="dxa"/>
            <w:tcBorders/>
            <w:vAlign w:val="bottom"/>
          </w:tcPr>
          <w:p>
            <w:pPr>
              <w:pStyle w:val="TableContents"/>
              <w:bidi w:val="0"/>
              <w:spacing w:before="0" w:after="283"/>
              <w:jc w:val="right"/>
              <w:rPr/>
            </w:pPr>
            <w:r>
              <w:rPr/>
              <w:t>—</w:t>
            </w:r>
          </w:p>
        </w:tc>
        <w:tc>
          <w:tcPr>
            <w:tcW w:w="44" w:type="dxa"/>
            <w:tcBorders/>
            <w:vAlign w:val="bottom"/>
          </w:tcPr>
          <w:p>
            <w:pPr>
              <w:pStyle w:val="TableContents"/>
              <w:bidi w:val="0"/>
              <w:spacing w:before="0" w:after="283"/>
              <w:jc w:val="left"/>
              <w:rPr/>
            </w:pPr>
            <w:r>
              <w:rPr/>
            </w:r>
          </w:p>
        </w:tc>
        <w:tc>
          <w:tcPr>
            <w:tcW w:w="118" w:type="dxa"/>
            <w:tcBorders/>
            <w:vAlign w:val="bottom"/>
          </w:tcPr>
          <w:p>
            <w:pPr>
              <w:pStyle w:val="TableContents"/>
              <w:bidi w:val="0"/>
              <w:spacing w:before="0" w:after="283"/>
              <w:jc w:val="right"/>
              <w:rPr/>
            </w:pPr>
            <w:r>
              <w:rPr/>
              <w:t> </w:t>
            </w:r>
          </w:p>
        </w:tc>
        <w:tc>
          <w:tcPr>
            <w:tcW w:w="246" w:type="dxa"/>
            <w:tcBorders/>
            <w:vAlign w:val="bottom"/>
          </w:tcPr>
          <w:p>
            <w:pPr>
              <w:pStyle w:val="TableContents"/>
              <w:widowControl/>
              <w:bidi w:val="0"/>
              <w:spacing w:before="0" w:after="283"/>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1106" w:type="dxa"/>
            <w:tcBorders/>
            <w:vAlign w:val="bottom"/>
          </w:tcPr>
          <w:p>
            <w:pPr>
              <w:pStyle w:val="TableContents"/>
              <w:bidi w:val="0"/>
              <w:spacing w:before="0" w:after="283"/>
              <w:jc w:val="right"/>
              <w:rPr>
                <w:rFonts w:ascii="times new roman;times" w:hAnsi="times new roman;times"/>
              </w:rPr>
            </w:pPr>
            <w:r>
              <w:rPr>
                <w:rFonts w:ascii="times new roman;times" w:hAnsi="times new roman;times"/>
              </w:rPr>
              <w:t>4,229</w:t>
            </w:r>
          </w:p>
        </w:tc>
        <w:tc>
          <w:tcPr>
            <w:tcW w:w="39" w:type="dxa"/>
            <w:tcBorders/>
            <w:vAlign w:val="bottom"/>
          </w:tcPr>
          <w:p>
            <w:pPr>
              <w:pStyle w:val="TableContents"/>
              <w:bidi w:val="0"/>
              <w:spacing w:before="0" w:after="283"/>
              <w:jc w:val="left"/>
              <w:rPr/>
            </w:pPr>
            <w:r>
              <w:rPr/>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Assets grouped into discontinued operations (unaudited):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657"/>
        <w:gridCol w:w="99"/>
        <w:gridCol w:w="206"/>
        <w:gridCol w:w="1962"/>
        <w:gridCol w:w="99"/>
        <w:gridCol w:w="99"/>
        <w:gridCol w:w="280"/>
        <w:gridCol w:w="2704"/>
        <w:gridCol w:w="99"/>
      </w:tblGrid>
      <w:tr>
        <w:trPr/>
        <w:tc>
          <w:tcPr>
            <w:tcW w:w="4657" w:type="dxa"/>
            <w:tcBorders/>
            <w:vAlign w:val="bottom"/>
          </w:tcPr>
          <w:p>
            <w:pPr>
              <w:pStyle w:val="TableContents"/>
              <w:bidi w:val="0"/>
              <w:spacing w:before="0" w:after="283"/>
              <w:ind w:left="0" w:right="0" w:hanging="0"/>
              <w:jc w:val="left"/>
              <w:rPr>
                <w:strike w:val="false"/>
                <w:dstrike w:val="false"/>
                <w:color w:val="000000"/>
                <w:u w:val="none"/>
                <w:effect w:val="none"/>
              </w:rPr>
            </w:pPr>
            <w:r>
              <w:rPr>
                <w:strike w:val="false"/>
                <w:dstrike w:val="false"/>
                <w:color w:val="000000"/>
                <w:u w:val="none"/>
                <w:effect w:val="none"/>
              </w:rPr>
              <w:t> </w:t>
            </w:r>
          </w:p>
        </w:tc>
        <w:tc>
          <w:tcPr>
            <w:tcW w:w="99" w:type="dxa"/>
            <w:tcBorders/>
            <w:vAlign w:val="bottom"/>
          </w:tcPr>
          <w:p>
            <w:pPr>
              <w:pStyle w:val="TableContents"/>
              <w:bidi w:val="0"/>
              <w:spacing w:before="0" w:after="0"/>
              <w:ind w:left="0" w:right="0" w:hanging="0"/>
              <w:jc w:val="both"/>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06" w:type="dxa"/>
            <w:tcBorders/>
            <w:vAlign w:val="bottom"/>
          </w:tcPr>
          <w:p>
            <w:pPr>
              <w:pStyle w:val="TableContents"/>
              <w:bidi w:val="0"/>
              <w:spacing w:before="0" w:after="0"/>
              <w:jc w:val="both"/>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962" w:type="dxa"/>
            <w:tcBorders/>
            <w:vAlign w:val="bottom"/>
          </w:tcPr>
          <w:p>
            <w:pPr>
              <w:pStyle w:val="TableContents"/>
              <w:bidi w:val="0"/>
              <w:spacing w:before="0" w:after="283"/>
              <w:ind w:left="0" w:right="0" w:hanging="0"/>
              <w:jc w:val="center"/>
              <w:rPr>
                <w:rFonts w:ascii="times new roman;times" w:hAnsi="times new roman;times"/>
                <w:b/>
                <w:strike w:val="false"/>
                <w:dstrike w:val="false"/>
                <w:color w:val="000000"/>
                <w:sz w:val="20"/>
                <w:u w:val="none"/>
                <w:effect w:val="none"/>
              </w:rPr>
            </w:pPr>
            <w:bookmarkStart w:id="130" w:name="fs_ACTNM4HT2O00000000000000000000FM"/>
            <w:bookmarkEnd w:id="130"/>
            <w:r>
              <w:rPr>
                <w:rFonts w:ascii="times new roman;times" w:hAnsi="times new roman;times"/>
                <w:b/>
                <w:strike w:val="false"/>
                <w:dstrike w:val="false"/>
                <w:color w:val="000000"/>
                <w:sz w:val="20"/>
                <w:u w:val="none"/>
                <w:effect w:val="none"/>
              </w:rPr>
              <w:t>June 30, 2026</w:t>
            </w:r>
          </w:p>
        </w:tc>
        <w:tc>
          <w:tcPr>
            <w:tcW w:w="99" w:type="dxa"/>
            <w:tcBorders/>
            <w:vAlign w:val="bottom"/>
          </w:tcPr>
          <w:p>
            <w:pPr>
              <w:pStyle w:val="TableContents"/>
              <w:bidi w:val="0"/>
              <w:spacing w:before="0" w:after="0"/>
              <w:ind w:left="0" w:right="0" w:hanging="0"/>
              <w:jc w:val="center"/>
              <w:rPr>
                <w:strike w:val="false"/>
                <w:dstrike w:val="false"/>
                <w:color w:val="000000"/>
                <w:u w:val="none"/>
                <w:effect w:val="none"/>
              </w:rPr>
            </w:pPr>
            <w:r>
              <w:rPr>
                <w:strike w:val="false"/>
                <w:dstrike w:val="false"/>
                <w:color w:val="000000"/>
                <w:u w:val="none"/>
                <w:effect w:val="none"/>
              </w:rPr>
              <w:t> </w:t>
            </w:r>
          </w:p>
        </w:tc>
        <w:tc>
          <w:tcPr>
            <w:tcW w:w="99" w:type="dxa"/>
            <w:tcBorders/>
            <w:vAlign w:val="bottom"/>
          </w:tcPr>
          <w:p>
            <w:pPr>
              <w:pStyle w:val="TableContents"/>
              <w:bidi w:val="0"/>
              <w:spacing w:before="0" w:after="0"/>
              <w:ind w:left="0" w:right="0" w:hanging="0"/>
              <w:jc w:val="center"/>
              <w:rPr>
                <w:strike w:val="false"/>
                <w:dstrike w:val="false"/>
                <w:color w:val="000000"/>
                <w:u w:val="none"/>
                <w:effect w:val="none"/>
              </w:rPr>
            </w:pPr>
            <w:r>
              <w:rPr>
                <w:strike w:val="false"/>
                <w:dstrike w:val="false"/>
                <w:color w:val="000000"/>
                <w:u w:val="none"/>
                <w:effect w:val="none"/>
              </w:rPr>
              <w:t> </w:t>
            </w:r>
          </w:p>
        </w:tc>
        <w:tc>
          <w:tcPr>
            <w:tcW w:w="280" w:type="dxa"/>
            <w:tcBorders/>
            <w:vAlign w:val="bottom"/>
          </w:tcPr>
          <w:p>
            <w:pPr>
              <w:pStyle w:val="TableContents"/>
              <w:bidi w:val="0"/>
              <w:spacing w:before="0" w:after="0"/>
              <w:jc w:val="center"/>
              <w:rPr>
                <w:strike w:val="false"/>
                <w:dstrike w:val="false"/>
                <w:color w:val="000000"/>
                <w:u w:val="none"/>
                <w:effect w:val="none"/>
              </w:rPr>
            </w:pPr>
            <w:r>
              <w:rPr>
                <w:strike w:val="false"/>
                <w:dstrike w:val="false"/>
                <w:color w:val="000000"/>
                <w:u w:val="none"/>
                <w:effect w:val="none"/>
              </w:rPr>
              <w:t> </w:t>
            </w:r>
          </w:p>
        </w:tc>
        <w:tc>
          <w:tcPr>
            <w:tcW w:w="2704" w:type="dxa"/>
            <w:tcBorders/>
            <w:vAlign w:val="bottom"/>
          </w:tcPr>
          <w:p>
            <w:pPr>
              <w:pStyle w:val="TableContents"/>
              <w:bidi w:val="0"/>
              <w:spacing w:before="0" w:after="283"/>
              <w:jc w:val="center"/>
              <w:rPr>
                <w:rFonts w:ascii="times new roman;times" w:hAnsi="times new roman;times"/>
                <w:b/>
                <w:strike w:val="false"/>
                <w:dstrike w:val="false"/>
                <w:color w:val="000000"/>
                <w:sz w:val="20"/>
                <w:u w:val="none"/>
                <w:effect w:val="none"/>
              </w:rPr>
            </w:pPr>
            <w:bookmarkStart w:id="131" w:name="fs_QYTZ5LOQGW00000000000000000000FM"/>
            <w:bookmarkEnd w:id="131"/>
            <w:r>
              <w:rPr>
                <w:rFonts w:ascii="times new roman;times" w:hAnsi="times new roman;times"/>
                <w:b/>
                <w:strike w:val="false"/>
                <w:dstrike w:val="false"/>
                <w:color w:val="000000"/>
                <w:sz w:val="20"/>
                <w:u w:val="none"/>
                <w:effect w:val="none"/>
              </w:rPr>
              <w:t>December 31, 2025</w:t>
            </w:r>
          </w:p>
        </w:tc>
        <w:tc>
          <w:tcPr>
            <w:tcW w:w="99" w:type="dxa"/>
            <w:tcBorders/>
            <w:vAlign w:val="bottom"/>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657" w:type="dxa"/>
            <w:tcBorders/>
            <w:shd w:fill="CCEEFF" w:val="clear"/>
            <w:vAlign w:val="bottom"/>
          </w:tcPr>
          <w:p>
            <w:pPr>
              <w:pStyle w:val="TableContents"/>
              <w:bidi w:val="0"/>
              <w:spacing w:before="0" w:after="283"/>
              <w:ind w:left="0" w:right="0" w:hanging="0"/>
              <w:jc w:val="both"/>
              <w:rPr>
                <w:rFonts w:ascii="times new roman;times" w:hAnsi="times new roman;times"/>
                <w:b w:val="false"/>
                <w:i w:val="false"/>
                <w:caps w:val="false"/>
                <w:smallCaps w:val="false"/>
                <w:strike w:val="false"/>
                <w:dstrike w:val="false"/>
                <w:color w:val="000000"/>
                <w:sz w:val="20"/>
                <w:u w:val="none"/>
                <w:effect w:val="none"/>
              </w:rPr>
            </w:pPr>
            <w:r>
              <w:rPr>
                <w:rFonts w:ascii="times new roman;times" w:hAnsi="times new roman;times"/>
                <w:b w:val="false"/>
                <w:i w:val="false"/>
                <w:caps w:val="false"/>
                <w:smallCaps w:val="false"/>
                <w:strike w:val="false"/>
                <w:dstrike w:val="false"/>
                <w:color w:val="000000"/>
                <w:sz w:val="20"/>
                <w:u w:val="none"/>
                <w:effect w:val="none"/>
              </w:rPr>
              <w:t>Accounts receivable, net</w:t>
            </w:r>
          </w:p>
        </w:tc>
        <w:tc>
          <w:tcPr>
            <w:tcW w:w="99" w:type="dxa"/>
            <w:tcBorders/>
            <w:shd w:fill="CCEEFF" w:val="clear"/>
            <w:vAlign w:val="bottom"/>
          </w:tcPr>
          <w:p>
            <w:pPr>
              <w:pStyle w:val="TableContents"/>
              <w:bidi w:val="0"/>
              <w:spacing w:before="0" w:after="0"/>
              <w:ind w:left="0" w:right="0" w:hanging="0"/>
              <w:jc w:val="both"/>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06" w:type="dxa"/>
            <w:tcBorders/>
            <w:shd w:fill="CCEEFF" w:val="clear"/>
            <w:vAlign w:val="bottom"/>
          </w:tcPr>
          <w:p>
            <w:pPr>
              <w:pStyle w:val="TableContents"/>
              <w:bidi w:val="0"/>
              <w:spacing w:before="0" w:after="0"/>
              <w:jc w:val="lef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c>
          <w:tcPr>
            <w:tcW w:w="1962" w:type="dxa"/>
            <w:tcBorders/>
            <w:shd w:fill="CCEEFF" w:val="clear"/>
            <w:vAlign w:val="bottom"/>
          </w:tcPr>
          <w:p>
            <w:pPr>
              <w:pStyle w:val="TableContents"/>
              <w:bidi w:val="0"/>
              <w:spacing w:before="0" w:after="283"/>
              <w:ind w:left="0" w:right="0" w:hanging="0"/>
              <w:jc w:val="right"/>
              <w:rPr>
                <w:strike w:val="false"/>
                <w:dstrike w:val="false"/>
                <w:color w:val="000000"/>
                <w:u w:val="none"/>
                <w:effect w:val="none"/>
              </w:rPr>
            </w:pPr>
            <w:r>
              <w:rPr>
                <w:strike w:val="false"/>
                <w:dstrike w:val="false"/>
                <w:color w:val="000000"/>
                <w:u w:val="none"/>
                <w:effect w:val="none"/>
              </w:rPr>
              <w:t>—</w:t>
            </w:r>
          </w:p>
        </w:tc>
        <w:tc>
          <w:tcPr>
            <w:tcW w:w="99" w:type="dxa"/>
            <w:tcBorders/>
            <w:shd w:fill="CCEEFF" w:val="clear"/>
            <w:vAlign w:val="bottom"/>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99" w:type="dxa"/>
            <w:tcBorders/>
            <w:shd w:fill="CCEEFF" w:val="clear"/>
            <w:vAlign w:val="bottom"/>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280" w:type="dxa"/>
            <w:tcBorders/>
            <w:shd w:fill="CCEEFF" w:val="clear"/>
            <w:vAlign w:val="bottom"/>
          </w:tcPr>
          <w:p>
            <w:pPr>
              <w:pStyle w:val="TableContents"/>
              <w:bidi w:val="0"/>
              <w:spacing w:before="0" w:after="0"/>
              <w:jc w:val="lef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 </w:t>
            </w:r>
          </w:p>
        </w:tc>
        <w:tc>
          <w:tcPr>
            <w:tcW w:w="2704"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353</w:t>
            </w:r>
          </w:p>
        </w:tc>
        <w:tc>
          <w:tcPr>
            <w:tcW w:w="99" w:type="dxa"/>
            <w:tcBorders/>
            <w:shd w:fill="CCEEFF" w:val="clear"/>
            <w:vAlign w:val="bottom"/>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657" w:type="dxa"/>
            <w:tcBorders/>
            <w:vAlign w:val="bottom"/>
          </w:tcPr>
          <w:p>
            <w:pPr>
              <w:pStyle w:val="TableContents"/>
              <w:bidi w:val="0"/>
              <w:spacing w:before="0" w:after="283"/>
              <w:ind w:left="0" w:right="0" w:hanging="0"/>
              <w:jc w:val="both"/>
              <w:rPr>
                <w:rFonts w:ascii="times new roman;times" w:hAnsi="times new roman;times"/>
                <w:b w:val="false"/>
                <w:i w:val="false"/>
                <w:caps w:val="false"/>
                <w:smallCaps w:val="false"/>
                <w:strike w:val="false"/>
                <w:dstrike w:val="false"/>
                <w:color w:val="000000"/>
                <w:sz w:val="20"/>
                <w:u w:val="none"/>
                <w:effect w:val="none"/>
              </w:rPr>
            </w:pPr>
            <w:r>
              <w:rPr>
                <w:rFonts w:ascii="times new roman;times" w:hAnsi="times new roman;times"/>
                <w:b w:val="false"/>
                <w:i w:val="false"/>
                <w:caps w:val="false"/>
                <w:smallCaps w:val="false"/>
                <w:strike w:val="false"/>
                <w:dstrike w:val="false"/>
                <w:color w:val="000000"/>
                <w:sz w:val="20"/>
                <w:u w:val="none"/>
                <w:effect w:val="none"/>
              </w:rPr>
              <w:t>Inventories, net</w:t>
            </w:r>
          </w:p>
        </w:tc>
        <w:tc>
          <w:tcPr>
            <w:tcW w:w="99" w:type="dxa"/>
            <w:tcBorders/>
            <w:vAlign w:val="bottom"/>
          </w:tcPr>
          <w:p>
            <w:pPr>
              <w:pStyle w:val="TableContents"/>
              <w:bidi w:val="0"/>
              <w:spacing w:before="0" w:after="0"/>
              <w:ind w:left="0" w:right="0" w:hanging="0"/>
              <w:jc w:val="both"/>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06" w:type="dxa"/>
            <w:tcBorders/>
            <w:vAlign w:val="bottom"/>
          </w:tcPr>
          <w:p>
            <w:pPr>
              <w:pStyle w:val="TableContents"/>
              <w:bidi w:val="0"/>
              <w:spacing w:before="0" w:after="0"/>
              <w:jc w:val="left"/>
              <w:rPr>
                <w:strike w:val="false"/>
                <w:dstrike w:val="false"/>
                <w:color w:val="000000"/>
                <w:u w:val="none"/>
                <w:effect w:val="none"/>
              </w:rPr>
            </w:pPr>
            <w:r>
              <w:rPr>
                <w:strike w:val="false"/>
                <w:dstrike w:val="false"/>
                <w:color w:val="000000"/>
                <w:u w:val="none"/>
                <w:effect w:val="none"/>
              </w:rPr>
              <w:t> </w:t>
            </w:r>
          </w:p>
        </w:tc>
        <w:tc>
          <w:tcPr>
            <w:tcW w:w="1962" w:type="dxa"/>
            <w:tcBorders/>
            <w:vAlign w:val="bottom"/>
          </w:tcPr>
          <w:p>
            <w:pPr>
              <w:pStyle w:val="TableContents"/>
              <w:bidi w:val="0"/>
              <w:spacing w:before="0" w:after="283"/>
              <w:ind w:left="0" w:right="0" w:hanging="0"/>
              <w:jc w:val="right"/>
              <w:rPr>
                <w:strike w:val="false"/>
                <w:dstrike w:val="false"/>
                <w:color w:val="000000"/>
                <w:u w:val="none"/>
                <w:effect w:val="none"/>
              </w:rPr>
            </w:pPr>
            <w:r>
              <w:rPr>
                <w:strike w:val="false"/>
                <w:dstrike w:val="false"/>
                <w:color w:val="000000"/>
                <w:u w:val="none"/>
                <w:effect w:val="none"/>
              </w:rPr>
              <w:t>—</w:t>
            </w:r>
          </w:p>
        </w:tc>
        <w:tc>
          <w:tcPr>
            <w:tcW w:w="99" w:type="dxa"/>
            <w:tcBorders/>
            <w:vAlign w:val="bottom"/>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99" w:type="dxa"/>
            <w:tcBorders/>
            <w:vAlign w:val="bottom"/>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280" w:type="dxa"/>
            <w:tcBorders/>
            <w:vAlign w:val="bottom"/>
          </w:tcPr>
          <w:p>
            <w:pPr>
              <w:pStyle w:val="TableContents"/>
              <w:bidi w:val="0"/>
              <w:spacing w:before="0" w:after="0"/>
              <w:jc w:val="right"/>
              <w:rPr>
                <w:strike w:val="false"/>
                <w:dstrike w:val="false"/>
                <w:color w:val="000000"/>
                <w:u w:val="none"/>
                <w:effect w:val="none"/>
              </w:rPr>
            </w:pPr>
            <w:r>
              <w:rPr>
                <w:strike w:val="false"/>
                <w:dstrike w:val="false"/>
                <w:color w:val="000000"/>
                <w:u w:val="none"/>
                <w:effect w:val="none"/>
              </w:rPr>
              <w:t> </w:t>
            </w:r>
          </w:p>
        </w:tc>
        <w:tc>
          <w:tcPr>
            <w:tcW w:w="2704" w:type="dxa"/>
            <w:tcBorders/>
            <w:vAlign w:val="bottom"/>
          </w:tcPr>
          <w:p>
            <w:pPr>
              <w:pStyle w:val="TableContents"/>
              <w:bidi w:val="0"/>
              <w:spacing w:before="0" w:after="283"/>
              <w:jc w:val="right"/>
              <w:rPr>
                <w:strike w:val="false"/>
                <w:dstrike w:val="false"/>
                <w:color w:val="000000"/>
                <w:u w:val="none"/>
                <w:effect w:val="none"/>
              </w:rPr>
            </w:pPr>
            <w:r>
              <w:rPr>
                <w:strike w:val="false"/>
                <w:dstrike w:val="false"/>
                <w:color w:val="000000"/>
                <w:u w:val="none"/>
                <w:effect w:val="none"/>
              </w:rPr>
              <w:t>—</w:t>
            </w:r>
          </w:p>
        </w:tc>
        <w:tc>
          <w:tcPr>
            <w:tcW w:w="99" w:type="dxa"/>
            <w:tcBorders/>
            <w:vAlign w:val="bottom"/>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657" w:type="dxa"/>
            <w:tcBorders/>
            <w:shd w:fill="CCEEFF" w:val="clear"/>
            <w:vAlign w:val="bottom"/>
          </w:tcPr>
          <w:p>
            <w:pPr>
              <w:pStyle w:val="TableContents"/>
              <w:bidi w:val="0"/>
              <w:spacing w:before="0" w:after="283"/>
              <w:ind w:left="0" w:right="0" w:hanging="0"/>
              <w:jc w:val="both"/>
              <w:rPr>
                <w:rFonts w:ascii="times new roman;times" w:hAnsi="times new roman;times"/>
                <w:b w:val="false"/>
                <w:i w:val="false"/>
                <w:caps w:val="false"/>
                <w:smallCaps w:val="false"/>
                <w:strike w:val="false"/>
                <w:dstrike w:val="false"/>
                <w:color w:val="000000"/>
                <w:sz w:val="20"/>
                <w:u w:val="none"/>
                <w:effect w:val="none"/>
              </w:rPr>
            </w:pPr>
            <w:r>
              <w:rPr>
                <w:rFonts w:ascii="times new roman;times" w:hAnsi="times new roman;times"/>
                <w:b w:val="false"/>
                <w:i w:val="false"/>
                <w:caps w:val="false"/>
                <w:smallCaps w:val="false"/>
                <w:strike w:val="false"/>
                <w:dstrike w:val="false"/>
                <w:color w:val="000000"/>
                <w:sz w:val="20"/>
                <w:u w:val="none"/>
                <w:effect w:val="none"/>
              </w:rPr>
              <w:t>Prepaids and other current assets</w:t>
            </w:r>
          </w:p>
        </w:tc>
        <w:tc>
          <w:tcPr>
            <w:tcW w:w="99" w:type="dxa"/>
            <w:tcBorders/>
            <w:shd w:fill="CCEEFF" w:val="clear"/>
            <w:vAlign w:val="bottom"/>
          </w:tcPr>
          <w:p>
            <w:pPr>
              <w:pStyle w:val="TableContents"/>
              <w:bidi w:val="0"/>
              <w:spacing w:before="0" w:after="0"/>
              <w:ind w:left="0" w:right="0" w:hanging="0"/>
              <w:jc w:val="both"/>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06" w:type="dxa"/>
            <w:tcBorders/>
            <w:shd w:fill="CCEEFF" w:val="clear"/>
            <w:vAlign w:val="bottom"/>
          </w:tcPr>
          <w:p>
            <w:pPr>
              <w:pStyle w:val="TableContents"/>
              <w:bidi w:val="0"/>
              <w:spacing w:before="0" w:after="0"/>
              <w:jc w:val="left"/>
              <w:rPr>
                <w:strike w:val="false"/>
                <w:dstrike w:val="false"/>
                <w:color w:val="000000"/>
                <w:u w:val="none"/>
                <w:effect w:val="none"/>
              </w:rPr>
            </w:pPr>
            <w:r>
              <w:rPr>
                <w:strike w:val="false"/>
                <w:dstrike w:val="false"/>
                <w:color w:val="000000"/>
                <w:u w:val="none"/>
                <w:effect w:val="none"/>
              </w:rPr>
              <w:t> </w:t>
            </w:r>
          </w:p>
        </w:tc>
        <w:tc>
          <w:tcPr>
            <w:tcW w:w="1962" w:type="dxa"/>
            <w:tcBorders/>
            <w:shd w:fill="CCEEFF" w:val="clear"/>
            <w:vAlign w:val="bottom"/>
          </w:tcPr>
          <w:p>
            <w:pPr>
              <w:pStyle w:val="TableContents"/>
              <w:bidi w:val="0"/>
              <w:spacing w:before="0" w:after="283"/>
              <w:ind w:left="0" w:right="0" w:hanging="0"/>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140</w:t>
            </w:r>
          </w:p>
        </w:tc>
        <w:tc>
          <w:tcPr>
            <w:tcW w:w="99" w:type="dxa"/>
            <w:tcBorders/>
            <w:shd w:fill="CCEEFF" w:val="clear"/>
            <w:vAlign w:val="bottom"/>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99" w:type="dxa"/>
            <w:tcBorders/>
            <w:shd w:fill="CCEEFF" w:val="clear"/>
            <w:vAlign w:val="bottom"/>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280" w:type="dxa"/>
            <w:tcBorders/>
            <w:shd w:fill="CCEEFF" w:val="clear"/>
            <w:vAlign w:val="bottom"/>
          </w:tcPr>
          <w:p>
            <w:pPr>
              <w:pStyle w:val="TableContents"/>
              <w:bidi w:val="0"/>
              <w:spacing w:before="0" w:after="0"/>
              <w:jc w:val="right"/>
              <w:rPr>
                <w:strike w:val="false"/>
                <w:dstrike w:val="false"/>
                <w:color w:val="000000"/>
                <w:u w:val="none"/>
                <w:effect w:val="none"/>
              </w:rPr>
            </w:pPr>
            <w:r>
              <w:rPr>
                <w:strike w:val="false"/>
                <w:dstrike w:val="false"/>
                <w:color w:val="000000"/>
                <w:u w:val="none"/>
                <w:effect w:val="none"/>
              </w:rPr>
              <w:t> </w:t>
            </w:r>
          </w:p>
        </w:tc>
        <w:tc>
          <w:tcPr>
            <w:tcW w:w="2704"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251</w:t>
            </w:r>
          </w:p>
        </w:tc>
        <w:tc>
          <w:tcPr>
            <w:tcW w:w="99" w:type="dxa"/>
            <w:tcBorders/>
            <w:shd w:fill="CCEEFF" w:val="clear"/>
            <w:vAlign w:val="bottom"/>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657" w:type="dxa"/>
            <w:tcBorders/>
            <w:vAlign w:val="bottom"/>
          </w:tcPr>
          <w:p>
            <w:pPr>
              <w:pStyle w:val="TableContents"/>
              <w:bidi w:val="0"/>
              <w:spacing w:before="0" w:after="283"/>
              <w:ind w:left="0" w:right="0" w:hanging="0"/>
              <w:jc w:val="both"/>
              <w:rPr>
                <w:rFonts w:ascii="times new roman;times" w:hAnsi="times new roman;times"/>
                <w:b w:val="false"/>
                <w:i w:val="false"/>
                <w:caps w:val="false"/>
                <w:smallCaps w:val="false"/>
                <w:strike w:val="false"/>
                <w:dstrike w:val="false"/>
                <w:color w:val="000000"/>
                <w:sz w:val="20"/>
                <w:u w:val="none"/>
                <w:effect w:val="none"/>
              </w:rPr>
            </w:pPr>
            <w:r>
              <w:rPr>
                <w:rFonts w:ascii="times new roman;times" w:hAnsi="times new roman;times"/>
                <w:b w:val="false"/>
                <w:i w:val="false"/>
                <w:caps w:val="false"/>
                <w:smallCaps w:val="false"/>
                <w:strike w:val="false"/>
                <w:dstrike w:val="false"/>
                <w:color w:val="000000"/>
                <w:sz w:val="20"/>
                <w:u w:val="none"/>
                <w:effect w:val="none"/>
              </w:rPr>
              <w:t>Property, plant and equipment, net</w:t>
            </w:r>
          </w:p>
        </w:tc>
        <w:tc>
          <w:tcPr>
            <w:tcW w:w="99" w:type="dxa"/>
            <w:tcBorders/>
            <w:vAlign w:val="bottom"/>
          </w:tcPr>
          <w:p>
            <w:pPr>
              <w:pStyle w:val="TableContents"/>
              <w:bidi w:val="0"/>
              <w:spacing w:before="0" w:after="0"/>
              <w:ind w:left="0" w:right="0" w:hanging="0"/>
              <w:jc w:val="both"/>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06" w:type="dxa"/>
            <w:tcBorders/>
            <w:vAlign w:val="bottom"/>
          </w:tcPr>
          <w:p>
            <w:pPr>
              <w:pStyle w:val="TableContents"/>
              <w:bidi w:val="0"/>
              <w:spacing w:before="0" w:after="0"/>
              <w:jc w:val="left"/>
              <w:rPr>
                <w:strike w:val="false"/>
                <w:dstrike w:val="false"/>
                <w:color w:val="000000"/>
                <w:u w:val="none"/>
                <w:effect w:val="none"/>
              </w:rPr>
            </w:pPr>
            <w:r>
              <w:rPr>
                <w:strike w:val="false"/>
                <w:dstrike w:val="false"/>
                <w:color w:val="000000"/>
                <w:u w:val="none"/>
                <w:effect w:val="none"/>
              </w:rPr>
              <w:t> </w:t>
            </w:r>
          </w:p>
        </w:tc>
        <w:tc>
          <w:tcPr>
            <w:tcW w:w="1962" w:type="dxa"/>
            <w:tcBorders/>
            <w:vAlign w:val="bottom"/>
          </w:tcPr>
          <w:p>
            <w:pPr>
              <w:pStyle w:val="TableContents"/>
              <w:bidi w:val="0"/>
              <w:spacing w:before="0" w:after="283"/>
              <w:ind w:left="0" w:right="0" w:hanging="0"/>
              <w:jc w:val="right"/>
              <w:rPr>
                <w:strike w:val="false"/>
                <w:dstrike w:val="false"/>
                <w:color w:val="000000"/>
                <w:u w:val="none"/>
                <w:effect w:val="none"/>
              </w:rPr>
            </w:pPr>
            <w:r>
              <w:rPr>
                <w:strike w:val="false"/>
                <w:dstrike w:val="false"/>
                <w:color w:val="000000"/>
                <w:u w:val="none"/>
                <w:effect w:val="none"/>
              </w:rPr>
              <w:t>—</w:t>
            </w:r>
          </w:p>
        </w:tc>
        <w:tc>
          <w:tcPr>
            <w:tcW w:w="99" w:type="dxa"/>
            <w:tcBorders/>
            <w:vAlign w:val="bottom"/>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99" w:type="dxa"/>
            <w:tcBorders/>
            <w:vAlign w:val="bottom"/>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280" w:type="dxa"/>
            <w:tcBorders/>
            <w:vAlign w:val="bottom"/>
          </w:tcPr>
          <w:p>
            <w:pPr>
              <w:pStyle w:val="TableContents"/>
              <w:bidi w:val="0"/>
              <w:spacing w:before="0" w:after="0"/>
              <w:jc w:val="right"/>
              <w:rPr>
                <w:strike w:val="false"/>
                <w:dstrike w:val="false"/>
                <w:color w:val="000000"/>
                <w:u w:val="none"/>
                <w:effect w:val="none"/>
              </w:rPr>
            </w:pPr>
            <w:r>
              <w:rPr>
                <w:strike w:val="false"/>
                <w:dstrike w:val="false"/>
                <w:color w:val="000000"/>
                <w:u w:val="none"/>
                <w:effect w:val="none"/>
              </w:rPr>
              <w:t> </w:t>
            </w:r>
          </w:p>
        </w:tc>
        <w:tc>
          <w:tcPr>
            <w:tcW w:w="2704"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80</w:t>
            </w:r>
          </w:p>
        </w:tc>
        <w:tc>
          <w:tcPr>
            <w:tcW w:w="99" w:type="dxa"/>
            <w:tcBorders/>
            <w:vAlign w:val="bottom"/>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657" w:type="dxa"/>
            <w:tcBorders/>
            <w:shd w:fill="CCEEFF" w:val="clear"/>
            <w:vAlign w:val="bottom"/>
          </w:tcPr>
          <w:p>
            <w:pPr>
              <w:pStyle w:val="TableContents"/>
              <w:bidi w:val="0"/>
              <w:spacing w:before="0" w:after="283"/>
              <w:ind w:left="0" w:right="0" w:hanging="0"/>
              <w:jc w:val="both"/>
              <w:rPr>
                <w:rFonts w:ascii="times new roman;times" w:hAnsi="times new roman;times"/>
                <w:b w:val="false"/>
                <w:i w:val="false"/>
                <w:caps w:val="false"/>
                <w:smallCaps w:val="false"/>
                <w:strike w:val="false"/>
                <w:dstrike w:val="false"/>
                <w:color w:val="000000"/>
                <w:sz w:val="20"/>
                <w:u w:val="none"/>
                <w:effect w:val="none"/>
              </w:rPr>
            </w:pPr>
            <w:r>
              <w:rPr>
                <w:rFonts w:ascii="times new roman;times" w:hAnsi="times new roman;times"/>
                <w:b w:val="false"/>
                <w:i w:val="false"/>
                <w:caps w:val="false"/>
                <w:smallCaps w:val="false"/>
                <w:strike w:val="false"/>
                <w:dstrike w:val="false"/>
                <w:color w:val="000000"/>
                <w:sz w:val="20"/>
                <w:u w:val="none"/>
                <w:effect w:val="none"/>
              </w:rPr>
              <w:t>Other long-term assets</w:t>
            </w:r>
          </w:p>
        </w:tc>
        <w:tc>
          <w:tcPr>
            <w:tcW w:w="99" w:type="dxa"/>
            <w:tcBorders/>
            <w:shd w:fill="CCEEFF" w:val="clear"/>
            <w:vAlign w:val="bottom"/>
          </w:tcPr>
          <w:p>
            <w:pPr>
              <w:pStyle w:val="TableContents"/>
              <w:bidi w:val="0"/>
              <w:spacing w:before="0" w:after="0"/>
              <w:ind w:left="0" w:right="0" w:hanging="0"/>
              <w:jc w:val="both"/>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06" w:type="dxa"/>
            <w:tcBorders/>
            <w:shd w:fill="CCEEFF" w:val="clear"/>
            <w:vAlign w:val="bottom"/>
          </w:tcPr>
          <w:p>
            <w:pPr>
              <w:pStyle w:val="TableContents"/>
              <w:bidi w:val="0"/>
              <w:spacing w:before="0" w:after="0"/>
              <w:jc w:val="left"/>
              <w:rPr>
                <w:strike w:val="false"/>
                <w:dstrike w:val="false"/>
                <w:color w:val="000000"/>
                <w:u w:val="none"/>
                <w:effect w:val="none"/>
              </w:rPr>
            </w:pPr>
            <w:r>
              <w:rPr>
                <w:strike w:val="false"/>
                <w:dstrike w:val="false"/>
                <w:color w:val="000000"/>
                <w:u w:val="none"/>
                <w:effect w:val="none"/>
              </w:rPr>
              <w:t> </w:t>
            </w:r>
          </w:p>
        </w:tc>
        <w:tc>
          <w:tcPr>
            <w:tcW w:w="1962" w:type="dxa"/>
            <w:tcBorders/>
            <w:shd w:fill="CCEEFF" w:val="clear"/>
            <w:vAlign w:val="bottom"/>
          </w:tcPr>
          <w:p>
            <w:pPr>
              <w:pStyle w:val="TableContents"/>
              <w:bidi w:val="0"/>
              <w:spacing w:before="0" w:after="283"/>
              <w:ind w:left="0" w:right="0" w:hanging="0"/>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14</w:t>
            </w:r>
          </w:p>
        </w:tc>
        <w:tc>
          <w:tcPr>
            <w:tcW w:w="99" w:type="dxa"/>
            <w:tcBorders/>
            <w:shd w:fill="CCEEFF" w:val="clear"/>
            <w:vAlign w:val="bottom"/>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99" w:type="dxa"/>
            <w:tcBorders/>
            <w:shd w:fill="CCEEFF" w:val="clear"/>
            <w:vAlign w:val="bottom"/>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280" w:type="dxa"/>
            <w:tcBorders/>
            <w:shd w:fill="CCEEFF" w:val="clear"/>
            <w:vAlign w:val="bottom"/>
          </w:tcPr>
          <w:p>
            <w:pPr>
              <w:pStyle w:val="TableContents"/>
              <w:bidi w:val="0"/>
              <w:spacing w:before="0" w:after="0"/>
              <w:jc w:val="right"/>
              <w:rPr>
                <w:strike w:val="false"/>
                <w:dstrike w:val="false"/>
                <w:color w:val="000000"/>
                <w:u w:val="none"/>
                <w:effect w:val="none"/>
              </w:rPr>
            </w:pPr>
            <w:r>
              <w:rPr>
                <w:strike w:val="false"/>
                <w:dstrike w:val="false"/>
                <w:color w:val="000000"/>
                <w:u w:val="none"/>
                <w:effect w:val="none"/>
              </w:rPr>
              <w:t> </w:t>
            </w:r>
          </w:p>
        </w:tc>
        <w:tc>
          <w:tcPr>
            <w:tcW w:w="2704"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29</w:t>
            </w:r>
          </w:p>
        </w:tc>
        <w:tc>
          <w:tcPr>
            <w:tcW w:w="99" w:type="dxa"/>
            <w:tcBorders/>
            <w:shd w:fill="CCEEFF" w:val="clear"/>
            <w:vAlign w:val="bottom"/>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r>
        <w:trPr/>
        <w:tc>
          <w:tcPr>
            <w:tcW w:w="4657" w:type="dxa"/>
            <w:tcBorders/>
            <w:vAlign w:val="bottom"/>
          </w:tcPr>
          <w:p>
            <w:pPr>
              <w:pStyle w:val="TableContents"/>
              <w:bidi w:val="0"/>
              <w:spacing w:before="0" w:after="283"/>
              <w:ind w:left="0" w:right="0" w:hanging="0"/>
              <w:jc w:val="both"/>
              <w:rPr>
                <w:rFonts w:ascii="times new roman;times" w:hAnsi="times new roman;times"/>
                <w:b w:val="false"/>
                <w:i w:val="false"/>
                <w:caps w:val="false"/>
                <w:smallCaps w:val="false"/>
                <w:strike w:val="false"/>
                <w:dstrike w:val="false"/>
                <w:color w:val="000000"/>
                <w:sz w:val="20"/>
                <w:u w:val="none"/>
                <w:effect w:val="none"/>
              </w:rPr>
            </w:pPr>
            <w:r>
              <w:rPr>
                <w:rFonts w:ascii="times new roman;times" w:hAnsi="times new roman;times"/>
                <w:b w:val="false"/>
                <w:i w:val="false"/>
                <w:caps w:val="false"/>
                <w:smallCaps w:val="false"/>
                <w:strike w:val="false"/>
                <w:dstrike w:val="false"/>
                <w:color w:val="000000"/>
                <w:sz w:val="20"/>
                <w:u w:val="none"/>
                <w:effect w:val="none"/>
              </w:rPr>
              <w:t>Total assets</w:t>
            </w:r>
          </w:p>
        </w:tc>
        <w:tc>
          <w:tcPr>
            <w:tcW w:w="99" w:type="dxa"/>
            <w:tcBorders/>
            <w:vAlign w:val="bottom"/>
          </w:tcPr>
          <w:p>
            <w:pPr>
              <w:pStyle w:val="TableContents"/>
              <w:bidi w:val="0"/>
              <w:spacing w:before="0" w:after="0"/>
              <w:ind w:left="0" w:right="0" w:hanging="0"/>
              <w:jc w:val="both"/>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06" w:type="dxa"/>
            <w:tcBorders/>
            <w:vAlign w:val="bottom"/>
          </w:tcPr>
          <w:p>
            <w:pPr>
              <w:pStyle w:val="TableContents"/>
              <w:bidi w:val="0"/>
              <w:spacing w:before="0" w:after="0"/>
              <w:jc w:val="lef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w:t>
            </w:r>
          </w:p>
        </w:tc>
        <w:tc>
          <w:tcPr>
            <w:tcW w:w="1962" w:type="dxa"/>
            <w:tcBorders/>
            <w:vAlign w:val="bottom"/>
          </w:tcPr>
          <w:p>
            <w:pPr>
              <w:pStyle w:val="TableContents"/>
              <w:bidi w:val="0"/>
              <w:spacing w:before="0" w:after="283"/>
              <w:ind w:left="0" w:right="0" w:hanging="0"/>
              <w:jc w:val="righ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154</w:t>
            </w:r>
          </w:p>
        </w:tc>
        <w:tc>
          <w:tcPr>
            <w:tcW w:w="99" w:type="dxa"/>
            <w:tcBorders/>
            <w:vAlign w:val="bottom"/>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99" w:type="dxa"/>
            <w:tcBorders/>
            <w:vAlign w:val="bottom"/>
          </w:tcPr>
          <w:p>
            <w:pPr>
              <w:pStyle w:val="TableContents"/>
              <w:bidi w:val="0"/>
              <w:spacing w:before="0" w:after="0"/>
              <w:ind w:left="0" w:right="0" w:hanging="0"/>
              <w:jc w:val="right"/>
              <w:rPr>
                <w:strike w:val="false"/>
                <w:dstrike w:val="false"/>
                <w:color w:val="000000"/>
                <w:u w:val="none"/>
                <w:effect w:val="none"/>
              </w:rPr>
            </w:pPr>
            <w:r>
              <w:rPr>
                <w:strike w:val="false"/>
                <w:dstrike w:val="false"/>
                <w:color w:val="000000"/>
                <w:u w:val="none"/>
                <w:effect w:val="none"/>
              </w:rPr>
              <w:t> </w:t>
            </w:r>
          </w:p>
        </w:tc>
        <w:tc>
          <w:tcPr>
            <w:tcW w:w="280" w:type="dxa"/>
            <w:tcBorders/>
            <w:vAlign w:val="bottom"/>
          </w:tcPr>
          <w:p>
            <w:pPr>
              <w:pStyle w:val="TableContents"/>
              <w:bidi w:val="0"/>
              <w:spacing w:before="0" w:after="0"/>
              <w:jc w:val="lef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 </w:t>
            </w:r>
          </w:p>
        </w:tc>
        <w:tc>
          <w:tcPr>
            <w:tcW w:w="2704" w:type="dxa"/>
            <w:tcBorders/>
            <w:vAlign w:val="bottom"/>
          </w:tcPr>
          <w:p>
            <w:pPr>
              <w:pStyle w:val="TableContents"/>
              <w:bidi w:val="0"/>
              <w:spacing w:before="0" w:after="283"/>
              <w:jc w:val="righ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713</w:t>
            </w:r>
          </w:p>
        </w:tc>
        <w:tc>
          <w:tcPr>
            <w:tcW w:w="99" w:type="dxa"/>
            <w:tcBorders/>
            <w:vAlign w:val="bottom"/>
          </w:tcPr>
          <w:p>
            <w:pPr>
              <w:pStyle w:val="TableContents"/>
              <w:bidi w:val="0"/>
              <w:spacing w:before="0" w:after="283"/>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r>
    </w:tbl>
    <w:p>
      <w:pPr>
        <w:pStyle w:val="TextBody"/>
        <w:widowControl/>
        <w:bidi w:val="0"/>
        <w:spacing w:before="0" w:after="0"/>
        <w:jc w:val="left"/>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lineRule="atLeast" w:line="240" w:before="0" w:after="0"/>
        <w:ind w:left="0" w:right="0" w:hanging="0"/>
        <w:jc w:val="both"/>
        <w:rPr>
          <w:caps w:val="false"/>
          <w:smallCaps w:val="false"/>
          <w:color w:val="000000"/>
          <w:spacing w:val="0"/>
        </w:rPr>
      </w:pPr>
      <w:r>
        <w:rPr>
          <w:caps w:val="false"/>
          <w:smallCaps w:val="false"/>
          <w:color w:val="000000"/>
          <w:spacing w:val="0"/>
        </w:rPr>
      </w:r>
    </w:p>
    <w:p>
      <w:pPr>
        <w:sectPr>
          <w:type w:val="continuous"/>
          <w:pgSz w:w="11906" w:h="16838"/>
          <w:pgMar w:left="1134" w:right="567" w:gutter="0" w:header="0" w:top="567" w:footer="0" w:bottom="567"/>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132" w:name="PageBreakNo10"/>
            <w:bookmarkEnd w:id="132"/>
            <w:r>
              <w:rPr>
                <w:sz w:val="20"/>
              </w:rPr>
              <w:t>10</w:t>
            </w:r>
          </w:p>
        </w:tc>
      </w:tr>
    </w:tbl>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0" w:after="0"/>
        <w:jc w:val="left"/>
        <w:rPr/>
      </w:pPr>
      <w:r>
        <w:rPr/>
      </w:r>
    </w:p>
    <w:p>
      <w:pPr>
        <w:pStyle w:val="TextBody"/>
        <w:bidi w:val="0"/>
        <w:spacing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both"/>
        <w:rPr/>
      </w:pPr>
      <w:r>
        <w:rPr/>
      </w:r>
    </w:p>
    <w:p>
      <w:pPr>
        <w:pStyle w:val="TextBody"/>
        <w:widowControl/>
        <w:bidi w:val="0"/>
        <w:spacing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UNAUDITED NOTES TO CONDENSED CONSOLIDATED FINANCIAL STATEMENTS</w:t>
      </w:r>
    </w:p>
    <w:p>
      <w:pPr>
        <w:pStyle w:val="TextBody"/>
        <w:widowControl/>
        <w:bidi w:val="0"/>
        <w:spacing w:before="0" w:after="0"/>
        <w:ind w:left="144" w:right="144"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(Unaudited - Dollars in thousands, except per share amounts)</w:t>
      </w:r>
    </w:p>
    <w:p>
      <w:pPr>
        <w:pStyle w:val="TextBody"/>
        <w:bidi w:val="0"/>
        <w:spacing w:before="0" w:after="0"/>
        <w:ind w:left="0" w:right="0" w:hanging="0"/>
        <w:jc w:val="left"/>
        <w:rPr/>
      </w:pPr>
      <w:r>
        <w:rPr/>
      </w:r>
    </w:p>
    <w:p>
      <w:pPr>
        <w:pStyle w:val="TextBody"/>
        <w:bidi w:val="0"/>
        <w:spacing w:lineRule="atLeast" w:line="240" w:before="0" w:after="0"/>
        <w:ind w:left="0" w:right="0" w:hanging="0"/>
        <w:jc w:val="both"/>
        <w:rPr>
          <w:rFonts w:ascii="times new roman;times" w:hAnsi="times new roman;times"/>
          <w:sz w:val="20"/>
        </w:rPr>
      </w:pPr>
      <w:r>
        <w:rPr>
          <w:rFonts w:ascii="times new roman;times" w:hAnsi="times new roman;times"/>
          <w:sz w:val="20"/>
        </w:rPr>
        <w:t>Liabilities grouped into discontinued operations (unaudited):</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ind w:left="0" w:right="0" w:hanging="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893"/>
        <w:gridCol w:w="92"/>
        <w:gridCol w:w="218"/>
        <w:gridCol w:w="2287"/>
        <w:gridCol w:w="93"/>
        <w:gridCol w:w="93"/>
        <w:gridCol w:w="310"/>
        <w:gridCol w:w="3126"/>
        <w:gridCol w:w="93"/>
      </w:tblGrid>
      <w:tr>
        <w:trPr/>
        <w:tc>
          <w:tcPr>
            <w:tcW w:w="3893" w:type="dxa"/>
            <w:tcBorders/>
            <w:vAlign w:val="bottom"/>
          </w:tcPr>
          <w:p>
            <w:pPr>
              <w:pStyle w:val="TableContents"/>
              <w:bidi w:val="0"/>
              <w:spacing w:before="0" w:after="283"/>
              <w:jc w:val="left"/>
              <w:rPr/>
            </w:pPr>
            <w:r>
              <w:rPr/>
              <w:t> </w:t>
            </w:r>
          </w:p>
        </w:tc>
        <w:tc>
          <w:tcPr>
            <w:tcW w:w="92"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287" w:type="dxa"/>
            <w:tcBorders/>
            <w:vAlign w:val="bottom"/>
          </w:tcPr>
          <w:p>
            <w:pPr>
              <w:pStyle w:val="TableContents"/>
              <w:bidi w:val="0"/>
              <w:spacing w:before="0" w:after="283"/>
              <w:jc w:val="center"/>
              <w:rPr>
                <w:b/>
              </w:rPr>
            </w:pPr>
            <w:bookmarkStart w:id="133" w:name="fs_EOFC9EWGGG00000000000000000000FM"/>
            <w:bookmarkEnd w:id="133"/>
            <w:r>
              <w:rPr>
                <w:b/>
              </w:rPr>
              <w:t xml:space="preserve">June 30, 2026 </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3126" w:type="dxa"/>
            <w:tcBorders/>
            <w:vAlign w:val="bottom"/>
          </w:tcPr>
          <w:p>
            <w:pPr>
              <w:pStyle w:val="TableContents"/>
              <w:bidi w:val="0"/>
              <w:spacing w:before="0" w:after="283"/>
              <w:jc w:val="center"/>
              <w:rPr>
                <w:b/>
              </w:rPr>
            </w:pPr>
            <w:bookmarkStart w:id="134" w:name="fs_AX3TLTDAHC00000000000000000000FM"/>
            <w:bookmarkEnd w:id="134"/>
            <w:r>
              <w:rPr>
                <w:b/>
              </w:rPr>
              <w:t xml:space="preserve">December 31, 2025 </w:t>
            </w:r>
          </w:p>
        </w:tc>
        <w:tc>
          <w:tcPr>
            <w:tcW w:w="93" w:type="dxa"/>
            <w:tcBorders/>
            <w:vAlign w:val="bottom"/>
          </w:tcPr>
          <w:p>
            <w:pPr>
              <w:pStyle w:val="TableContents"/>
              <w:bidi w:val="0"/>
              <w:spacing w:before="0" w:after="283"/>
              <w:jc w:val="left"/>
              <w:rPr/>
            </w:pPr>
            <w:r>
              <w:rPr/>
              <w:t> </w:t>
            </w:r>
          </w:p>
        </w:tc>
      </w:tr>
      <w:tr>
        <w:trPr/>
        <w:tc>
          <w:tcPr>
            <w:tcW w:w="3893" w:type="dxa"/>
            <w:tcBorders/>
            <w:shd w:fill="CCEEFF" w:val="clear"/>
            <w:vAlign w:val="bottom"/>
          </w:tcPr>
          <w:p>
            <w:pPr>
              <w:pStyle w:val="TableContents"/>
              <w:bidi w:val="0"/>
              <w:spacing w:before="0" w:after="283"/>
              <w:jc w:val="left"/>
              <w:rPr/>
            </w:pPr>
            <w:r>
              <w:rPr/>
              <w:t>Accounts payable</w:t>
            </w:r>
          </w:p>
        </w:tc>
        <w:tc>
          <w:tcPr>
            <w:tcW w:w="92"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w:t>
            </w:r>
          </w:p>
        </w:tc>
        <w:tc>
          <w:tcPr>
            <w:tcW w:w="2287" w:type="dxa"/>
            <w:tcBorders/>
            <w:shd w:fill="CCEEFF" w:val="clear"/>
            <w:vAlign w:val="bottom"/>
          </w:tcPr>
          <w:p>
            <w:pPr>
              <w:pStyle w:val="TableContents"/>
              <w:bidi w:val="0"/>
              <w:spacing w:before="0" w:after="283"/>
              <w:jc w:val="right"/>
              <w:rPr/>
            </w:pPr>
            <w:r>
              <w:rPr/>
              <w:t>—</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3126" w:type="dxa"/>
            <w:tcBorders/>
            <w:shd w:fill="CCEEFF" w:val="clear"/>
            <w:vAlign w:val="bottom"/>
          </w:tcPr>
          <w:p>
            <w:pPr>
              <w:pStyle w:val="TableContents"/>
              <w:bidi w:val="0"/>
              <w:spacing w:before="0" w:after="283"/>
              <w:jc w:val="right"/>
              <w:rPr/>
            </w:pPr>
            <w:r>
              <w:rPr/>
              <w:t>63</w:t>
            </w:r>
          </w:p>
        </w:tc>
        <w:tc>
          <w:tcPr>
            <w:tcW w:w="93" w:type="dxa"/>
            <w:tcBorders/>
            <w:shd w:fill="CCEEFF" w:val="clear"/>
            <w:vAlign w:val="bottom"/>
          </w:tcPr>
          <w:p>
            <w:pPr>
              <w:pStyle w:val="TableContents"/>
              <w:bidi w:val="0"/>
              <w:spacing w:before="0" w:after="283"/>
              <w:jc w:val="left"/>
              <w:rPr/>
            </w:pPr>
            <w:r>
              <w:rPr/>
              <w:t> </w:t>
            </w:r>
          </w:p>
        </w:tc>
      </w:tr>
      <w:tr>
        <w:trPr/>
        <w:tc>
          <w:tcPr>
            <w:tcW w:w="3893" w:type="dxa"/>
            <w:tcBorders/>
            <w:vAlign w:val="bottom"/>
          </w:tcPr>
          <w:p>
            <w:pPr>
              <w:pStyle w:val="TableContents"/>
              <w:bidi w:val="0"/>
              <w:spacing w:before="0" w:after="283"/>
              <w:jc w:val="left"/>
              <w:rPr/>
            </w:pPr>
            <w:r>
              <w:rPr/>
              <w:t>Accrued liabilities, current</w:t>
            </w:r>
          </w:p>
        </w:tc>
        <w:tc>
          <w:tcPr>
            <w:tcW w:w="92"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 </w:t>
            </w:r>
          </w:p>
        </w:tc>
        <w:tc>
          <w:tcPr>
            <w:tcW w:w="2287" w:type="dxa"/>
            <w:tcBorders/>
            <w:vAlign w:val="bottom"/>
          </w:tcPr>
          <w:p>
            <w:pPr>
              <w:pStyle w:val="TableContents"/>
              <w:bidi w:val="0"/>
              <w:spacing w:before="0" w:after="283"/>
              <w:jc w:val="right"/>
              <w:rPr/>
            </w:pPr>
            <w:r>
              <w:rPr/>
              <w:t>—</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3126" w:type="dxa"/>
            <w:tcBorders/>
            <w:vAlign w:val="bottom"/>
          </w:tcPr>
          <w:p>
            <w:pPr>
              <w:pStyle w:val="TableContents"/>
              <w:bidi w:val="0"/>
              <w:spacing w:before="0" w:after="283"/>
              <w:jc w:val="right"/>
              <w:rPr/>
            </w:pPr>
            <w:r>
              <w:rPr/>
              <w:t>521</w:t>
            </w:r>
          </w:p>
        </w:tc>
        <w:tc>
          <w:tcPr>
            <w:tcW w:w="93" w:type="dxa"/>
            <w:tcBorders/>
            <w:vAlign w:val="bottom"/>
          </w:tcPr>
          <w:p>
            <w:pPr>
              <w:pStyle w:val="TableContents"/>
              <w:bidi w:val="0"/>
              <w:spacing w:before="0" w:after="283"/>
              <w:jc w:val="left"/>
              <w:rPr/>
            </w:pPr>
            <w:r>
              <w:rPr/>
              <w:t> </w:t>
            </w:r>
          </w:p>
        </w:tc>
      </w:tr>
      <w:tr>
        <w:trPr/>
        <w:tc>
          <w:tcPr>
            <w:tcW w:w="3893" w:type="dxa"/>
            <w:tcBorders/>
            <w:shd w:fill="CCEEFF" w:val="clear"/>
            <w:vAlign w:val="bottom"/>
          </w:tcPr>
          <w:p>
            <w:pPr>
              <w:pStyle w:val="TableContents"/>
              <w:bidi w:val="0"/>
              <w:spacing w:before="0" w:after="283"/>
              <w:jc w:val="left"/>
              <w:rPr/>
            </w:pPr>
            <w:r>
              <w:rPr/>
              <w:t>Other long-term liabilities</w:t>
            </w:r>
          </w:p>
        </w:tc>
        <w:tc>
          <w:tcPr>
            <w:tcW w:w="92" w:type="dxa"/>
            <w:tcBorders/>
            <w:shd w:fill="CCEEFF" w:val="clear"/>
            <w:vAlign w:val="bottom"/>
          </w:tcPr>
          <w:p>
            <w:pPr>
              <w:pStyle w:val="TableContents"/>
              <w:bidi w:val="0"/>
              <w:spacing w:before="0" w:after="283"/>
              <w:jc w:val="left"/>
              <w:rPr/>
            </w:pPr>
            <w:r>
              <w:rPr/>
              <w:t> </w:t>
            </w:r>
          </w:p>
        </w:tc>
        <w:tc>
          <w:tcPr>
            <w:tcW w:w="218" w:type="dxa"/>
            <w:tcBorders/>
            <w:shd w:fill="CCEEFF" w:val="clear"/>
            <w:vAlign w:val="bottom"/>
          </w:tcPr>
          <w:p>
            <w:pPr>
              <w:pStyle w:val="TableContents"/>
              <w:bidi w:val="0"/>
              <w:spacing w:before="0" w:after="283"/>
              <w:jc w:val="left"/>
              <w:rPr/>
            </w:pPr>
            <w:r>
              <w:rPr/>
              <w:t> </w:t>
            </w:r>
          </w:p>
        </w:tc>
        <w:tc>
          <w:tcPr>
            <w:tcW w:w="2287" w:type="dxa"/>
            <w:tcBorders/>
            <w:shd w:fill="CCEEFF" w:val="clear"/>
            <w:vAlign w:val="bottom"/>
          </w:tcPr>
          <w:p>
            <w:pPr>
              <w:pStyle w:val="TableContents"/>
              <w:bidi w:val="0"/>
              <w:spacing w:before="0" w:after="283"/>
              <w:jc w:val="right"/>
              <w:rPr/>
            </w:pPr>
            <w:r>
              <w:rPr/>
              <w:t>442</w:t>
            </w:r>
          </w:p>
        </w:tc>
        <w:tc>
          <w:tcPr>
            <w:tcW w:w="93" w:type="dxa"/>
            <w:tcBorders/>
            <w:shd w:fill="CCEEFF" w:val="clear"/>
            <w:vAlign w:val="bottom"/>
          </w:tcPr>
          <w:p>
            <w:pPr>
              <w:pStyle w:val="TableContents"/>
              <w:bidi w:val="0"/>
              <w:spacing w:before="0" w:after="283"/>
              <w:jc w:val="left"/>
              <w:rPr/>
            </w:pPr>
            <w:r>
              <w:rPr/>
              <w:t> </w:t>
            </w:r>
          </w:p>
        </w:tc>
        <w:tc>
          <w:tcPr>
            <w:tcW w:w="93" w:type="dxa"/>
            <w:tcBorders/>
            <w:shd w:fill="CCEEFF" w:val="clear"/>
            <w:vAlign w:val="bottom"/>
          </w:tcPr>
          <w:p>
            <w:pPr>
              <w:pStyle w:val="TableContents"/>
              <w:bidi w:val="0"/>
              <w:spacing w:before="0" w:after="283"/>
              <w:jc w:val="left"/>
              <w:rPr/>
            </w:pPr>
            <w:r>
              <w:rPr/>
              <w:t> </w:t>
            </w:r>
          </w:p>
        </w:tc>
        <w:tc>
          <w:tcPr>
            <w:tcW w:w="310" w:type="dxa"/>
            <w:tcBorders/>
            <w:shd w:fill="CCEEFF" w:val="clear"/>
            <w:vAlign w:val="bottom"/>
          </w:tcPr>
          <w:p>
            <w:pPr>
              <w:pStyle w:val="TableContents"/>
              <w:bidi w:val="0"/>
              <w:spacing w:before="0" w:after="283"/>
              <w:jc w:val="left"/>
              <w:rPr/>
            </w:pPr>
            <w:r>
              <w:rPr/>
              <w:t> </w:t>
            </w:r>
          </w:p>
        </w:tc>
        <w:tc>
          <w:tcPr>
            <w:tcW w:w="3126" w:type="dxa"/>
            <w:tcBorders/>
            <w:shd w:fill="CCEEFF" w:val="clear"/>
            <w:vAlign w:val="bottom"/>
          </w:tcPr>
          <w:p>
            <w:pPr>
              <w:pStyle w:val="TableContents"/>
              <w:bidi w:val="0"/>
              <w:spacing w:before="0" w:after="283"/>
              <w:jc w:val="right"/>
              <w:rPr/>
            </w:pPr>
            <w:r>
              <w:rPr/>
              <w:t>1,236</w:t>
            </w:r>
          </w:p>
        </w:tc>
        <w:tc>
          <w:tcPr>
            <w:tcW w:w="93" w:type="dxa"/>
            <w:tcBorders/>
            <w:shd w:fill="CCEEFF" w:val="clear"/>
            <w:vAlign w:val="bottom"/>
          </w:tcPr>
          <w:p>
            <w:pPr>
              <w:pStyle w:val="TableContents"/>
              <w:bidi w:val="0"/>
              <w:spacing w:before="0" w:after="283"/>
              <w:jc w:val="left"/>
              <w:rPr/>
            </w:pPr>
            <w:r>
              <w:rPr/>
              <w:t> </w:t>
            </w:r>
          </w:p>
        </w:tc>
      </w:tr>
      <w:tr>
        <w:trPr/>
        <w:tc>
          <w:tcPr>
            <w:tcW w:w="3893" w:type="dxa"/>
            <w:tcBorders/>
            <w:vAlign w:val="bottom"/>
          </w:tcPr>
          <w:p>
            <w:pPr>
              <w:pStyle w:val="TableContents"/>
              <w:bidi w:val="0"/>
              <w:spacing w:before="0" w:after="283"/>
              <w:jc w:val="left"/>
              <w:rPr/>
            </w:pPr>
            <w:r>
              <w:rPr/>
              <w:t>Total liabilities</w:t>
            </w:r>
          </w:p>
        </w:tc>
        <w:tc>
          <w:tcPr>
            <w:tcW w:w="92" w:type="dxa"/>
            <w:tcBorders/>
            <w:vAlign w:val="bottom"/>
          </w:tcPr>
          <w:p>
            <w:pPr>
              <w:pStyle w:val="TableContents"/>
              <w:bidi w:val="0"/>
              <w:spacing w:before="0" w:after="283"/>
              <w:jc w:val="left"/>
              <w:rPr/>
            </w:pPr>
            <w:r>
              <w:rPr/>
              <w:t> </w:t>
            </w:r>
          </w:p>
        </w:tc>
        <w:tc>
          <w:tcPr>
            <w:tcW w:w="218" w:type="dxa"/>
            <w:tcBorders/>
            <w:vAlign w:val="bottom"/>
          </w:tcPr>
          <w:p>
            <w:pPr>
              <w:pStyle w:val="TableContents"/>
              <w:bidi w:val="0"/>
              <w:spacing w:before="0" w:after="283"/>
              <w:jc w:val="left"/>
              <w:rPr/>
            </w:pPr>
            <w:r>
              <w:rPr/>
              <w:t>$</w:t>
            </w:r>
          </w:p>
        </w:tc>
        <w:tc>
          <w:tcPr>
            <w:tcW w:w="2287" w:type="dxa"/>
            <w:tcBorders/>
            <w:vAlign w:val="bottom"/>
          </w:tcPr>
          <w:p>
            <w:pPr>
              <w:pStyle w:val="TableContents"/>
              <w:bidi w:val="0"/>
              <w:spacing w:before="0" w:after="283"/>
              <w:jc w:val="right"/>
              <w:rPr/>
            </w:pPr>
            <w:r>
              <w:rPr/>
              <w:t>442</w:t>
            </w:r>
          </w:p>
        </w:tc>
        <w:tc>
          <w:tcPr>
            <w:tcW w:w="93" w:type="dxa"/>
            <w:tcBorders/>
            <w:vAlign w:val="bottom"/>
          </w:tcPr>
          <w:p>
            <w:pPr>
              <w:pStyle w:val="TableContents"/>
              <w:bidi w:val="0"/>
              <w:spacing w:before="0" w:after="283"/>
              <w:jc w:val="left"/>
              <w:rPr/>
            </w:pPr>
            <w:r>
              <w:rPr/>
              <w:t> </w:t>
            </w:r>
          </w:p>
        </w:tc>
        <w:tc>
          <w:tcPr>
            <w:tcW w:w="93" w:type="dxa"/>
            <w:tcBorders/>
            <w:vAlign w:val="bottom"/>
          </w:tcPr>
          <w:p>
            <w:pPr>
              <w:pStyle w:val="TableContents"/>
              <w:bidi w:val="0"/>
              <w:spacing w:before="0" w:after="283"/>
              <w:jc w:val="left"/>
              <w:rPr/>
            </w:pPr>
            <w:r>
              <w:rPr/>
              <w:t> </w:t>
            </w:r>
          </w:p>
        </w:tc>
        <w:tc>
          <w:tcPr>
            <w:tcW w:w="310" w:type="dxa"/>
            <w:tcBorders/>
            <w:vAlign w:val="bottom"/>
          </w:tcPr>
          <w:p>
            <w:pPr>
              <w:pStyle w:val="TableContents"/>
              <w:bidi w:val="0"/>
              <w:spacing w:before="0" w:after="283"/>
              <w:jc w:val="left"/>
              <w:rPr/>
            </w:pPr>
            <w:r>
              <w:rPr/>
              <w:t>$ </w:t>
            </w:r>
          </w:p>
        </w:tc>
        <w:tc>
          <w:tcPr>
            <w:tcW w:w="3126" w:type="dxa"/>
            <w:tcBorders/>
            <w:vAlign w:val="bottom"/>
          </w:tcPr>
          <w:p>
            <w:pPr>
              <w:pStyle w:val="TableContents"/>
              <w:bidi w:val="0"/>
              <w:spacing w:before="0" w:after="283"/>
              <w:jc w:val="right"/>
              <w:rPr/>
            </w:pPr>
            <w:r>
              <w:rPr/>
              <w:t>1,820</w:t>
            </w:r>
          </w:p>
        </w:tc>
        <w:tc>
          <w:tcPr>
            <w:tcW w:w="93" w:type="dxa"/>
            <w:tcBorders/>
            <w:vAlign w:val="bottom"/>
          </w:tcPr>
          <w:p>
            <w:pPr>
              <w:pStyle w:val="TableContents"/>
              <w:bidi w:val="0"/>
              <w:spacing w:before="0" w:after="283"/>
              <w:jc w:val="left"/>
              <w:rPr/>
            </w:pPr>
            <w:r>
              <w:rPr/>
              <w:t> </w:t>
            </w:r>
          </w:p>
        </w:tc>
      </w:tr>
    </w:tbl>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Management concluded the disposal constituted a component and a strategic shift because it eliminated significant revenue-generating activities. The Company continues to provide limited product support and warranty services. On July 1, 2026, the Company entered into an Agreement and Plan of Merger by and among the Company, CLRO Merger Sub, Inc., Cortigent, Inc. and Vivani Medical, Inc.; see Note 14 — Subsequent Events.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ind w:left="0" w:right="0" w:hanging="0"/>
        <w:jc w:val="left"/>
        <w:rPr>
          <w:rFonts w:ascii="times new roman;times" w:hAnsi="times new roman;times"/>
          <w:b/>
          <w:color w:val="000000"/>
          <w:spacing w:val="0"/>
          <w:sz w:val="20"/>
        </w:rPr>
      </w:pPr>
      <w:r>
        <w:rPr>
          <w:rFonts w:ascii="times new roman;times" w:hAnsi="times new roman;times"/>
          <w:b/>
          <w:color w:val="000000"/>
          <w:spacing w:val="0"/>
          <w:sz w:val="20"/>
        </w:rPr>
        <w:t>3. Capital Structure: Class A Redeemable Preferred Stock</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On July 18, 2025, </w:t>
      </w:r>
      <w:r>
        <w:rPr>
          <w:rFonts w:ascii="Times New Roman;serif" w:hAnsi="Times New Roman;serif"/>
          <w:sz w:val="20"/>
        </w:rPr>
        <w:t>following the Board of Directors' authorization on June 20, 2025, filing of the Certificate of Designation on June 24, 2025, and Nasdaq Corporate Data Operations approval on July 11, 2025 (the record date),</w:t>
      </w:r>
      <w:r>
        <w:rPr>
          <w:rFonts w:ascii="times new roman;times" w:hAnsi="times new roman;times"/>
          <w:sz w:val="20"/>
        </w:rPr>
        <w:t xml:space="preserve"> the Company issued 2,069,065 shares of Class A Redeemable Preferred Stock as a </w:t>
      </w:r>
      <w:bookmarkStart w:id="135" w:name="fs_P7A4Y06AM800000000000000000000fs"/>
      <w:bookmarkEnd w:id="135"/>
      <w:r>
        <w:rPr>
          <w:rFonts w:ascii="times new roman;times" w:hAnsi="times new roman;times"/>
          <w:sz w:val="20"/>
        </w:rPr>
        <w:t xml:space="preserve">one-time special stock dividend to holders of common stock and common stock equivalents of record as of  </w:t>
      </w:r>
      <w:r>
        <w:rPr>
          <w:rFonts w:ascii="Times New Roman;serif" w:hAnsi="Times New Roman;serif"/>
          <w:sz w:val="20"/>
        </w:rPr>
        <w:t>the record date, consisting</w:t>
      </w:r>
      <w:r>
        <w:rPr>
          <w:rFonts w:ascii="times new roman;times" w:hAnsi="times new roman;times"/>
          <w:sz w:val="20"/>
        </w:rPr>
        <w:t xml:space="preserve"> of </w:t>
      </w:r>
      <w:bookmarkStart w:id="136" w:name="fs_OL8W13XWQO00000000000000000000fs"/>
      <w:bookmarkEnd w:id="136"/>
      <w:r>
        <w:rPr>
          <w:rFonts w:ascii="times new roman;times" w:hAnsi="times new roman;times"/>
          <w:sz w:val="20"/>
        </w:rPr>
        <w:t>one Class A share for each common share and common stock equivalent then outstanding. The Class A shares had a par value of $0.001 per share and ranked senior to common stock.</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Pursuant to the Certificate of Designation, the Class A shares were mandatorily redeemable upon an Asset Sale for 100% of the net proceeds as defined therein, subject to a minimum of the par value of $0.001 per share. The closing of the Asset Sale to Biamp Systems, LLC on October 24, 2025 triggered the mandatory redemption obligation and rendered it unconditional. Accordingly, the Class A Redeemable Preferred Stock was reclassified from temporary equity to a current liability in accordance with ASC </w:t>
      </w:r>
      <w:bookmarkStart w:id="137" w:name="fs_BG6639O1AO00000000000000000000fs"/>
      <w:bookmarkEnd w:id="137"/>
      <w:r>
        <w:rPr>
          <w:rFonts w:ascii="times new roman;times" w:hAnsi="times new roman;times"/>
          <w:sz w:val="20"/>
        </w:rPr>
        <w:t>480-10-S</w:t>
      </w:r>
      <w:bookmarkStart w:id="138" w:name="fs_3E7A0DFJK000000000000000000000fs"/>
      <w:bookmarkEnd w:id="138"/>
      <w:r>
        <w:rPr>
          <w:rFonts w:ascii="times new roman;times" w:hAnsi="times new roman;times"/>
          <w:sz w:val="20"/>
        </w:rPr>
        <w:t>99 and was subsequently measured at the amount expected to be paid, with changes in the estimated redemption amount recognized in discontinued operations.</w:t>
      </w:r>
    </w:p>
    <w:p>
      <w:pPr>
        <w:pStyle w:val="TextBody"/>
        <w:bidi w:val="0"/>
        <w:spacing w:lineRule="auto" w:line="288" w:before="0" w:after="0"/>
        <w:ind w:left="0" w:right="0" w:hanging="0"/>
        <w:jc w:val="both"/>
        <w:rPr/>
      </w:pPr>
      <w:r>
        <w:rPr/>
      </w:r>
    </w:p>
    <w:p>
      <w:pPr>
        <w:pStyle w:val="TextBody"/>
        <w:bidi w:val="0"/>
        <w:spacing w:lineRule="atLeast" w:line="240" w:before="0" w:after="0"/>
        <w:ind w:left="0" w:right="0" w:hanging="0"/>
        <w:jc w:val="both"/>
        <w:rPr>
          <w:rFonts w:ascii="Times New Roman;serif" w:hAnsi="Times New Roman;serif"/>
          <w:sz w:val="20"/>
        </w:rPr>
      </w:pPr>
      <w:r>
        <w:rPr>
          <w:rFonts w:ascii="Times New Roman;serif" w:hAnsi="Times New Roman;serif"/>
          <w:sz w:val="20"/>
        </w:rPr>
        <w:t>The net proceeds of the Asset Sale, after permitted expenses and net asset recoveries, were not sufficient to provide any distribution to holders of the Class A Redeemable Preferred Stock in excess of par value. The estimated redemption obligation was accordingly reduced from $758 at the date of reclassification to $50 as of December 31, 2025, and further to $2 as of March 31, 2026. The $48 adjustment recognized during the three months ended March 31, 2026 is included in the six months ended June 30, 2026. No remeasurement was recognized during the three months ended June 30, 2026.</w:t>
      </w:r>
    </w:p>
    <w:p>
      <w:pPr>
        <w:pStyle w:val="TextBody"/>
        <w:bidi w:val="0"/>
        <w:spacing w:lineRule="atLeast" w:line="240" w:before="0" w:after="0"/>
        <w:ind w:left="0" w:right="0" w:hanging="0"/>
        <w:jc w:val="both"/>
        <w:rPr/>
      </w:pPr>
      <w:r>
        <w:rPr/>
        <w:t> </w:t>
      </w:r>
    </w:p>
    <w:p>
      <w:pPr>
        <w:pStyle w:val="TextBody"/>
        <w:bidi w:val="0"/>
        <w:spacing w:lineRule="atLeast" w:line="240" w:before="0" w:after="0"/>
        <w:ind w:left="0" w:right="0" w:hanging="0"/>
        <w:jc w:val="both"/>
        <w:rPr>
          <w:rFonts w:ascii="Times New Roman;serif" w:hAnsi="Times New Roman;serif"/>
          <w:sz w:val="20"/>
        </w:rPr>
      </w:pPr>
      <w:r>
        <w:rPr>
          <w:rFonts w:ascii="Times New Roman;serif" w:hAnsi="Times New Roman;serif"/>
          <w:sz w:val="20"/>
        </w:rPr>
        <w:t>On April 10, 2026, the Board of Directors approved the redemption of all 2,069,065 outstanding shares of Class A Redeemable Preferred Stock. The redemption was completed on April 21, 2026 at the par value of $0.001 per share, for aggregate consideration of $2, and all Class A shares were cancelled upon redemption. Holders of the Class A Redeemable Preferred Stock received no distribution of Asset Sale proceeds.</w:t>
      </w:r>
    </w:p>
    <w:p>
      <w:pPr>
        <w:pStyle w:val="TextBody"/>
        <w:bidi w:val="0"/>
        <w:spacing w:lineRule="atLeast" w:line="240" w:before="0" w:after="0"/>
        <w:ind w:left="0" w:right="0" w:hanging="0"/>
        <w:jc w:val="both"/>
        <w:rPr/>
      </w:pPr>
      <w:r>
        <w:rPr/>
        <w:t> </w:t>
      </w:r>
    </w:p>
    <w:p>
      <w:pPr>
        <w:pStyle w:val="TextBody"/>
        <w:bidi w:val="0"/>
        <w:spacing w:lineRule="atLeast" w:line="240" w:before="0" w:after="0"/>
        <w:ind w:left="0" w:right="0" w:hanging="0"/>
        <w:jc w:val="both"/>
        <w:rPr>
          <w:rFonts w:ascii="Times New Roman;serif" w:hAnsi="Times New Roman;serif"/>
          <w:sz w:val="20"/>
        </w:rPr>
      </w:pPr>
      <w:r>
        <w:rPr>
          <w:rFonts w:ascii="Times New Roman;serif" w:hAnsi="Times New Roman;serif"/>
          <w:sz w:val="20"/>
        </w:rPr>
        <w:t>No shares of Class A Redeemable Preferred Stock were issued or outstanding as of June 30, 2026. As of December 31, 2025, 2,069,066 shares were authorized and 2,069,065 shares were issued and outstanding, with a redemption payable of $50 recorded as a current liability.</w:t>
      </w:r>
    </w:p>
    <w:p>
      <w:pPr>
        <w:pStyle w:val="TextBody"/>
        <w:bidi w:val="0"/>
        <w:spacing w:lineRule="atLeast" w:line="240" w:before="0" w:after="0"/>
        <w:ind w:left="0" w:right="0" w:hanging="0"/>
        <w:jc w:val="both"/>
        <w:rPr/>
      </w:pPr>
      <w:r>
        <w:rPr/>
        <w:t> </w:t>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 xml:space="preserve">The Class A Redeemable Preferred Stock participated only in liquidation or sale proceeds and did not receive dividends other than the redemption amount. It was excluded from the computation of diluted earnings per share as anti-dilutive for all periods in which it was outstanding. See Note </w:t>
      </w:r>
      <w:bookmarkStart w:id="139" w:name="fs_UWRHPSJ06O00000000000000000000fs"/>
      <w:bookmarkEnd w:id="139"/>
      <w:r>
        <w:rPr>
          <w:rFonts w:ascii="Times New Roman;serif" w:hAnsi="Times New Roman;serif"/>
          <w:sz w:val="20"/>
        </w:rPr>
        <w:t>7 — Income (Loss) per Share.</w:t>
      </w:r>
    </w:p>
    <w:p>
      <w:pPr>
        <w:sectPr>
          <w:type w:val="continuous"/>
          <w:pgSz w:w="11906" w:h="16838"/>
          <w:pgMar w:left="1134" w:right="567" w:gutter="0" w:header="0" w:top="567" w:footer="0" w:bottom="567"/>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eastAsia="times new roman;times" w:cs="times new roman;times"/>
                <w:sz w:val="20"/>
                <w:szCs w:val="20"/>
              </w:rPr>
            </w:pPr>
            <w:bookmarkStart w:id="140" w:name="PageBreakNo11"/>
            <w:bookmarkEnd w:id="140"/>
            <w:r>
              <w:rPr>
                <w:rFonts w:eastAsia="times new roman;times" w:cs="times new roman;times" w:ascii="times new roman;times" w:hAnsi="times new roman;times"/>
                <w:sz w:val="20"/>
                <w:szCs w:val="20"/>
              </w:rPr>
              <w:t>11</w:t>
            </w:r>
          </w:p>
        </w:tc>
      </w:tr>
    </w:tbl>
    <w:p>
      <w:pPr>
        <w:pStyle w:val="HorizontalLine"/>
        <w:bidi w:val="0"/>
        <w:spacing w:before="200" w:after="0"/>
        <w:jc w:val="left"/>
        <w:rPr/>
      </w:pPr>
      <w:r>
        <w:rPr/>
      </w:r>
    </w:p>
    <w:p>
      <w:pPr>
        <w:pStyle w:val="TextBody"/>
        <w:bidi w:val="0"/>
        <w:spacing w:before="20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144" w:right="144" w:hanging="0"/>
        <w:jc w:val="center"/>
        <w:rPr/>
      </w:pPr>
      <w:r>
        <w:rPr/>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widowControl/>
        <w:bidi w:val="0"/>
        <w:spacing w:before="0" w:after="0"/>
        <w:ind w:left="144" w:right="144" w:hanging="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4. </w:t>
      </w:r>
      <w:r>
        <w:rPr>
          <w:rFonts w:ascii="Times New Roman;serif" w:hAnsi="Times New Roman;serif"/>
          <w:b/>
          <w:sz w:val="20"/>
        </w:rPr>
        <w:t>Notes Payable</w:t>
      </w:r>
      <w:r>
        <w:rPr>
          <w:rFonts w:ascii="times new roman;times" w:hAnsi="times new roman;times"/>
          <w:b/>
          <w:sz w:val="20"/>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serif" w:hAnsi="Times New Roman;serif"/>
          <w:i/>
          <w:sz w:val="20"/>
        </w:rPr>
      </w:pPr>
      <w:r>
        <w:rPr>
          <w:rFonts w:ascii="Times New Roman;serif" w:hAnsi="Times New Roman;serif"/>
          <w:i/>
          <w:sz w:val="20"/>
        </w:rPr>
        <w:t>Convertible Note — First Finance</w:t>
      </w:r>
    </w:p>
    <w:p>
      <w:pPr>
        <w:pStyle w:val="TextBody"/>
        <w:bidi w:val="0"/>
        <w:spacing w:lineRule="auto" w:line="288" w:before="200" w:after="0"/>
        <w:ind w:left="0" w:right="0" w:hanging="0"/>
        <w:jc w:val="both"/>
        <w:rPr>
          <w:rFonts w:ascii="Times New Roman" w:hAnsi="Times New Roman"/>
          <w:sz w:val="20"/>
        </w:rPr>
      </w:pPr>
      <w:r>
        <w:rPr>
          <w:rFonts w:ascii="Times New Roman" w:hAnsi="Times New Roman"/>
          <w:sz w:val="20"/>
        </w:rPr>
        <w:t>On June 20, 2025, the Company issued a $3,000 convertible note to First Finance</w:t>
      </w:r>
      <w:r>
        <w:rPr>
          <w:rFonts w:ascii="Times New Roman;serif" w:hAnsi="Times New Roman;serif"/>
          <w:sz w:val="20"/>
        </w:rPr>
        <w:t>.</w:t>
      </w:r>
      <w:r>
        <w:rPr>
          <w:rFonts w:ascii="Times New Roman" w:hAnsi="Times New Roman"/>
          <w:sz w:val="20"/>
        </w:rPr>
        <w:t xml:space="preserve"> The note accrued interest at 10% per annum and was mandatorily convertible into shares of newly designated Class B Convertible Preferred Stock upon the issuance of the Class A Redeemable Preferred Stock, which occurred on July 18, 2025. </w:t>
      </w:r>
      <w:r>
        <w:rPr>
          <w:rFonts w:ascii="Times New Roman;serif" w:hAnsi="Times New Roman;serif"/>
          <w:sz w:val="20"/>
        </w:rPr>
        <w:t xml:space="preserve">Interest expense on the convertible note of $8 and $8 was recognized during the three and </w:t>
      </w:r>
      <w:bookmarkStart w:id="141" w:name="fs_FUZDD9RWV400000000000000000000fs"/>
      <w:bookmarkEnd w:id="141"/>
      <w:r>
        <w:rPr>
          <w:rFonts w:ascii="Times New Roman;serif" w:hAnsi="Times New Roman;serif"/>
          <w:sz w:val="20"/>
        </w:rPr>
        <w:t>six months ended June 30, 2025, respectively.</w:t>
      </w:r>
      <w:r>
        <w:rPr>
          <w:rFonts w:ascii="Times New Roman" w:hAnsi="Times New Roman"/>
          <w:sz w:val="20"/>
        </w:rPr>
        <w:t xml:space="preserve"> </w:t>
      </w:r>
    </w:p>
    <w:p>
      <w:pPr>
        <w:pStyle w:val="TextBody"/>
        <w:bidi w:val="0"/>
        <w:spacing w:lineRule="auto" w:line="288" w:before="200" w:after="0"/>
        <w:ind w:left="0" w:right="0" w:hanging="0"/>
        <w:jc w:val="both"/>
        <w:rPr>
          <w:rFonts w:ascii="Times New Roman" w:hAnsi="Times New Roman"/>
          <w:sz w:val="20"/>
        </w:rPr>
      </w:pPr>
      <w:r>
        <w:rPr>
          <w:rFonts w:ascii="Times New Roman" w:hAnsi="Times New Roman"/>
          <w:sz w:val="20"/>
        </w:rPr>
        <w:t xml:space="preserve">On July 21, 2025, the note, together with accrued interest automatically converted into 3,026 shares of Class B Convertible Preferred Stock. The conversion was recognized in equity with no gain or loss. The conversion ratio was fixed at issuance and </w:t>
      </w:r>
      <w:r>
        <w:rPr>
          <w:rFonts w:ascii="Times New Roman;serif" w:hAnsi="Times New Roman;serif"/>
          <w:sz w:val="20"/>
        </w:rPr>
        <w:t xml:space="preserve">the instrument </w:t>
      </w:r>
      <w:r>
        <w:rPr>
          <w:rFonts w:ascii="Times New Roman" w:hAnsi="Times New Roman"/>
          <w:sz w:val="20"/>
        </w:rPr>
        <w:t xml:space="preserve">qualified for the own-equity scope exception </w:t>
      </w:r>
      <w:r>
        <w:rPr>
          <w:rFonts w:ascii="Times New Roman;serif" w:hAnsi="Times New Roman;serif"/>
          <w:sz w:val="20"/>
        </w:rPr>
        <w:t xml:space="preserve">under ASC </w:t>
      </w:r>
      <w:bookmarkStart w:id="142" w:name="fs_AP0SGGNIF400000000000000000000fs"/>
      <w:bookmarkEnd w:id="142"/>
      <w:r>
        <w:rPr>
          <w:rFonts w:ascii="Times New Roman;serif" w:hAnsi="Times New Roman;serif"/>
          <w:sz w:val="20"/>
        </w:rPr>
        <w:t>815-</w:t>
      </w:r>
      <w:bookmarkStart w:id="143" w:name="fs_FGS5JBOEPC00000000000000000000fs"/>
      <w:bookmarkEnd w:id="143"/>
      <w:r>
        <w:rPr>
          <w:rFonts w:ascii="Times New Roman;serif" w:hAnsi="Times New Roman;serif"/>
          <w:sz w:val="20"/>
        </w:rPr>
        <w:t>40. Because the conversion occurred after June 30, 2025, it is not reflected as a non-cash financing activity in the supplemental cash flow information for either period presented.</w:t>
      </w:r>
    </w:p>
    <w:p>
      <w:pPr>
        <w:pStyle w:val="TextBody"/>
        <w:bidi w:val="0"/>
        <w:spacing w:lineRule="auto" w:line="288" w:before="200" w:after="0"/>
        <w:ind w:left="0" w:right="0" w:hanging="0"/>
        <w:jc w:val="both"/>
        <w:rPr>
          <w:rFonts w:ascii="Times New Roman" w:hAnsi="Times New Roman"/>
          <w:sz w:val="20"/>
        </w:rPr>
      </w:pPr>
      <w:r>
        <w:rPr>
          <w:rFonts w:ascii="Times New Roman" w:hAnsi="Times New Roman"/>
          <w:sz w:val="20"/>
        </w:rPr>
        <w:t xml:space="preserve">No convertible note liability </w:t>
      </w:r>
      <w:r>
        <w:rPr>
          <w:rFonts w:ascii="Times New Roman;serif" w:hAnsi="Times New Roman;serif"/>
          <w:sz w:val="20"/>
        </w:rPr>
        <w:t xml:space="preserve">was outstanding as of June 30, 2026 or December 31, 2025, and all Class B Convertible Preferred Stock has been converted or redeemed. See Note </w:t>
      </w:r>
      <w:bookmarkStart w:id="144" w:name="fs_KOHRE0HL2800000000000000000000fs"/>
      <w:bookmarkEnd w:id="144"/>
      <w:r>
        <w:rPr>
          <w:rFonts w:ascii="Times New Roman;serif" w:hAnsi="Times New Roman;serif"/>
          <w:sz w:val="20"/>
        </w:rPr>
        <w:t>10 — Shareholders' Equity.</w:t>
      </w:r>
      <w:r>
        <w:rPr>
          <w:rFonts w:ascii="Times New Roman" w:hAnsi="Times New Roman"/>
          <w:sz w:val="20"/>
        </w:rPr>
        <w:t xml:space="preserve"> </w:t>
      </w:r>
    </w:p>
    <w:p>
      <w:pPr>
        <w:pStyle w:val="TextBody"/>
        <w:bidi w:val="0"/>
        <w:spacing w:lineRule="auto" w:line="288" w:before="200" w:after="0"/>
        <w:ind w:left="0" w:right="0" w:hanging="0"/>
        <w:jc w:val="both"/>
        <w:rPr>
          <w:rFonts w:ascii="Times New Roman;serif" w:hAnsi="Times New Roman;serif"/>
          <w:i/>
          <w:sz w:val="20"/>
        </w:rPr>
      </w:pPr>
      <w:r>
        <w:rPr>
          <w:rFonts w:ascii="Times New Roman;serif" w:hAnsi="Times New Roman;serif"/>
          <w:i/>
          <w:sz w:val="20"/>
        </w:rPr>
        <w:t>Note Payable — Related Party</w:t>
      </w:r>
    </w:p>
    <w:p>
      <w:pPr>
        <w:pStyle w:val="TextBody"/>
        <w:bidi w:val="0"/>
        <w:spacing w:lineRule="auto" w:line="288" w:before="200" w:after="0"/>
        <w:ind w:left="0" w:right="0" w:hanging="0"/>
        <w:jc w:val="both"/>
        <w:rPr>
          <w:rFonts w:ascii="Times New Roman;serif" w:hAnsi="Times New Roman;serif"/>
          <w:sz w:val="20"/>
        </w:rPr>
      </w:pPr>
      <w:r>
        <w:rPr>
          <w:rFonts w:ascii="Times New Roman;serif" w:hAnsi="Times New Roman;serif"/>
          <w:sz w:val="20"/>
        </w:rPr>
        <w:t>On June 30, 2026, the Company entered into a Loan Agreement with First Finance, the Company's largest stockholder, pursuant to which First Finance agreed to lend the Company up to $1,000 in the aggregate. The loan is advanced in tranches consisting of an initial tranche of $500 and additional tranches of $250 each, in each case on dates mutually agreed by the parties.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 xml:space="preserve">Amounts advanced bear interest at 11% per annum, calculated daily on the basis of a 360-day year and accruing from the applicable advance date until repayment in full. Overdue interest is compounded and added to principal. The loan matures on the earlier of December 30, 2026 or such other date as the parties may mutually agree in writing and may be prepaid in whole or in part at any time without notice, bonus or penalty, provided no event of default is outstanding. The Loan Agreement contains customary events of default, including failure to pay principal or interest when due, subject to a </w:t>
      </w:r>
      <w:bookmarkStart w:id="145" w:name="fs_MOS9R9ICOW00000000000000000000fs"/>
      <w:bookmarkEnd w:id="145"/>
      <w:r>
        <w:rPr>
          <w:rFonts w:ascii="Times New Roman;serif" w:hAnsi="Times New Roman;serif"/>
          <w:sz w:val="20"/>
        </w:rPr>
        <w:t xml:space="preserve">ten-business day cure period; repayment of other indebtedness prior to the loan; assignment for the benefit of creditors; liquidation or dissolution; appointment of a receiver; and bankruptcy proceedings. Upon an event of default, the outstanding indebtedness becomes immediately due and payable. The Loan Agreement is governed by the laws of the State of Nevada. The Company intends to use the proceeds of the loan for general working capital purposes; however, disbursement of the proceeds is subject to review and approval by First Finance. As of June 30, 2026, $447 of the proceeds remained undisbursed and is classified as restricted cash. See Note </w:t>
      </w:r>
      <w:bookmarkStart w:id="146" w:name="fs_CVWIQQ9Y4G00000000000000000000fs"/>
      <w:bookmarkEnd w:id="146"/>
      <w:r>
        <w:rPr>
          <w:rFonts w:ascii="Times New Roman;serif" w:hAnsi="Times New Roman;serif"/>
          <w:sz w:val="20"/>
        </w:rPr>
        <w:t>1 — Restricted Cash.</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The Company received the initial tranche of $500 on June 29, 2026, in anticipation of execution of the Loan Agreement on June 30, 2026, and the advance is recorded as a note payable to a related party within current liabilities in the accompanying condensed consolidated balance sheet as of June 30, 2026. Accrued interest as of June 30, 2026, and interest expense for the three and six months ended June 30, 2026, were less than $1 and are not presented separately. The loan is carried at amortized cost, and its carrying amount approximates fair value given its short term and market rate of interest. Assuming the loan remains outstanding until contractual maturity with no prepayments, the Company expects to pay principal of $1,000 and accrued interest of approximately $54 on December 30, 2026.</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Because First Finance beneficially owned approximately 61.34% of the Company's common stock on an as-converted basis as of June 30, 2026, the Loan Agreement constitutes a related party transaction. The terms of the Loan Agreement were reviewed and approved in accordance with the Company's related person transaction policy.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 xml:space="preserve">Subsequent to June 30, 2026, the Company received </w:t>
      </w:r>
      <w:bookmarkStart w:id="147" w:name="fs_LPZU60EKU800000000000000000000fs"/>
      <w:bookmarkEnd w:id="147"/>
      <w:r>
        <w:rPr>
          <w:rFonts w:ascii="Times New Roman;serif" w:hAnsi="Times New Roman;serif"/>
          <w:sz w:val="20"/>
        </w:rPr>
        <w:t xml:space="preserve">two additional tranches of $250 each, on July 16, 2026, drawing the full $1,000 available under the Loan Agreement. See Note </w:t>
      </w:r>
      <w:bookmarkStart w:id="148" w:name="fs_TISWGBG43400000000000000000000fs"/>
      <w:bookmarkEnd w:id="148"/>
      <w:r>
        <w:rPr>
          <w:rFonts w:ascii="Times New Roman;serif" w:hAnsi="Times New Roman;serif"/>
          <w:sz w:val="20"/>
        </w:rPr>
        <w:t>14 — Subsequent Events.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149" w:name="PageBreakNo12"/>
            <w:bookmarkEnd w:id="149"/>
            <w:r>
              <w:rPr>
                <w:sz w:val="20"/>
              </w:rPr>
              <w:t>12</w:t>
            </w:r>
          </w:p>
        </w:tc>
      </w:tr>
    </w:tbl>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color w:val="0000FF"/>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144" w:right="144"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5. Warrants Repurchased (and Related Party)</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i/>
          <w:sz w:val="20"/>
        </w:rPr>
        <w:t>September 2025 Repurchases</w:t>
      </w:r>
      <w:r>
        <w:rPr>
          <w:rFonts w:ascii="times new roman;times" w:hAnsi="times new roman;times"/>
          <w:sz w:val="20"/>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During September 2025, the Company repurchased and cancelled certain outstanding </w:t>
      </w:r>
      <w:r>
        <w:rPr>
          <w:rFonts w:ascii="Times New Roman;serif" w:hAnsi="Times New Roman;serif"/>
          <w:sz w:val="20"/>
        </w:rPr>
        <w:t>common stock purchase</w:t>
      </w:r>
      <w:r>
        <w:rPr>
          <w:rFonts w:ascii="times new roman;times" w:hAnsi="times new roman;times"/>
          <w:sz w:val="20"/>
        </w:rPr>
        <w:t xml:space="preserve"> warrants as follows:</w:t>
      </w:r>
    </w:p>
    <w:p>
      <w:pPr>
        <w:pStyle w:val="TextBody"/>
        <w:numPr>
          <w:ilvl w:val="0"/>
          <w:numId w:val="2"/>
        </w:numPr>
        <w:tabs>
          <w:tab w:val="clear" w:pos="1134"/>
          <w:tab w:val="left" w:pos="709" w:leader="none"/>
        </w:tabs>
        <w:bidi w:val="0"/>
        <w:spacing w:lineRule="auto" w:line="288" w:before="0" w:after="0"/>
        <w:ind w:left="709" w:hanging="283"/>
        <w:jc w:val="both"/>
        <w:rPr>
          <w:rFonts w:ascii="times new roman;times" w:hAnsi="times new roman;times"/>
          <w:sz w:val="20"/>
        </w:rPr>
      </w:pPr>
      <w:r>
        <w:rPr>
          <w:rFonts w:ascii="times new roman;times" w:hAnsi="times new roman;times"/>
          <w:sz w:val="20"/>
        </w:rPr>
        <w:t xml:space="preserve">Intracoastal Capital, LLC – 6,039 underlying shares (September 2, 2025) for $4  </w:t>
      </w:r>
    </w:p>
    <w:p>
      <w:pPr>
        <w:pStyle w:val="TextBody"/>
        <w:widowControl/>
        <w:numPr>
          <w:ilvl w:val="0"/>
          <w:numId w:val="2"/>
        </w:numP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times" w:hAnsi="times new roman;times"/>
          <w:sz w:val="20"/>
        </w:rPr>
        <w:t>Lind Global Fund II, LP </w:t>
      </w:r>
      <w:r>
        <w:rPr>
          <w:rFonts w:ascii="times new roman;times" w:hAnsi="times new roman;times"/>
          <w:caps w:val="false"/>
          <w:smallCaps w:val="false"/>
          <w:color w:val="000000"/>
          <w:spacing w:val="0"/>
          <w:sz w:val="20"/>
        </w:rPr>
        <w:t>–</w:t>
      </w:r>
      <w:r>
        <w:rPr>
          <w:rFonts w:ascii="times new roman;times" w:hAnsi="times new roman;times"/>
          <w:sz w:val="20"/>
        </w:rPr>
        <w:t xml:space="preserve"> 24,155 underlying shares (September 10, 2025) for $16  </w:t>
      </w:r>
    </w:p>
    <w:p>
      <w:pPr>
        <w:pStyle w:val="TextBody"/>
        <w:widowControl/>
        <w:numPr>
          <w:ilvl w:val="0"/>
          <w:numId w:val="2"/>
        </w:numPr>
        <w:tabs>
          <w:tab w:val="clear" w:pos="1134"/>
          <w:tab w:val="left" w:pos="709" w:leader="none"/>
        </w:tabs>
        <w:bidi w:val="0"/>
        <w:spacing w:lineRule="auto" w:line="288" w:before="0" w:after="0"/>
        <w:ind w:left="709" w:right="0" w:hanging="283"/>
        <w:jc w:val="both"/>
        <w:rPr>
          <w:rFonts w:ascii="times new roman;times" w:hAnsi="times new roman;times"/>
          <w:sz w:val="20"/>
        </w:rPr>
      </w:pPr>
      <w:r>
        <w:rPr>
          <w:rFonts w:ascii="times new roman;times" w:hAnsi="times new roman;times"/>
          <w:sz w:val="20"/>
        </w:rPr>
        <w:t>Edward Dallin Bagley (related party) </w:t>
      </w:r>
      <w:r>
        <w:rPr>
          <w:rFonts w:ascii="times new roman;times" w:hAnsi="times new roman;times"/>
          <w:caps w:val="false"/>
          <w:smallCaps w:val="false"/>
          <w:color w:val="000000"/>
          <w:spacing w:val="0"/>
          <w:sz w:val="20"/>
        </w:rPr>
        <w:t>–</w:t>
      </w:r>
      <w:r>
        <w:rPr>
          <w:rFonts w:ascii="times new roman;times" w:hAnsi="times new roman;times"/>
          <w:sz w:val="20"/>
        </w:rPr>
        <w:t xml:space="preserve"> 18,940 underlying shares (September 17, 2025) for $12  </w:t>
      </w:r>
    </w:p>
    <w:p>
      <w:pPr>
        <w:pStyle w:val="TextBody"/>
        <w:widowControl/>
        <w:numPr>
          <w:ilvl w:val="0"/>
          <w:numId w:val="2"/>
        </w:numPr>
        <w:tabs>
          <w:tab w:val="clear" w:pos="1134"/>
          <w:tab w:val="left" w:pos="709" w:leader="none"/>
        </w:tabs>
        <w:bidi w:val="0"/>
        <w:spacing w:lineRule="auto" w:line="288"/>
        <w:ind w:left="709" w:right="0" w:hanging="283"/>
        <w:jc w:val="both"/>
        <w:rPr>
          <w:rFonts w:ascii="times new roman;times" w:hAnsi="times new roman;times"/>
          <w:sz w:val="20"/>
        </w:rPr>
      </w:pPr>
      <w:r>
        <w:rPr>
          <w:rFonts w:ascii="times new roman;times" w:hAnsi="times new roman;times"/>
          <w:sz w:val="20"/>
        </w:rPr>
        <w:t>Edward Bryan Bagley </w:t>
      </w:r>
      <w:r>
        <w:rPr>
          <w:rFonts w:ascii="times new roman;times" w:hAnsi="times new roman;times"/>
          <w:caps w:val="false"/>
          <w:smallCaps w:val="false"/>
          <w:color w:val="000000"/>
          <w:spacing w:val="0"/>
          <w:sz w:val="20"/>
        </w:rPr>
        <w:t>–</w:t>
      </w:r>
      <w:r>
        <w:rPr>
          <w:rFonts w:ascii="times new roman;times" w:hAnsi="times new roman;times"/>
          <w:sz w:val="20"/>
        </w:rPr>
        <w:t xml:space="preserve"> 3,788 underlying shares (September 16, 2025) for $2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All repurchased warrants were cancelled upon settlement and accounted for as equity transactions with no effect on the </w:t>
      </w:r>
      <w:r>
        <w:rPr>
          <w:rFonts w:ascii="Times New Roman;serif" w:hAnsi="Times New Roman;serif"/>
          <w:sz w:val="20"/>
        </w:rPr>
        <w:t>condensed consolidated</w:t>
      </w:r>
      <w:r>
        <w:rPr>
          <w:rFonts w:ascii="times new roman;times" w:hAnsi="times new roman;times"/>
          <w:sz w:val="20"/>
        </w:rPr>
        <w:t xml:space="preserve"> statement of operations.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serif" w:hAnsi="Times New Roman;serif"/>
          <w:i/>
          <w:sz w:val="20"/>
        </w:rPr>
        <w:t>March 2026 Issuance</w:t>
      </w:r>
      <w:r>
        <w:rPr>
          <w:rFonts w:ascii="times new roman;times" w:hAnsi="times new roman;times"/>
          <w:sz w:val="20"/>
        </w:rPr>
        <w:t xml:space="preserve"> </w:t>
      </w:r>
    </w:p>
    <w:p>
      <w:pPr>
        <w:pStyle w:val="TextBody"/>
        <w:bidi w:val="0"/>
        <w:spacing w:lineRule="auto" w:line="288" w:before="0" w:after="0"/>
        <w:ind w:left="0" w:right="0" w:hanging="0"/>
        <w:jc w:val="both"/>
        <w:rPr/>
      </w:pPr>
      <w:r>
        <w:rPr/>
      </w:r>
    </w:p>
    <w:p>
      <w:pPr>
        <w:pStyle w:val="TextBody"/>
        <w:bidi w:val="0"/>
        <w:spacing w:lineRule="atLeast" w:line="240" w:before="0" w:after="0"/>
        <w:ind w:left="0" w:right="0" w:hanging="0"/>
        <w:jc w:val="both"/>
        <w:rPr>
          <w:rFonts w:ascii="Times New Roman;serif" w:hAnsi="Times New Roman;serif"/>
          <w:sz w:val="20"/>
        </w:rPr>
      </w:pPr>
      <w:r>
        <w:rPr>
          <w:rFonts w:ascii="Times New Roman;serif" w:hAnsi="Times New Roman;serif"/>
          <w:sz w:val="20"/>
        </w:rPr>
        <w:t>On March 2, 2026, in connection with the Securities Purchase Agreement with First Finance described in Note 10 — Shareholders' Equity, the Company issued warrants to purchase up to 437,500 shares of common stock. The warrants had an exercise price of $5.00 per share and a term of two years, expiring March 2, 2028, and became exercisable six months from the date of issuance. It is a condition to Vivani Medical, Inc.’s obligations to consummate the closing of the Merger Agreement for First Finance to have waived any right to receive value in respect of any warrants held by it or its affiliates. On August 4, 2026, all warrants issued pursuant to the Securities Purchase Agreement were cancelled. See Note 14 — Subsequent Events.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March 2026 Repurchase</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On March 9, 2026, the Company entered into a Warrant Repurchase Agreement with CVI Investments, Inc. pursuant to which the Company repurchased outstanding common stock purchase warrants originally issued on September 12, 2021, exercisable for an aggregate of 24,155 shares of common stock. The Company paid </w:t>
      </w:r>
      <w:r>
        <w:rPr>
          <w:rFonts w:ascii="Times New Roman;serif" w:hAnsi="Times New Roman;serif"/>
          <w:sz w:val="20"/>
        </w:rPr>
        <w:t>$0.9108 per underlying share, representing an aggregate</w:t>
      </w:r>
      <w:r>
        <w:rPr>
          <w:rFonts w:ascii="times new roman;times" w:hAnsi="times new roman;times"/>
          <w:sz w:val="20"/>
        </w:rPr>
        <w:t xml:space="preserve"> cash purchase price of $22. Upon settlement, the warrants were cancelled and are of no further force or effect. </w:t>
      </w:r>
      <w:r>
        <w:rPr>
          <w:rFonts w:ascii="Times New Roman;serif" w:hAnsi="Times New Roman;serif"/>
          <w:sz w:val="20"/>
        </w:rPr>
        <w:t>The repurchase was accounted for as an equity transaction with no effect on the condensed consolidated statements of operations.</w:t>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r>
    </w:p>
    <w:p>
      <w:pPr>
        <w:sectPr>
          <w:type w:val="continuous"/>
          <w:pgSz w:w="11906" w:h="16838"/>
          <w:pgMar w:left="1134" w:right="567" w:gutter="0" w:header="0" w:top="567" w:footer="0" w:bottom="567"/>
          <w:formProt w:val="false"/>
          <w:textDirection w:val="lrTb"/>
          <w:docGrid w:type="default" w:linePitch="600" w:charSpace="32768"/>
        </w:sectPr>
      </w:pPr>
    </w:p>
    <w:tbl>
      <w:tblPr>
        <w:tblW w:w="5321" w:type="dxa"/>
        <w:jc w:val="left"/>
        <w:tblInd w:w="0" w:type="dxa"/>
        <w:tblLayout w:type="fixed"/>
        <w:tblCellMar>
          <w:top w:w="28" w:type="dxa"/>
          <w:left w:w="28" w:type="dxa"/>
          <w:bottom w:w="28" w:type="dxa"/>
          <w:right w:w="28" w:type="dxa"/>
        </w:tblCellMar>
      </w:tblPr>
      <w:tblGrid>
        <w:gridCol w:w="3166"/>
        <w:gridCol w:w="109"/>
        <w:gridCol w:w="109"/>
        <w:gridCol w:w="1711"/>
        <w:gridCol w:w="226"/>
      </w:tblGrid>
      <w:tr>
        <w:trPr/>
        <w:tc>
          <w:tcPr>
            <w:tcW w:w="3166" w:type="dxa"/>
            <w:tcBorders/>
            <w:vAlign w:val="bottom"/>
          </w:tcPr>
          <w:p>
            <w:pPr>
              <w:pStyle w:val="TableContents"/>
              <w:bidi w:val="0"/>
              <w:spacing w:before="0" w:after="283"/>
              <w:jc w:val="left"/>
              <w:rPr/>
            </w:pPr>
            <w:r>
              <w:rPr/>
            </w:r>
          </w:p>
        </w:tc>
        <w:tc>
          <w:tcPr>
            <w:tcW w:w="109" w:type="dxa"/>
            <w:tcBorders/>
            <w:vAlign w:val="bottom"/>
          </w:tcPr>
          <w:p>
            <w:pPr>
              <w:pStyle w:val="TableContents"/>
              <w:bidi w:val="0"/>
              <w:spacing w:before="0" w:after="283"/>
              <w:jc w:val="left"/>
              <w:rPr/>
            </w:pPr>
            <w:r>
              <w:rPr/>
            </w:r>
          </w:p>
        </w:tc>
        <w:tc>
          <w:tcPr>
            <w:tcW w:w="109" w:type="dxa"/>
            <w:tcBorders/>
            <w:vAlign w:val="bottom"/>
          </w:tcPr>
          <w:p>
            <w:pPr>
              <w:pStyle w:val="TableContents"/>
              <w:bidi w:val="0"/>
              <w:spacing w:before="0" w:after="283"/>
              <w:jc w:val="left"/>
              <w:rPr/>
            </w:pPr>
            <w:r>
              <w:rPr/>
            </w:r>
          </w:p>
        </w:tc>
        <w:tc>
          <w:tcPr>
            <w:tcW w:w="1711" w:type="dxa"/>
            <w:tcBorders/>
            <w:tcMar>
              <w:top w:w="0" w:type="dxa"/>
              <w:left w:w="0" w:type="dxa"/>
              <w:bottom w:w="0" w:type="dxa"/>
              <w:right w:w="0" w:type="dxa"/>
            </w:tcMar>
            <w:vAlign w:val="bottom"/>
          </w:tcPr>
          <w:p>
            <w:pPr>
              <w:pStyle w:val="TableContents"/>
              <w:bidi w:val="0"/>
              <w:spacing w:before="0" w:after="283"/>
              <w:jc w:val="center"/>
              <w:rPr/>
            </w:pPr>
            <w:r>
              <w:rPr>
                <w:rFonts w:ascii="Times New Roman;serif" w:hAnsi="Times New Roman;serif"/>
                <w:b/>
                <w:sz w:val="20"/>
              </w:rPr>
              <w:t>Underlying shares</w:t>
            </w:r>
            <w:r>
              <w:rPr/>
              <w:t xml:space="preserve"> </w:t>
            </w:r>
          </w:p>
        </w:tc>
        <w:tc>
          <w:tcPr>
            <w:tcW w:w="226" w:type="dxa"/>
            <w:tcBorders/>
            <w:vAlign w:val="bottom"/>
          </w:tcPr>
          <w:p>
            <w:pPr>
              <w:pStyle w:val="TableContents"/>
              <w:bidi w:val="0"/>
              <w:spacing w:before="0" w:after="283"/>
              <w:jc w:val="left"/>
              <w:rPr/>
            </w:pPr>
            <w:r>
              <w:rPr/>
            </w:r>
          </w:p>
        </w:tc>
      </w:tr>
      <w:tr>
        <w:trPr/>
        <w:tc>
          <w:tcPr>
            <w:tcW w:w="3166" w:type="dxa"/>
            <w:tcBorders/>
            <w:shd w:fill="CCEEFF" w:val="clear"/>
            <w:vAlign w:val="bottom"/>
          </w:tcPr>
          <w:p>
            <w:pPr>
              <w:pStyle w:val="TableContents"/>
              <w:widowControl/>
              <w:bidi w:val="0"/>
              <w:spacing w:before="0" w:after="283"/>
              <w:ind w:left="0" w:right="0" w:hanging="0"/>
              <w:jc w:val="left"/>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Outstanding as of December 31, 2025</w:t>
            </w:r>
          </w:p>
        </w:tc>
        <w:tc>
          <w:tcPr>
            <w:tcW w:w="109" w:type="dxa"/>
            <w:tcBorders/>
            <w:shd w:fill="CCEEFF" w:val="clear"/>
            <w:vAlign w:val="bottom"/>
          </w:tcPr>
          <w:p>
            <w:pPr>
              <w:pStyle w:val="TableContents"/>
              <w:bidi w:val="0"/>
              <w:spacing w:before="0" w:after="283"/>
              <w:jc w:val="left"/>
              <w:rPr/>
            </w:pPr>
            <w:r>
              <w:rPr/>
            </w:r>
          </w:p>
        </w:tc>
        <w:tc>
          <w:tcPr>
            <w:tcW w:w="109" w:type="dxa"/>
            <w:tcBorders/>
            <w:shd w:fill="CCEEFF" w:val="clear"/>
            <w:vAlign w:val="bottom"/>
          </w:tcPr>
          <w:p>
            <w:pPr>
              <w:pStyle w:val="TableContents"/>
              <w:bidi w:val="0"/>
              <w:spacing w:before="0" w:after="283"/>
              <w:jc w:val="left"/>
              <w:rPr/>
            </w:pPr>
            <w:r>
              <w:rPr/>
            </w:r>
          </w:p>
        </w:tc>
        <w:tc>
          <w:tcPr>
            <w:tcW w:w="1711" w:type="dxa"/>
            <w:tcBorders/>
            <w:shd w:fill="CCEEFF" w:val="clear"/>
            <w:vAlign w:val="bottom"/>
          </w:tcPr>
          <w:p>
            <w:pPr>
              <w:pStyle w:val="TableContents"/>
              <w:bidi w:val="0"/>
              <w:spacing w:before="0" w:after="283"/>
              <w:jc w:val="right"/>
              <w:rPr/>
            </w:pPr>
            <w:r>
              <w:rPr>
                <w:rFonts w:ascii="Times New Roman;serif" w:hAnsi="Times New Roman;serif"/>
                <w:sz w:val="20"/>
              </w:rPr>
              <w:t>211,357</w:t>
            </w:r>
            <w:r>
              <w:rPr/>
              <w:t xml:space="preserve"> </w:t>
            </w:r>
          </w:p>
        </w:tc>
        <w:tc>
          <w:tcPr>
            <w:tcW w:w="226" w:type="dxa"/>
            <w:tcBorders/>
            <w:shd w:fill="CCEEFF" w:val="clear"/>
            <w:vAlign w:val="bottom"/>
          </w:tcPr>
          <w:p>
            <w:pPr>
              <w:pStyle w:val="TableContents"/>
              <w:bidi w:val="0"/>
              <w:spacing w:before="0" w:after="283"/>
              <w:jc w:val="left"/>
              <w:rPr/>
            </w:pPr>
            <w:r>
              <w:rPr/>
            </w:r>
          </w:p>
        </w:tc>
      </w:tr>
      <w:tr>
        <w:trPr/>
        <w:tc>
          <w:tcPr>
            <w:tcW w:w="3166" w:type="dxa"/>
            <w:tcBorders/>
            <w:vAlign w:val="bottom"/>
          </w:tcPr>
          <w:p>
            <w:pPr>
              <w:pStyle w:val="TableContents"/>
              <w:widowControl/>
              <w:bidi w:val="0"/>
              <w:spacing w:before="0" w:after="283"/>
              <w:ind w:left="0" w:right="0" w:hanging="0"/>
              <w:jc w:val="left"/>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Issued</w:t>
            </w:r>
          </w:p>
        </w:tc>
        <w:tc>
          <w:tcPr>
            <w:tcW w:w="109" w:type="dxa"/>
            <w:tcBorders/>
            <w:vAlign w:val="bottom"/>
          </w:tcPr>
          <w:p>
            <w:pPr>
              <w:pStyle w:val="TableContents"/>
              <w:bidi w:val="0"/>
              <w:spacing w:before="0" w:after="283"/>
              <w:jc w:val="left"/>
              <w:rPr/>
            </w:pPr>
            <w:r>
              <w:rPr/>
            </w:r>
          </w:p>
        </w:tc>
        <w:tc>
          <w:tcPr>
            <w:tcW w:w="109" w:type="dxa"/>
            <w:tcBorders/>
            <w:vAlign w:val="bottom"/>
          </w:tcPr>
          <w:p>
            <w:pPr>
              <w:pStyle w:val="TableContents"/>
              <w:bidi w:val="0"/>
              <w:spacing w:before="0" w:after="283"/>
              <w:jc w:val="left"/>
              <w:rPr/>
            </w:pPr>
            <w:r>
              <w:rPr/>
            </w:r>
          </w:p>
        </w:tc>
        <w:tc>
          <w:tcPr>
            <w:tcW w:w="1711" w:type="dxa"/>
            <w:tcBorders/>
            <w:vAlign w:val="bottom"/>
          </w:tcPr>
          <w:p>
            <w:pPr>
              <w:pStyle w:val="TableContents"/>
              <w:bidi w:val="0"/>
              <w:spacing w:before="0" w:after="283"/>
              <w:jc w:val="right"/>
              <w:rPr/>
            </w:pPr>
            <w:r>
              <w:rPr>
                <w:rFonts w:ascii="Times New Roman;serif" w:hAnsi="Times New Roman;serif"/>
                <w:sz w:val="20"/>
              </w:rPr>
              <w:t>437,500</w:t>
            </w:r>
            <w:r>
              <w:rPr/>
              <w:t xml:space="preserve"> </w:t>
            </w:r>
          </w:p>
        </w:tc>
        <w:tc>
          <w:tcPr>
            <w:tcW w:w="226" w:type="dxa"/>
            <w:tcBorders/>
            <w:vAlign w:val="bottom"/>
          </w:tcPr>
          <w:p>
            <w:pPr>
              <w:pStyle w:val="TableContents"/>
              <w:bidi w:val="0"/>
              <w:spacing w:before="0" w:after="283"/>
              <w:jc w:val="left"/>
              <w:rPr/>
            </w:pPr>
            <w:r>
              <w:rPr/>
            </w:r>
          </w:p>
        </w:tc>
      </w:tr>
      <w:tr>
        <w:trPr/>
        <w:tc>
          <w:tcPr>
            <w:tcW w:w="3166" w:type="dxa"/>
            <w:tcBorders/>
            <w:shd w:fill="CCEEFF" w:val="clear"/>
            <w:vAlign w:val="bottom"/>
          </w:tcPr>
          <w:p>
            <w:pPr>
              <w:pStyle w:val="TableContents"/>
              <w:widowControl/>
              <w:bidi w:val="0"/>
              <w:spacing w:before="0" w:after="283"/>
              <w:ind w:left="0" w:right="0" w:hanging="0"/>
              <w:jc w:val="left"/>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Repurchased and cancelled</w:t>
            </w:r>
          </w:p>
        </w:tc>
        <w:tc>
          <w:tcPr>
            <w:tcW w:w="109" w:type="dxa"/>
            <w:tcBorders/>
            <w:shd w:fill="CCEEFF" w:val="clear"/>
            <w:vAlign w:val="bottom"/>
          </w:tcPr>
          <w:p>
            <w:pPr>
              <w:pStyle w:val="TableContents"/>
              <w:bidi w:val="0"/>
              <w:spacing w:before="0" w:after="283"/>
              <w:jc w:val="left"/>
              <w:rPr/>
            </w:pPr>
            <w:r>
              <w:rPr/>
            </w:r>
          </w:p>
        </w:tc>
        <w:tc>
          <w:tcPr>
            <w:tcW w:w="109" w:type="dxa"/>
            <w:tcBorders/>
            <w:shd w:fill="CCEEFF" w:val="clear"/>
            <w:vAlign w:val="bottom"/>
          </w:tcPr>
          <w:p>
            <w:pPr>
              <w:pStyle w:val="TableContents"/>
              <w:bidi w:val="0"/>
              <w:spacing w:before="0" w:after="283"/>
              <w:ind w:left="0" w:right="0" w:hanging="0"/>
              <w:jc w:val="left"/>
              <w:rPr/>
            </w:pPr>
            <w:r>
              <w:rPr/>
            </w:r>
          </w:p>
        </w:tc>
        <w:tc>
          <w:tcPr>
            <w:tcW w:w="1711" w:type="dxa"/>
            <w:tcBorders/>
            <w:shd w:fill="CCEEFF" w:val="clear"/>
            <w:tcMar>
              <w:top w:w="0" w:type="dxa"/>
              <w:left w:w="0" w:type="dxa"/>
              <w:bottom w:w="0" w:type="dxa"/>
              <w:right w:w="0" w:type="dxa"/>
            </w:tcMar>
            <w:vAlign w:val="bottom"/>
          </w:tcPr>
          <w:p>
            <w:pPr>
              <w:pStyle w:val="TableContents"/>
              <w:bidi w:val="0"/>
              <w:spacing w:before="0" w:after="0"/>
              <w:ind w:left="0" w:right="0" w:hanging="0"/>
              <w:jc w:val="right"/>
              <w:rPr/>
            </w:pPr>
            <w:r>
              <w:rPr>
                <w:rFonts w:ascii="Times New Roman;serif" w:hAnsi="Times New Roman;serif"/>
                <w:sz w:val="20"/>
              </w:rPr>
              <w:t>(24,155</w:t>
            </w:r>
            <w:r>
              <w:rPr/>
              <w:t xml:space="preserve"> </w:t>
            </w:r>
          </w:p>
        </w:tc>
        <w:tc>
          <w:tcPr>
            <w:tcW w:w="226" w:type="dxa"/>
            <w:tcBorders/>
            <w:shd w:fill="CCEEFF" w:val="clear"/>
            <w:tcMar>
              <w:top w:w="0" w:type="dxa"/>
              <w:left w:w="0" w:type="dxa"/>
              <w:bottom w:w="0" w:type="dxa"/>
              <w:right w:w="0" w:type="dxa"/>
            </w:tcMar>
            <w:vAlign w:val="bottom"/>
          </w:tcPr>
          <w:p>
            <w:pPr>
              <w:pStyle w:val="TableContents"/>
              <w:bidi w:val="0"/>
              <w:spacing w:before="0" w:after="0"/>
              <w:jc w:val="left"/>
              <w:rPr/>
            </w:pPr>
            <w:r>
              <w:rPr/>
              <w:t>)</w:t>
            </w:r>
          </w:p>
        </w:tc>
      </w:tr>
      <w:tr>
        <w:trPr/>
        <w:tc>
          <w:tcPr>
            <w:tcW w:w="3166" w:type="dxa"/>
            <w:tcBorders/>
            <w:vAlign w:val="bottom"/>
          </w:tcPr>
          <w:p>
            <w:pPr>
              <w:pStyle w:val="TableContents"/>
              <w:widowControl/>
              <w:bidi w:val="0"/>
              <w:spacing w:before="0" w:after="283"/>
              <w:ind w:left="0" w:right="0" w:hanging="0"/>
              <w:jc w:val="left"/>
              <w:rPr>
                <w:rFonts w:ascii="Times New Roman;serif" w:hAnsi="Times New Roman;serif"/>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Exercised</w:t>
            </w:r>
          </w:p>
        </w:tc>
        <w:tc>
          <w:tcPr>
            <w:tcW w:w="109" w:type="dxa"/>
            <w:tcBorders/>
            <w:vAlign w:val="bottom"/>
          </w:tcPr>
          <w:p>
            <w:pPr>
              <w:pStyle w:val="TableContents"/>
              <w:bidi w:val="0"/>
              <w:spacing w:before="0" w:after="283"/>
              <w:jc w:val="left"/>
              <w:rPr/>
            </w:pPr>
            <w:r>
              <w:rPr/>
            </w:r>
          </w:p>
        </w:tc>
        <w:tc>
          <w:tcPr>
            <w:tcW w:w="109" w:type="dxa"/>
            <w:tcBorders/>
            <w:vAlign w:val="bottom"/>
          </w:tcPr>
          <w:p>
            <w:pPr>
              <w:pStyle w:val="TableContents"/>
              <w:bidi w:val="0"/>
              <w:spacing w:before="0" w:after="283"/>
              <w:jc w:val="left"/>
              <w:rPr/>
            </w:pPr>
            <w:r>
              <w:rPr/>
            </w:r>
          </w:p>
        </w:tc>
        <w:tc>
          <w:tcPr>
            <w:tcW w:w="1711" w:type="dxa"/>
            <w:tcBorders/>
            <w:tcMar>
              <w:top w:w="0" w:type="dxa"/>
              <w:left w:w="0" w:type="dxa"/>
              <w:bottom w:w="0" w:type="dxa"/>
              <w:right w:w="0" w:type="dxa"/>
            </w:tcMar>
            <w:vAlign w:val="bottom"/>
          </w:tcPr>
          <w:p>
            <w:pPr>
              <w:pStyle w:val="TableContents"/>
              <w:bidi w:val="0"/>
              <w:spacing w:before="0" w:after="283"/>
              <w:jc w:val="right"/>
              <w:rPr/>
            </w:pPr>
            <w:r>
              <w:rPr>
                <w:rFonts w:ascii="Times New Roman;serif" w:hAnsi="Times New Roman;serif"/>
                <w:sz w:val="20"/>
              </w:rPr>
              <w:t>-</w:t>
            </w:r>
            <w:r>
              <w:rPr/>
              <w:t xml:space="preserve"> </w:t>
            </w:r>
          </w:p>
        </w:tc>
        <w:tc>
          <w:tcPr>
            <w:tcW w:w="226" w:type="dxa"/>
            <w:tcBorders/>
            <w:vAlign w:val="bottom"/>
          </w:tcPr>
          <w:p>
            <w:pPr>
              <w:pStyle w:val="TableContents"/>
              <w:bidi w:val="0"/>
              <w:spacing w:before="0" w:after="283"/>
              <w:jc w:val="left"/>
              <w:rPr/>
            </w:pPr>
            <w:r>
              <w:rPr/>
            </w:r>
          </w:p>
        </w:tc>
      </w:tr>
      <w:tr>
        <w:trPr/>
        <w:tc>
          <w:tcPr>
            <w:tcW w:w="3166" w:type="dxa"/>
            <w:tcBorders/>
            <w:shd w:fill="CCEEFF" w:val="clear"/>
            <w:vAlign w:val="bottom"/>
          </w:tcPr>
          <w:p>
            <w:pPr>
              <w:pStyle w:val="TableContents"/>
              <w:bidi w:val="0"/>
              <w:spacing w:before="0" w:after="283"/>
              <w:jc w:val="left"/>
              <w:rPr/>
            </w:pPr>
            <w:r>
              <w:rPr>
                <w:rFonts w:ascii="Times New Roman;serif" w:hAnsi="Times New Roman;serif"/>
                <w:sz w:val="20"/>
              </w:rPr>
              <w:t>Outstanding as of June 30, 2026</w:t>
            </w:r>
            <w:r>
              <w:rPr/>
              <w:t xml:space="preserve"> </w:t>
            </w:r>
          </w:p>
        </w:tc>
        <w:tc>
          <w:tcPr>
            <w:tcW w:w="109" w:type="dxa"/>
            <w:tcBorders/>
            <w:shd w:fill="CCEEFF" w:val="clear"/>
            <w:vAlign w:val="bottom"/>
          </w:tcPr>
          <w:p>
            <w:pPr>
              <w:pStyle w:val="TableContents"/>
              <w:bidi w:val="0"/>
              <w:spacing w:before="0" w:after="283"/>
              <w:jc w:val="left"/>
              <w:rPr/>
            </w:pPr>
            <w:r>
              <w:rPr/>
            </w:r>
          </w:p>
        </w:tc>
        <w:tc>
          <w:tcPr>
            <w:tcW w:w="109" w:type="dxa"/>
            <w:tcBorders/>
            <w:shd w:fill="CCEEFF" w:val="clear"/>
            <w:vAlign w:val="bottom"/>
          </w:tcPr>
          <w:p>
            <w:pPr>
              <w:pStyle w:val="TableContents"/>
              <w:bidi w:val="0"/>
              <w:spacing w:before="0" w:after="283"/>
              <w:jc w:val="left"/>
              <w:rPr/>
            </w:pPr>
            <w:r>
              <w:rPr/>
            </w:r>
          </w:p>
        </w:tc>
        <w:tc>
          <w:tcPr>
            <w:tcW w:w="1711" w:type="dxa"/>
            <w:tcBorders/>
            <w:shd w:fill="CCEEFF" w:val="clear"/>
            <w:vAlign w:val="bottom"/>
          </w:tcPr>
          <w:p>
            <w:pPr>
              <w:pStyle w:val="TableContents"/>
              <w:bidi w:val="0"/>
              <w:spacing w:before="0" w:after="283"/>
              <w:jc w:val="right"/>
              <w:rPr/>
            </w:pPr>
            <w:r>
              <w:rPr>
                <w:rFonts w:ascii="Times New Roman;serif" w:hAnsi="Times New Roman;serif"/>
                <w:sz w:val="20"/>
              </w:rPr>
              <w:t>624,702</w:t>
            </w:r>
            <w:r>
              <w:rPr/>
              <w:t xml:space="preserve"> </w:t>
            </w:r>
          </w:p>
        </w:tc>
        <w:tc>
          <w:tcPr>
            <w:tcW w:w="226" w:type="dxa"/>
            <w:tcBorders/>
            <w:shd w:fill="CCEEFF" w:val="clear"/>
            <w:vAlign w:val="bottom"/>
          </w:tcPr>
          <w:p>
            <w:pPr>
              <w:pStyle w:val="TableContents"/>
              <w:bidi w:val="0"/>
              <w:spacing w:before="0" w:after="283"/>
              <w:jc w:val="left"/>
              <w:rPr/>
            </w:pPr>
            <w:r>
              <w:rPr/>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serif" w:hAnsi="Times New Roman;serif"/>
          <w:sz w:val="20"/>
        </w:rPr>
        <w:t xml:space="preserve">Warrants outstanding as of June 30, 2026 consist of </w:t>
      </w:r>
      <w:r>
        <w:rPr>
          <w:rFonts w:ascii="times new roman;times" w:hAnsi="times new roman;times"/>
          <w:sz w:val="20"/>
        </w:rPr>
        <w:t> (187,202 </w:t>
      </w:r>
      <w:r>
        <w:rPr>
          <w:rFonts w:ascii="Times New Roman;serif" w:hAnsi="Times New Roman;serif"/>
          <w:sz w:val="20"/>
        </w:rPr>
        <w:t>underlying shares issued in</w:t>
      </w:r>
      <w:r>
        <w:rPr>
          <w:rFonts w:ascii="times new roman;times" w:hAnsi="times new roman;times"/>
          <w:sz w:val="20"/>
        </w:rPr>
        <w:t xml:space="preserve"> prior financings and 437,500 </w:t>
      </w:r>
      <w:r>
        <w:rPr>
          <w:rFonts w:ascii="Times New Roman;serif" w:hAnsi="Times New Roman;serif"/>
          <w:sz w:val="20"/>
        </w:rPr>
        <w:t>underlying shares</w:t>
      </w:r>
      <w:r>
        <w:rPr>
          <w:rFonts w:ascii="times new roman;times" w:hAnsi="times new roman;times"/>
          <w:sz w:val="20"/>
        </w:rPr>
        <w:t xml:space="preserve"> issued on March 2, 2026. </w:t>
      </w:r>
      <w:r>
        <w:rPr>
          <w:rFonts w:ascii="Times New Roman" w:hAnsi="Times New Roman"/>
          <w:sz w:val="20"/>
        </w:rPr>
        <w:t>The Company issued no warrants and repurchased no warrants during the three months ended June 30, 2026.</w:t>
      </w:r>
    </w:p>
    <w:p>
      <w:pPr>
        <w:pStyle w:val="TextBody"/>
        <w:bidi w:val="0"/>
        <w:spacing w:lineRule="auto" w:line="288" w:before="0" w:after="0"/>
        <w:ind w:left="0" w:right="0" w:hanging="0"/>
        <w:jc w:val="both"/>
        <w:rPr/>
      </w:pPr>
      <w:r>
        <w:rPr/>
      </w:r>
    </w:p>
    <w:p>
      <w:pPr>
        <w:pStyle w:val="TextBody"/>
        <w:bidi w:val="0"/>
        <w:spacing w:lineRule="atLeast" w:line="240" w:before="0" w:after="0"/>
        <w:ind w:left="0" w:right="0" w:hanging="0"/>
        <w:jc w:val="both"/>
        <w:rPr>
          <w:rFonts w:ascii="Times New Roman;serif" w:hAnsi="Times New Roman;serif"/>
          <w:i/>
          <w:sz w:val="20"/>
        </w:rPr>
      </w:pPr>
      <w:r>
        <w:rPr>
          <w:rFonts w:ascii="Times New Roman;serif" w:hAnsi="Times New Roman;serif"/>
          <w:i/>
          <w:sz w:val="20"/>
        </w:rPr>
        <w:t>Related Party</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serif" w:hAnsi="Times New Roman;serif"/>
          <w:sz w:val="20"/>
        </w:rPr>
        <w:t>The September 2025 repurchase from Edward Dallin Bagley was approved by the Board of Directors in accordance with the Company's related person transaction policy.</w:t>
      </w:r>
      <w:r>
        <w:rPr>
          <w:rFonts w:ascii="times new roman;times" w:hAnsi="times new roman;times"/>
          <w:sz w:val="20"/>
        </w:rPr>
        <w:t> No amounts were outstanding with Mr. Bagley related to these warrants as of June 30, 2026.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150" w:name="PageBreakNo13"/>
            <w:bookmarkEnd w:id="150"/>
            <w:r>
              <w:rPr>
                <w:sz w:val="20"/>
              </w:rPr>
              <w:t>13</w:t>
            </w:r>
          </w:p>
        </w:tc>
      </w:tr>
    </w:tbl>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color w:val="0000FF"/>
            <w:sz w:val="20"/>
          </w:rPr>
          <w:t>Table of Contents</w:t>
        </w:r>
      </w:hyperlink>
    </w:p>
    <w:p>
      <w:pPr>
        <w:pStyle w:val="TextBody"/>
        <w:bidi w:val="0"/>
        <w:spacing w:lineRule="auto" w:line="288" w:before="0" w:after="0"/>
        <w:ind w:left="144" w:right="144" w:hanging="0"/>
        <w:jc w:val="center"/>
        <w:rPr/>
      </w:pPr>
      <w:r>
        <w:rPr/>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6. Revenue Information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The Company recognized no revenue from </w:t>
      </w:r>
      <w:r>
        <w:rPr>
          <w:rFonts w:ascii="Times New Roman;serif" w:hAnsi="Times New Roman;serif"/>
          <w:sz w:val="20"/>
        </w:rPr>
        <w:t>continuing operations during the three and six months ended June 30, 2026</w:t>
      </w:r>
      <w:r>
        <w:rPr>
          <w:rFonts w:ascii="Times New Roman" w:hAnsi="Times New Roman"/>
          <w:sz w:val="20"/>
        </w:rPr>
        <w:t> </w:t>
      </w:r>
      <w:r>
        <w:rPr>
          <w:rFonts w:ascii="Times New Roman;serif" w:hAnsi="Times New Roman;serif"/>
          <w:sz w:val="20"/>
        </w:rPr>
        <w:t>or during the comparable periods in 2025. All revenue formerly reported by product group and geographic region relates to the disposed product business and is presented within discontinued operations. See Note 2 — Discontinued Operations and Assets Held for Sale for disaggregation of that revenue by primary product group and major region.</w:t>
      </w:r>
      <w:r>
        <w:rPr>
          <w:rFonts w:ascii="Times New Roman" w:hAnsi="Times New Roman"/>
          <w:sz w:val="20"/>
        </w:rPr>
        <w:t xml:space="preserve"> </w:t>
      </w:r>
    </w:p>
    <w:p>
      <w:pPr>
        <w:pStyle w:val="TextBody"/>
        <w:bidi w:val="0"/>
        <w:spacing w:lineRule="auto" w:line="288" w:before="0" w:after="0"/>
        <w:ind w:left="0" w:right="0" w:hanging="0"/>
        <w:jc w:val="both"/>
        <w:rPr/>
      </w:pPr>
      <w:r>
        <w:rPr/>
      </w:r>
    </w:p>
    <w:p>
      <w:pPr>
        <w:pStyle w:val="TextBody"/>
        <w:bidi w:val="0"/>
        <w:spacing w:lineRule="atLeast" w:line="240" w:before="0" w:after="0"/>
        <w:ind w:left="0" w:right="0" w:hanging="0"/>
        <w:jc w:val="both"/>
        <w:rPr>
          <w:rFonts w:ascii="Times New Roman;serif" w:hAnsi="Times New Roman;serif"/>
          <w:sz w:val="20"/>
        </w:rPr>
      </w:pPr>
      <w:r>
        <w:rPr>
          <w:rFonts w:ascii="Times New Roman;serif" w:hAnsi="Times New Roman;serif"/>
          <w:sz w:val="20"/>
        </w:rPr>
        <w:t>Following the Asset Sale, the Company's only remaining obligations to customers are assurance-type warranties on products sold prior to October 24, 2025. Assurance-type warranties are accounted for as a cost accrual under ASC 460 rather than as a separate performance obligation under ASC 606, and no portion of any transaction price has been allocated to them. See Note 1 — Product Warranties.</w:t>
      </w:r>
    </w:p>
    <w:p>
      <w:pPr>
        <w:pStyle w:val="TextBody"/>
        <w:bidi w:val="0"/>
        <w:spacing w:lineRule="atLeast" w:line="240" w:before="0" w:after="0"/>
        <w:ind w:left="0" w:right="0" w:hanging="0"/>
        <w:jc w:val="both"/>
        <w:rPr>
          <w:sz w:val="20"/>
        </w:rPr>
      </w:pPr>
      <w:r>
        <w:rPr>
          <w:sz w:val="20"/>
        </w:rPr>
      </w:r>
    </w:p>
    <w:p>
      <w:pPr>
        <w:pStyle w:val="TextBody"/>
        <w:bidi w:val="0"/>
        <w:spacing w:lineRule="atLeast" w:line="240" w:before="0" w:after="0"/>
        <w:ind w:left="0" w:right="0" w:hanging="0"/>
        <w:jc w:val="both"/>
        <w:rPr>
          <w:rFonts w:ascii="Times New Roman;serif" w:hAnsi="Times New Roman;serif"/>
          <w:sz w:val="20"/>
        </w:rPr>
      </w:pPr>
      <w:r>
        <w:rPr>
          <w:rFonts w:ascii="Times New Roman;serif" w:hAnsi="Times New Roman;serif"/>
          <w:sz w:val="20"/>
        </w:rPr>
        <w:t xml:space="preserve">The Company had no contract assets and no contract liabilities as of June 30, 2026 or December 31, 2025, and deferred product revenue was $0 at both dates. The Company had no remaining performance obligations as of June 30, 2026.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widowControl/>
        <w:bidi w:val="0"/>
        <w:spacing w:lineRule="auto" w:line="288"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t>7. Income (Loss) per share</w:t>
      </w:r>
    </w:p>
    <w:p>
      <w:pPr>
        <w:pStyle w:val="TextBody"/>
        <w:widowControl/>
        <w:bidi w:val="0"/>
        <w:spacing w:lineRule="auto" w:line="288" w:before="0" w:after="0"/>
        <w:ind w:left="0" w:right="0" w:hanging="0"/>
        <w:jc w:val="left"/>
        <w:rPr>
          <w:rFonts w:ascii="Times New Roman" w:hAnsi="Times New Roman"/>
          <w:b/>
          <w:i w:val="false"/>
          <w:caps w:val="false"/>
          <w:smallCaps w:val="false"/>
          <w:color w:val="000000"/>
          <w:spacing w:val="0"/>
          <w:sz w:val="20"/>
        </w:rPr>
      </w:pPr>
      <w:r>
        <w:rPr>
          <w:rFonts w:ascii="Times New Roman" w:hAnsi="Times New Roman"/>
          <w:b/>
          <w:i w:val="false"/>
          <w:caps w:val="false"/>
          <w:smallCaps w:val="false"/>
          <w:color w:val="000000"/>
          <w:spacing w:val="0"/>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serif" w:hAnsi="Times New Roman;serif"/>
          <w:sz w:val="20"/>
        </w:rPr>
        <w:t>Basic net income (loss) per share is computed by dividing net income (loss) attributable to common stockholders by the weighted-average number of common shares outstanding during the period. Diluted net income (loss) per share reflects the potential dilution that would occur if outstanding options and warrants were exercised, using the treasury stock method, except when the effect would be anti-dilutive. All share and per-share amounts have been retroactively adjusted to reflect the Company's 1-for-15 reverse stock split (see Note 1).</w:t>
      </w:r>
      <w:r>
        <w:rPr>
          <w:rFonts w:ascii="times new roman;times" w:hAnsi="times new roman;times"/>
          <w:sz w:val="20"/>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serif" w:hAnsi="Times New Roman;serif"/>
          <w:sz w:val="20"/>
        </w:rPr>
        <w:t>As discussed in Note 2 — Discontinued Operations and Assets Held for Sale, the Company presents basic and diluted income (loss) per share separately for continuing operations, discontinued operations, and total for each period presented. In accordance with ASC 260-10-45-18, income (loss) from continuing operations is used as the control number in determining whether potential common shares are dilutive. Because the Company reported a loss from continuing operations in each period presented, all outstanding options and warrants were anti-dilutive and were excluded from the computation of diluted income (loss) per share for all periods, including the computation of diluted income per share from discontinued operations. Accordingly, diluted income (loss) per share equals basic income (loss) per share for all periods presented.</w:t>
      </w:r>
      <w:r>
        <w:rPr>
          <w:rFonts w:ascii="times new roman;times" w:hAnsi="times new roman;times"/>
          <w:sz w:val="20"/>
        </w:rPr>
        <w:t xml:space="preserve"> </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151" w:name="PageBreakNo14"/>
            <w:bookmarkEnd w:id="151"/>
            <w:r>
              <w:rPr>
                <w:sz w:val="20"/>
              </w:rPr>
              <w:t>14</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(Unaudited - Dollars in thousands, except per share amounts)</w:t>
      </w:r>
    </w:p>
    <w:p>
      <w:pPr>
        <w:pStyle w:val="TextBody"/>
        <w:bidi w:val="0"/>
        <w:spacing w:lineRule="auto" w:line="288" w:before="0" w:after="0"/>
        <w:ind w:left="0" w:right="0" w:hanging="0"/>
        <w:jc w:val="both"/>
        <w:rPr/>
      </w:pPr>
      <w:r>
        <w:rPr/>
        <w:t> </w:t>
      </w:r>
    </w:p>
    <w:p>
      <w:pPr>
        <w:pStyle w:val="TextBody"/>
        <w:bidi w:val="0"/>
        <w:spacing w:lineRule="atLeast" w:line="240" w:before="0" w:after="0"/>
        <w:ind w:left="0" w:right="0" w:hanging="0"/>
        <w:jc w:val="both"/>
        <w:rPr>
          <w:rFonts w:ascii="Times New Roman;serif" w:hAnsi="Times New Roman;serif"/>
          <w:sz w:val="20"/>
        </w:rPr>
      </w:pPr>
      <w:r>
        <w:rPr>
          <w:rFonts w:ascii="Times New Roman;serif" w:hAnsi="Times New Roman;serif"/>
          <w:sz w:val="20"/>
        </w:rPr>
        <w:t>The Class A Redeemable Preferred Stock was issued on July 18, 2025 and was not outstanding during the three or six months ended June 30, 2025. Upon the closing of the Asset Sale on October 24, 2025 it was reclassified from temporary equity to a current liability and ceased to be an equity instrument, and it was redeemed in full at par value on April 21, 2026 with holders receiving no distribution of Asset Sale proceeds. Accordingly, no income or loss was allocated to the Class A Redeemable Preferred Stock under the two-class method in any period presented. See Note 3 — Capital Structure: Class A Redeemable Preferred Stock</w:t>
      </w:r>
      <w:r>
        <w:rPr>
          <w:rFonts w:ascii="Times New Roman;serif" w:hAnsi="Times New Roman;serif"/>
          <w:color w:val="000000"/>
          <w:sz w:val="20"/>
        </w:rPr>
        <w:t>.</w:t>
      </w:r>
    </w:p>
    <w:p>
      <w:pPr>
        <w:pStyle w:val="TextBody"/>
        <w:widowControl/>
        <w:bidi w:val="0"/>
        <w:spacing w:lineRule="auto" w:line="288" w:before="0" w:after="0"/>
        <w:ind w:left="0" w:right="0" w:hanging="0"/>
        <w:jc w:val="left"/>
        <w:rPr/>
      </w:pPr>
      <w:r>
        <w:rPr/>
      </w:r>
    </w:p>
    <w:p>
      <w:pPr>
        <w:pStyle w:val="TextBody"/>
        <w:widowControl/>
        <w:bidi w:val="0"/>
        <w:spacing w:lineRule="auto" w:line="288" w:before="0" w:after="0"/>
        <w:ind w:left="0" w:right="0" w:hanging="0"/>
        <w:jc w:val="both"/>
        <w:rPr>
          <w:rFonts w:ascii="Times New Roman" w:hAnsi="Times New Roman"/>
          <w:sz w:val="20"/>
        </w:rPr>
      </w:pPr>
      <w:r>
        <w:rPr>
          <w:rFonts w:ascii="Times New Roman" w:hAnsi="Times New Roman"/>
          <w:sz w:val="20"/>
        </w:rPr>
        <w:t xml:space="preserve">The following table sets forth the computation of basic and diluted </w:t>
      </w:r>
      <w:r>
        <w:rPr>
          <w:rFonts w:ascii="Times New Roman" w:hAnsi="Times New Roman"/>
          <w:b w:val="false"/>
          <w:i w:val="false"/>
          <w:caps w:val="false"/>
          <w:smallCaps w:val="false"/>
          <w:color w:val="000000"/>
          <w:spacing w:val="0"/>
          <w:sz w:val="20"/>
        </w:rPr>
        <w:t>income (</w:t>
      </w:r>
      <w:r>
        <w:rPr>
          <w:rFonts w:ascii="Times New Roman" w:hAnsi="Times New Roman"/>
          <w:sz w:val="20"/>
        </w:rPr>
        <w:t>loss) per common share:</w:t>
      </w:r>
    </w:p>
    <w:p>
      <w:pPr>
        <w:pStyle w:val="TextBody"/>
        <w:bidi w:val="0"/>
        <w:spacing w:lineRule="auto" w:line="288" w:before="0" w:after="0"/>
        <w:ind w:left="144" w:right="144"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829"/>
        <w:gridCol w:w="23"/>
        <w:gridCol w:w="149"/>
        <w:gridCol w:w="1177"/>
        <w:gridCol w:w="113"/>
        <w:gridCol w:w="26"/>
        <w:gridCol w:w="149"/>
        <w:gridCol w:w="1177"/>
        <w:gridCol w:w="95"/>
        <w:gridCol w:w="23"/>
        <w:gridCol w:w="124"/>
        <w:gridCol w:w="980"/>
        <w:gridCol w:w="95"/>
        <w:gridCol w:w="23"/>
        <w:gridCol w:w="125"/>
        <w:gridCol w:w="980"/>
        <w:gridCol w:w="117"/>
      </w:tblGrid>
      <w:tr>
        <w:trPr/>
        <w:tc>
          <w:tcPr>
            <w:tcW w:w="4829"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2791" w:type="dxa"/>
            <w:gridSpan w:val="6"/>
            <w:tcBorders/>
            <w:vAlign w:val="center"/>
          </w:tcPr>
          <w:p>
            <w:pPr>
              <w:pStyle w:val="TableContents"/>
              <w:bidi w:val="0"/>
              <w:spacing w:before="0" w:after="283"/>
              <w:jc w:val="center"/>
              <w:rPr>
                <w:b/>
              </w:rPr>
            </w:pPr>
            <w:bookmarkStart w:id="152" w:name="fs_BSADG50QK000000000000000000000FM"/>
            <w:bookmarkEnd w:id="152"/>
            <w:r>
              <w:rPr>
                <w:b/>
              </w:rPr>
              <w:t>Three months ended June 30,</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2327" w:type="dxa"/>
            <w:gridSpan w:val="6"/>
            <w:tcBorders/>
            <w:vAlign w:val="center"/>
          </w:tcPr>
          <w:p>
            <w:pPr>
              <w:pStyle w:val="TableContents"/>
              <w:widowControl/>
              <w:bidi w:val="0"/>
              <w:spacing w:before="0" w:after="283"/>
              <w:ind w:left="0" w:right="0" w:hanging="0"/>
              <w:jc w:val="center"/>
              <w:rPr>
                <w:rFonts w:ascii="times new roman" w:hAnsi="times new roman"/>
                <w:b/>
                <w:color w:val="000000"/>
                <w:spacing w:val="0"/>
                <w:sz w:val="20"/>
              </w:rPr>
            </w:pPr>
            <w:bookmarkStart w:id="153" w:name="fs_JP1VLQALGG00000000000000000000FM"/>
            <w:bookmarkEnd w:id="153"/>
            <w:r>
              <w:rPr>
                <w:rFonts w:ascii="times new roman" w:hAnsi="times new roman"/>
                <w:b/>
                <w:color w:val="000000"/>
                <w:spacing w:val="0"/>
                <w:sz w:val="20"/>
              </w:rPr>
              <w:t>Six months ended June 30,</w:t>
            </w:r>
          </w:p>
        </w:tc>
        <w:tc>
          <w:tcPr>
            <w:tcW w:w="117" w:type="dxa"/>
            <w:tcBorders/>
            <w:vAlign w:val="center"/>
          </w:tcPr>
          <w:p>
            <w:pPr>
              <w:pStyle w:val="TableContents"/>
              <w:bidi w:val="0"/>
              <w:spacing w:before="0" w:after="283"/>
              <w:jc w:val="left"/>
              <w:rPr/>
            </w:pPr>
            <w:r>
              <w:rPr/>
            </w:r>
          </w:p>
        </w:tc>
      </w:tr>
      <w:tr>
        <w:trPr/>
        <w:tc>
          <w:tcPr>
            <w:tcW w:w="4829" w:type="dxa"/>
            <w:tcBorders/>
            <w:vAlign w:val="center"/>
          </w:tcPr>
          <w:p>
            <w:pPr>
              <w:pStyle w:val="TableContents"/>
              <w:bidi w:val="0"/>
              <w:spacing w:before="0" w:after="0"/>
              <w:ind w:left="0" w:right="0" w:hanging="0"/>
              <w:jc w:val="left"/>
              <w:rPr/>
            </w:pPr>
            <w:r>
              <w:rPr/>
              <w:t xml:space="preserve">  </w:t>
            </w:r>
          </w:p>
        </w:tc>
        <w:tc>
          <w:tcPr>
            <w:tcW w:w="23" w:type="dxa"/>
            <w:tcBorders/>
            <w:vAlign w:val="center"/>
          </w:tcPr>
          <w:p>
            <w:pPr>
              <w:pStyle w:val="TableContents"/>
              <w:bidi w:val="0"/>
              <w:spacing w:before="0" w:after="283"/>
              <w:jc w:val="left"/>
              <w:rPr/>
            </w:pPr>
            <w:r>
              <w:rPr/>
            </w:r>
          </w:p>
        </w:tc>
        <w:tc>
          <w:tcPr>
            <w:tcW w:w="1326" w:type="dxa"/>
            <w:gridSpan w:val="2"/>
            <w:tcBorders/>
            <w:vAlign w:val="bottom"/>
          </w:tcPr>
          <w:p>
            <w:pPr>
              <w:pStyle w:val="TableContents"/>
              <w:bidi w:val="0"/>
              <w:spacing w:before="0" w:after="283"/>
              <w:jc w:val="center"/>
              <w:rPr>
                <w:b/>
              </w:rPr>
            </w:pPr>
            <w:bookmarkStart w:id="154" w:name="fs_3W3Q3YULBK00000000000000000000FM"/>
            <w:bookmarkEnd w:id="154"/>
            <w:r>
              <w:rPr>
                <w:b/>
              </w:rPr>
              <w:t>2026</w:t>
            </w:r>
          </w:p>
        </w:tc>
        <w:tc>
          <w:tcPr>
            <w:tcW w:w="113" w:type="dxa"/>
            <w:tcBorders/>
            <w:vAlign w:val="bottom"/>
          </w:tcPr>
          <w:p>
            <w:pPr>
              <w:pStyle w:val="TableContents"/>
              <w:bidi w:val="0"/>
              <w:spacing w:before="0" w:after="283"/>
              <w:jc w:val="left"/>
              <w:rPr/>
            </w:pPr>
            <w:r>
              <w:rPr/>
            </w:r>
          </w:p>
        </w:tc>
        <w:tc>
          <w:tcPr>
            <w:tcW w:w="26" w:type="dxa"/>
            <w:tcBorders/>
            <w:vAlign w:val="bottom"/>
          </w:tcPr>
          <w:p>
            <w:pPr>
              <w:pStyle w:val="TableContents"/>
              <w:bidi w:val="0"/>
              <w:spacing w:before="0" w:after="283"/>
              <w:jc w:val="left"/>
              <w:rPr/>
            </w:pPr>
            <w:r>
              <w:rPr/>
            </w:r>
          </w:p>
        </w:tc>
        <w:tc>
          <w:tcPr>
            <w:tcW w:w="1326" w:type="dxa"/>
            <w:gridSpan w:val="2"/>
            <w:tcBorders/>
            <w:vAlign w:val="bottom"/>
          </w:tcPr>
          <w:p>
            <w:pPr>
              <w:pStyle w:val="TableContents"/>
              <w:bidi w:val="0"/>
              <w:spacing w:before="0" w:after="283"/>
              <w:jc w:val="center"/>
              <w:rPr>
                <w:b/>
              </w:rPr>
            </w:pPr>
            <w:bookmarkStart w:id="155" w:name="fs_RQHJMLKXLS00000000000000000000FM"/>
            <w:bookmarkEnd w:id="155"/>
            <w:r>
              <w:rPr>
                <w:b/>
              </w:rPr>
              <w:t>2025</w:t>
            </w:r>
          </w:p>
        </w:tc>
        <w:tc>
          <w:tcPr>
            <w:tcW w:w="95" w:type="dxa"/>
            <w:tcBorders/>
            <w:vAlign w:val="bottom"/>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104" w:type="dxa"/>
            <w:gridSpan w:val="2"/>
            <w:tcBorders/>
            <w:vAlign w:val="center"/>
          </w:tcPr>
          <w:p>
            <w:pPr>
              <w:pStyle w:val="TableContents"/>
              <w:bidi w:val="0"/>
              <w:spacing w:before="0" w:after="283"/>
              <w:jc w:val="center"/>
              <w:rPr>
                <w:b/>
              </w:rPr>
            </w:pPr>
            <w:bookmarkStart w:id="156" w:name="fs_3H4DT72HXC00000000000000000000FM"/>
            <w:bookmarkEnd w:id="156"/>
            <w:r>
              <w:rPr>
                <w:b/>
              </w:rPr>
              <w:t>2026</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105" w:type="dxa"/>
            <w:gridSpan w:val="2"/>
            <w:tcBorders/>
            <w:vAlign w:val="center"/>
          </w:tcPr>
          <w:p>
            <w:pPr>
              <w:pStyle w:val="TableContents"/>
              <w:bidi w:val="0"/>
              <w:spacing w:before="0" w:after="283"/>
              <w:jc w:val="center"/>
              <w:rPr>
                <w:b/>
              </w:rPr>
            </w:pPr>
            <w:bookmarkStart w:id="157" w:name="fs_FL86T5ASMO00000000000000000000FM"/>
            <w:bookmarkEnd w:id="157"/>
            <w:r>
              <w:rPr>
                <w:b/>
              </w:rPr>
              <w:t>2025</w:t>
            </w:r>
          </w:p>
        </w:tc>
        <w:tc>
          <w:tcPr>
            <w:tcW w:w="117" w:type="dxa"/>
            <w:tcBorders/>
            <w:vAlign w:val="center"/>
          </w:tcPr>
          <w:p>
            <w:pPr>
              <w:pStyle w:val="TableContents"/>
              <w:bidi w:val="0"/>
              <w:spacing w:before="0" w:after="283"/>
              <w:jc w:val="left"/>
              <w:rPr/>
            </w:pPr>
            <w:r>
              <w:rPr/>
            </w:r>
          </w:p>
        </w:tc>
      </w:tr>
      <w:tr>
        <w:trPr/>
        <w:tc>
          <w:tcPr>
            <w:tcW w:w="482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Numerator: </w:t>
            </w:r>
          </w:p>
        </w:tc>
        <w:tc>
          <w:tcPr>
            <w:tcW w:w="23" w:type="dxa"/>
            <w:tcBorders/>
            <w:shd w:fill="CCEEFF" w:val="clear"/>
            <w:vAlign w:val="center"/>
          </w:tcPr>
          <w:p>
            <w:pPr>
              <w:pStyle w:val="TableContents"/>
              <w:bidi w:val="0"/>
              <w:spacing w:before="0" w:after="283"/>
              <w:jc w:val="left"/>
              <w:rPr/>
            </w:pPr>
            <w:r>
              <w:rPr/>
            </w:r>
          </w:p>
        </w:tc>
        <w:tc>
          <w:tcPr>
            <w:tcW w:w="149" w:type="dxa"/>
            <w:tcBorders/>
            <w:shd w:fill="CCEEFF" w:val="clear"/>
            <w:vAlign w:val="bottom"/>
          </w:tcPr>
          <w:p>
            <w:pPr>
              <w:pStyle w:val="TableContents"/>
              <w:bidi w:val="0"/>
              <w:spacing w:before="0" w:after="283"/>
              <w:jc w:val="left"/>
              <w:rPr/>
            </w:pPr>
            <w:r>
              <w:rPr/>
            </w:r>
          </w:p>
        </w:tc>
        <w:tc>
          <w:tcPr>
            <w:tcW w:w="1177" w:type="dxa"/>
            <w:tcBorders/>
            <w:shd w:fill="CCEEFF" w:val="clear"/>
            <w:vAlign w:val="bottom"/>
          </w:tcPr>
          <w:p>
            <w:pPr>
              <w:pStyle w:val="TableContents"/>
              <w:bidi w:val="0"/>
              <w:spacing w:before="0" w:after="283"/>
              <w:jc w:val="left"/>
              <w:rPr/>
            </w:pPr>
            <w:r>
              <w:rPr/>
            </w:r>
          </w:p>
        </w:tc>
        <w:tc>
          <w:tcPr>
            <w:tcW w:w="113" w:type="dxa"/>
            <w:tcBorders/>
            <w:shd w:fill="CCEEFF" w:val="clear"/>
            <w:vAlign w:val="bottom"/>
          </w:tcPr>
          <w:p>
            <w:pPr>
              <w:pStyle w:val="TableContents"/>
              <w:bidi w:val="0"/>
              <w:spacing w:before="0" w:after="283"/>
              <w:jc w:val="left"/>
              <w:rPr/>
            </w:pPr>
            <w:r>
              <w:rPr/>
            </w:r>
          </w:p>
        </w:tc>
        <w:tc>
          <w:tcPr>
            <w:tcW w:w="26" w:type="dxa"/>
            <w:tcBorders/>
            <w:shd w:fill="CCEEFF" w:val="clear"/>
            <w:vAlign w:val="bottom"/>
          </w:tcPr>
          <w:p>
            <w:pPr>
              <w:pStyle w:val="TableContents"/>
              <w:bidi w:val="0"/>
              <w:spacing w:before="0" w:after="283"/>
              <w:jc w:val="left"/>
              <w:rPr/>
            </w:pPr>
            <w:r>
              <w:rPr/>
            </w:r>
          </w:p>
        </w:tc>
        <w:tc>
          <w:tcPr>
            <w:tcW w:w="149" w:type="dxa"/>
            <w:tcBorders/>
            <w:shd w:fill="CCEEFF" w:val="clear"/>
            <w:vAlign w:val="bottom"/>
          </w:tcPr>
          <w:p>
            <w:pPr>
              <w:pStyle w:val="TableContents"/>
              <w:bidi w:val="0"/>
              <w:spacing w:before="0" w:after="283"/>
              <w:jc w:val="left"/>
              <w:rPr/>
            </w:pPr>
            <w:r>
              <w:rPr/>
            </w:r>
          </w:p>
        </w:tc>
        <w:tc>
          <w:tcPr>
            <w:tcW w:w="1177"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4" w:type="dxa"/>
            <w:tcBorders/>
            <w:shd w:fill="CCEEFF" w:val="clear"/>
            <w:vAlign w:val="center"/>
          </w:tcPr>
          <w:p>
            <w:pPr>
              <w:pStyle w:val="TableContents"/>
              <w:bidi w:val="0"/>
              <w:spacing w:before="0" w:after="283"/>
              <w:jc w:val="left"/>
              <w:rPr/>
            </w:pPr>
            <w:r>
              <w:rPr/>
            </w:r>
          </w:p>
        </w:tc>
        <w:tc>
          <w:tcPr>
            <w:tcW w:w="980" w:type="dxa"/>
            <w:tcBorders/>
            <w:shd w:fill="CCEEFF" w:val="clear"/>
            <w:vAlign w:val="center"/>
          </w:tcPr>
          <w:p>
            <w:pPr>
              <w:pStyle w:val="TableContents"/>
              <w:bidi w:val="0"/>
              <w:spacing w:before="0" w:after="283"/>
              <w:jc w:val="left"/>
              <w:rPr/>
            </w:pPr>
            <w:r>
              <w:rPr/>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bidi w:val="0"/>
              <w:spacing w:before="0" w:after="283"/>
              <w:jc w:val="left"/>
              <w:rPr/>
            </w:pPr>
            <w:r>
              <w:rPr/>
            </w:r>
          </w:p>
        </w:tc>
        <w:tc>
          <w:tcPr>
            <w:tcW w:w="980" w:type="dxa"/>
            <w:tcBorders/>
            <w:shd w:fill="CCEEFF" w:val="clear"/>
            <w:vAlign w:val="center"/>
          </w:tcPr>
          <w:p>
            <w:pPr>
              <w:pStyle w:val="TableContents"/>
              <w:bidi w:val="0"/>
              <w:spacing w:before="0" w:after="283"/>
              <w:jc w:val="left"/>
              <w:rPr/>
            </w:pPr>
            <w:r>
              <w:rPr/>
            </w:r>
          </w:p>
        </w:tc>
        <w:tc>
          <w:tcPr>
            <w:tcW w:w="117" w:type="dxa"/>
            <w:tcBorders/>
            <w:shd w:fill="CCEEFF" w:val="clear"/>
            <w:vAlign w:val="center"/>
          </w:tcPr>
          <w:p>
            <w:pPr>
              <w:pStyle w:val="TableContents"/>
              <w:bidi w:val="0"/>
              <w:spacing w:before="0" w:after="283"/>
              <w:jc w:val="left"/>
              <w:rPr/>
            </w:pPr>
            <w:r>
              <w:rPr/>
            </w:r>
          </w:p>
        </w:tc>
      </w:tr>
      <w:tr>
        <w:trPr/>
        <w:tc>
          <w:tcPr>
            <w:tcW w:w="4829"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Loss from continuing operations </w:t>
            </w:r>
          </w:p>
        </w:tc>
        <w:tc>
          <w:tcPr>
            <w:tcW w:w="23" w:type="dxa"/>
            <w:tcBorders/>
            <w:vAlign w:val="center"/>
          </w:tcPr>
          <w:p>
            <w:pPr>
              <w:pStyle w:val="TableContents"/>
              <w:bidi w:val="0"/>
              <w:spacing w:before="0" w:after="283"/>
              <w:jc w:val="left"/>
              <w:rPr/>
            </w:pPr>
            <w:r>
              <w:rPr/>
            </w:r>
          </w:p>
        </w:tc>
        <w:tc>
          <w:tcPr>
            <w:tcW w:w="149"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7" w:type="dxa"/>
            <w:tcBorders/>
            <w:vAlign w:val="bottom"/>
          </w:tcPr>
          <w:p>
            <w:pPr>
              <w:pStyle w:val="TableContents"/>
              <w:bidi w:val="0"/>
              <w:spacing w:before="0" w:after="283"/>
              <w:jc w:val="right"/>
              <w:rPr/>
            </w:pPr>
            <w:r>
              <w:rPr/>
              <w:t>(919</w:t>
            </w:r>
          </w:p>
        </w:tc>
        <w:tc>
          <w:tcPr>
            <w:tcW w:w="113" w:type="dxa"/>
            <w:tcBorders/>
            <w:vAlign w:val="bottom"/>
          </w:tcPr>
          <w:p>
            <w:pPr>
              <w:pStyle w:val="TableContents"/>
              <w:bidi w:val="0"/>
              <w:spacing w:before="0" w:after="283"/>
              <w:jc w:val="left"/>
              <w:rPr/>
            </w:pPr>
            <w:r>
              <w:rPr/>
              <w:t>)</w:t>
            </w:r>
          </w:p>
        </w:tc>
        <w:tc>
          <w:tcPr>
            <w:tcW w:w="26" w:type="dxa"/>
            <w:tcBorders/>
            <w:vAlign w:val="bottom"/>
          </w:tcPr>
          <w:p>
            <w:pPr>
              <w:pStyle w:val="TableContents"/>
              <w:bidi w:val="0"/>
              <w:spacing w:before="0" w:after="283"/>
              <w:jc w:val="left"/>
              <w:rPr/>
            </w:pPr>
            <w:r>
              <w:rPr/>
            </w:r>
          </w:p>
        </w:tc>
        <w:tc>
          <w:tcPr>
            <w:tcW w:w="149"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7" w:type="dxa"/>
            <w:tcBorders/>
            <w:vAlign w:val="bottom"/>
          </w:tcPr>
          <w:p>
            <w:pPr>
              <w:pStyle w:val="TableContents"/>
              <w:bidi w:val="0"/>
              <w:spacing w:before="0" w:after="283"/>
              <w:jc w:val="right"/>
              <w:rPr/>
            </w:pPr>
            <w:r>
              <w:rPr/>
              <w:t>(1,205</w:t>
            </w:r>
          </w:p>
        </w:tc>
        <w:tc>
          <w:tcPr>
            <w:tcW w:w="95" w:type="dxa"/>
            <w:tcBorders/>
            <w:vAlign w:val="bottom"/>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124"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80" w:type="dxa"/>
            <w:tcBorders/>
            <w:vAlign w:val="center"/>
          </w:tcPr>
          <w:p>
            <w:pPr>
              <w:pStyle w:val="TableContents"/>
              <w:bidi w:val="0"/>
              <w:spacing w:before="0" w:after="283"/>
              <w:jc w:val="right"/>
              <w:rPr/>
            </w:pPr>
            <w:r>
              <w:rPr/>
              <w:t>(1,769</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980" w:type="dxa"/>
            <w:tcBorders/>
            <w:vAlign w:val="center"/>
          </w:tcPr>
          <w:p>
            <w:pPr>
              <w:pStyle w:val="TableContents"/>
              <w:bidi w:val="0"/>
              <w:spacing w:before="0" w:after="283"/>
              <w:jc w:val="right"/>
              <w:rPr/>
            </w:pPr>
            <w:r>
              <w:rPr/>
              <w:t>(2,019</w:t>
            </w:r>
          </w:p>
        </w:tc>
        <w:tc>
          <w:tcPr>
            <w:tcW w:w="117" w:type="dxa"/>
            <w:tcBorders/>
            <w:vAlign w:val="center"/>
          </w:tcPr>
          <w:p>
            <w:pPr>
              <w:pStyle w:val="TableContents"/>
              <w:bidi w:val="0"/>
              <w:spacing w:before="0" w:after="283"/>
              <w:jc w:val="left"/>
              <w:rPr/>
            </w:pPr>
            <w:r>
              <w:rPr/>
              <w:t>)</w:t>
            </w:r>
          </w:p>
        </w:tc>
      </w:tr>
      <w:tr>
        <w:trPr/>
        <w:tc>
          <w:tcPr>
            <w:tcW w:w="482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Income (loss) from discontinued operations </w:t>
            </w:r>
          </w:p>
        </w:tc>
        <w:tc>
          <w:tcPr>
            <w:tcW w:w="23" w:type="dxa"/>
            <w:tcBorders/>
            <w:shd w:fill="CCEEFF" w:val="clear"/>
            <w:vAlign w:val="center"/>
          </w:tcPr>
          <w:p>
            <w:pPr>
              <w:pStyle w:val="TableContents"/>
              <w:bidi w:val="0"/>
              <w:spacing w:before="0" w:after="283"/>
              <w:jc w:val="left"/>
              <w:rPr/>
            </w:pPr>
            <w:r>
              <w:rPr/>
            </w:r>
          </w:p>
        </w:tc>
        <w:tc>
          <w:tcPr>
            <w:tcW w:w="149"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7" w:type="dxa"/>
            <w:tcBorders/>
            <w:shd w:fill="CCEEFF" w:val="clear"/>
            <w:vAlign w:val="bottom"/>
          </w:tcPr>
          <w:p>
            <w:pPr>
              <w:pStyle w:val="TableContents"/>
              <w:bidi w:val="0"/>
              <w:spacing w:before="0" w:after="283"/>
              <w:jc w:val="right"/>
              <w:rPr/>
            </w:pPr>
            <w:r>
              <w:rPr/>
              <w:t>5</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26" w:type="dxa"/>
            <w:tcBorders/>
            <w:shd w:fill="CCEEFF" w:val="clear"/>
            <w:vAlign w:val="bottom"/>
          </w:tcPr>
          <w:p>
            <w:pPr>
              <w:pStyle w:val="TableContents"/>
              <w:bidi w:val="0"/>
              <w:spacing w:before="0" w:after="283"/>
              <w:jc w:val="left"/>
              <w:rPr/>
            </w:pPr>
            <w:r>
              <w:rPr/>
            </w:r>
          </w:p>
        </w:tc>
        <w:tc>
          <w:tcPr>
            <w:tcW w:w="149"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7" w:type="dxa"/>
            <w:tcBorders/>
            <w:shd w:fill="CCEEFF" w:val="clear"/>
            <w:vAlign w:val="bottom"/>
          </w:tcPr>
          <w:p>
            <w:pPr>
              <w:pStyle w:val="TableContents"/>
              <w:bidi w:val="0"/>
              <w:spacing w:before="0" w:after="283"/>
              <w:jc w:val="right"/>
              <w:rPr/>
            </w:pPr>
            <w:r>
              <w:rPr/>
              <w:t>(3,367</w:t>
            </w:r>
          </w:p>
        </w:tc>
        <w:tc>
          <w:tcPr>
            <w:tcW w:w="95" w:type="dxa"/>
            <w:tcBorders/>
            <w:shd w:fill="CCEEFF" w:val="clear"/>
            <w:vAlign w:val="bottom"/>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124"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80" w:type="dxa"/>
            <w:tcBorders/>
            <w:shd w:fill="CCEEFF" w:val="clear"/>
            <w:vAlign w:val="center"/>
          </w:tcPr>
          <w:p>
            <w:pPr>
              <w:pStyle w:val="TableContents"/>
              <w:bidi w:val="0"/>
              <w:spacing w:before="0" w:after="283"/>
              <w:jc w:val="right"/>
              <w:rPr/>
            </w:pPr>
            <w:r>
              <w:rPr/>
              <w:t>368</w:t>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980" w:type="dxa"/>
            <w:tcBorders/>
            <w:shd w:fill="CCEEFF" w:val="clear"/>
            <w:vAlign w:val="center"/>
          </w:tcPr>
          <w:p>
            <w:pPr>
              <w:pStyle w:val="TableContents"/>
              <w:bidi w:val="0"/>
              <w:spacing w:before="0" w:after="283"/>
              <w:jc w:val="right"/>
              <w:rPr/>
            </w:pPr>
            <w:r>
              <w:rPr/>
              <w:t>(5,387</w:t>
            </w:r>
          </w:p>
        </w:tc>
        <w:tc>
          <w:tcPr>
            <w:tcW w:w="117" w:type="dxa"/>
            <w:tcBorders/>
            <w:shd w:fill="CCEEFF" w:val="clear"/>
            <w:vAlign w:val="center"/>
          </w:tcPr>
          <w:p>
            <w:pPr>
              <w:pStyle w:val="TableContents"/>
              <w:bidi w:val="0"/>
              <w:spacing w:before="0" w:after="283"/>
              <w:jc w:val="left"/>
              <w:rPr/>
            </w:pPr>
            <w:r>
              <w:rPr/>
              <w:t>)</w:t>
            </w:r>
          </w:p>
        </w:tc>
      </w:tr>
      <w:tr>
        <w:trPr/>
        <w:tc>
          <w:tcPr>
            <w:tcW w:w="4829"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Net loss </w:t>
            </w:r>
          </w:p>
        </w:tc>
        <w:tc>
          <w:tcPr>
            <w:tcW w:w="23" w:type="dxa"/>
            <w:tcBorders/>
            <w:vAlign w:val="center"/>
          </w:tcPr>
          <w:p>
            <w:pPr>
              <w:pStyle w:val="TableContents"/>
              <w:bidi w:val="0"/>
              <w:spacing w:before="0" w:after="283"/>
              <w:jc w:val="left"/>
              <w:rPr/>
            </w:pPr>
            <w:r>
              <w:rPr/>
            </w:r>
          </w:p>
        </w:tc>
        <w:tc>
          <w:tcPr>
            <w:tcW w:w="149"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7" w:type="dxa"/>
            <w:tcBorders/>
            <w:vAlign w:val="bottom"/>
          </w:tcPr>
          <w:p>
            <w:pPr>
              <w:pStyle w:val="TableContents"/>
              <w:bidi w:val="0"/>
              <w:spacing w:before="0" w:after="283"/>
              <w:jc w:val="right"/>
              <w:rPr/>
            </w:pPr>
            <w:r>
              <w:rPr/>
              <w:t>(914</w:t>
            </w:r>
          </w:p>
        </w:tc>
        <w:tc>
          <w:tcPr>
            <w:tcW w:w="113" w:type="dxa"/>
            <w:tcBorders/>
            <w:vAlign w:val="bottom"/>
          </w:tcPr>
          <w:p>
            <w:pPr>
              <w:pStyle w:val="TableContents"/>
              <w:bidi w:val="0"/>
              <w:spacing w:before="0" w:after="283"/>
              <w:jc w:val="left"/>
              <w:rPr/>
            </w:pPr>
            <w:r>
              <w:rPr/>
              <w:t>)</w:t>
            </w:r>
          </w:p>
        </w:tc>
        <w:tc>
          <w:tcPr>
            <w:tcW w:w="26" w:type="dxa"/>
            <w:tcBorders/>
            <w:vAlign w:val="bottom"/>
          </w:tcPr>
          <w:p>
            <w:pPr>
              <w:pStyle w:val="TableContents"/>
              <w:bidi w:val="0"/>
              <w:spacing w:before="0" w:after="283"/>
              <w:jc w:val="left"/>
              <w:rPr/>
            </w:pPr>
            <w:r>
              <w:rPr/>
            </w:r>
          </w:p>
        </w:tc>
        <w:tc>
          <w:tcPr>
            <w:tcW w:w="149"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7" w:type="dxa"/>
            <w:tcBorders/>
            <w:vAlign w:val="bottom"/>
          </w:tcPr>
          <w:p>
            <w:pPr>
              <w:pStyle w:val="TableContents"/>
              <w:bidi w:val="0"/>
              <w:spacing w:before="0" w:after="283"/>
              <w:jc w:val="right"/>
              <w:rPr/>
            </w:pPr>
            <w:r>
              <w:rPr/>
              <w:t>(4,572</w:t>
            </w:r>
          </w:p>
        </w:tc>
        <w:tc>
          <w:tcPr>
            <w:tcW w:w="95" w:type="dxa"/>
            <w:tcBorders/>
            <w:vAlign w:val="bottom"/>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124"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80" w:type="dxa"/>
            <w:tcBorders/>
            <w:vAlign w:val="center"/>
          </w:tcPr>
          <w:p>
            <w:pPr>
              <w:pStyle w:val="TableContents"/>
              <w:bidi w:val="0"/>
              <w:spacing w:before="0" w:after="283"/>
              <w:jc w:val="right"/>
              <w:rPr/>
            </w:pPr>
            <w:r>
              <w:rPr/>
              <w:t>(1,401</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980" w:type="dxa"/>
            <w:tcBorders/>
            <w:vAlign w:val="center"/>
          </w:tcPr>
          <w:p>
            <w:pPr>
              <w:pStyle w:val="TableContents"/>
              <w:bidi w:val="0"/>
              <w:spacing w:before="0" w:after="283"/>
              <w:jc w:val="right"/>
              <w:rPr/>
            </w:pPr>
            <w:r>
              <w:rPr/>
              <w:t>(7,406</w:t>
            </w:r>
          </w:p>
        </w:tc>
        <w:tc>
          <w:tcPr>
            <w:tcW w:w="117" w:type="dxa"/>
            <w:tcBorders/>
            <w:vAlign w:val="center"/>
          </w:tcPr>
          <w:p>
            <w:pPr>
              <w:pStyle w:val="TableContents"/>
              <w:bidi w:val="0"/>
              <w:spacing w:before="0" w:after="283"/>
              <w:jc w:val="left"/>
              <w:rPr/>
            </w:pPr>
            <w:r>
              <w:rPr/>
              <w:t>)</w:t>
            </w:r>
          </w:p>
        </w:tc>
      </w:tr>
      <w:tr>
        <w:trPr/>
        <w:tc>
          <w:tcPr>
            <w:tcW w:w="482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Denominator: </w:t>
            </w:r>
          </w:p>
        </w:tc>
        <w:tc>
          <w:tcPr>
            <w:tcW w:w="23" w:type="dxa"/>
            <w:tcBorders/>
            <w:shd w:fill="CCEEFF" w:val="clear"/>
            <w:vAlign w:val="center"/>
          </w:tcPr>
          <w:p>
            <w:pPr>
              <w:pStyle w:val="TableContents"/>
              <w:bidi w:val="0"/>
              <w:spacing w:before="0" w:after="283"/>
              <w:jc w:val="left"/>
              <w:rPr/>
            </w:pPr>
            <w:r>
              <w:rPr/>
            </w:r>
          </w:p>
        </w:tc>
        <w:tc>
          <w:tcPr>
            <w:tcW w:w="149" w:type="dxa"/>
            <w:tcBorders/>
            <w:shd w:fill="CCEEFF" w:val="clear"/>
            <w:vAlign w:val="bottom"/>
          </w:tcPr>
          <w:p>
            <w:pPr>
              <w:pStyle w:val="TableContents"/>
              <w:bidi w:val="0"/>
              <w:spacing w:before="0" w:after="283"/>
              <w:jc w:val="left"/>
              <w:rPr/>
            </w:pPr>
            <w:r>
              <w:rPr/>
            </w:r>
          </w:p>
        </w:tc>
        <w:tc>
          <w:tcPr>
            <w:tcW w:w="1177" w:type="dxa"/>
            <w:tcBorders/>
            <w:shd w:fill="CCEEFF" w:val="clear"/>
            <w:vAlign w:val="bottom"/>
          </w:tcPr>
          <w:p>
            <w:pPr>
              <w:pStyle w:val="TableContents"/>
              <w:bidi w:val="0"/>
              <w:spacing w:before="0" w:after="283"/>
              <w:jc w:val="left"/>
              <w:rPr/>
            </w:pPr>
            <w:r>
              <w:rPr/>
            </w:r>
          </w:p>
        </w:tc>
        <w:tc>
          <w:tcPr>
            <w:tcW w:w="113" w:type="dxa"/>
            <w:tcBorders/>
            <w:shd w:fill="CCEEFF" w:val="clear"/>
            <w:vAlign w:val="bottom"/>
          </w:tcPr>
          <w:p>
            <w:pPr>
              <w:pStyle w:val="TableContents"/>
              <w:bidi w:val="0"/>
              <w:spacing w:before="0" w:after="283"/>
              <w:jc w:val="left"/>
              <w:rPr/>
            </w:pPr>
            <w:r>
              <w:rPr/>
            </w:r>
          </w:p>
        </w:tc>
        <w:tc>
          <w:tcPr>
            <w:tcW w:w="26" w:type="dxa"/>
            <w:tcBorders/>
            <w:shd w:fill="CCEEFF" w:val="clear"/>
            <w:vAlign w:val="bottom"/>
          </w:tcPr>
          <w:p>
            <w:pPr>
              <w:pStyle w:val="TableContents"/>
              <w:bidi w:val="0"/>
              <w:spacing w:before="0" w:after="283"/>
              <w:jc w:val="left"/>
              <w:rPr/>
            </w:pPr>
            <w:r>
              <w:rPr/>
            </w:r>
          </w:p>
        </w:tc>
        <w:tc>
          <w:tcPr>
            <w:tcW w:w="149" w:type="dxa"/>
            <w:tcBorders/>
            <w:shd w:fill="CCEEFF" w:val="clear"/>
            <w:vAlign w:val="bottom"/>
          </w:tcPr>
          <w:p>
            <w:pPr>
              <w:pStyle w:val="TableContents"/>
              <w:bidi w:val="0"/>
              <w:spacing w:before="0" w:after="283"/>
              <w:jc w:val="left"/>
              <w:rPr/>
            </w:pPr>
            <w:r>
              <w:rPr/>
            </w:r>
          </w:p>
        </w:tc>
        <w:tc>
          <w:tcPr>
            <w:tcW w:w="1177"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4" w:type="dxa"/>
            <w:tcBorders/>
            <w:shd w:fill="CCEEFF" w:val="clear"/>
            <w:vAlign w:val="center"/>
          </w:tcPr>
          <w:p>
            <w:pPr>
              <w:pStyle w:val="TableContents"/>
              <w:bidi w:val="0"/>
              <w:spacing w:before="0" w:after="283"/>
              <w:jc w:val="left"/>
              <w:rPr/>
            </w:pPr>
            <w:r>
              <w:rPr/>
            </w:r>
          </w:p>
        </w:tc>
        <w:tc>
          <w:tcPr>
            <w:tcW w:w="980" w:type="dxa"/>
            <w:tcBorders/>
            <w:shd w:fill="CCEEFF" w:val="clear"/>
            <w:vAlign w:val="center"/>
          </w:tcPr>
          <w:p>
            <w:pPr>
              <w:pStyle w:val="TableContents"/>
              <w:bidi w:val="0"/>
              <w:spacing w:before="0" w:after="283"/>
              <w:jc w:val="left"/>
              <w:rPr/>
            </w:pPr>
            <w:r>
              <w:rPr/>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bidi w:val="0"/>
              <w:spacing w:before="0" w:after="283"/>
              <w:jc w:val="left"/>
              <w:rPr/>
            </w:pPr>
            <w:r>
              <w:rPr/>
            </w:r>
          </w:p>
        </w:tc>
        <w:tc>
          <w:tcPr>
            <w:tcW w:w="980" w:type="dxa"/>
            <w:tcBorders/>
            <w:shd w:fill="CCEEFF" w:val="clear"/>
            <w:vAlign w:val="center"/>
          </w:tcPr>
          <w:p>
            <w:pPr>
              <w:pStyle w:val="TableContents"/>
              <w:bidi w:val="0"/>
              <w:spacing w:before="0" w:after="283"/>
              <w:jc w:val="left"/>
              <w:rPr/>
            </w:pPr>
            <w:r>
              <w:rPr/>
            </w:r>
          </w:p>
        </w:tc>
        <w:tc>
          <w:tcPr>
            <w:tcW w:w="117" w:type="dxa"/>
            <w:tcBorders/>
            <w:shd w:fill="CCEEFF" w:val="clear"/>
            <w:vAlign w:val="center"/>
          </w:tcPr>
          <w:p>
            <w:pPr>
              <w:pStyle w:val="TableContents"/>
              <w:bidi w:val="0"/>
              <w:spacing w:before="0" w:after="283"/>
              <w:jc w:val="left"/>
              <w:rPr/>
            </w:pPr>
            <w:r>
              <w:rPr/>
            </w:r>
          </w:p>
        </w:tc>
      </w:tr>
      <w:tr>
        <w:trPr/>
        <w:tc>
          <w:tcPr>
            <w:tcW w:w="4829" w:type="dxa"/>
            <w:tcBorders/>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Basic weighted average shares outstanding </w:t>
            </w:r>
          </w:p>
        </w:tc>
        <w:tc>
          <w:tcPr>
            <w:tcW w:w="23" w:type="dxa"/>
            <w:tcBorders/>
            <w:vAlign w:val="center"/>
          </w:tcPr>
          <w:p>
            <w:pPr>
              <w:pStyle w:val="TableContents"/>
              <w:bidi w:val="0"/>
              <w:spacing w:before="0" w:after="283"/>
              <w:jc w:val="left"/>
              <w:rPr/>
            </w:pPr>
            <w:r>
              <w:rPr/>
            </w:r>
          </w:p>
        </w:tc>
        <w:tc>
          <w:tcPr>
            <w:tcW w:w="149" w:type="dxa"/>
            <w:tcBorders/>
            <w:vAlign w:val="bottom"/>
          </w:tcPr>
          <w:p>
            <w:pPr>
              <w:pStyle w:val="TableContents"/>
              <w:bidi w:val="0"/>
              <w:spacing w:before="0" w:after="283"/>
              <w:jc w:val="left"/>
              <w:rPr/>
            </w:pPr>
            <w:r>
              <w:rPr/>
            </w:r>
          </w:p>
        </w:tc>
        <w:tc>
          <w:tcPr>
            <w:tcW w:w="1177" w:type="dxa"/>
            <w:tcBorders/>
            <w:vAlign w:val="bottom"/>
          </w:tcPr>
          <w:p>
            <w:pPr>
              <w:pStyle w:val="TableContents"/>
              <w:bidi w:val="0"/>
              <w:spacing w:before="0" w:after="283"/>
              <w:jc w:val="right"/>
              <w:rPr/>
            </w:pPr>
            <w:r>
              <w:rPr/>
              <w:t>2,675,412</w:t>
            </w:r>
          </w:p>
        </w:tc>
        <w:tc>
          <w:tcPr>
            <w:tcW w:w="113" w:type="dxa"/>
            <w:tcBorders/>
            <w:vAlign w:val="bottom"/>
          </w:tcPr>
          <w:p>
            <w:pPr>
              <w:pStyle w:val="TableContents"/>
              <w:bidi w:val="0"/>
              <w:spacing w:before="0" w:after="283"/>
              <w:jc w:val="left"/>
              <w:rPr/>
            </w:pPr>
            <w:r>
              <w:rPr/>
            </w:r>
          </w:p>
        </w:tc>
        <w:tc>
          <w:tcPr>
            <w:tcW w:w="26" w:type="dxa"/>
            <w:tcBorders/>
            <w:vAlign w:val="bottom"/>
          </w:tcPr>
          <w:p>
            <w:pPr>
              <w:pStyle w:val="TableContents"/>
              <w:bidi w:val="0"/>
              <w:spacing w:before="0" w:after="283"/>
              <w:jc w:val="left"/>
              <w:rPr/>
            </w:pPr>
            <w:r>
              <w:rPr/>
            </w:r>
          </w:p>
        </w:tc>
        <w:tc>
          <w:tcPr>
            <w:tcW w:w="149" w:type="dxa"/>
            <w:tcBorders/>
            <w:vAlign w:val="bottom"/>
          </w:tcPr>
          <w:p>
            <w:pPr>
              <w:pStyle w:val="TableContents"/>
              <w:bidi w:val="0"/>
              <w:spacing w:before="0" w:after="283"/>
              <w:jc w:val="left"/>
              <w:rPr/>
            </w:pPr>
            <w:r>
              <w:rPr/>
            </w:r>
          </w:p>
        </w:tc>
        <w:tc>
          <w:tcPr>
            <w:tcW w:w="1177" w:type="dxa"/>
            <w:tcBorders/>
            <w:vAlign w:val="bottom"/>
          </w:tcPr>
          <w:p>
            <w:pPr>
              <w:pStyle w:val="TableContents"/>
              <w:bidi w:val="0"/>
              <w:spacing w:before="0" w:after="283"/>
              <w:jc w:val="right"/>
              <w:rPr/>
            </w:pPr>
            <w:r>
              <w:rPr/>
              <w:t>1,733,307</w:t>
            </w:r>
          </w:p>
        </w:tc>
        <w:tc>
          <w:tcPr>
            <w:tcW w:w="95" w:type="dxa"/>
            <w:tcBorders/>
            <w:vAlign w:val="bottom"/>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4" w:type="dxa"/>
            <w:tcBorders/>
            <w:vAlign w:val="center"/>
          </w:tcPr>
          <w:p>
            <w:pPr>
              <w:pStyle w:val="TableContents"/>
              <w:bidi w:val="0"/>
              <w:spacing w:before="0" w:after="283"/>
              <w:jc w:val="left"/>
              <w:rPr/>
            </w:pPr>
            <w:r>
              <w:rPr/>
            </w:r>
          </w:p>
        </w:tc>
        <w:tc>
          <w:tcPr>
            <w:tcW w:w="980" w:type="dxa"/>
            <w:tcBorders/>
            <w:vAlign w:val="center"/>
          </w:tcPr>
          <w:p>
            <w:pPr>
              <w:pStyle w:val="TableContents"/>
              <w:bidi w:val="0"/>
              <w:spacing w:before="0" w:after="283"/>
              <w:jc w:val="right"/>
              <w:rPr/>
            </w:pPr>
            <w:r>
              <w:rPr/>
              <w:t>2,530,384</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80" w:type="dxa"/>
            <w:tcBorders/>
            <w:vAlign w:val="center"/>
          </w:tcPr>
          <w:p>
            <w:pPr>
              <w:pStyle w:val="TableContents"/>
              <w:bidi w:val="0"/>
              <w:spacing w:before="0" w:after="283"/>
              <w:jc w:val="right"/>
              <w:rPr/>
            </w:pPr>
            <w:r>
              <w:rPr/>
              <w:t>1,691,836</w:t>
            </w:r>
          </w:p>
        </w:tc>
        <w:tc>
          <w:tcPr>
            <w:tcW w:w="117" w:type="dxa"/>
            <w:tcBorders/>
            <w:vAlign w:val="center"/>
          </w:tcPr>
          <w:p>
            <w:pPr>
              <w:pStyle w:val="TableContents"/>
              <w:bidi w:val="0"/>
              <w:spacing w:before="0" w:after="283"/>
              <w:jc w:val="left"/>
              <w:rPr/>
            </w:pPr>
            <w:r>
              <w:rPr/>
            </w:r>
          </w:p>
        </w:tc>
      </w:tr>
      <w:tr>
        <w:trPr/>
        <w:tc>
          <w:tcPr>
            <w:tcW w:w="4829" w:type="dxa"/>
            <w:tcBorders/>
            <w:shd w:fill="CCEEFF" w:val="clear"/>
            <w:vAlign w:val="center"/>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Dilutive common stock equivalents using treasury stock method </w:t>
            </w:r>
          </w:p>
        </w:tc>
        <w:tc>
          <w:tcPr>
            <w:tcW w:w="23" w:type="dxa"/>
            <w:tcBorders/>
            <w:shd w:fill="CCEEFF" w:val="clear"/>
            <w:vAlign w:val="center"/>
          </w:tcPr>
          <w:p>
            <w:pPr>
              <w:pStyle w:val="TableContents"/>
              <w:bidi w:val="0"/>
              <w:spacing w:before="0" w:after="283"/>
              <w:jc w:val="left"/>
              <w:rPr/>
            </w:pPr>
            <w:r>
              <w:rPr/>
            </w:r>
          </w:p>
        </w:tc>
        <w:tc>
          <w:tcPr>
            <w:tcW w:w="149" w:type="dxa"/>
            <w:tcBorders/>
            <w:shd w:fill="CCEEFF" w:val="clear"/>
            <w:vAlign w:val="bottom"/>
          </w:tcPr>
          <w:p>
            <w:pPr>
              <w:pStyle w:val="TableContents"/>
              <w:bidi w:val="0"/>
              <w:spacing w:before="0" w:after="283"/>
              <w:jc w:val="left"/>
              <w:rPr/>
            </w:pPr>
            <w:r>
              <w:rPr/>
            </w:r>
          </w:p>
        </w:tc>
        <w:tc>
          <w:tcPr>
            <w:tcW w:w="1177" w:type="dxa"/>
            <w:tcBorders/>
            <w:shd w:fill="CCEEFF" w:val="clear"/>
            <w:vAlign w:val="bottom"/>
          </w:tcPr>
          <w:p>
            <w:pPr>
              <w:pStyle w:val="TableContents"/>
              <w:bidi w:val="0"/>
              <w:spacing w:before="0" w:after="283"/>
              <w:jc w:val="right"/>
              <w:rPr/>
            </w:pPr>
            <w:r>
              <w:rPr/>
              <w:t>—</w:t>
            </w:r>
          </w:p>
        </w:tc>
        <w:tc>
          <w:tcPr>
            <w:tcW w:w="113" w:type="dxa"/>
            <w:tcBorders/>
            <w:shd w:fill="CCEEFF" w:val="clear"/>
            <w:vAlign w:val="bottom"/>
          </w:tcPr>
          <w:p>
            <w:pPr>
              <w:pStyle w:val="TableContents"/>
              <w:bidi w:val="0"/>
              <w:spacing w:before="0" w:after="283"/>
              <w:jc w:val="left"/>
              <w:rPr/>
            </w:pPr>
            <w:r>
              <w:rPr/>
            </w:r>
          </w:p>
        </w:tc>
        <w:tc>
          <w:tcPr>
            <w:tcW w:w="26" w:type="dxa"/>
            <w:tcBorders/>
            <w:shd w:fill="CCEEFF" w:val="clear"/>
            <w:vAlign w:val="bottom"/>
          </w:tcPr>
          <w:p>
            <w:pPr>
              <w:pStyle w:val="TableContents"/>
              <w:bidi w:val="0"/>
              <w:spacing w:before="0" w:after="283"/>
              <w:jc w:val="left"/>
              <w:rPr/>
            </w:pPr>
            <w:r>
              <w:rPr/>
            </w:r>
          </w:p>
        </w:tc>
        <w:tc>
          <w:tcPr>
            <w:tcW w:w="149" w:type="dxa"/>
            <w:tcBorders/>
            <w:shd w:fill="CCEEFF" w:val="clear"/>
            <w:vAlign w:val="bottom"/>
          </w:tcPr>
          <w:p>
            <w:pPr>
              <w:pStyle w:val="TableContents"/>
              <w:bidi w:val="0"/>
              <w:spacing w:before="0" w:after="283"/>
              <w:jc w:val="left"/>
              <w:rPr/>
            </w:pPr>
            <w:r>
              <w:rPr/>
            </w:r>
          </w:p>
        </w:tc>
        <w:tc>
          <w:tcPr>
            <w:tcW w:w="1177" w:type="dxa"/>
            <w:tcBorders/>
            <w:shd w:fill="CCEEFF" w:val="clear"/>
            <w:vAlign w:val="bottom"/>
          </w:tcPr>
          <w:p>
            <w:pPr>
              <w:pStyle w:val="TableContents"/>
              <w:bidi w:val="0"/>
              <w:spacing w:before="0" w:after="283"/>
              <w:jc w:val="right"/>
              <w:rPr/>
            </w:pPr>
            <w:r>
              <w:rPr/>
              <w:t>—</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4" w:type="dxa"/>
            <w:tcBorders/>
            <w:shd w:fill="CCEEFF" w:val="clear"/>
            <w:vAlign w:val="center"/>
          </w:tcPr>
          <w:p>
            <w:pPr>
              <w:pStyle w:val="TableContents"/>
              <w:bidi w:val="0"/>
              <w:spacing w:before="0" w:after="283"/>
              <w:jc w:val="left"/>
              <w:rPr/>
            </w:pPr>
            <w:r>
              <w:rPr/>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bidi w:val="0"/>
              <w:spacing w:before="0" w:after="283"/>
              <w:jc w:val="left"/>
              <w:rPr/>
            </w:pPr>
            <w:r>
              <w:rPr/>
            </w:r>
          </w:p>
        </w:tc>
        <w:tc>
          <w:tcPr>
            <w:tcW w:w="980" w:type="dxa"/>
            <w:tcBorders/>
            <w:shd w:fill="CCEEFF" w:val="clear"/>
            <w:vAlign w:val="center"/>
          </w:tcPr>
          <w:p>
            <w:pPr>
              <w:pStyle w:val="TableContents"/>
              <w:bidi w:val="0"/>
              <w:spacing w:before="0" w:after="283"/>
              <w:jc w:val="right"/>
              <w:rPr/>
            </w:pPr>
            <w:r>
              <w:rPr/>
              <w:t>—</w:t>
            </w:r>
          </w:p>
        </w:tc>
        <w:tc>
          <w:tcPr>
            <w:tcW w:w="117" w:type="dxa"/>
            <w:tcBorders/>
            <w:shd w:fill="CCEEFF" w:val="clear"/>
            <w:vAlign w:val="center"/>
          </w:tcPr>
          <w:p>
            <w:pPr>
              <w:pStyle w:val="TableContents"/>
              <w:bidi w:val="0"/>
              <w:spacing w:before="0" w:after="283"/>
              <w:jc w:val="left"/>
              <w:rPr/>
            </w:pPr>
            <w:r>
              <w:rPr/>
            </w:r>
          </w:p>
        </w:tc>
      </w:tr>
      <w:tr>
        <w:trPr/>
        <w:tc>
          <w:tcPr>
            <w:tcW w:w="482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weighted average shares outstanding </w:t>
            </w:r>
          </w:p>
        </w:tc>
        <w:tc>
          <w:tcPr>
            <w:tcW w:w="23" w:type="dxa"/>
            <w:tcBorders/>
            <w:vAlign w:val="center"/>
          </w:tcPr>
          <w:p>
            <w:pPr>
              <w:pStyle w:val="TableContents"/>
              <w:bidi w:val="0"/>
              <w:spacing w:before="0" w:after="283"/>
              <w:jc w:val="left"/>
              <w:rPr/>
            </w:pPr>
            <w:r>
              <w:rPr/>
            </w:r>
          </w:p>
        </w:tc>
        <w:tc>
          <w:tcPr>
            <w:tcW w:w="149" w:type="dxa"/>
            <w:tcBorders/>
            <w:vAlign w:val="bottom"/>
          </w:tcPr>
          <w:p>
            <w:pPr>
              <w:pStyle w:val="TableContents"/>
              <w:bidi w:val="0"/>
              <w:spacing w:before="0" w:after="283"/>
              <w:jc w:val="left"/>
              <w:rPr/>
            </w:pPr>
            <w:r>
              <w:rPr/>
            </w:r>
          </w:p>
        </w:tc>
        <w:tc>
          <w:tcPr>
            <w:tcW w:w="1177" w:type="dxa"/>
            <w:tcBorders/>
            <w:vAlign w:val="bottom"/>
          </w:tcPr>
          <w:p>
            <w:pPr>
              <w:pStyle w:val="TableContents"/>
              <w:bidi w:val="0"/>
              <w:spacing w:before="0" w:after="283"/>
              <w:jc w:val="right"/>
              <w:rPr/>
            </w:pPr>
            <w:r>
              <w:rPr/>
              <w:t>2,675,412</w:t>
            </w:r>
          </w:p>
        </w:tc>
        <w:tc>
          <w:tcPr>
            <w:tcW w:w="113" w:type="dxa"/>
            <w:tcBorders/>
            <w:vAlign w:val="bottom"/>
          </w:tcPr>
          <w:p>
            <w:pPr>
              <w:pStyle w:val="TableContents"/>
              <w:bidi w:val="0"/>
              <w:spacing w:before="0" w:after="283"/>
              <w:jc w:val="left"/>
              <w:rPr/>
            </w:pPr>
            <w:r>
              <w:rPr/>
            </w:r>
          </w:p>
        </w:tc>
        <w:tc>
          <w:tcPr>
            <w:tcW w:w="26" w:type="dxa"/>
            <w:tcBorders/>
            <w:vAlign w:val="bottom"/>
          </w:tcPr>
          <w:p>
            <w:pPr>
              <w:pStyle w:val="TableContents"/>
              <w:bidi w:val="0"/>
              <w:spacing w:before="0" w:after="283"/>
              <w:jc w:val="left"/>
              <w:rPr/>
            </w:pPr>
            <w:r>
              <w:rPr/>
            </w:r>
          </w:p>
        </w:tc>
        <w:tc>
          <w:tcPr>
            <w:tcW w:w="149" w:type="dxa"/>
            <w:tcBorders/>
            <w:vAlign w:val="bottom"/>
          </w:tcPr>
          <w:p>
            <w:pPr>
              <w:pStyle w:val="TableContents"/>
              <w:bidi w:val="0"/>
              <w:spacing w:before="0" w:after="283"/>
              <w:jc w:val="left"/>
              <w:rPr/>
            </w:pPr>
            <w:r>
              <w:rPr/>
            </w:r>
          </w:p>
        </w:tc>
        <w:tc>
          <w:tcPr>
            <w:tcW w:w="1177" w:type="dxa"/>
            <w:tcBorders/>
            <w:vAlign w:val="bottom"/>
          </w:tcPr>
          <w:p>
            <w:pPr>
              <w:pStyle w:val="TableContents"/>
              <w:bidi w:val="0"/>
              <w:spacing w:before="0" w:after="283"/>
              <w:jc w:val="right"/>
              <w:rPr/>
            </w:pPr>
            <w:r>
              <w:rPr/>
              <w:t>1,733,307</w:t>
            </w:r>
          </w:p>
        </w:tc>
        <w:tc>
          <w:tcPr>
            <w:tcW w:w="95" w:type="dxa"/>
            <w:tcBorders/>
            <w:vAlign w:val="bottom"/>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4" w:type="dxa"/>
            <w:tcBorders/>
            <w:vAlign w:val="center"/>
          </w:tcPr>
          <w:p>
            <w:pPr>
              <w:pStyle w:val="TableContents"/>
              <w:bidi w:val="0"/>
              <w:spacing w:before="0" w:after="283"/>
              <w:jc w:val="left"/>
              <w:rPr/>
            </w:pPr>
            <w:r>
              <w:rPr/>
            </w:r>
          </w:p>
        </w:tc>
        <w:tc>
          <w:tcPr>
            <w:tcW w:w="980" w:type="dxa"/>
            <w:tcBorders/>
            <w:vAlign w:val="center"/>
          </w:tcPr>
          <w:p>
            <w:pPr>
              <w:pStyle w:val="TableContents"/>
              <w:bidi w:val="0"/>
              <w:spacing w:before="0" w:after="283"/>
              <w:jc w:val="right"/>
              <w:rPr/>
            </w:pPr>
            <w:r>
              <w:rPr/>
              <w:t>2,530,384</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80" w:type="dxa"/>
            <w:tcBorders/>
            <w:vAlign w:val="center"/>
          </w:tcPr>
          <w:p>
            <w:pPr>
              <w:pStyle w:val="TableContents"/>
              <w:bidi w:val="0"/>
              <w:spacing w:before="0" w:after="283"/>
              <w:jc w:val="right"/>
              <w:rPr/>
            </w:pPr>
            <w:r>
              <w:rPr/>
              <w:t>1,691,836</w:t>
            </w:r>
          </w:p>
        </w:tc>
        <w:tc>
          <w:tcPr>
            <w:tcW w:w="117" w:type="dxa"/>
            <w:tcBorders/>
            <w:vAlign w:val="center"/>
          </w:tcPr>
          <w:p>
            <w:pPr>
              <w:pStyle w:val="TableContents"/>
              <w:bidi w:val="0"/>
              <w:spacing w:before="0" w:after="283"/>
              <w:jc w:val="left"/>
              <w:rPr/>
            </w:pPr>
            <w:r>
              <w:rPr/>
            </w:r>
          </w:p>
        </w:tc>
      </w:tr>
      <w:tr>
        <w:trPr/>
        <w:tc>
          <w:tcPr>
            <w:tcW w:w="4829" w:type="dxa"/>
            <w:tcBorders/>
            <w:shd w:fill="CCEEFF" w:val="clear"/>
            <w:vAlign w:val="center"/>
          </w:tcPr>
          <w:p>
            <w:pPr>
              <w:pStyle w:val="TableContents"/>
              <w:bidi w:val="0"/>
              <w:spacing w:before="0" w:after="0"/>
              <w:ind w:left="0" w:right="0" w:hanging="0"/>
              <w:jc w:val="left"/>
              <w:rPr/>
            </w:pPr>
            <w:r>
              <w:rPr/>
              <w:t xml:space="preserve">  </w:t>
            </w:r>
          </w:p>
        </w:tc>
        <w:tc>
          <w:tcPr>
            <w:tcW w:w="23" w:type="dxa"/>
            <w:tcBorders/>
            <w:shd w:fill="CCEEFF" w:val="clear"/>
            <w:vAlign w:val="center"/>
          </w:tcPr>
          <w:p>
            <w:pPr>
              <w:pStyle w:val="TableContents"/>
              <w:bidi w:val="0"/>
              <w:spacing w:before="0" w:after="283"/>
              <w:jc w:val="left"/>
              <w:rPr/>
            </w:pPr>
            <w:r>
              <w:rPr/>
            </w:r>
          </w:p>
        </w:tc>
        <w:tc>
          <w:tcPr>
            <w:tcW w:w="149" w:type="dxa"/>
            <w:tcBorders/>
            <w:shd w:fill="CCEEFF" w:val="clear"/>
            <w:vAlign w:val="bottom"/>
          </w:tcPr>
          <w:p>
            <w:pPr>
              <w:pStyle w:val="TableContents"/>
              <w:bidi w:val="0"/>
              <w:spacing w:before="0" w:after="283"/>
              <w:jc w:val="left"/>
              <w:rPr/>
            </w:pPr>
            <w:r>
              <w:rPr/>
            </w:r>
          </w:p>
        </w:tc>
        <w:tc>
          <w:tcPr>
            <w:tcW w:w="1177" w:type="dxa"/>
            <w:tcBorders/>
            <w:shd w:fill="CCEEFF" w:val="clear"/>
            <w:vAlign w:val="bottom"/>
          </w:tcPr>
          <w:p>
            <w:pPr>
              <w:pStyle w:val="TableContents"/>
              <w:bidi w:val="0"/>
              <w:spacing w:before="0" w:after="283"/>
              <w:jc w:val="left"/>
              <w:rPr/>
            </w:pPr>
            <w:r>
              <w:rPr/>
            </w:r>
          </w:p>
        </w:tc>
        <w:tc>
          <w:tcPr>
            <w:tcW w:w="113" w:type="dxa"/>
            <w:tcBorders/>
            <w:shd w:fill="CCEEFF" w:val="clear"/>
            <w:vAlign w:val="bottom"/>
          </w:tcPr>
          <w:p>
            <w:pPr>
              <w:pStyle w:val="TableContents"/>
              <w:bidi w:val="0"/>
              <w:spacing w:before="0" w:after="283"/>
              <w:jc w:val="left"/>
              <w:rPr/>
            </w:pPr>
            <w:r>
              <w:rPr/>
            </w:r>
          </w:p>
        </w:tc>
        <w:tc>
          <w:tcPr>
            <w:tcW w:w="26" w:type="dxa"/>
            <w:tcBorders/>
            <w:shd w:fill="CCEEFF" w:val="clear"/>
            <w:vAlign w:val="bottom"/>
          </w:tcPr>
          <w:p>
            <w:pPr>
              <w:pStyle w:val="TableContents"/>
              <w:bidi w:val="0"/>
              <w:spacing w:before="0" w:after="283"/>
              <w:jc w:val="left"/>
              <w:rPr/>
            </w:pPr>
            <w:r>
              <w:rPr/>
            </w:r>
          </w:p>
        </w:tc>
        <w:tc>
          <w:tcPr>
            <w:tcW w:w="149" w:type="dxa"/>
            <w:tcBorders/>
            <w:shd w:fill="CCEEFF" w:val="clear"/>
            <w:vAlign w:val="bottom"/>
          </w:tcPr>
          <w:p>
            <w:pPr>
              <w:pStyle w:val="TableContents"/>
              <w:bidi w:val="0"/>
              <w:spacing w:before="0" w:after="283"/>
              <w:jc w:val="left"/>
              <w:rPr/>
            </w:pPr>
            <w:r>
              <w:rPr/>
            </w:r>
          </w:p>
        </w:tc>
        <w:tc>
          <w:tcPr>
            <w:tcW w:w="1177"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4" w:type="dxa"/>
            <w:tcBorders/>
            <w:shd w:fill="CCEEFF" w:val="clear"/>
            <w:vAlign w:val="center"/>
          </w:tcPr>
          <w:p>
            <w:pPr>
              <w:pStyle w:val="TableContents"/>
              <w:bidi w:val="0"/>
              <w:spacing w:before="0" w:after="283"/>
              <w:jc w:val="left"/>
              <w:rPr/>
            </w:pPr>
            <w:r>
              <w:rPr/>
            </w:r>
          </w:p>
        </w:tc>
        <w:tc>
          <w:tcPr>
            <w:tcW w:w="980" w:type="dxa"/>
            <w:tcBorders/>
            <w:shd w:fill="CCEEFF" w:val="clear"/>
            <w:vAlign w:val="center"/>
          </w:tcPr>
          <w:p>
            <w:pPr>
              <w:pStyle w:val="TableContents"/>
              <w:bidi w:val="0"/>
              <w:spacing w:before="0" w:after="283"/>
              <w:jc w:val="left"/>
              <w:rPr/>
            </w:pPr>
            <w:r>
              <w:rPr/>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bidi w:val="0"/>
              <w:spacing w:before="0" w:after="283"/>
              <w:jc w:val="left"/>
              <w:rPr/>
            </w:pPr>
            <w:r>
              <w:rPr/>
            </w:r>
          </w:p>
        </w:tc>
        <w:tc>
          <w:tcPr>
            <w:tcW w:w="980" w:type="dxa"/>
            <w:tcBorders/>
            <w:shd w:fill="CCEEFF" w:val="clear"/>
            <w:vAlign w:val="center"/>
          </w:tcPr>
          <w:p>
            <w:pPr>
              <w:pStyle w:val="TableContents"/>
              <w:bidi w:val="0"/>
              <w:spacing w:before="0" w:after="283"/>
              <w:jc w:val="left"/>
              <w:rPr/>
            </w:pPr>
            <w:r>
              <w:rPr/>
            </w:r>
          </w:p>
        </w:tc>
        <w:tc>
          <w:tcPr>
            <w:tcW w:w="117" w:type="dxa"/>
            <w:tcBorders/>
            <w:shd w:fill="CCEEFF" w:val="clear"/>
            <w:vAlign w:val="center"/>
          </w:tcPr>
          <w:p>
            <w:pPr>
              <w:pStyle w:val="TableContents"/>
              <w:bidi w:val="0"/>
              <w:spacing w:before="0" w:after="283"/>
              <w:jc w:val="left"/>
              <w:rPr/>
            </w:pPr>
            <w:r>
              <w:rPr/>
            </w:r>
          </w:p>
        </w:tc>
      </w:tr>
      <w:tr>
        <w:trPr/>
        <w:tc>
          <w:tcPr>
            <w:tcW w:w="482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Basic income (loss) per share </w:t>
            </w:r>
          </w:p>
        </w:tc>
        <w:tc>
          <w:tcPr>
            <w:tcW w:w="23" w:type="dxa"/>
            <w:tcBorders/>
            <w:vAlign w:val="center"/>
          </w:tcPr>
          <w:p>
            <w:pPr>
              <w:pStyle w:val="TableContents"/>
              <w:bidi w:val="0"/>
              <w:spacing w:before="0" w:after="283"/>
              <w:jc w:val="left"/>
              <w:rPr/>
            </w:pPr>
            <w:r>
              <w:rPr/>
            </w:r>
          </w:p>
        </w:tc>
        <w:tc>
          <w:tcPr>
            <w:tcW w:w="149" w:type="dxa"/>
            <w:tcBorders/>
            <w:vAlign w:val="bottom"/>
          </w:tcPr>
          <w:p>
            <w:pPr>
              <w:pStyle w:val="TableContents"/>
              <w:bidi w:val="0"/>
              <w:spacing w:before="0" w:after="283"/>
              <w:jc w:val="left"/>
              <w:rPr/>
            </w:pPr>
            <w:r>
              <w:rPr/>
            </w:r>
          </w:p>
        </w:tc>
        <w:tc>
          <w:tcPr>
            <w:tcW w:w="1177" w:type="dxa"/>
            <w:tcBorders/>
            <w:vAlign w:val="bottom"/>
          </w:tcPr>
          <w:p>
            <w:pPr>
              <w:pStyle w:val="TableContents"/>
              <w:bidi w:val="0"/>
              <w:spacing w:before="0" w:after="283"/>
              <w:jc w:val="left"/>
              <w:rPr/>
            </w:pPr>
            <w:r>
              <w:rPr/>
            </w:r>
          </w:p>
        </w:tc>
        <w:tc>
          <w:tcPr>
            <w:tcW w:w="113" w:type="dxa"/>
            <w:tcBorders/>
            <w:vAlign w:val="bottom"/>
          </w:tcPr>
          <w:p>
            <w:pPr>
              <w:pStyle w:val="TableContents"/>
              <w:bidi w:val="0"/>
              <w:spacing w:before="0" w:after="283"/>
              <w:jc w:val="left"/>
              <w:rPr/>
            </w:pPr>
            <w:r>
              <w:rPr/>
            </w:r>
          </w:p>
        </w:tc>
        <w:tc>
          <w:tcPr>
            <w:tcW w:w="26" w:type="dxa"/>
            <w:tcBorders/>
            <w:vAlign w:val="bottom"/>
          </w:tcPr>
          <w:p>
            <w:pPr>
              <w:pStyle w:val="TableContents"/>
              <w:bidi w:val="0"/>
              <w:spacing w:before="0" w:after="283"/>
              <w:jc w:val="left"/>
              <w:rPr/>
            </w:pPr>
            <w:r>
              <w:rPr/>
            </w:r>
          </w:p>
        </w:tc>
        <w:tc>
          <w:tcPr>
            <w:tcW w:w="149" w:type="dxa"/>
            <w:tcBorders/>
            <w:vAlign w:val="bottom"/>
          </w:tcPr>
          <w:p>
            <w:pPr>
              <w:pStyle w:val="TableContents"/>
              <w:bidi w:val="0"/>
              <w:spacing w:before="0" w:after="283"/>
              <w:jc w:val="left"/>
              <w:rPr/>
            </w:pPr>
            <w:r>
              <w:rPr/>
            </w:r>
          </w:p>
        </w:tc>
        <w:tc>
          <w:tcPr>
            <w:tcW w:w="1177" w:type="dxa"/>
            <w:tcBorders/>
            <w:vAlign w:val="bottom"/>
          </w:tcPr>
          <w:p>
            <w:pPr>
              <w:pStyle w:val="TableContents"/>
              <w:bidi w:val="0"/>
              <w:spacing w:before="0" w:after="283"/>
              <w:jc w:val="left"/>
              <w:rPr/>
            </w:pPr>
            <w:r>
              <w:rPr/>
            </w:r>
          </w:p>
        </w:tc>
        <w:tc>
          <w:tcPr>
            <w:tcW w:w="95" w:type="dxa"/>
            <w:tcBorders/>
            <w:vAlign w:val="bottom"/>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4" w:type="dxa"/>
            <w:tcBorders/>
            <w:vAlign w:val="center"/>
          </w:tcPr>
          <w:p>
            <w:pPr>
              <w:pStyle w:val="TableContents"/>
              <w:bidi w:val="0"/>
              <w:spacing w:before="0" w:after="283"/>
              <w:jc w:val="left"/>
              <w:rPr/>
            </w:pPr>
            <w:r>
              <w:rPr/>
            </w:r>
          </w:p>
        </w:tc>
        <w:tc>
          <w:tcPr>
            <w:tcW w:w="980" w:type="dxa"/>
            <w:tcBorders/>
            <w:vAlign w:val="center"/>
          </w:tcPr>
          <w:p>
            <w:pPr>
              <w:pStyle w:val="TableContents"/>
              <w:bidi w:val="0"/>
              <w:spacing w:before="0" w:after="283"/>
              <w:jc w:val="left"/>
              <w:rPr/>
            </w:pPr>
            <w:r>
              <w:rPr/>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80" w:type="dxa"/>
            <w:tcBorders/>
            <w:vAlign w:val="center"/>
          </w:tcPr>
          <w:p>
            <w:pPr>
              <w:pStyle w:val="TableContents"/>
              <w:bidi w:val="0"/>
              <w:spacing w:before="0" w:after="283"/>
              <w:jc w:val="left"/>
              <w:rPr/>
            </w:pPr>
            <w:r>
              <w:rPr/>
            </w:r>
          </w:p>
        </w:tc>
        <w:tc>
          <w:tcPr>
            <w:tcW w:w="117" w:type="dxa"/>
            <w:tcBorders/>
            <w:vAlign w:val="center"/>
          </w:tcPr>
          <w:p>
            <w:pPr>
              <w:pStyle w:val="TableContents"/>
              <w:bidi w:val="0"/>
              <w:spacing w:before="0" w:after="283"/>
              <w:jc w:val="left"/>
              <w:rPr/>
            </w:pPr>
            <w:r>
              <w:rPr/>
            </w:r>
          </w:p>
        </w:tc>
      </w:tr>
      <w:tr>
        <w:trPr/>
        <w:tc>
          <w:tcPr>
            <w:tcW w:w="4829" w:type="dxa"/>
            <w:tcBorders/>
            <w:shd w:fill="CCEEFF" w:val="clear"/>
            <w:vAlign w:val="center"/>
          </w:tcPr>
          <w:p>
            <w:pPr>
              <w:pStyle w:val="TableContents"/>
              <w:pBdr/>
              <w:bidi w:val="0"/>
              <w:spacing w:before="0" w:after="0"/>
              <w:ind w:left="0" w:right="0" w:hanging="0"/>
              <w:jc w:val="left"/>
              <w:rPr/>
            </w:pPr>
            <w:r>
              <w:rPr/>
              <w:t>From continuing operations</w:t>
            </w:r>
          </w:p>
        </w:tc>
        <w:tc>
          <w:tcPr>
            <w:tcW w:w="23" w:type="dxa"/>
            <w:tcBorders/>
            <w:shd w:fill="CCEEFF" w:val="clear"/>
            <w:vAlign w:val="center"/>
          </w:tcPr>
          <w:p>
            <w:pPr>
              <w:pStyle w:val="TableContents"/>
              <w:bidi w:val="0"/>
              <w:spacing w:before="0" w:after="283"/>
              <w:jc w:val="left"/>
              <w:rPr/>
            </w:pPr>
            <w:r>
              <w:rPr/>
            </w:r>
          </w:p>
        </w:tc>
        <w:tc>
          <w:tcPr>
            <w:tcW w:w="149"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7" w:type="dxa"/>
            <w:tcBorders/>
            <w:shd w:fill="CCEEFF" w:val="clear"/>
            <w:vAlign w:val="bottom"/>
          </w:tcPr>
          <w:p>
            <w:pPr>
              <w:pStyle w:val="TableContents"/>
              <w:bidi w:val="0"/>
              <w:spacing w:before="0" w:after="283"/>
              <w:jc w:val="right"/>
              <w:rPr/>
            </w:pPr>
            <w:r>
              <w:rPr/>
              <w:t>(0.34</w:t>
            </w:r>
          </w:p>
        </w:tc>
        <w:tc>
          <w:tcPr>
            <w:tcW w:w="113" w:type="dxa"/>
            <w:tcBorders/>
            <w:shd w:fill="CCEEFF" w:val="clear"/>
            <w:vAlign w:val="bottom"/>
          </w:tcPr>
          <w:p>
            <w:pPr>
              <w:pStyle w:val="TableContents"/>
              <w:bidi w:val="0"/>
              <w:spacing w:before="0" w:after="283"/>
              <w:jc w:val="left"/>
              <w:rPr/>
            </w:pPr>
            <w:r>
              <w:rPr/>
              <w:t>)</w:t>
            </w:r>
          </w:p>
        </w:tc>
        <w:tc>
          <w:tcPr>
            <w:tcW w:w="26" w:type="dxa"/>
            <w:tcBorders/>
            <w:shd w:fill="CCEEFF" w:val="clear"/>
            <w:vAlign w:val="bottom"/>
          </w:tcPr>
          <w:p>
            <w:pPr>
              <w:pStyle w:val="TableContents"/>
              <w:bidi w:val="0"/>
              <w:spacing w:before="0" w:after="283"/>
              <w:jc w:val="left"/>
              <w:rPr/>
            </w:pPr>
            <w:r>
              <w:rPr/>
            </w:r>
          </w:p>
        </w:tc>
        <w:tc>
          <w:tcPr>
            <w:tcW w:w="149"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7" w:type="dxa"/>
            <w:tcBorders/>
            <w:shd w:fill="CCEEFF" w:val="clear"/>
            <w:vAlign w:val="bottom"/>
          </w:tcPr>
          <w:p>
            <w:pPr>
              <w:pStyle w:val="TableContents"/>
              <w:bidi w:val="0"/>
              <w:spacing w:before="0" w:after="283"/>
              <w:jc w:val="right"/>
              <w:rPr/>
            </w:pPr>
            <w:r>
              <w:rPr/>
              <w:t>(0.70</w:t>
            </w:r>
          </w:p>
        </w:tc>
        <w:tc>
          <w:tcPr>
            <w:tcW w:w="95" w:type="dxa"/>
            <w:tcBorders/>
            <w:shd w:fill="CCEEFF" w:val="clear"/>
            <w:vAlign w:val="bottom"/>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124"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80" w:type="dxa"/>
            <w:tcBorders/>
            <w:shd w:fill="CCEEFF" w:val="clear"/>
            <w:vAlign w:val="center"/>
          </w:tcPr>
          <w:p>
            <w:pPr>
              <w:pStyle w:val="TableContents"/>
              <w:bidi w:val="0"/>
              <w:spacing w:before="0" w:after="283"/>
              <w:jc w:val="right"/>
              <w:rPr/>
            </w:pPr>
            <w:r>
              <w:rPr/>
              <w:t>(0.70</w:t>
            </w:r>
          </w:p>
        </w:tc>
        <w:tc>
          <w:tcPr>
            <w:tcW w:w="95"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980" w:type="dxa"/>
            <w:tcBorders/>
            <w:shd w:fill="CCEEFF" w:val="clear"/>
            <w:vAlign w:val="center"/>
          </w:tcPr>
          <w:p>
            <w:pPr>
              <w:pStyle w:val="TableContents"/>
              <w:bidi w:val="0"/>
              <w:spacing w:before="0" w:after="283"/>
              <w:jc w:val="right"/>
              <w:rPr/>
            </w:pPr>
            <w:r>
              <w:rPr/>
              <w:t>(1.19</w:t>
            </w:r>
          </w:p>
        </w:tc>
        <w:tc>
          <w:tcPr>
            <w:tcW w:w="117" w:type="dxa"/>
            <w:tcBorders/>
            <w:shd w:fill="CCEEFF" w:val="clear"/>
            <w:vAlign w:val="center"/>
          </w:tcPr>
          <w:p>
            <w:pPr>
              <w:pStyle w:val="TableContents"/>
              <w:bidi w:val="0"/>
              <w:spacing w:before="0" w:after="283"/>
              <w:jc w:val="left"/>
              <w:rPr/>
            </w:pPr>
            <w:r>
              <w:rPr/>
              <w:t>)</w:t>
            </w:r>
          </w:p>
        </w:tc>
      </w:tr>
      <w:tr>
        <w:trPr/>
        <w:tc>
          <w:tcPr>
            <w:tcW w:w="4829" w:type="dxa"/>
            <w:tcBorders/>
            <w:vAlign w:val="center"/>
          </w:tcPr>
          <w:p>
            <w:pPr>
              <w:pStyle w:val="TableContents"/>
              <w:pBdr/>
              <w:bidi w:val="0"/>
              <w:spacing w:before="0" w:after="0"/>
              <w:ind w:left="0" w:right="0" w:hanging="0"/>
              <w:jc w:val="left"/>
              <w:rPr/>
            </w:pPr>
            <w:r>
              <w:rPr/>
              <w:t>From discontinued operations</w:t>
            </w:r>
          </w:p>
        </w:tc>
        <w:tc>
          <w:tcPr>
            <w:tcW w:w="23" w:type="dxa"/>
            <w:tcBorders/>
            <w:vAlign w:val="center"/>
          </w:tcPr>
          <w:p>
            <w:pPr>
              <w:pStyle w:val="TableContents"/>
              <w:bidi w:val="0"/>
              <w:spacing w:before="0" w:after="283"/>
              <w:jc w:val="left"/>
              <w:rPr/>
            </w:pPr>
            <w:r>
              <w:rPr/>
            </w:r>
          </w:p>
        </w:tc>
        <w:tc>
          <w:tcPr>
            <w:tcW w:w="149"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7" w:type="dxa"/>
            <w:tcBorders/>
            <w:vAlign w:val="bottom"/>
          </w:tcPr>
          <w:p>
            <w:pPr>
              <w:pStyle w:val="TableContents"/>
              <w:bidi w:val="0"/>
              <w:spacing w:before="0" w:after="283"/>
              <w:jc w:val="right"/>
              <w:rPr/>
            </w:pPr>
            <w:r>
              <w:rPr/>
              <w:t>0.00</w:t>
            </w:r>
          </w:p>
        </w:tc>
        <w:tc>
          <w:tcPr>
            <w:tcW w:w="113" w:type="dxa"/>
            <w:tcBorders/>
            <w:vAlign w:val="bottom"/>
          </w:tcPr>
          <w:p>
            <w:pPr>
              <w:pStyle w:val="TableContents"/>
              <w:bidi w:val="0"/>
              <w:spacing w:before="0" w:after="283"/>
              <w:jc w:val="left"/>
              <w:rPr>
                <w:sz w:val="4"/>
                <w:szCs w:val="4"/>
              </w:rPr>
            </w:pPr>
            <w:r>
              <w:rPr>
                <w:sz w:val="4"/>
                <w:szCs w:val="4"/>
              </w:rPr>
            </w:r>
          </w:p>
        </w:tc>
        <w:tc>
          <w:tcPr>
            <w:tcW w:w="26" w:type="dxa"/>
            <w:tcBorders/>
            <w:vAlign w:val="bottom"/>
          </w:tcPr>
          <w:p>
            <w:pPr>
              <w:pStyle w:val="TableContents"/>
              <w:bidi w:val="0"/>
              <w:spacing w:before="0" w:after="283"/>
              <w:jc w:val="left"/>
              <w:rPr/>
            </w:pPr>
            <w:r>
              <w:rPr/>
            </w:r>
          </w:p>
        </w:tc>
        <w:tc>
          <w:tcPr>
            <w:tcW w:w="149"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7" w:type="dxa"/>
            <w:tcBorders/>
            <w:vAlign w:val="bottom"/>
          </w:tcPr>
          <w:p>
            <w:pPr>
              <w:pStyle w:val="TableContents"/>
              <w:bidi w:val="0"/>
              <w:spacing w:before="0" w:after="283"/>
              <w:jc w:val="right"/>
              <w:rPr/>
            </w:pPr>
            <w:r>
              <w:rPr/>
              <w:t>(1.94</w:t>
            </w:r>
          </w:p>
        </w:tc>
        <w:tc>
          <w:tcPr>
            <w:tcW w:w="95" w:type="dxa"/>
            <w:tcBorders/>
            <w:vAlign w:val="bottom"/>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124"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80" w:type="dxa"/>
            <w:tcBorders/>
            <w:vAlign w:val="center"/>
          </w:tcPr>
          <w:p>
            <w:pPr>
              <w:pStyle w:val="TableContents"/>
              <w:bidi w:val="0"/>
              <w:spacing w:before="0" w:after="283"/>
              <w:jc w:val="right"/>
              <w:rPr/>
            </w:pPr>
            <w:r>
              <w:rPr/>
              <w:t>0.15</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980" w:type="dxa"/>
            <w:tcBorders/>
            <w:vAlign w:val="center"/>
          </w:tcPr>
          <w:p>
            <w:pPr>
              <w:pStyle w:val="TableContents"/>
              <w:bidi w:val="0"/>
              <w:spacing w:before="0" w:after="283"/>
              <w:jc w:val="right"/>
              <w:rPr/>
            </w:pPr>
            <w:r>
              <w:rPr/>
              <w:t>(3.19</w:t>
            </w:r>
          </w:p>
        </w:tc>
        <w:tc>
          <w:tcPr>
            <w:tcW w:w="117" w:type="dxa"/>
            <w:tcBorders/>
            <w:vAlign w:val="center"/>
          </w:tcPr>
          <w:p>
            <w:pPr>
              <w:pStyle w:val="TableContents"/>
              <w:bidi w:val="0"/>
              <w:spacing w:before="0" w:after="283"/>
              <w:jc w:val="left"/>
              <w:rPr/>
            </w:pPr>
            <w:r>
              <w:rPr/>
              <w:t>)</w:t>
            </w:r>
          </w:p>
        </w:tc>
      </w:tr>
      <w:tr>
        <w:trPr/>
        <w:tc>
          <w:tcPr>
            <w:tcW w:w="4829" w:type="dxa"/>
            <w:tcBorders/>
            <w:shd w:fill="CCEEFF" w:val="clear"/>
            <w:vAlign w:val="center"/>
          </w:tcPr>
          <w:p>
            <w:pPr>
              <w:pStyle w:val="TableContents"/>
              <w:pBdr/>
              <w:bidi w:val="0"/>
              <w:spacing w:before="0" w:after="0"/>
              <w:ind w:left="0" w:right="0" w:hanging="0"/>
              <w:jc w:val="left"/>
              <w:rPr/>
            </w:pPr>
            <w:r>
              <w:rPr/>
              <w:t>Total</w:t>
            </w:r>
          </w:p>
        </w:tc>
        <w:tc>
          <w:tcPr>
            <w:tcW w:w="23" w:type="dxa"/>
            <w:tcBorders/>
            <w:shd w:fill="CCEEFF" w:val="clear"/>
            <w:vAlign w:val="center"/>
          </w:tcPr>
          <w:p>
            <w:pPr>
              <w:pStyle w:val="TableContents"/>
              <w:bidi w:val="0"/>
              <w:spacing w:before="0" w:after="283"/>
              <w:jc w:val="left"/>
              <w:rPr/>
            </w:pPr>
            <w:r>
              <w:rPr/>
            </w:r>
          </w:p>
        </w:tc>
        <w:tc>
          <w:tcPr>
            <w:tcW w:w="149"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7" w:type="dxa"/>
            <w:tcBorders/>
            <w:shd w:fill="CCEEFF" w:val="clear"/>
            <w:vAlign w:val="bottom"/>
          </w:tcPr>
          <w:p>
            <w:pPr>
              <w:pStyle w:val="TableContents"/>
              <w:bidi w:val="0"/>
              <w:spacing w:before="0" w:after="283"/>
              <w:jc w:val="right"/>
              <w:rPr/>
            </w:pPr>
            <w:r>
              <w:rPr/>
              <w:t>(0.34</w:t>
            </w:r>
          </w:p>
        </w:tc>
        <w:tc>
          <w:tcPr>
            <w:tcW w:w="113" w:type="dxa"/>
            <w:tcBorders/>
            <w:shd w:fill="CCEEFF" w:val="clear"/>
            <w:vAlign w:val="bottom"/>
          </w:tcPr>
          <w:p>
            <w:pPr>
              <w:pStyle w:val="TableContents"/>
              <w:bidi w:val="0"/>
              <w:spacing w:before="0" w:after="283"/>
              <w:jc w:val="left"/>
              <w:rPr/>
            </w:pPr>
            <w:r>
              <w:rPr/>
              <w:t>)</w:t>
            </w:r>
          </w:p>
        </w:tc>
        <w:tc>
          <w:tcPr>
            <w:tcW w:w="26" w:type="dxa"/>
            <w:tcBorders/>
            <w:shd w:fill="CCEEFF" w:val="clear"/>
            <w:vAlign w:val="bottom"/>
          </w:tcPr>
          <w:p>
            <w:pPr>
              <w:pStyle w:val="TableContents"/>
              <w:bidi w:val="0"/>
              <w:spacing w:before="0" w:after="283"/>
              <w:jc w:val="left"/>
              <w:rPr/>
            </w:pPr>
            <w:r>
              <w:rPr/>
            </w:r>
          </w:p>
        </w:tc>
        <w:tc>
          <w:tcPr>
            <w:tcW w:w="149"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7" w:type="dxa"/>
            <w:tcBorders/>
            <w:shd w:fill="CCEEFF" w:val="clear"/>
            <w:vAlign w:val="bottom"/>
          </w:tcPr>
          <w:p>
            <w:pPr>
              <w:pStyle w:val="TableContents"/>
              <w:bidi w:val="0"/>
              <w:spacing w:before="0" w:after="283"/>
              <w:jc w:val="right"/>
              <w:rPr/>
            </w:pPr>
            <w:r>
              <w:rPr/>
              <w:t>(2.64</w:t>
            </w:r>
          </w:p>
        </w:tc>
        <w:tc>
          <w:tcPr>
            <w:tcW w:w="95" w:type="dxa"/>
            <w:tcBorders/>
            <w:shd w:fill="CCEEFF" w:val="clear"/>
            <w:vAlign w:val="bottom"/>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124"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80" w:type="dxa"/>
            <w:tcBorders/>
            <w:shd w:fill="CCEEFF" w:val="clear"/>
            <w:vAlign w:val="center"/>
          </w:tcPr>
          <w:p>
            <w:pPr>
              <w:pStyle w:val="TableContents"/>
              <w:bidi w:val="0"/>
              <w:spacing w:before="0" w:after="283"/>
              <w:jc w:val="right"/>
              <w:rPr/>
            </w:pPr>
            <w:r>
              <w:rPr/>
              <w:t>(0.55</w:t>
            </w:r>
          </w:p>
        </w:tc>
        <w:tc>
          <w:tcPr>
            <w:tcW w:w="95" w:type="dxa"/>
            <w:tcBorders/>
            <w:shd w:fill="CCEEFF" w:val="clear"/>
            <w:vAlign w:val="center"/>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980" w:type="dxa"/>
            <w:tcBorders/>
            <w:shd w:fill="CCEEFF" w:val="clear"/>
            <w:vAlign w:val="center"/>
          </w:tcPr>
          <w:p>
            <w:pPr>
              <w:pStyle w:val="TableContents"/>
              <w:bidi w:val="0"/>
              <w:spacing w:before="0" w:after="283"/>
              <w:jc w:val="right"/>
              <w:rPr/>
            </w:pPr>
            <w:r>
              <w:rPr/>
              <w:t>(4.38</w:t>
            </w:r>
          </w:p>
        </w:tc>
        <w:tc>
          <w:tcPr>
            <w:tcW w:w="117" w:type="dxa"/>
            <w:tcBorders/>
            <w:shd w:fill="CCEEFF" w:val="clear"/>
            <w:vAlign w:val="center"/>
          </w:tcPr>
          <w:p>
            <w:pPr>
              <w:pStyle w:val="TableContents"/>
              <w:bidi w:val="0"/>
              <w:spacing w:before="0" w:after="283"/>
              <w:jc w:val="left"/>
              <w:rPr/>
            </w:pPr>
            <w:r>
              <w:rPr/>
              <w:t>)</w:t>
            </w:r>
          </w:p>
        </w:tc>
      </w:tr>
      <w:tr>
        <w:trPr/>
        <w:tc>
          <w:tcPr>
            <w:tcW w:w="4829"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49" w:type="dxa"/>
            <w:tcBorders/>
            <w:vAlign w:val="bottom"/>
          </w:tcPr>
          <w:p>
            <w:pPr>
              <w:pStyle w:val="TableContents"/>
              <w:bidi w:val="0"/>
              <w:spacing w:before="0" w:after="283"/>
              <w:jc w:val="left"/>
              <w:rPr/>
            </w:pPr>
            <w:r>
              <w:rPr/>
            </w:r>
          </w:p>
        </w:tc>
        <w:tc>
          <w:tcPr>
            <w:tcW w:w="1177" w:type="dxa"/>
            <w:tcBorders/>
            <w:vAlign w:val="bottom"/>
          </w:tcPr>
          <w:p>
            <w:pPr>
              <w:pStyle w:val="TableContents"/>
              <w:bidi w:val="0"/>
              <w:spacing w:before="0" w:after="283"/>
              <w:jc w:val="left"/>
              <w:rPr/>
            </w:pPr>
            <w:r>
              <w:rPr/>
            </w:r>
          </w:p>
        </w:tc>
        <w:tc>
          <w:tcPr>
            <w:tcW w:w="113" w:type="dxa"/>
            <w:tcBorders/>
            <w:vAlign w:val="bottom"/>
          </w:tcPr>
          <w:p>
            <w:pPr>
              <w:pStyle w:val="TableContents"/>
              <w:bidi w:val="0"/>
              <w:spacing w:before="0" w:after="283"/>
              <w:jc w:val="left"/>
              <w:rPr/>
            </w:pPr>
            <w:r>
              <w:rPr/>
            </w:r>
          </w:p>
        </w:tc>
        <w:tc>
          <w:tcPr>
            <w:tcW w:w="26" w:type="dxa"/>
            <w:tcBorders/>
            <w:vAlign w:val="bottom"/>
          </w:tcPr>
          <w:p>
            <w:pPr>
              <w:pStyle w:val="TableContents"/>
              <w:bidi w:val="0"/>
              <w:spacing w:before="0" w:after="283"/>
              <w:jc w:val="left"/>
              <w:rPr/>
            </w:pPr>
            <w:r>
              <w:rPr/>
            </w:r>
          </w:p>
        </w:tc>
        <w:tc>
          <w:tcPr>
            <w:tcW w:w="149" w:type="dxa"/>
            <w:tcBorders/>
            <w:vAlign w:val="bottom"/>
          </w:tcPr>
          <w:p>
            <w:pPr>
              <w:pStyle w:val="TableContents"/>
              <w:bidi w:val="0"/>
              <w:spacing w:before="0" w:after="283"/>
              <w:jc w:val="left"/>
              <w:rPr/>
            </w:pPr>
            <w:r>
              <w:rPr/>
            </w:r>
          </w:p>
        </w:tc>
        <w:tc>
          <w:tcPr>
            <w:tcW w:w="1177" w:type="dxa"/>
            <w:tcBorders/>
            <w:vAlign w:val="bottom"/>
          </w:tcPr>
          <w:p>
            <w:pPr>
              <w:pStyle w:val="TableContents"/>
              <w:bidi w:val="0"/>
              <w:spacing w:before="0" w:after="283"/>
              <w:jc w:val="left"/>
              <w:rPr/>
            </w:pPr>
            <w:r>
              <w:rPr/>
            </w:r>
          </w:p>
        </w:tc>
        <w:tc>
          <w:tcPr>
            <w:tcW w:w="95" w:type="dxa"/>
            <w:tcBorders/>
            <w:vAlign w:val="bottom"/>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4" w:type="dxa"/>
            <w:tcBorders/>
            <w:vAlign w:val="center"/>
          </w:tcPr>
          <w:p>
            <w:pPr>
              <w:pStyle w:val="TableContents"/>
              <w:bidi w:val="0"/>
              <w:spacing w:before="0" w:after="283"/>
              <w:jc w:val="left"/>
              <w:rPr/>
            </w:pPr>
            <w:r>
              <w:rPr/>
            </w:r>
          </w:p>
        </w:tc>
        <w:tc>
          <w:tcPr>
            <w:tcW w:w="980" w:type="dxa"/>
            <w:tcBorders/>
            <w:vAlign w:val="center"/>
          </w:tcPr>
          <w:p>
            <w:pPr>
              <w:pStyle w:val="TableContents"/>
              <w:bidi w:val="0"/>
              <w:spacing w:before="0" w:after="283"/>
              <w:jc w:val="left"/>
              <w:rPr/>
            </w:pPr>
            <w:r>
              <w:rPr/>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80" w:type="dxa"/>
            <w:tcBorders/>
            <w:vAlign w:val="center"/>
          </w:tcPr>
          <w:p>
            <w:pPr>
              <w:pStyle w:val="TableContents"/>
              <w:bidi w:val="0"/>
              <w:spacing w:before="0" w:after="283"/>
              <w:jc w:val="left"/>
              <w:rPr/>
            </w:pPr>
            <w:r>
              <w:rPr/>
            </w:r>
          </w:p>
        </w:tc>
        <w:tc>
          <w:tcPr>
            <w:tcW w:w="117" w:type="dxa"/>
            <w:tcBorders/>
            <w:vAlign w:val="center"/>
          </w:tcPr>
          <w:p>
            <w:pPr>
              <w:pStyle w:val="TableContents"/>
              <w:bidi w:val="0"/>
              <w:spacing w:before="0" w:after="283"/>
              <w:jc w:val="left"/>
              <w:rPr/>
            </w:pPr>
            <w:r>
              <w:rPr/>
            </w:r>
          </w:p>
        </w:tc>
      </w:tr>
      <w:tr>
        <w:trPr/>
        <w:tc>
          <w:tcPr>
            <w:tcW w:w="482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Diluted income (loss) per share </w:t>
            </w:r>
          </w:p>
        </w:tc>
        <w:tc>
          <w:tcPr>
            <w:tcW w:w="23" w:type="dxa"/>
            <w:tcBorders/>
            <w:shd w:fill="CCEEFF" w:val="clear"/>
            <w:vAlign w:val="center"/>
          </w:tcPr>
          <w:p>
            <w:pPr>
              <w:pStyle w:val="TableContents"/>
              <w:bidi w:val="0"/>
              <w:spacing w:before="0" w:after="283"/>
              <w:jc w:val="left"/>
              <w:rPr/>
            </w:pPr>
            <w:r>
              <w:rPr/>
            </w:r>
          </w:p>
        </w:tc>
        <w:tc>
          <w:tcPr>
            <w:tcW w:w="149" w:type="dxa"/>
            <w:tcBorders/>
            <w:shd w:fill="CCEEFF" w:val="clear"/>
            <w:vAlign w:val="bottom"/>
          </w:tcPr>
          <w:p>
            <w:pPr>
              <w:pStyle w:val="TableContents"/>
              <w:bidi w:val="0"/>
              <w:spacing w:before="0" w:after="283"/>
              <w:jc w:val="left"/>
              <w:rPr/>
            </w:pPr>
            <w:r>
              <w:rPr/>
            </w:r>
          </w:p>
        </w:tc>
        <w:tc>
          <w:tcPr>
            <w:tcW w:w="1177" w:type="dxa"/>
            <w:tcBorders/>
            <w:shd w:fill="CCEEFF" w:val="clear"/>
            <w:vAlign w:val="bottom"/>
          </w:tcPr>
          <w:p>
            <w:pPr>
              <w:pStyle w:val="TableContents"/>
              <w:bidi w:val="0"/>
              <w:spacing w:before="0" w:after="283"/>
              <w:jc w:val="left"/>
              <w:rPr/>
            </w:pPr>
            <w:r>
              <w:rPr/>
            </w:r>
          </w:p>
        </w:tc>
        <w:tc>
          <w:tcPr>
            <w:tcW w:w="113" w:type="dxa"/>
            <w:tcBorders/>
            <w:shd w:fill="CCEEFF" w:val="clear"/>
            <w:vAlign w:val="bottom"/>
          </w:tcPr>
          <w:p>
            <w:pPr>
              <w:pStyle w:val="TableContents"/>
              <w:bidi w:val="0"/>
              <w:spacing w:before="0" w:after="283"/>
              <w:jc w:val="left"/>
              <w:rPr/>
            </w:pPr>
            <w:r>
              <w:rPr/>
            </w:r>
          </w:p>
        </w:tc>
        <w:tc>
          <w:tcPr>
            <w:tcW w:w="26" w:type="dxa"/>
            <w:tcBorders/>
            <w:shd w:fill="CCEEFF" w:val="clear"/>
            <w:vAlign w:val="bottom"/>
          </w:tcPr>
          <w:p>
            <w:pPr>
              <w:pStyle w:val="TableContents"/>
              <w:bidi w:val="0"/>
              <w:spacing w:before="0" w:after="283"/>
              <w:jc w:val="left"/>
              <w:rPr/>
            </w:pPr>
            <w:r>
              <w:rPr/>
            </w:r>
          </w:p>
        </w:tc>
        <w:tc>
          <w:tcPr>
            <w:tcW w:w="149" w:type="dxa"/>
            <w:tcBorders/>
            <w:shd w:fill="CCEEFF" w:val="clear"/>
            <w:vAlign w:val="bottom"/>
          </w:tcPr>
          <w:p>
            <w:pPr>
              <w:pStyle w:val="TableContents"/>
              <w:bidi w:val="0"/>
              <w:spacing w:before="0" w:after="283"/>
              <w:jc w:val="left"/>
              <w:rPr/>
            </w:pPr>
            <w:r>
              <w:rPr/>
            </w:r>
          </w:p>
        </w:tc>
        <w:tc>
          <w:tcPr>
            <w:tcW w:w="1177"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4" w:type="dxa"/>
            <w:tcBorders/>
            <w:shd w:fill="CCEEFF" w:val="clear"/>
            <w:vAlign w:val="center"/>
          </w:tcPr>
          <w:p>
            <w:pPr>
              <w:pStyle w:val="TableContents"/>
              <w:bidi w:val="0"/>
              <w:spacing w:before="0" w:after="283"/>
              <w:jc w:val="left"/>
              <w:rPr/>
            </w:pPr>
            <w:r>
              <w:rPr/>
            </w:r>
          </w:p>
        </w:tc>
        <w:tc>
          <w:tcPr>
            <w:tcW w:w="980" w:type="dxa"/>
            <w:tcBorders/>
            <w:shd w:fill="CCEEFF" w:val="clear"/>
            <w:vAlign w:val="center"/>
          </w:tcPr>
          <w:p>
            <w:pPr>
              <w:pStyle w:val="TableContents"/>
              <w:bidi w:val="0"/>
              <w:spacing w:before="0" w:after="283"/>
              <w:jc w:val="left"/>
              <w:rPr/>
            </w:pPr>
            <w:r>
              <w:rPr/>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bidi w:val="0"/>
              <w:spacing w:before="0" w:after="283"/>
              <w:jc w:val="left"/>
              <w:rPr/>
            </w:pPr>
            <w:r>
              <w:rPr/>
            </w:r>
          </w:p>
        </w:tc>
        <w:tc>
          <w:tcPr>
            <w:tcW w:w="980" w:type="dxa"/>
            <w:tcBorders/>
            <w:shd w:fill="CCEEFF" w:val="clear"/>
            <w:vAlign w:val="center"/>
          </w:tcPr>
          <w:p>
            <w:pPr>
              <w:pStyle w:val="TableContents"/>
              <w:bidi w:val="0"/>
              <w:spacing w:before="0" w:after="283"/>
              <w:jc w:val="left"/>
              <w:rPr/>
            </w:pPr>
            <w:r>
              <w:rPr/>
            </w:r>
          </w:p>
        </w:tc>
        <w:tc>
          <w:tcPr>
            <w:tcW w:w="117" w:type="dxa"/>
            <w:tcBorders/>
            <w:shd w:fill="CCEEFF" w:val="clear"/>
            <w:vAlign w:val="center"/>
          </w:tcPr>
          <w:p>
            <w:pPr>
              <w:pStyle w:val="TableContents"/>
              <w:bidi w:val="0"/>
              <w:spacing w:before="0" w:after="283"/>
              <w:jc w:val="left"/>
              <w:rPr/>
            </w:pPr>
            <w:r>
              <w:rPr/>
            </w:r>
          </w:p>
        </w:tc>
      </w:tr>
      <w:tr>
        <w:trPr/>
        <w:tc>
          <w:tcPr>
            <w:tcW w:w="4829" w:type="dxa"/>
            <w:tcBorders/>
            <w:vAlign w:val="center"/>
          </w:tcPr>
          <w:p>
            <w:pPr>
              <w:pStyle w:val="TableContents"/>
              <w:pBdr/>
              <w:bidi w:val="0"/>
              <w:spacing w:before="0" w:after="0"/>
              <w:ind w:left="0" w:right="0" w:hanging="0"/>
              <w:jc w:val="left"/>
              <w:rPr/>
            </w:pPr>
            <w:r>
              <w:rPr/>
              <w:t>From continuing operations</w:t>
            </w:r>
          </w:p>
        </w:tc>
        <w:tc>
          <w:tcPr>
            <w:tcW w:w="23" w:type="dxa"/>
            <w:tcBorders/>
            <w:vAlign w:val="center"/>
          </w:tcPr>
          <w:p>
            <w:pPr>
              <w:pStyle w:val="TableContents"/>
              <w:bidi w:val="0"/>
              <w:spacing w:before="0" w:after="283"/>
              <w:jc w:val="left"/>
              <w:rPr/>
            </w:pPr>
            <w:r>
              <w:rPr/>
            </w:r>
          </w:p>
        </w:tc>
        <w:tc>
          <w:tcPr>
            <w:tcW w:w="149"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7" w:type="dxa"/>
            <w:tcBorders/>
            <w:vAlign w:val="bottom"/>
          </w:tcPr>
          <w:p>
            <w:pPr>
              <w:pStyle w:val="TableContents"/>
              <w:bidi w:val="0"/>
              <w:spacing w:before="0" w:after="283"/>
              <w:jc w:val="right"/>
              <w:rPr/>
            </w:pPr>
            <w:r>
              <w:rPr/>
              <w:t>(0.34</w:t>
            </w:r>
          </w:p>
        </w:tc>
        <w:tc>
          <w:tcPr>
            <w:tcW w:w="113" w:type="dxa"/>
            <w:tcBorders/>
            <w:vAlign w:val="bottom"/>
          </w:tcPr>
          <w:p>
            <w:pPr>
              <w:pStyle w:val="TableContents"/>
              <w:bidi w:val="0"/>
              <w:spacing w:before="0" w:after="283"/>
              <w:jc w:val="left"/>
              <w:rPr/>
            </w:pPr>
            <w:r>
              <w:rPr/>
              <w:t>)</w:t>
            </w:r>
          </w:p>
        </w:tc>
        <w:tc>
          <w:tcPr>
            <w:tcW w:w="26" w:type="dxa"/>
            <w:tcBorders/>
            <w:vAlign w:val="bottom"/>
          </w:tcPr>
          <w:p>
            <w:pPr>
              <w:pStyle w:val="TableContents"/>
              <w:bidi w:val="0"/>
              <w:spacing w:before="0" w:after="283"/>
              <w:jc w:val="left"/>
              <w:rPr/>
            </w:pPr>
            <w:r>
              <w:rPr/>
            </w:r>
          </w:p>
        </w:tc>
        <w:tc>
          <w:tcPr>
            <w:tcW w:w="149"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7" w:type="dxa"/>
            <w:tcBorders/>
            <w:vAlign w:val="bottom"/>
          </w:tcPr>
          <w:p>
            <w:pPr>
              <w:pStyle w:val="TableContents"/>
              <w:bidi w:val="0"/>
              <w:spacing w:before="0" w:after="283"/>
              <w:jc w:val="right"/>
              <w:rPr/>
            </w:pPr>
            <w:r>
              <w:rPr/>
              <w:t>(0.70</w:t>
            </w:r>
          </w:p>
        </w:tc>
        <w:tc>
          <w:tcPr>
            <w:tcW w:w="95" w:type="dxa"/>
            <w:tcBorders/>
            <w:vAlign w:val="bottom"/>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124"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80" w:type="dxa"/>
            <w:tcBorders/>
            <w:vAlign w:val="center"/>
          </w:tcPr>
          <w:p>
            <w:pPr>
              <w:pStyle w:val="TableContents"/>
              <w:bidi w:val="0"/>
              <w:spacing w:before="0" w:after="283"/>
              <w:jc w:val="right"/>
              <w:rPr/>
            </w:pPr>
            <w:r>
              <w:rPr/>
              <w:t>(0.70</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980" w:type="dxa"/>
            <w:tcBorders/>
            <w:vAlign w:val="center"/>
          </w:tcPr>
          <w:p>
            <w:pPr>
              <w:pStyle w:val="TableContents"/>
              <w:bidi w:val="0"/>
              <w:spacing w:before="0" w:after="283"/>
              <w:jc w:val="right"/>
              <w:rPr/>
            </w:pPr>
            <w:r>
              <w:rPr/>
              <w:t>(1.19</w:t>
            </w:r>
          </w:p>
        </w:tc>
        <w:tc>
          <w:tcPr>
            <w:tcW w:w="117" w:type="dxa"/>
            <w:tcBorders/>
            <w:vAlign w:val="center"/>
          </w:tcPr>
          <w:p>
            <w:pPr>
              <w:pStyle w:val="TableContents"/>
              <w:bidi w:val="0"/>
              <w:spacing w:before="0" w:after="283"/>
              <w:jc w:val="left"/>
              <w:rPr/>
            </w:pPr>
            <w:r>
              <w:rPr/>
              <w:t>)</w:t>
            </w:r>
          </w:p>
        </w:tc>
      </w:tr>
      <w:tr>
        <w:trPr/>
        <w:tc>
          <w:tcPr>
            <w:tcW w:w="4829" w:type="dxa"/>
            <w:tcBorders/>
            <w:shd w:fill="CCEEFF" w:val="clear"/>
            <w:vAlign w:val="center"/>
          </w:tcPr>
          <w:p>
            <w:pPr>
              <w:pStyle w:val="TableContents"/>
              <w:pBdr/>
              <w:bidi w:val="0"/>
              <w:spacing w:before="0" w:after="0"/>
              <w:ind w:left="0" w:right="0" w:hanging="0"/>
              <w:jc w:val="left"/>
              <w:rPr/>
            </w:pPr>
            <w:r>
              <w:rPr/>
              <w:t>From discontinued operations</w:t>
            </w:r>
          </w:p>
        </w:tc>
        <w:tc>
          <w:tcPr>
            <w:tcW w:w="23" w:type="dxa"/>
            <w:tcBorders/>
            <w:shd w:fill="CCEEFF" w:val="clear"/>
            <w:vAlign w:val="center"/>
          </w:tcPr>
          <w:p>
            <w:pPr>
              <w:pStyle w:val="TableContents"/>
              <w:bidi w:val="0"/>
              <w:spacing w:before="0" w:after="283"/>
              <w:jc w:val="left"/>
              <w:rPr/>
            </w:pPr>
            <w:r>
              <w:rPr/>
            </w:r>
          </w:p>
        </w:tc>
        <w:tc>
          <w:tcPr>
            <w:tcW w:w="149"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7" w:type="dxa"/>
            <w:tcBorders/>
            <w:shd w:fill="CCEEFF" w:val="clear"/>
            <w:vAlign w:val="bottom"/>
          </w:tcPr>
          <w:p>
            <w:pPr>
              <w:pStyle w:val="TableContents"/>
              <w:bidi w:val="0"/>
              <w:spacing w:before="0" w:after="283"/>
              <w:jc w:val="right"/>
              <w:rPr/>
            </w:pPr>
            <w:r>
              <w:rPr/>
              <w:t>0.00</w:t>
            </w:r>
          </w:p>
        </w:tc>
        <w:tc>
          <w:tcPr>
            <w:tcW w:w="113" w:type="dxa"/>
            <w:tcBorders/>
            <w:shd w:fill="CCEEFF" w:val="clear"/>
            <w:vAlign w:val="bottom"/>
          </w:tcPr>
          <w:p>
            <w:pPr>
              <w:pStyle w:val="TableContents"/>
              <w:bidi w:val="0"/>
              <w:spacing w:before="0" w:after="283"/>
              <w:jc w:val="left"/>
              <w:rPr>
                <w:sz w:val="4"/>
                <w:szCs w:val="4"/>
              </w:rPr>
            </w:pPr>
            <w:r>
              <w:rPr>
                <w:sz w:val="4"/>
                <w:szCs w:val="4"/>
              </w:rPr>
            </w:r>
          </w:p>
        </w:tc>
        <w:tc>
          <w:tcPr>
            <w:tcW w:w="26" w:type="dxa"/>
            <w:tcBorders/>
            <w:shd w:fill="CCEEFF" w:val="clear"/>
            <w:vAlign w:val="bottom"/>
          </w:tcPr>
          <w:p>
            <w:pPr>
              <w:pStyle w:val="TableContents"/>
              <w:bidi w:val="0"/>
              <w:spacing w:before="0" w:after="283"/>
              <w:jc w:val="left"/>
              <w:rPr/>
            </w:pPr>
            <w:r>
              <w:rPr/>
            </w:r>
          </w:p>
        </w:tc>
        <w:tc>
          <w:tcPr>
            <w:tcW w:w="149"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7" w:type="dxa"/>
            <w:tcBorders/>
            <w:shd w:fill="CCEEFF" w:val="clear"/>
            <w:vAlign w:val="bottom"/>
          </w:tcPr>
          <w:p>
            <w:pPr>
              <w:pStyle w:val="TableContents"/>
              <w:bidi w:val="0"/>
              <w:spacing w:before="0" w:after="283"/>
              <w:jc w:val="right"/>
              <w:rPr/>
            </w:pPr>
            <w:r>
              <w:rPr/>
              <w:t>(1.94</w:t>
            </w:r>
          </w:p>
        </w:tc>
        <w:tc>
          <w:tcPr>
            <w:tcW w:w="95" w:type="dxa"/>
            <w:tcBorders/>
            <w:shd w:fill="CCEEFF" w:val="clear"/>
            <w:vAlign w:val="bottom"/>
          </w:tcPr>
          <w:p>
            <w:pPr>
              <w:pStyle w:val="TableContents"/>
              <w:bidi w:val="0"/>
              <w:spacing w:before="0" w:after="283"/>
              <w:jc w:val="left"/>
              <w:rPr/>
            </w:pPr>
            <w:r>
              <w:rPr/>
              <w:t>)</w:t>
            </w:r>
          </w:p>
        </w:tc>
        <w:tc>
          <w:tcPr>
            <w:tcW w:w="23" w:type="dxa"/>
            <w:tcBorders/>
            <w:shd w:fill="CCEEFF" w:val="clear"/>
            <w:vAlign w:val="center"/>
          </w:tcPr>
          <w:p>
            <w:pPr>
              <w:pStyle w:val="TableContents"/>
              <w:bidi w:val="0"/>
              <w:spacing w:before="0" w:after="283"/>
              <w:jc w:val="left"/>
              <w:rPr/>
            </w:pPr>
            <w:r>
              <w:rPr/>
            </w:r>
          </w:p>
        </w:tc>
        <w:tc>
          <w:tcPr>
            <w:tcW w:w="124" w:type="dxa"/>
            <w:tcBorders/>
            <w:shd w:fill="CCEEFF" w:val="clear"/>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80" w:type="dxa"/>
            <w:tcBorders/>
            <w:shd w:fill="CCEEFF" w:val="clear"/>
            <w:vAlign w:val="center"/>
          </w:tcPr>
          <w:p>
            <w:pPr>
              <w:pStyle w:val="TableContents"/>
              <w:bidi w:val="0"/>
              <w:spacing w:before="0" w:after="283"/>
              <w:jc w:val="right"/>
              <w:rPr/>
            </w:pPr>
            <w:r>
              <w:rPr/>
              <w:t>0.15</w:t>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980" w:type="dxa"/>
            <w:tcBorders/>
            <w:shd w:fill="CCEEFF" w:val="clear"/>
            <w:vAlign w:val="center"/>
          </w:tcPr>
          <w:p>
            <w:pPr>
              <w:pStyle w:val="TableContents"/>
              <w:bidi w:val="0"/>
              <w:spacing w:before="0" w:after="283"/>
              <w:jc w:val="right"/>
              <w:rPr/>
            </w:pPr>
            <w:r>
              <w:rPr/>
              <w:t>(3.19</w:t>
            </w:r>
          </w:p>
        </w:tc>
        <w:tc>
          <w:tcPr>
            <w:tcW w:w="117" w:type="dxa"/>
            <w:tcBorders/>
            <w:shd w:fill="CCEEFF" w:val="clear"/>
            <w:vAlign w:val="center"/>
          </w:tcPr>
          <w:p>
            <w:pPr>
              <w:pStyle w:val="TableContents"/>
              <w:bidi w:val="0"/>
              <w:spacing w:before="0" w:after="283"/>
              <w:jc w:val="left"/>
              <w:rPr/>
            </w:pPr>
            <w:r>
              <w:rPr/>
              <w:t>)</w:t>
            </w:r>
          </w:p>
        </w:tc>
      </w:tr>
      <w:tr>
        <w:trPr/>
        <w:tc>
          <w:tcPr>
            <w:tcW w:w="4829" w:type="dxa"/>
            <w:tcBorders/>
            <w:vAlign w:val="center"/>
          </w:tcPr>
          <w:p>
            <w:pPr>
              <w:pStyle w:val="TableContents"/>
              <w:pBdr/>
              <w:bidi w:val="0"/>
              <w:spacing w:before="0" w:after="0"/>
              <w:ind w:left="0" w:right="0" w:hanging="0"/>
              <w:jc w:val="left"/>
              <w:rPr/>
            </w:pPr>
            <w:r>
              <w:rPr/>
              <w:t>Total</w:t>
            </w:r>
          </w:p>
        </w:tc>
        <w:tc>
          <w:tcPr>
            <w:tcW w:w="23" w:type="dxa"/>
            <w:tcBorders/>
            <w:vAlign w:val="center"/>
          </w:tcPr>
          <w:p>
            <w:pPr>
              <w:pStyle w:val="TableContents"/>
              <w:bidi w:val="0"/>
              <w:spacing w:before="0" w:after="283"/>
              <w:jc w:val="left"/>
              <w:rPr/>
            </w:pPr>
            <w:r>
              <w:rPr/>
            </w:r>
          </w:p>
        </w:tc>
        <w:tc>
          <w:tcPr>
            <w:tcW w:w="149"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7" w:type="dxa"/>
            <w:tcBorders/>
            <w:vAlign w:val="bottom"/>
          </w:tcPr>
          <w:p>
            <w:pPr>
              <w:pStyle w:val="TableContents"/>
              <w:bidi w:val="0"/>
              <w:spacing w:before="0" w:after="283"/>
              <w:jc w:val="right"/>
              <w:rPr/>
            </w:pPr>
            <w:r>
              <w:rPr/>
              <w:t>(0.34</w:t>
            </w:r>
          </w:p>
        </w:tc>
        <w:tc>
          <w:tcPr>
            <w:tcW w:w="113" w:type="dxa"/>
            <w:tcBorders/>
            <w:vAlign w:val="bottom"/>
          </w:tcPr>
          <w:p>
            <w:pPr>
              <w:pStyle w:val="TableContents"/>
              <w:bidi w:val="0"/>
              <w:spacing w:before="0" w:after="283"/>
              <w:jc w:val="left"/>
              <w:rPr/>
            </w:pPr>
            <w:r>
              <w:rPr/>
              <w:t>)</w:t>
            </w:r>
          </w:p>
        </w:tc>
        <w:tc>
          <w:tcPr>
            <w:tcW w:w="26" w:type="dxa"/>
            <w:tcBorders/>
            <w:vAlign w:val="bottom"/>
          </w:tcPr>
          <w:p>
            <w:pPr>
              <w:pStyle w:val="TableContents"/>
              <w:bidi w:val="0"/>
              <w:spacing w:before="0" w:after="283"/>
              <w:jc w:val="left"/>
              <w:rPr/>
            </w:pPr>
            <w:r>
              <w:rPr/>
            </w:r>
          </w:p>
        </w:tc>
        <w:tc>
          <w:tcPr>
            <w:tcW w:w="149"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177" w:type="dxa"/>
            <w:tcBorders/>
            <w:vAlign w:val="bottom"/>
          </w:tcPr>
          <w:p>
            <w:pPr>
              <w:pStyle w:val="TableContents"/>
              <w:bidi w:val="0"/>
              <w:spacing w:before="0" w:after="283"/>
              <w:jc w:val="right"/>
              <w:rPr/>
            </w:pPr>
            <w:r>
              <w:rPr/>
              <w:t>(2.64</w:t>
            </w:r>
          </w:p>
        </w:tc>
        <w:tc>
          <w:tcPr>
            <w:tcW w:w="95" w:type="dxa"/>
            <w:tcBorders/>
            <w:vAlign w:val="bottom"/>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124" w:type="dxa"/>
            <w:tcBorders/>
            <w:vAlign w:val="center"/>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980" w:type="dxa"/>
            <w:tcBorders/>
            <w:vAlign w:val="center"/>
          </w:tcPr>
          <w:p>
            <w:pPr>
              <w:pStyle w:val="TableContents"/>
              <w:bidi w:val="0"/>
              <w:spacing w:before="0" w:after="283"/>
              <w:jc w:val="right"/>
              <w:rPr/>
            </w:pPr>
            <w:r>
              <w:rPr/>
              <w:t>(0.55</w:t>
            </w:r>
          </w:p>
        </w:tc>
        <w:tc>
          <w:tcPr>
            <w:tcW w:w="95"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widowControl/>
              <w:bidi w:val="0"/>
              <w:spacing w:before="0" w:after="283"/>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980" w:type="dxa"/>
            <w:tcBorders/>
            <w:vAlign w:val="center"/>
          </w:tcPr>
          <w:p>
            <w:pPr>
              <w:pStyle w:val="TableContents"/>
              <w:bidi w:val="0"/>
              <w:spacing w:before="0" w:after="283"/>
              <w:jc w:val="right"/>
              <w:rPr/>
            </w:pPr>
            <w:r>
              <w:rPr/>
              <w:t>(4.38</w:t>
            </w:r>
          </w:p>
        </w:tc>
        <w:tc>
          <w:tcPr>
            <w:tcW w:w="117" w:type="dxa"/>
            <w:tcBorders/>
            <w:vAlign w:val="center"/>
          </w:tcPr>
          <w:p>
            <w:pPr>
              <w:pStyle w:val="TableContents"/>
              <w:bidi w:val="0"/>
              <w:spacing w:before="0" w:after="283"/>
              <w:jc w:val="left"/>
              <w:rPr/>
            </w:pPr>
            <w:r>
              <w:rPr/>
              <w:t>)</w:t>
            </w:r>
          </w:p>
        </w:tc>
      </w:tr>
      <w:tr>
        <w:trPr/>
        <w:tc>
          <w:tcPr>
            <w:tcW w:w="4829"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49" w:type="dxa"/>
            <w:tcBorders/>
            <w:shd w:fill="CCEEFF" w:val="clear"/>
            <w:vAlign w:val="bottom"/>
          </w:tcPr>
          <w:p>
            <w:pPr>
              <w:pStyle w:val="TableContents"/>
              <w:bidi w:val="0"/>
              <w:spacing w:before="0" w:after="283"/>
              <w:jc w:val="left"/>
              <w:rPr/>
            </w:pPr>
            <w:r>
              <w:rPr/>
            </w:r>
          </w:p>
        </w:tc>
        <w:tc>
          <w:tcPr>
            <w:tcW w:w="1177" w:type="dxa"/>
            <w:tcBorders/>
            <w:shd w:fill="CCEEFF" w:val="clear"/>
            <w:vAlign w:val="bottom"/>
          </w:tcPr>
          <w:p>
            <w:pPr>
              <w:pStyle w:val="TableContents"/>
              <w:bidi w:val="0"/>
              <w:spacing w:before="0" w:after="283"/>
              <w:jc w:val="left"/>
              <w:rPr/>
            </w:pPr>
            <w:r>
              <w:rPr/>
            </w:r>
          </w:p>
        </w:tc>
        <w:tc>
          <w:tcPr>
            <w:tcW w:w="113" w:type="dxa"/>
            <w:tcBorders/>
            <w:shd w:fill="CCEEFF" w:val="clear"/>
            <w:vAlign w:val="bottom"/>
          </w:tcPr>
          <w:p>
            <w:pPr>
              <w:pStyle w:val="TableContents"/>
              <w:bidi w:val="0"/>
              <w:spacing w:before="0" w:after="283"/>
              <w:jc w:val="left"/>
              <w:rPr/>
            </w:pPr>
            <w:r>
              <w:rPr/>
            </w:r>
          </w:p>
        </w:tc>
        <w:tc>
          <w:tcPr>
            <w:tcW w:w="26" w:type="dxa"/>
            <w:tcBorders/>
            <w:shd w:fill="CCEEFF" w:val="clear"/>
            <w:vAlign w:val="bottom"/>
          </w:tcPr>
          <w:p>
            <w:pPr>
              <w:pStyle w:val="TableContents"/>
              <w:bidi w:val="0"/>
              <w:spacing w:before="0" w:after="283"/>
              <w:jc w:val="left"/>
              <w:rPr/>
            </w:pPr>
            <w:r>
              <w:rPr/>
            </w:r>
          </w:p>
        </w:tc>
        <w:tc>
          <w:tcPr>
            <w:tcW w:w="149" w:type="dxa"/>
            <w:tcBorders/>
            <w:shd w:fill="CCEEFF" w:val="clear"/>
            <w:vAlign w:val="bottom"/>
          </w:tcPr>
          <w:p>
            <w:pPr>
              <w:pStyle w:val="TableContents"/>
              <w:bidi w:val="0"/>
              <w:spacing w:before="0" w:after="283"/>
              <w:jc w:val="left"/>
              <w:rPr/>
            </w:pPr>
            <w:r>
              <w:rPr/>
            </w:r>
          </w:p>
        </w:tc>
        <w:tc>
          <w:tcPr>
            <w:tcW w:w="1177" w:type="dxa"/>
            <w:tcBorders/>
            <w:shd w:fill="CCEEFF" w:val="clear"/>
            <w:vAlign w:val="bottom"/>
          </w:tcPr>
          <w:p>
            <w:pPr>
              <w:pStyle w:val="TableContents"/>
              <w:bidi w:val="0"/>
              <w:spacing w:before="0" w:after="283"/>
              <w:jc w:val="left"/>
              <w:rPr/>
            </w:pPr>
            <w:r>
              <w:rPr/>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4" w:type="dxa"/>
            <w:tcBorders/>
            <w:shd w:fill="CCEEFF" w:val="clear"/>
            <w:vAlign w:val="center"/>
          </w:tcPr>
          <w:p>
            <w:pPr>
              <w:pStyle w:val="TableContents"/>
              <w:bidi w:val="0"/>
              <w:spacing w:before="0" w:after="283"/>
              <w:jc w:val="left"/>
              <w:rPr/>
            </w:pPr>
            <w:r>
              <w:rPr/>
            </w:r>
          </w:p>
        </w:tc>
        <w:tc>
          <w:tcPr>
            <w:tcW w:w="980" w:type="dxa"/>
            <w:tcBorders/>
            <w:shd w:fill="CCEEFF" w:val="clear"/>
            <w:vAlign w:val="center"/>
          </w:tcPr>
          <w:p>
            <w:pPr>
              <w:pStyle w:val="TableContents"/>
              <w:bidi w:val="0"/>
              <w:spacing w:before="0" w:after="283"/>
              <w:jc w:val="left"/>
              <w:rPr/>
            </w:pPr>
            <w:r>
              <w:rPr/>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bidi w:val="0"/>
              <w:spacing w:before="0" w:after="283"/>
              <w:jc w:val="left"/>
              <w:rPr/>
            </w:pPr>
            <w:r>
              <w:rPr/>
            </w:r>
          </w:p>
        </w:tc>
        <w:tc>
          <w:tcPr>
            <w:tcW w:w="980" w:type="dxa"/>
            <w:tcBorders/>
            <w:shd w:fill="CCEEFF" w:val="clear"/>
            <w:vAlign w:val="center"/>
          </w:tcPr>
          <w:p>
            <w:pPr>
              <w:pStyle w:val="TableContents"/>
              <w:bidi w:val="0"/>
              <w:spacing w:before="0" w:after="283"/>
              <w:jc w:val="left"/>
              <w:rPr/>
            </w:pPr>
            <w:r>
              <w:rPr/>
            </w:r>
          </w:p>
        </w:tc>
        <w:tc>
          <w:tcPr>
            <w:tcW w:w="117" w:type="dxa"/>
            <w:tcBorders/>
            <w:shd w:fill="CCEEFF" w:val="clear"/>
            <w:vAlign w:val="center"/>
          </w:tcPr>
          <w:p>
            <w:pPr>
              <w:pStyle w:val="TableContents"/>
              <w:bidi w:val="0"/>
              <w:spacing w:before="0" w:after="283"/>
              <w:jc w:val="left"/>
              <w:rPr/>
            </w:pPr>
            <w:r>
              <w:rPr/>
            </w:r>
          </w:p>
        </w:tc>
      </w:tr>
      <w:tr>
        <w:trPr/>
        <w:tc>
          <w:tcPr>
            <w:tcW w:w="4829"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Weighted average options, warrants and convertibles outstanding </w:t>
            </w:r>
          </w:p>
        </w:tc>
        <w:tc>
          <w:tcPr>
            <w:tcW w:w="23" w:type="dxa"/>
            <w:tcBorders/>
            <w:vAlign w:val="center"/>
          </w:tcPr>
          <w:p>
            <w:pPr>
              <w:pStyle w:val="TableContents"/>
              <w:bidi w:val="0"/>
              <w:spacing w:before="0" w:after="283"/>
              <w:jc w:val="left"/>
              <w:rPr/>
            </w:pPr>
            <w:r>
              <w:rPr/>
            </w:r>
          </w:p>
        </w:tc>
        <w:tc>
          <w:tcPr>
            <w:tcW w:w="149" w:type="dxa"/>
            <w:tcBorders/>
            <w:vAlign w:val="bottom"/>
          </w:tcPr>
          <w:p>
            <w:pPr>
              <w:pStyle w:val="TableContents"/>
              <w:bidi w:val="0"/>
              <w:spacing w:before="0" w:after="283"/>
              <w:jc w:val="left"/>
              <w:rPr/>
            </w:pPr>
            <w:r>
              <w:rPr/>
            </w:r>
          </w:p>
        </w:tc>
        <w:tc>
          <w:tcPr>
            <w:tcW w:w="1177" w:type="dxa"/>
            <w:tcBorders/>
            <w:vAlign w:val="bottom"/>
          </w:tcPr>
          <w:p>
            <w:pPr>
              <w:pStyle w:val="TableContents"/>
              <w:bidi w:val="0"/>
              <w:spacing w:before="0" w:after="283"/>
              <w:jc w:val="right"/>
              <w:rPr/>
            </w:pPr>
            <w:r>
              <w:rPr/>
              <w:t>630,011</w:t>
            </w:r>
          </w:p>
        </w:tc>
        <w:tc>
          <w:tcPr>
            <w:tcW w:w="113" w:type="dxa"/>
            <w:tcBorders/>
            <w:vAlign w:val="bottom"/>
          </w:tcPr>
          <w:p>
            <w:pPr>
              <w:pStyle w:val="TableContents"/>
              <w:bidi w:val="0"/>
              <w:spacing w:before="0" w:after="283"/>
              <w:jc w:val="left"/>
              <w:rPr/>
            </w:pPr>
            <w:r>
              <w:rPr/>
            </w:r>
          </w:p>
        </w:tc>
        <w:tc>
          <w:tcPr>
            <w:tcW w:w="26" w:type="dxa"/>
            <w:tcBorders/>
            <w:vAlign w:val="bottom"/>
          </w:tcPr>
          <w:p>
            <w:pPr>
              <w:pStyle w:val="TableContents"/>
              <w:bidi w:val="0"/>
              <w:spacing w:before="0" w:after="283"/>
              <w:jc w:val="left"/>
              <w:rPr/>
            </w:pPr>
            <w:r>
              <w:rPr/>
            </w:r>
          </w:p>
        </w:tc>
        <w:tc>
          <w:tcPr>
            <w:tcW w:w="149" w:type="dxa"/>
            <w:tcBorders/>
            <w:vAlign w:val="bottom"/>
          </w:tcPr>
          <w:p>
            <w:pPr>
              <w:pStyle w:val="TableContents"/>
              <w:bidi w:val="0"/>
              <w:spacing w:before="0" w:after="283"/>
              <w:jc w:val="left"/>
              <w:rPr/>
            </w:pPr>
            <w:r>
              <w:rPr/>
            </w:r>
          </w:p>
        </w:tc>
        <w:tc>
          <w:tcPr>
            <w:tcW w:w="1177" w:type="dxa"/>
            <w:tcBorders/>
            <w:vAlign w:val="bottom"/>
          </w:tcPr>
          <w:p>
            <w:pPr>
              <w:pStyle w:val="TableContents"/>
              <w:bidi w:val="0"/>
              <w:spacing w:before="0" w:after="283"/>
              <w:jc w:val="right"/>
              <w:rPr/>
            </w:pPr>
            <w:r>
              <w:rPr/>
              <w:t>435,551</w:t>
            </w:r>
          </w:p>
        </w:tc>
        <w:tc>
          <w:tcPr>
            <w:tcW w:w="95" w:type="dxa"/>
            <w:tcBorders/>
            <w:vAlign w:val="bottom"/>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4" w:type="dxa"/>
            <w:tcBorders/>
            <w:vAlign w:val="center"/>
          </w:tcPr>
          <w:p>
            <w:pPr>
              <w:pStyle w:val="TableContents"/>
              <w:bidi w:val="0"/>
              <w:spacing w:before="0" w:after="283"/>
              <w:jc w:val="left"/>
              <w:rPr/>
            </w:pPr>
            <w:r>
              <w:rPr/>
            </w:r>
          </w:p>
        </w:tc>
        <w:tc>
          <w:tcPr>
            <w:tcW w:w="980" w:type="dxa"/>
            <w:tcBorders/>
            <w:vAlign w:val="center"/>
          </w:tcPr>
          <w:p>
            <w:pPr>
              <w:pStyle w:val="TableContents"/>
              <w:bidi w:val="0"/>
              <w:spacing w:before="0" w:after="283"/>
              <w:jc w:val="right"/>
              <w:rPr/>
            </w:pPr>
            <w:r>
              <w:rPr/>
              <w:t>500,930</w:t>
            </w:r>
          </w:p>
        </w:tc>
        <w:tc>
          <w:tcPr>
            <w:tcW w:w="95" w:type="dxa"/>
            <w:tcBorders/>
            <w:vAlign w:val="center"/>
          </w:tcPr>
          <w:p>
            <w:pPr>
              <w:pStyle w:val="TableContents"/>
              <w:bidi w:val="0"/>
              <w:spacing w:before="0" w:after="283"/>
              <w:jc w:val="left"/>
              <w:rPr/>
            </w:pPr>
            <w:r>
              <w:rPr/>
            </w:r>
          </w:p>
        </w:tc>
        <w:tc>
          <w:tcPr>
            <w:tcW w:w="23" w:type="dxa"/>
            <w:tcBorders/>
            <w:vAlign w:val="center"/>
          </w:tcPr>
          <w:p>
            <w:pPr>
              <w:pStyle w:val="TableContents"/>
              <w:bidi w:val="0"/>
              <w:spacing w:before="0" w:after="283"/>
              <w:jc w:val="left"/>
              <w:rPr/>
            </w:pPr>
            <w:r>
              <w:rPr/>
            </w:r>
          </w:p>
        </w:tc>
        <w:tc>
          <w:tcPr>
            <w:tcW w:w="125" w:type="dxa"/>
            <w:tcBorders/>
            <w:vAlign w:val="center"/>
          </w:tcPr>
          <w:p>
            <w:pPr>
              <w:pStyle w:val="TableContents"/>
              <w:bidi w:val="0"/>
              <w:spacing w:before="0" w:after="283"/>
              <w:jc w:val="left"/>
              <w:rPr/>
            </w:pPr>
            <w:r>
              <w:rPr/>
            </w:r>
          </w:p>
        </w:tc>
        <w:tc>
          <w:tcPr>
            <w:tcW w:w="980" w:type="dxa"/>
            <w:tcBorders/>
            <w:vAlign w:val="center"/>
          </w:tcPr>
          <w:p>
            <w:pPr>
              <w:pStyle w:val="TableContents"/>
              <w:bidi w:val="0"/>
              <w:spacing w:before="0" w:after="283"/>
              <w:jc w:val="right"/>
              <w:rPr/>
            </w:pPr>
            <w:r>
              <w:rPr/>
              <w:t>404,319</w:t>
            </w:r>
          </w:p>
        </w:tc>
        <w:tc>
          <w:tcPr>
            <w:tcW w:w="117" w:type="dxa"/>
            <w:tcBorders/>
            <w:vAlign w:val="center"/>
          </w:tcPr>
          <w:p>
            <w:pPr>
              <w:pStyle w:val="TableContents"/>
              <w:bidi w:val="0"/>
              <w:spacing w:before="0" w:after="283"/>
              <w:jc w:val="left"/>
              <w:rPr/>
            </w:pPr>
            <w:r>
              <w:rPr/>
            </w:r>
          </w:p>
        </w:tc>
      </w:tr>
      <w:tr>
        <w:trPr/>
        <w:tc>
          <w:tcPr>
            <w:tcW w:w="4829" w:type="dxa"/>
            <w:tcBorders/>
            <w:shd w:fill="CCEEFF" w:val="clear"/>
            <w:vAlign w:val="center"/>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 xml:space="preserve">Anti-dilutive options, warrants and convertibles not included in the computation </w:t>
            </w:r>
          </w:p>
        </w:tc>
        <w:tc>
          <w:tcPr>
            <w:tcW w:w="23" w:type="dxa"/>
            <w:tcBorders/>
            <w:shd w:fill="CCEEFF" w:val="clear"/>
            <w:vAlign w:val="center"/>
          </w:tcPr>
          <w:p>
            <w:pPr>
              <w:pStyle w:val="TableContents"/>
              <w:bidi w:val="0"/>
              <w:spacing w:before="0" w:after="283"/>
              <w:jc w:val="left"/>
              <w:rPr/>
            </w:pPr>
            <w:r>
              <w:rPr/>
            </w:r>
          </w:p>
        </w:tc>
        <w:tc>
          <w:tcPr>
            <w:tcW w:w="149" w:type="dxa"/>
            <w:tcBorders/>
            <w:shd w:fill="CCEEFF" w:val="clear"/>
            <w:vAlign w:val="bottom"/>
          </w:tcPr>
          <w:p>
            <w:pPr>
              <w:pStyle w:val="TableContents"/>
              <w:bidi w:val="0"/>
              <w:spacing w:before="0" w:after="283"/>
              <w:jc w:val="left"/>
              <w:rPr/>
            </w:pPr>
            <w:r>
              <w:rPr/>
            </w:r>
          </w:p>
        </w:tc>
        <w:tc>
          <w:tcPr>
            <w:tcW w:w="1177" w:type="dxa"/>
            <w:tcBorders/>
            <w:shd w:fill="CCEEFF" w:val="clear"/>
            <w:vAlign w:val="bottom"/>
          </w:tcPr>
          <w:p>
            <w:pPr>
              <w:pStyle w:val="TableContents"/>
              <w:bidi w:val="0"/>
              <w:spacing w:before="0" w:after="283"/>
              <w:jc w:val="right"/>
              <w:rPr/>
            </w:pPr>
            <w:r>
              <w:rPr/>
              <w:t>630,011</w:t>
            </w:r>
          </w:p>
        </w:tc>
        <w:tc>
          <w:tcPr>
            <w:tcW w:w="113" w:type="dxa"/>
            <w:tcBorders/>
            <w:shd w:fill="CCEEFF" w:val="clear"/>
            <w:vAlign w:val="bottom"/>
          </w:tcPr>
          <w:p>
            <w:pPr>
              <w:pStyle w:val="TableContents"/>
              <w:bidi w:val="0"/>
              <w:spacing w:before="0" w:after="283"/>
              <w:jc w:val="left"/>
              <w:rPr/>
            </w:pPr>
            <w:r>
              <w:rPr/>
            </w:r>
          </w:p>
        </w:tc>
        <w:tc>
          <w:tcPr>
            <w:tcW w:w="26" w:type="dxa"/>
            <w:tcBorders/>
            <w:shd w:fill="CCEEFF" w:val="clear"/>
            <w:vAlign w:val="bottom"/>
          </w:tcPr>
          <w:p>
            <w:pPr>
              <w:pStyle w:val="TableContents"/>
              <w:bidi w:val="0"/>
              <w:spacing w:before="0" w:after="283"/>
              <w:jc w:val="left"/>
              <w:rPr/>
            </w:pPr>
            <w:r>
              <w:rPr/>
            </w:r>
          </w:p>
        </w:tc>
        <w:tc>
          <w:tcPr>
            <w:tcW w:w="149" w:type="dxa"/>
            <w:tcBorders/>
            <w:shd w:fill="CCEEFF" w:val="clear"/>
            <w:vAlign w:val="bottom"/>
          </w:tcPr>
          <w:p>
            <w:pPr>
              <w:pStyle w:val="TableContents"/>
              <w:bidi w:val="0"/>
              <w:spacing w:before="0" w:after="283"/>
              <w:jc w:val="left"/>
              <w:rPr/>
            </w:pPr>
            <w:r>
              <w:rPr/>
            </w:r>
          </w:p>
        </w:tc>
        <w:tc>
          <w:tcPr>
            <w:tcW w:w="1177" w:type="dxa"/>
            <w:tcBorders/>
            <w:shd w:fill="CCEEFF" w:val="clear"/>
            <w:vAlign w:val="bottom"/>
          </w:tcPr>
          <w:p>
            <w:pPr>
              <w:pStyle w:val="TableContents"/>
              <w:bidi w:val="0"/>
              <w:spacing w:before="0" w:after="283"/>
              <w:jc w:val="right"/>
              <w:rPr/>
            </w:pPr>
            <w:r>
              <w:rPr/>
              <w:t>435,551</w:t>
            </w:r>
          </w:p>
        </w:tc>
        <w:tc>
          <w:tcPr>
            <w:tcW w:w="95" w:type="dxa"/>
            <w:tcBorders/>
            <w:shd w:fill="CCEEFF" w:val="clear"/>
            <w:vAlign w:val="bottom"/>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4" w:type="dxa"/>
            <w:tcBorders/>
            <w:shd w:fill="CCEEFF" w:val="clear"/>
            <w:vAlign w:val="center"/>
          </w:tcPr>
          <w:p>
            <w:pPr>
              <w:pStyle w:val="TableContents"/>
              <w:bidi w:val="0"/>
              <w:spacing w:before="0" w:after="283"/>
              <w:jc w:val="left"/>
              <w:rPr/>
            </w:pPr>
            <w:r>
              <w:rPr/>
            </w:r>
          </w:p>
        </w:tc>
        <w:tc>
          <w:tcPr>
            <w:tcW w:w="980" w:type="dxa"/>
            <w:tcBorders/>
            <w:shd w:fill="CCEEFF" w:val="clear"/>
            <w:vAlign w:val="center"/>
          </w:tcPr>
          <w:p>
            <w:pPr>
              <w:pStyle w:val="TableContents"/>
              <w:bidi w:val="0"/>
              <w:spacing w:before="0" w:after="283"/>
              <w:jc w:val="right"/>
              <w:rPr/>
            </w:pPr>
            <w:r>
              <w:rPr/>
              <w:t>500,930</w:t>
            </w:r>
          </w:p>
        </w:tc>
        <w:tc>
          <w:tcPr>
            <w:tcW w:w="95" w:type="dxa"/>
            <w:tcBorders/>
            <w:shd w:fill="CCEEFF" w:val="clear"/>
            <w:vAlign w:val="center"/>
          </w:tcPr>
          <w:p>
            <w:pPr>
              <w:pStyle w:val="TableContents"/>
              <w:bidi w:val="0"/>
              <w:spacing w:before="0" w:after="283"/>
              <w:jc w:val="left"/>
              <w:rPr/>
            </w:pPr>
            <w:r>
              <w:rPr/>
            </w:r>
          </w:p>
        </w:tc>
        <w:tc>
          <w:tcPr>
            <w:tcW w:w="23" w:type="dxa"/>
            <w:tcBorders/>
            <w:shd w:fill="CCEEFF" w:val="clear"/>
            <w:vAlign w:val="center"/>
          </w:tcPr>
          <w:p>
            <w:pPr>
              <w:pStyle w:val="TableContents"/>
              <w:bidi w:val="0"/>
              <w:spacing w:before="0" w:after="283"/>
              <w:jc w:val="left"/>
              <w:rPr/>
            </w:pPr>
            <w:r>
              <w:rPr/>
            </w:r>
          </w:p>
        </w:tc>
        <w:tc>
          <w:tcPr>
            <w:tcW w:w="125" w:type="dxa"/>
            <w:tcBorders/>
            <w:shd w:fill="CCEEFF" w:val="clear"/>
            <w:vAlign w:val="center"/>
          </w:tcPr>
          <w:p>
            <w:pPr>
              <w:pStyle w:val="TableContents"/>
              <w:bidi w:val="0"/>
              <w:spacing w:before="0" w:after="283"/>
              <w:jc w:val="left"/>
              <w:rPr/>
            </w:pPr>
            <w:r>
              <w:rPr/>
            </w:r>
          </w:p>
        </w:tc>
        <w:tc>
          <w:tcPr>
            <w:tcW w:w="980" w:type="dxa"/>
            <w:tcBorders/>
            <w:shd w:fill="CCEEFF" w:val="clear"/>
            <w:vAlign w:val="center"/>
          </w:tcPr>
          <w:p>
            <w:pPr>
              <w:pStyle w:val="TableContents"/>
              <w:bidi w:val="0"/>
              <w:spacing w:before="0" w:after="283"/>
              <w:jc w:val="right"/>
              <w:rPr/>
            </w:pPr>
            <w:r>
              <w:rPr/>
              <w:t>404,319</w:t>
            </w:r>
          </w:p>
        </w:tc>
        <w:tc>
          <w:tcPr>
            <w:tcW w:w="117" w:type="dxa"/>
            <w:tcBorders/>
            <w:shd w:fill="CCEEFF" w:val="clear"/>
            <w:vAlign w:val="center"/>
          </w:tcPr>
          <w:p>
            <w:pPr>
              <w:pStyle w:val="TableContents"/>
              <w:bidi w:val="0"/>
              <w:spacing w:before="0" w:after="283"/>
              <w:jc w:val="left"/>
              <w:rPr/>
            </w:pPr>
            <w:r>
              <w:rPr/>
            </w:r>
          </w:p>
        </w:tc>
      </w:tr>
    </w:tbl>
    <w:p>
      <w:pPr>
        <w:pStyle w:val="TextBody"/>
        <w:bidi w:val="0"/>
        <w:spacing w:lineRule="auto" w:line="288"/>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158" w:name="PageBreakNo15"/>
            <w:bookmarkEnd w:id="158"/>
            <w:r>
              <w:rPr>
                <w:sz w:val="20"/>
              </w:rPr>
              <w:t>15</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color w:val="0000FF"/>
            <w:sz w:val="20"/>
          </w:rPr>
          <w:t>Table of Contents</w:t>
        </w:r>
      </w:hyperlink>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(Unaudited - Dollars in thousands, except per share amounts)</w:t>
      </w:r>
    </w:p>
    <w:p>
      <w:pPr>
        <w:pStyle w:val="TextBody"/>
        <w:bidi w:val="0"/>
        <w:spacing w:lineRule="auto" w:line="288" w:before="0" w:after="0"/>
        <w:ind w:left="144" w:right="144" w:hanging="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t>8</w:t>
      </w:r>
      <w:r>
        <w:rPr>
          <w:rFonts w:ascii="Times New Roman" w:hAnsi="Times New Roman"/>
          <w:b/>
          <w:sz w:val="20"/>
        </w:rPr>
        <w:t>. Inventories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Inventories consist solely of finished goods retained to service warranty obligations on products sold prior to the Asset Sale. Inventories are stated at the lower of cost and net realizable value, with cost determined on a first-in, first-out (FIFO) basis.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serif" w:hAnsi="Times New Roman;serif"/>
          <w:sz w:val="20"/>
        </w:rPr>
        <w:t xml:space="preserve">In connection with the Asset Sale completed on October 24, 2025, substantially all product inventory was sold to Biamp Systems, LLC. No inventory is included in assets related to discontinued operations as of June 30, 2026 or December 31, 2025. See Note </w:t>
      </w:r>
      <w:bookmarkStart w:id="159" w:name="fs_XMJ1PQU2W000000000000000000000fs"/>
      <w:bookmarkEnd w:id="159"/>
      <w:r>
        <w:rPr>
          <w:rFonts w:ascii="Times New Roman;serif" w:hAnsi="Times New Roman;serif"/>
          <w:sz w:val="20"/>
        </w:rPr>
        <w:t>2 — Discontinued Operations and Assets Held for Sale.</w:t>
      </w:r>
      <w:r>
        <w:rPr>
          <w:rFonts w:ascii="times new roman;times" w:hAnsi="times new roman;times"/>
          <w:sz w:val="20"/>
        </w:rPr>
        <w:t xml:space="preserve"> </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t>Inventories, net of reserves, consisted of the following:  </w:t>
      </w:r>
    </w:p>
    <w:p>
      <w:pPr>
        <w:pStyle w:val="TextBody"/>
        <w:bidi w:val="0"/>
        <w:spacing w:lineRule="auto" w:line="288" w:before="0" w:after="0"/>
        <w:ind w:left="144" w:right="144" w:hanging="0"/>
        <w:jc w:val="left"/>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854"/>
        <w:gridCol w:w="258"/>
        <w:gridCol w:w="821"/>
        <w:gridCol w:w="1837"/>
        <w:gridCol w:w="258"/>
        <w:gridCol w:w="259"/>
        <w:gridCol w:w="1219"/>
        <w:gridCol w:w="2408"/>
        <w:gridCol w:w="291"/>
      </w:tblGrid>
      <w:tr>
        <w:trPr/>
        <w:tc>
          <w:tcPr>
            <w:tcW w:w="2854" w:type="dxa"/>
            <w:tcBorders/>
            <w:vAlign w:val="center"/>
          </w:tcPr>
          <w:p>
            <w:pPr>
              <w:pStyle w:val="TableContents"/>
              <w:bidi w:val="0"/>
              <w:spacing w:before="0" w:after="0"/>
              <w:ind w:left="0" w:right="0" w:hanging="0"/>
              <w:jc w:val="left"/>
              <w:rPr/>
            </w:pPr>
            <w:r>
              <w:rPr/>
              <w:t xml:space="preserve">  </w:t>
            </w:r>
          </w:p>
        </w:tc>
        <w:tc>
          <w:tcPr>
            <w:tcW w:w="258" w:type="dxa"/>
            <w:tcBorders/>
            <w:vAlign w:val="center"/>
          </w:tcPr>
          <w:p>
            <w:pPr>
              <w:pStyle w:val="TableContents"/>
              <w:bidi w:val="0"/>
              <w:spacing w:before="0" w:after="0"/>
              <w:ind w:left="0" w:right="0" w:hanging="0"/>
              <w:jc w:val="left"/>
              <w:rPr/>
            </w:pPr>
            <w:r>
              <w:rPr/>
              <w:t xml:space="preserve">  </w:t>
            </w:r>
          </w:p>
        </w:tc>
        <w:tc>
          <w:tcPr>
            <w:tcW w:w="2658" w:type="dxa"/>
            <w:gridSpan w:val="2"/>
            <w:tcBorders/>
            <w:vAlign w:val="center"/>
          </w:tcPr>
          <w:p>
            <w:pPr>
              <w:pStyle w:val="TableContents"/>
              <w:bidi w:val="0"/>
              <w:spacing w:before="0" w:after="0"/>
              <w:ind w:left="0" w:right="0" w:hanging="0"/>
              <w:jc w:val="center"/>
              <w:rPr>
                <w:rFonts w:ascii="Times New Roman" w:hAnsi="Times New Roman"/>
                <w:b/>
                <w:sz w:val="20"/>
              </w:rPr>
            </w:pPr>
            <w:bookmarkStart w:id="160" w:name="fs_U3UG4KMZA800000000000000000000FM"/>
            <w:bookmarkEnd w:id="160"/>
            <w:r>
              <w:rPr>
                <w:rFonts w:ascii="Times New Roman" w:hAnsi="Times New Roman"/>
                <w:b/>
                <w:sz w:val="20"/>
              </w:rPr>
              <w:t xml:space="preserve">June 30, 2026 </w:t>
            </w:r>
          </w:p>
        </w:tc>
        <w:tc>
          <w:tcPr>
            <w:tcW w:w="258" w:type="dxa"/>
            <w:tcBorders/>
            <w:vAlign w:val="center"/>
          </w:tcPr>
          <w:p>
            <w:pPr>
              <w:pStyle w:val="TableContents"/>
              <w:bidi w:val="0"/>
              <w:spacing w:before="0" w:after="0"/>
              <w:ind w:left="0" w:right="0" w:hanging="0"/>
              <w:jc w:val="left"/>
              <w:rPr/>
            </w:pPr>
            <w:r>
              <w:rPr/>
              <w:t xml:space="preserve">  </w:t>
            </w:r>
          </w:p>
        </w:tc>
        <w:tc>
          <w:tcPr>
            <w:tcW w:w="259" w:type="dxa"/>
            <w:tcBorders/>
            <w:vAlign w:val="center"/>
          </w:tcPr>
          <w:p>
            <w:pPr>
              <w:pStyle w:val="TableContents"/>
              <w:bidi w:val="0"/>
              <w:spacing w:before="0" w:after="0"/>
              <w:ind w:left="0" w:right="0" w:hanging="0"/>
              <w:jc w:val="left"/>
              <w:rPr/>
            </w:pPr>
            <w:r>
              <w:rPr/>
              <w:t xml:space="preserve">  </w:t>
            </w:r>
          </w:p>
        </w:tc>
        <w:tc>
          <w:tcPr>
            <w:tcW w:w="3627" w:type="dxa"/>
            <w:gridSpan w:val="2"/>
            <w:tcBorders/>
            <w:vAlign w:val="center"/>
          </w:tcPr>
          <w:p>
            <w:pPr>
              <w:pStyle w:val="TableContents"/>
              <w:bidi w:val="0"/>
              <w:spacing w:before="0" w:after="0"/>
              <w:ind w:left="0" w:right="0" w:hanging="0"/>
              <w:jc w:val="center"/>
              <w:rPr>
                <w:rFonts w:ascii="Times New Roman" w:hAnsi="Times New Roman"/>
                <w:b/>
                <w:sz w:val="20"/>
              </w:rPr>
            </w:pPr>
            <w:bookmarkStart w:id="161" w:name="fs_YJENM7ZY5S00000000000000000000FM"/>
            <w:bookmarkEnd w:id="161"/>
            <w:r>
              <w:rPr>
                <w:rFonts w:ascii="Times New Roman" w:hAnsi="Times New Roman"/>
                <w:b/>
                <w:sz w:val="20"/>
              </w:rPr>
              <w:t xml:space="preserve">December 31, 2025 </w:t>
            </w:r>
          </w:p>
        </w:tc>
        <w:tc>
          <w:tcPr>
            <w:tcW w:w="291" w:type="dxa"/>
            <w:tcBorders/>
            <w:vAlign w:val="center"/>
          </w:tcPr>
          <w:p>
            <w:pPr>
              <w:pStyle w:val="TableContents"/>
              <w:bidi w:val="0"/>
              <w:spacing w:before="0" w:after="0"/>
              <w:ind w:left="0" w:right="0" w:hanging="0"/>
              <w:jc w:val="left"/>
              <w:rPr/>
            </w:pPr>
            <w:r>
              <w:rPr/>
              <w:t xml:space="preserve">  </w:t>
            </w:r>
          </w:p>
        </w:tc>
      </w:tr>
      <w:tr>
        <w:trPr/>
        <w:tc>
          <w:tcPr>
            <w:tcW w:w="285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Current: </w:t>
            </w:r>
          </w:p>
        </w:tc>
        <w:tc>
          <w:tcPr>
            <w:tcW w:w="258" w:type="dxa"/>
            <w:tcBorders/>
            <w:shd w:fill="CCEEFF" w:val="clear"/>
            <w:vAlign w:val="center"/>
          </w:tcPr>
          <w:p>
            <w:pPr>
              <w:pStyle w:val="TableContents"/>
              <w:bidi w:val="0"/>
              <w:spacing w:before="0" w:after="0"/>
              <w:ind w:left="0" w:right="0" w:hanging="0"/>
              <w:jc w:val="left"/>
              <w:rPr/>
            </w:pPr>
            <w:r>
              <w:rPr/>
              <w:t xml:space="preserve">  </w:t>
            </w:r>
          </w:p>
        </w:tc>
        <w:tc>
          <w:tcPr>
            <w:tcW w:w="821" w:type="dxa"/>
            <w:tcBorders/>
            <w:shd w:fill="CCEEFF" w:val="clear"/>
            <w:vAlign w:val="center"/>
          </w:tcPr>
          <w:p>
            <w:pPr>
              <w:pStyle w:val="TableContents"/>
              <w:bidi w:val="0"/>
              <w:spacing w:before="0" w:after="0"/>
              <w:ind w:left="0" w:right="0" w:hanging="0"/>
              <w:jc w:val="left"/>
              <w:rPr/>
            </w:pPr>
            <w:r>
              <w:rPr/>
              <w:t xml:space="preserve">  </w:t>
            </w:r>
          </w:p>
        </w:tc>
        <w:tc>
          <w:tcPr>
            <w:tcW w:w="1837" w:type="dxa"/>
            <w:tcBorders/>
            <w:shd w:fill="CCEEFF" w:val="clear"/>
            <w:vAlign w:val="center"/>
          </w:tcPr>
          <w:p>
            <w:pPr>
              <w:pStyle w:val="TableContents"/>
              <w:bidi w:val="0"/>
              <w:spacing w:before="0" w:after="0"/>
              <w:ind w:left="0" w:right="0" w:hanging="0"/>
              <w:jc w:val="left"/>
              <w:rPr/>
            </w:pPr>
            <w:r>
              <w:rPr/>
              <w:t xml:space="preserve">  </w:t>
            </w:r>
          </w:p>
        </w:tc>
        <w:tc>
          <w:tcPr>
            <w:tcW w:w="258" w:type="dxa"/>
            <w:tcBorders/>
            <w:shd w:fill="CCEEFF" w:val="clear"/>
            <w:vAlign w:val="center"/>
          </w:tcPr>
          <w:p>
            <w:pPr>
              <w:pStyle w:val="TableContents"/>
              <w:bidi w:val="0"/>
              <w:spacing w:before="0" w:after="0"/>
              <w:ind w:left="0" w:right="0" w:hanging="0"/>
              <w:jc w:val="left"/>
              <w:rPr/>
            </w:pPr>
            <w:r>
              <w:rPr/>
              <w:t xml:space="preserve">  </w:t>
            </w:r>
          </w:p>
        </w:tc>
        <w:tc>
          <w:tcPr>
            <w:tcW w:w="259" w:type="dxa"/>
            <w:tcBorders/>
            <w:shd w:fill="CCEEFF" w:val="clear"/>
            <w:vAlign w:val="center"/>
          </w:tcPr>
          <w:p>
            <w:pPr>
              <w:pStyle w:val="TableContents"/>
              <w:bidi w:val="0"/>
              <w:spacing w:before="0" w:after="0"/>
              <w:ind w:left="0" w:right="0" w:hanging="0"/>
              <w:jc w:val="left"/>
              <w:rPr/>
            </w:pPr>
            <w:r>
              <w:rPr/>
              <w:t xml:space="preserve">  </w:t>
            </w:r>
          </w:p>
        </w:tc>
        <w:tc>
          <w:tcPr>
            <w:tcW w:w="1219" w:type="dxa"/>
            <w:tcBorders/>
            <w:shd w:fill="CCEEFF" w:val="clear"/>
            <w:vAlign w:val="center"/>
          </w:tcPr>
          <w:p>
            <w:pPr>
              <w:pStyle w:val="TableContents"/>
              <w:pBdr/>
              <w:bidi w:val="0"/>
              <w:spacing w:before="0" w:after="0"/>
              <w:ind w:left="0" w:right="0" w:hanging="0"/>
              <w:jc w:val="left"/>
              <w:rPr/>
            </w:pPr>
            <w:r>
              <w:rPr/>
            </w:r>
          </w:p>
        </w:tc>
        <w:tc>
          <w:tcPr>
            <w:tcW w:w="2408" w:type="dxa"/>
            <w:tcBorders/>
            <w:shd w:fill="CCEEFF" w:val="clear"/>
            <w:vAlign w:val="center"/>
          </w:tcPr>
          <w:p>
            <w:pPr>
              <w:pStyle w:val="TableContents"/>
              <w:bidi w:val="0"/>
              <w:spacing w:before="0" w:after="0"/>
              <w:ind w:left="0" w:right="0" w:hanging="0"/>
              <w:jc w:val="left"/>
              <w:rPr/>
            </w:pPr>
            <w:r>
              <w:rPr/>
              <w:t xml:space="preserve">  </w:t>
            </w:r>
          </w:p>
        </w:tc>
        <w:tc>
          <w:tcPr>
            <w:tcW w:w="291" w:type="dxa"/>
            <w:tcBorders/>
            <w:shd w:fill="CCEEFF" w:val="clear"/>
            <w:vAlign w:val="center"/>
          </w:tcPr>
          <w:p>
            <w:pPr>
              <w:pStyle w:val="TableContents"/>
              <w:bidi w:val="0"/>
              <w:spacing w:before="0" w:after="0"/>
              <w:ind w:left="0" w:right="0" w:hanging="0"/>
              <w:jc w:val="left"/>
              <w:rPr/>
            </w:pPr>
            <w:r>
              <w:rPr/>
              <w:t xml:space="preserve">  </w:t>
            </w:r>
          </w:p>
        </w:tc>
      </w:tr>
      <w:tr>
        <w:trPr/>
        <w:tc>
          <w:tcPr>
            <w:tcW w:w="2854" w:type="dxa"/>
            <w:tcBorders/>
            <w:vAlign w:val="bottom"/>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 xml:space="preserve">Finished goods </w:t>
            </w:r>
          </w:p>
        </w:tc>
        <w:tc>
          <w:tcPr>
            <w:tcW w:w="258" w:type="dxa"/>
            <w:tcBorders/>
            <w:vAlign w:val="bottom"/>
          </w:tcPr>
          <w:p>
            <w:pPr>
              <w:pStyle w:val="TableContents"/>
              <w:bidi w:val="0"/>
              <w:spacing w:before="0" w:after="0"/>
              <w:ind w:left="0" w:right="0" w:hanging="0"/>
              <w:jc w:val="left"/>
              <w:rPr/>
            </w:pPr>
            <w:r>
              <w:rPr/>
              <w:t xml:space="preserve">  </w:t>
            </w:r>
          </w:p>
        </w:tc>
        <w:tc>
          <w:tcPr>
            <w:tcW w:w="821"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1837"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304 </w:t>
            </w:r>
          </w:p>
        </w:tc>
        <w:tc>
          <w:tcPr>
            <w:tcW w:w="258" w:type="dxa"/>
            <w:tcBorders/>
            <w:vAlign w:val="bottom"/>
          </w:tcPr>
          <w:p>
            <w:pPr>
              <w:pStyle w:val="TableContents"/>
              <w:pBdr/>
              <w:bidi w:val="0"/>
              <w:spacing w:before="0" w:after="0"/>
              <w:ind w:left="0" w:right="0" w:hanging="0"/>
              <w:jc w:val="left"/>
              <w:rPr/>
            </w:pPr>
            <w:r>
              <w:rPr/>
              <w:t xml:space="preserve">  </w:t>
            </w:r>
          </w:p>
        </w:tc>
        <w:tc>
          <w:tcPr>
            <w:tcW w:w="259" w:type="dxa"/>
            <w:tcBorders/>
            <w:vAlign w:val="bottom"/>
          </w:tcPr>
          <w:p>
            <w:pPr>
              <w:pStyle w:val="TableContents"/>
              <w:pBdr/>
              <w:bidi w:val="0"/>
              <w:spacing w:before="0" w:after="0"/>
              <w:ind w:left="0" w:right="0" w:hanging="0"/>
              <w:jc w:val="left"/>
              <w:rPr/>
            </w:pPr>
            <w:r>
              <w:rPr/>
              <w:t xml:space="preserve">  </w:t>
            </w:r>
          </w:p>
        </w:tc>
        <w:tc>
          <w:tcPr>
            <w:tcW w:w="1219"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w:t>
            </w:r>
          </w:p>
        </w:tc>
        <w:tc>
          <w:tcPr>
            <w:tcW w:w="2408"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353 </w:t>
            </w:r>
          </w:p>
        </w:tc>
        <w:tc>
          <w:tcPr>
            <w:tcW w:w="291" w:type="dxa"/>
            <w:tcBorders/>
            <w:vAlign w:val="bottom"/>
          </w:tcPr>
          <w:p>
            <w:pPr>
              <w:pStyle w:val="TableContents"/>
              <w:bidi w:val="0"/>
              <w:spacing w:before="0" w:after="0"/>
              <w:ind w:left="0" w:right="0" w:hanging="0"/>
              <w:jc w:val="left"/>
              <w:rPr/>
            </w:pPr>
            <w:r>
              <w:rPr/>
              <w:t xml:space="preserve">  </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left"/>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During the three months ended June 30, 2026, the Company consumed in warranty servicing $29 of inventory, recorded within cost of goods sold, and $304 inventory remained as of June 30, 2026.  See Note </w:t>
      </w:r>
      <w:bookmarkStart w:id="162" w:name="fs_YHO1KM3EJ400000000000000000000fs"/>
      <w:bookmarkEnd w:id="162"/>
      <w:r>
        <w:rPr>
          <w:rFonts w:ascii="times new roman;times" w:hAnsi="times new roman;times"/>
          <w:sz w:val="20"/>
        </w:rPr>
        <w:t>1 — Product Warranties.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 w:hAnsi="Times New Roman"/>
          <w:b/>
          <w:sz w:val="20"/>
        </w:rPr>
      </w:pPr>
      <w:bookmarkStart w:id="163" w:name="fs_LMG1DQ9FW000000000000000000000fs"/>
      <w:bookmarkEnd w:id="163"/>
      <w:r>
        <w:rPr>
          <w:rFonts w:ascii="Times New Roman" w:hAnsi="Times New Roman"/>
          <w:b/>
          <w:sz w:val="20"/>
        </w:rPr>
        <w:t>9. Leases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serif" w:hAnsi="Times New Roman;serif"/>
          <w:sz w:val="20"/>
        </w:rPr>
        <w:t>The Company recognizes operating lease cost on a straight-line basis over the lease term, taking into account future rent escalations and rent holiday periods.</w:t>
      </w:r>
      <w:r>
        <w:rPr>
          <w:rFonts w:ascii="Times New Roman" w:hAnsi="Times New Roman"/>
          <w:sz w:val="20"/>
        </w:rPr>
        <w: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Rent expense for </w:t>
      </w:r>
      <w:bookmarkStart w:id="164" w:name="fs_ZF37SKM60W00000000000000000000FM"/>
      <w:bookmarkEnd w:id="164"/>
      <w:r>
        <w:rPr>
          <w:rFonts w:ascii="Times New Roman" w:hAnsi="Times New Roman"/>
          <w:sz w:val="20"/>
        </w:rPr>
        <w:t xml:space="preserve">three and six months ended </w:t>
      </w:r>
      <w:bookmarkStart w:id="165" w:name="fs_5M38THF01S00000000000000000000FM"/>
      <w:bookmarkEnd w:id="165"/>
      <w:r>
        <w:rPr>
          <w:rFonts w:ascii="Times New Roman" w:hAnsi="Times New Roman"/>
          <w:sz w:val="20"/>
        </w:rPr>
        <w:t>June 30, 2026 </w:t>
      </w:r>
      <w:r>
        <w:rPr>
          <w:rFonts w:ascii="Times New Roman" w:hAnsi="Times New Roman"/>
          <w:sz w:val="20"/>
        </w:rPr>
        <w:t xml:space="preserve">and </w:t>
      </w:r>
      <w:bookmarkStart w:id="166" w:name="fs_BW7AADK1G000000000000000000000fs"/>
      <w:bookmarkEnd w:id="166"/>
      <w:r>
        <w:rPr>
          <w:rFonts w:ascii="Times New Roman" w:hAnsi="Times New Roman"/>
          <w:sz w:val="20"/>
        </w:rPr>
        <w:t>2025</w:t>
      </w:r>
      <w:r>
        <w:rPr>
          <w:rFonts w:ascii="times new roman;times" w:hAnsi="times new roman;times"/>
          <w:sz w:val="20"/>
        </w:rPr>
        <w:t> </w:t>
      </w:r>
      <w:r>
        <w:rPr>
          <w:rFonts w:ascii="Times New Roman" w:hAnsi="Times New Roman"/>
          <w:sz w:val="20"/>
        </w:rPr>
        <w:t>was as follows: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2961"/>
        <w:gridCol w:w="171"/>
        <w:gridCol w:w="457"/>
        <w:gridCol w:w="1022"/>
        <w:gridCol w:w="322"/>
        <w:gridCol w:w="323"/>
        <w:gridCol w:w="456"/>
        <w:gridCol w:w="1022"/>
        <w:gridCol w:w="33"/>
        <w:gridCol w:w="32"/>
        <w:gridCol w:w="179"/>
        <w:gridCol w:w="1304"/>
        <w:gridCol w:w="79"/>
        <w:gridCol w:w="78"/>
        <w:gridCol w:w="428"/>
        <w:gridCol w:w="1305"/>
        <w:gridCol w:w="33"/>
      </w:tblGrid>
      <w:tr>
        <w:trPr/>
        <w:tc>
          <w:tcPr>
            <w:tcW w:w="2961" w:type="dxa"/>
            <w:tcBorders/>
            <w:vAlign w:val="bottom"/>
          </w:tcPr>
          <w:p>
            <w:pPr>
              <w:pStyle w:val="TableContents"/>
              <w:pBdr/>
              <w:bidi w:val="0"/>
              <w:spacing w:before="0" w:after="0"/>
              <w:ind w:left="0" w:right="0" w:hanging="0"/>
              <w:jc w:val="left"/>
              <w:rPr/>
            </w:pPr>
            <w:r>
              <w:rPr/>
              <w:t xml:space="preserve">  </w:t>
            </w:r>
          </w:p>
        </w:tc>
        <w:tc>
          <w:tcPr>
            <w:tcW w:w="171" w:type="dxa"/>
            <w:tcBorders/>
            <w:vAlign w:val="bottom"/>
          </w:tcPr>
          <w:p>
            <w:pPr>
              <w:pStyle w:val="TableContents"/>
              <w:pBdr/>
              <w:bidi w:val="0"/>
              <w:spacing w:before="0" w:after="0"/>
              <w:ind w:left="0" w:right="0" w:hanging="0"/>
              <w:jc w:val="left"/>
              <w:rPr/>
            </w:pPr>
            <w:r>
              <w:rPr/>
              <w:t xml:space="preserve">  </w:t>
            </w:r>
          </w:p>
        </w:tc>
        <w:tc>
          <w:tcPr>
            <w:tcW w:w="3602" w:type="dxa"/>
            <w:gridSpan w:val="6"/>
            <w:tcBorders>
              <w:bottom w:val="single" w:sz="4" w:space="0" w:color="000000"/>
            </w:tcBorders>
            <w:tcMar>
              <w:bottom w:w="28" w:type="dxa"/>
            </w:tcMar>
            <w:vAlign w:val="bottom"/>
          </w:tcPr>
          <w:p>
            <w:pPr>
              <w:pStyle w:val="TableContents"/>
              <w:pBdr/>
              <w:bidi w:val="0"/>
              <w:spacing w:before="0" w:after="0"/>
              <w:ind w:left="0" w:right="0" w:hanging="0"/>
              <w:jc w:val="center"/>
              <w:rPr>
                <w:rFonts w:ascii="times new roman;times" w:hAnsi="times new roman;times"/>
                <w:b/>
                <w:sz w:val="20"/>
              </w:rPr>
            </w:pPr>
            <w:bookmarkStart w:id="167" w:name="fs_Y0B6RGS5G000000000000000000000FM"/>
            <w:bookmarkEnd w:id="167"/>
            <w:r>
              <w:rPr>
                <w:rFonts w:ascii="times new roman;times" w:hAnsi="times new roman;times"/>
                <w:b/>
                <w:sz w:val="20"/>
              </w:rPr>
              <w:t>Three months ended June 30,</w:t>
            </w:r>
            <w:r>
              <w:rPr>
                <w:rFonts w:ascii="times new roman;times" w:hAnsi="times new roman;times"/>
                <w:b/>
                <w:sz w:val="20"/>
              </w:rPr>
              <w:t xml:space="preserve"> </w:t>
            </w:r>
          </w:p>
        </w:tc>
        <w:tc>
          <w:tcPr>
            <w:tcW w:w="33" w:type="dxa"/>
            <w:tcBorders>
              <w:bottom w:val="single" w:sz="6" w:space="0" w:color="000000"/>
            </w:tcBorders>
            <w:tcMar>
              <w:bottom w:w="28" w:type="dxa"/>
            </w:tcMar>
            <w:vAlign w:val="bottom"/>
          </w:tcPr>
          <w:p>
            <w:pPr>
              <w:pStyle w:val="TableContents"/>
              <w:bidi w:val="0"/>
              <w:spacing w:before="0" w:after="283"/>
              <w:ind w:left="0" w:right="0" w:hanging="0"/>
              <w:jc w:val="left"/>
              <w:rPr/>
            </w:pPr>
            <w:r>
              <w:rPr/>
            </w:r>
          </w:p>
        </w:tc>
        <w:tc>
          <w:tcPr>
            <w:tcW w:w="32" w:type="dxa"/>
            <w:tcBorders>
              <w:bottom w:val="single" w:sz="6" w:space="0" w:color="000000"/>
            </w:tcBorders>
            <w:tcMar>
              <w:bottom w:w="28" w:type="dxa"/>
            </w:tcMar>
            <w:vAlign w:val="center"/>
          </w:tcPr>
          <w:p>
            <w:pPr>
              <w:pStyle w:val="TableContents"/>
              <w:bidi w:val="0"/>
              <w:spacing w:before="0" w:after="283"/>
              <w:ind w:left="0" w:right="0" w:hanging="0"/>
              <w:jc w:val="left"/>
              <w:rPr/>
            </w:pPr>
            <w:r>
              <w:rPr/>
            </w:r>
          </w:p>
        </w:tc>
        <w:tc>
          <w:tcPr>
            <w:tcW w:w="179" w:type="dxa"/>
            <w:tcBorders>
              <w:bottom w:val="single" w:sz="6" w:space="0" w:color="000000"/>
            </w:tcBorders>
            <w:tcMar>
              <w:bottom w:w="28" w:type="dxa"/>
            </w:tcMar>
            <w:vAlign w:val="bottom"/>
          </w:tcPr>
          <w:p>
            <w:pPr>
              <w:pStyle w:val="TableContents"/>
              <w:bidi w:val="0"/>
              <w:spacing w:before="0" w:after="283"/>
              <w:ind w:left="0" w:right="0" w:hanging="0"/>
              <w:jc w:val="left"/>
              <w:rPr/>
            </w:pPr>
            <w:r>
              <w:rPr/>
            </w:r>
          </w:p>
        </w:tc>
        <w:tc>
          <w:tcPr>
            <w:tcW w:w="3194" w:type="dxa"/>
            <w:gridSpan w:val="5"/>
            <w:tcBorders>
              <w:bottom w:val="single" w:sz="4" w:space="0" w:color="000000"/>
            </w:tcBorders>
            <w:tcMar>
              <w:bottom w:w="28" w:type="dxa"/>
            </w:tcMar>
            <w:vAlign w:val="bottom"/>
          </w:tcPr>
          <w:p>
            <w:pPr>
              <w:pStyle w:val="TableContents"/>
              <w:widowControl/>
              <w:bidi w:val="0"/>
              <w:spacing w:before="0" w:after="0"/>
              <w:ind w:left="0" w:right="0" w:hanging="0"/>
              <w:jc w:val="center"/>
              <w:rPr>
                <w:rFonts w:ascii="Times New Roman" w:hAnsi="Times New Roman"/>
                <w:b/>
                <w:color w:val="000000"/>
                <w:spacing w:val="0"/>
                <w:sz w:val="20"/>
              </w:rPr>
            </w:pPr>
            <w:bookmarkStart w:id="168" w:name="fs_XA0TS4CB5C00000000000000000000FM"/>
            <w:bookmarkEnd w:id="168"/>
            <w:r>
              <w:rPr>
                <w:rFonts w:ascii="Times New Roman" w:hAnsi="Times New Roman"/>
                <w:b/>
                <w:color w:val="000000"/>
                <w:spacing w:val="0"/>
                <w:sz w:val="20"/>
              </w:rPr>
              <w:t>Six months ended June 30,</w:t>
            </w:r>
          </w:p>
        </w:tc>
        <w:tc>
          <w:tcPr>
            <w:tcW w:w="33" w:type="dxa"/>
            <w:tcBorders/>
            <w:vAlign w:val="bottom"/>
          </w:tcPr>
          <w:p>
            <w:pPr>
              <w:pStyle w:val="TableContents"/>
              <w:bidi w:val="0"/>
              <w:spacing w:before="0" w:after="283"/>
              <w:ind w:left="0" w:right="0" w:hanging="0"/>
              <w:jc w:val="left"/>
              <w:rPr/>
            </w:pPr>
            <w:r>
              <w:rPr/>
            </w:r>
          </w:p>
        </w:tc>
      </w:tr>
      <w:tr>
        <w:trPr/>
        <w:tc>
          <w:tcPr>
            <w:tcW w:w="2961" w:type="dxa"/>
            <w:tcBorders/>
            <w:vAlign w:val="bottom"/>
          </w:tcPr>
          <w:p>
            <w:pPr>
              <w:pStyle w:val="TableContents"/>
              <w:pBdr/>
              <w:bidi w:val="0"/>
              <w:spacing w:before="0" w:after="0"/>
              <w:ind w:left="0" w:right="0" w:hanging="0"/>
              <w:jc w:val="left"/>
              <w:rPr/>
            </w:pPr>
            <w:r>
              <w:rPr/>
              <w:t xml:space="preserve">  </w:t>
            </w:r>
          </w:p>
        </w:tc>
        <w:tc>
          <w:tcPr>
            <w:tcW w:w="171" w:type="dxa"/>
            <w:tcBorders/>
            <w:vAlign w:val="bottom"/>
          </w:tcPr>
          <w:p>
            <w:pPr>
              <w:pStyle w:val="TableContents"/>
              <w:pBdr/>
              <w:bidi w:val="0"/>
              <w:spacing w:before="0" w:after="0"/>
              <w:ind w:left="0" w:right="0" w:hanging="0"/>
              <w:jc w:val="left"/>
              <w:rPr/>
            </w:pPr>
            <w:r>
              <w:rPr/>
              <w:t xml:space="preserve">  </w:t>
            </w:r>
          </w:p>
        </w:tc>
        <w:tc>
          <w:tcPr>
            <w:tcW w:w="1479" w:type="dxa"/>
            <w:gridSpan w:val="2"/>
            <w:tcBorders/>
            <w:vAlign w:val="bottom"/>
          </w:tcPr>
          <w:p>
            <w:pPr>
              <w:pStyle w:val="TableContents"/>
              <w:pBdr/>
              <w:bidi w:val="0"/>
              <w:spacing w:before="0" w:after="0"/>
              <w:ind w:left="0" w:right="0" w:hanging="0"/>
              <w:jc w:val="center"/>
              <w:rPr>
                <w:rFonts w:ascii="times new roman;times" w:hAnsi="times new roman;times"/>
                <w:b/>
                <w:sz w:val="20"/>
              </w:rPr>
            </w:pPr>
            <w:bookmarkStart w:id="169" w:name="fs_SY1JRZTXY800000000000000000000fs"/>
            <w:bookmarkEnd w:id="169"/>
            <w:r>
              <w:rPr>
                <w:rFonts w:ascii="times new roman;times" w:hAnsi="times new roman;times"/>
                <w:b/>
                <w:sz w:val="20"/>
              </w:rPr>
              <w:t xml:space="preserve">2026 </w:t>
            </w:r>
          </w:p>
        </w:tc>
        <w:tc>
          <w:tcPr>
            <w:tcW w:w="322" w:type="dxa"/>
            <w:tcBorders/>
            <w:vAlign w:val="bottom"/>
          </w:tcPr>
          <w:p>
            <w:pPr>
              <w:pStyle w:val="TableContents"/>
              <w:pBdr/>
              <w:bidi w:val="0"/>
              <w:spacing w:before="0" w:after="0"/>
              <w:ind w:left="0" w:right="0" w:hanging="0"/>
              <w:jc w:val="left"/>
              <w:rPr/>
            </w:pPr>
            <w:r>
              <w:rPr/>
              <w:t xml:space="preserve">  </w:t>
            </w:r>
          </w:p>
        </w:tc>
        <w:tc>
          <w:tcPr>
            <w:tcW w:w="323" w:type="dxa"/>
            <w:tcBorders/>
            <w:vAlign w:val="bottom"/>
          </w:tcPr>
          <w:p>
            <w:pPr>
              <w:pStyle w:val="TableContents"/>
              <w:pBdr/>
              <w:bidi w:val="0"/>
              <w:spacing w:before="0" w:after="0"/>
              <w:ind w:left="0" w:right="0" w:hanging="0"/>
              <w:jc w:val="left"/>
              <w:rPr/>
            </w:pPr>
            <w:r>
              <w:rPr/>
              <w:t xml:space="preserve">  </w:t>
            </w:r>
          </w:p>
        </w:tc>
        <w:tc>
          <w:tcPr>
            <w:tcW w:w="1478" w:type="dxa"/>
            <w:gridSpan w:val="2"/>
            <w:tcBorders/>
            <w:vAlign w:val="bottom"/>
          </w:tcPr>
          <w:p>
            <w:pPr>
              <w:pStyle w:val="TableContents"/>
              <w:pBdr/>
              <w:bidi w:val="0"/>
              <w:spacing w:before="0" w:after="0"/>
              <w:ind w:left="0" w:right="0" w:hanging="0"/>
              <w:jc w:val="center"/>
              <w:rPr>
                <w:rFonts w:ascii="times new roman;times" w:hAnsi="times new roman;times"/>
                <w:b/>
                <w:sz w:val="20"/>
              </w:rPr>
            </w:pPr>
            <w:bookmarkStart w:id="170" w:name="fs_BYV4K70NNK00000000000000000000fs"/>
            <w:bookmarkEnd w:id="170"/>
            <w:r>
              <w:rPr>
                <w:rFonts w:ascii="times new roman;times" w:hAnsi="times new roman;times"/>
                <w:b/>
                <w:sz w:val="20"/>
              </w:rPr>
              <w:t xml:space="preserve">2025 </w:t>
            </w:r>
          </w:p>
        </w:tc>
        <w:tc>
          <w:tcPr>
            <w:tcW w:w="33" w:type="dxa"/>
            <w:tcBorders/>
            <w:vAlign w:val="bottom"/>
          </w:tcPr>
          <w:p>
            <w:pPr>
              <w:pStyle w:val="TableContents"/>
              <w:bidi w:val="0"/>
              <w:spacing w:before="0" w:after="283"/>
              <w:ind w:left="0" w:right="0" w:hanging="0"/>
              <w:jc w:val="left"/>
              <w:rPr/>
            </w:pPr>
            <w:r>
              <w:rPr/>
            </w:r>
          </w:p>
        </w:tc>
        <w:tc>
          <w:tcPr>
            <w:tcW w:w="32" w:type="dxa"/>
            <w:tcBorders/>
            <w:vAlign w:val="center"/>
          </w:tcPr>
          <w:p>
            <w:pPr>
              <w:pStyle w:val="TableContents"/>
              <w:bidi w:val="0"/>
              <w:spacing w:before="0" w:after="283"/>
              <w:ind w:left="0" w:right="0" w:hanging="0"/>
              <w:jc w:val="left"/>
              <w:rPr/>
            </w:pPr>
            <w:r>
              <w:rPr/>
            </w:r>
          </w:p>
        </w:tc>
        <w:tc>
          <w:tcPr>
            <w:tcW w:w="1483" w:type="dxa"/>
            <w:gridSpan w:val="2"/>
            <w:tcBorders/>
            <w:vAlign w:val="bottom"/>
          </w:tcPr>
          <w:p>
            <w:pPr>
              <w:pStyle w:val="TableContents"/>
              <w:bidi w:val="0"/>
              <w:spacing w:before="0" w:after="0"/>
              <w:ind w:left="0" w:right="0" w:hanging="0"/>
              <w:jc w:val="center"/>
              <w:rPr>
                <w:b/>
              </w:rPr>
            </w:pPr>
            <w:bookmarkStart w:id="171" w:name="fs_IZXBB1YC8G00000000000000000000FM"/>
            <w:bookmarkEnd w:id="171"/>
            <w:r>
              <w:rPr>
                <w:b/>
              </w:rPr>
              <w:t>2026</w:t>
            </w:r>
          </w:p>
        </w:tc>
        <w:tc>
          <w:tcPr>
            <w:tcW w:w="79" w:type="dxa"/>
            <w:tcBorders/>
            <w:vAlign w:val="bottom"/>
          </w:tcPr>
          <w:p>
            <w:pPr>
              <w:pStyle w:val="TableContents"/>
              <w:bidi w:val="0"/>
              <w:spacing w:before="0" w:after="283"/>
              <w:ind w:left="0" w:right="0" w:hanging="0"/>
              <w:jc w:val="left"/>
              <w:rPr/>
            </w:pPr>
            <w:r>
              <w:rPr/>
            </w:r>
          </w:p>
        </w:tc>
        <w:tc>
          <w:tcPr>
            <w:tcW w:w="78" w:type="dxa"/>
            <w:tcBorders/>
            <w:vAlign w:val="bottom"/>
          </w:tcPr>
          <w:p>
            <w:pPr>
              <w:pStyle w:val="TableContents"/>
              <w:bidi w:val="0"/>
              <w:spacing w:before="0" w:after="283"/>
              <w:ind w:left="0" w:right="0" w:hanging="0"/>
              <w:jc w:val="left"/>
              <w:rPr/>
            </w:pPr>
            <w:r>
              <w:rPr/>
            </w:r>
          </w:p>
        </w:tc>
        <w:tc>
          <w:tcPr>
            <w:tcW w:w="1733" w:type="dxa"/>
            <w:gridSpan w:val="2"/>
            <w:tcBorders/>
            <w:vAlign w:val="bottom"/>
          </w:tcPr>
          <w:p>
            <w:pPr>
              <w:pStyle w:val="TableContents"/>
              <w:bidi w:val="0"/>
              <w:spacing w:before="0" w:after="0"/>
              <w:ind w:left="0" w:right="0" w:hanging="0"/>
              <w:jc w:val="center"/>
              <w:rPr>
                <w:b/>
              </w:rPr>
            </w:pPr>
            <w:bookmarkStart w:id="172" w:name="fs_85FH0VAW5C00000000000000000000FM"/>
            <w:bookmarkEnd w:id="172"/>
            <w:r>
              <w:rPr>
                <w:b/>
              </w:rPr>
              <w:t>2025</w:t>
            </w:r>
          </w:p>
        </w:tc>
        <w:tc>
          <w:tcPr>
            <w:tcW w:w="33" w:type="dxa"/>
            <w:tcBorders/>
            <w:vAlign w:val="bottom"/>
          </w:tcPr>
          <w:p>
            <w:pPr>
              <w:pStyle w:val="TableContents"/>
              <w:bidi w:val="0"/>
              <w:spacing w:before="0" w:after="283"/>
              <w:ind w:left="0" w:right="0" w:hanging="0"/>
              <w:jc w:val="left"/>
              <w:rPr/>
            </w:pPr>
            <w:r>
              <w:rPr/>
            </w:r>
          </w:p>
        </w:tc>
      </w:tr>
      <w:tr>
        <w:trPr/>
        <w:tc>
          <w:tcPr>
            <w:tcW w:w="2961" w:type="dxa"/>
            <w:tcBorders/>
            <w:shd w:fill="CCEEFF" w:val="clear"/>
            <w:vAlign w:val="bottom"/>
          </w:tcPr>
          <w:p>
            <w:pPr>
              <w:pStyle w:val="TableContents"/>
              <w:bidi w:val="0"/>
              <w:spacing w:before="0" w:after="0"/>
              <w:ind w:left="0" w:right="0" w:hanging="0"/>
              <w:jc w:val="left"/>
              <w:rPr>
                <w:rFonts w:ascii="Times New Roman;serif" w:hAnsi="Times New Roman;serif"/>
                <w:color w:val="000000"/>
                <w:sz w:val="20"/>
              </w:rPr>
            </w:pPr>
            <w:r>
              <w:rPr>
                <w:rFonts w:ascii="Times New Roman;serif" w:hAnsi="Times New Roman;serif"/>
                <w:color w:val="000000"/>
                <w:sz w:val="20"/>
              </w:rPr>
              <w:t xml:space="preserve">Rent expense </w:t>
            </w:r>
          </w:p>
        </w:tc>
        <w:tc>
          <w:tcPr>
            <w:tcW w:w="171" w:type="dxa"/>
            <w:tcBorders/>
            <w:shd w:fill="CCEEFF" w:val="clear"/>
            <w:vAlign w:val="bottom"/>
          </w:tcPr>
          <w:p>
            <w:pPr>
              <w:pStyle w:val="TableContents"/>
              <w:bidi w:val="0"/>
              <w:spacing w:before="0" w:after="283"/>
              <w:ind w:left="0" w:right="0" w:hanging="0"/>
              <w:jc w:val="left"/>
              <w:rPr/>
            </w:pPr>
            <w:r>
              <w:rPr/>
            </w:r>
          </w:p>
        </w:tc>
        <w:tc>
          <w:tcPr>
            <w:tcW w:w="457" w:type="dxa"/>
            <w:tcBorders/>
            <w:shd w:fill="CCEEFF" w:val="clear"/>
            <w:vAlign w:val="bottom"/>
          </w:tcPr>
          <w:p>
            <w:pPr>
              <w:pStyle w:val="TableContents"/>
              <w:bidi w:val="0"/>
              <w:spacing w:before="0" w:after="283"/>
              <w:ind w:left="0" w:right="0" w:hanging="0"/>
              <w:jc w:val="left"/>
              <w:rPr/>
            </w:pPr>
            <w:r>
              <w:rPr/>
            </w:r>
          </w:p>
        </w:tc>
        <w:tc>
          <w:tcPr>
            <w:tcW w:w="1022" w:type="dxa"/>
            <w:tcBorders/>
            <w:shd w:fill="CCEEFF" w:val="clear"/>
            <w:vAlign w:val="bottom"/>
          </w:tcPr>
          <w:p>
            <w:pPr>
              <w:pStyle w:val="TableContents"/>
              <w:bidi w:val="0"/>
              <w:spacing w:before="0" w:after="283"/>
              <w:ind w:left="0" w:right="0" w:hanging="0"/>
              <w:jc w:val="left"/>
              <w:rPr/>
            </w:pPr>
            <w:r>
              <w:rPr/>
            </w:r>
          </w:p>
        </w:tc>
        <w:tc>
          <w:tcPr>
            <w:tcW w:w="322" w:type="dxa"/>
            <w:tcBorders/>
            <w:shd w:fill="CCEEFF" w:val="clear"/>
            <w:vAlign w:val="bottom"/>
          </w:tcPr>
          <w:p>
            <w:pPr>
              <w:pStyle w:val="TableContents"/>
              <w:bidi w:val="0"/>
              <w:spacing w:before="0" w:after="283"/>
              <w:ind w:left="0" w:right="0" w:hanging="0"/>
              <w:jc w:val="left"/>
              <w:rPr/>
            </w:pPr>
            <w:r>
              <w:rPr/>
            </w:r>
          </w:p>
        </w:tc>
        <w:tc>
          <w:tcPr>
            <w:tcW w:w="323" w:type="dxa"/>
            <w:tcBorders/>
            <w:shd w:fill="CCEEFF" w:val="clear"/>
            <w:vAlign w:val="bottom"/>
          </w:tcPr>
          <w:p>
            <w:pPr>
              <w:pStyle w:val="TableContents"/>
              <w:bidi w:val="0"/>
              <w:spacing w:before="0" w:after="283"/>
              <w:ind w:left="0" w:right="0" w:hanging="0"/>
              <w:jc w:val="left"/>
              <w:rPr/>
            </w:pPr>
            <w:r>
              <w:rPr/>
            </w:r>
          </w:p>
        </w:tc>
        <w:tc>
          <w:tcPr>
            <w:tcW w:w="456" w:type="dxa"/>
            <w:tcBorders/>
            <w:shd w:fill="CCEEFF" w:val="clear"/>
            <w:vAlign w:val="bottom"/>
          </w:tcPr>
          <w:p>
            <w:pPr>
              <w:pStyle w:val="TableContents"/>
              <w:bidi w:val="0"/>
              <w:spacing w:before="0" w:after="283"/>
              <w:ind w:left="0" w:right="0" w:hanging="0"/>
              <w:jc w:val="left"/>
              <w:rPr/>
            </w:pPr>
            <w:r>
              <w:rPr/>
            </w:r>
          </w:p>
        </w:tc>
        <w:tc>
          <w:tcPr>
            <w:tcW w:w="1022" w:type="dxa"/>
            <w:tcBorders/>
            <w:shd w:fill="CCEEFF" w:val="clear"/>
            <w:vAlign w:val="bottom"/>
          </w:tcPr>
          <w:p>
            <w:pPr>
              <w:pStyle w:val="TableContents"/>
              <w:bidi w:val="0"/>
              <w:spacing w:before="0" w:after="283"/>
              <w:ind w:left="0" w:right="0" w:hanging="0"/>
              <w:jc w:val="left"/>
              <w:rPr/>
            </w:pPr>
            <w:r>
              <w:rPr/>
            </w:r>
          </w:p>
        </w:tc>
        <w:tc>
          <w:tcPr>
            <w:tcW w:w="33" w:type="dxa"/>
            <w:tcBorders/>
            <w:shd w:fill="CCEEFF" w:val="clear"/>
            <w:vAlign w:val="bottom"/>
          </w:tcPr>
          <w:p>
            <w:pPr>
              <w:pStyle w:val="TableContents"/>
              <w:bidi w:val="0"/>
              <w:spacing w:before="0" w:after="283"/>
              <w:ind w:left="0" w:right="0" w:hanging="0"/>
              <w:jc w:val="left"/>
              <w:rPr/>
            </w:pPr>
            <w:r>
              <w:rPr/>
            </w:r>
          </w:p>
        </w:tc>
        <w:tc>
          <w:tcPr>
            <w:tcW w:w="32" w:type="dxa"/>
            <w:tcBorders/>
            <w:shd w:fill="CCEEFF" w:val="clear"/>
            <w:vAlign w:val="center"/>
          </w:tcPr>
          <w:p>
            <w:pPr>
              <w:pStyle w:val="TableContents"/>
              <w:bidi w:val="0"/>
              <w:spacing w:before="0" w:after="283"/>
              <w:ind w:left="0" w:right="0" w:hanging="0"/>
              <w:jc w:val="left"/>
              <w:rPr/>
            </w:pPr>
            <w:r>
              <w:rPr/>
            </w:r>
          </w:p>
        </w:tc>
        <w:tc>
          <w:tcPr>
            <w:tcW w:w="179" w:type="dxa"/>
            <w:tcBorders/>
            <w:shd w:fill="CCEEFF" w:val="clear"/>
            <w:vAlign w:val="bottom"/>
          </w:tcPr>
          <w:p>
            <w:pPr>
              <w:pStyle w:val="TableContents"/>
              <w:bidi w:val="0"/>
              <w:spacing w:before="0" w:after="283"/>
              <w:ind w:left="0" w:right="0" w:hanging="0"/>
              <w:jc w:val="left"/>
              <w:rPr/>
            </w:pPr>
            <w:r>
              <w:rPr/>
            </w:r>
          </w:p>
        </w:tc>
        <w:tc>
          <w:tcPr>
            <w:tcW w:w="1304" w:type="dxa"/>
            <w:tcBorders/>
            <w:shd w:fill="CCEEFF" w:val="clear"/>
            <w:vAlign w:val="bottom"/>
          </w:tcPr>
          <w:p>
            <w:pPr>
              <w:pStyle w:val="TableContents"/>
              <w:bidi w:val="0"/>
              <w:spacing w:before="0" w:after="283"/>
              <w:ind w:left="0" w:right="0" w:hanging="0"/>
              <w:jc w:val="left"/>
              <w:rPr/>
            </w:pPr>
            <w:r>
              <w:rPr/>
            </w:r>
          </w:p>
        </w:tc>
        <w:tc>
          <w:tcPr>
            <w:tcW w:w="79" w:type="dxa"/>
            <w:tcBorders/>
            <w:shd w:fill="CCEEFF" w:val="clear"/>
            <w:vAlign w:val="bottom"/>
          </w:tcPr>
          <w:p>
            <w:pPr>
              <w:pStyle w:val="TableContents"/>
              <w:bidi w:val="0"/>
              <w:spacing w:before="0" w:after="283"/>
              <w:ind w:left="0" w:right="0" w:hanging="0"/>
              <w:jc w:val="left"/>
              <w:rPr/>
            </w:pPr>
            <w:r>
              <w:rPr/>
            </w:r>
          </w:p>
        </w:tc>
        <w:tc>
          <w:tcPr>
            <w:tcW w:w="78" w:type="dxa"/>
            <w:tcBorders/>
            <w:shd w:fill="CCEEFF" w:val="clear"/>
            <w:vAlign w:val="bottom"/>
          </w:tcPr>
          <w:p>
            <w:pPr>
              <w:pStyle w:val="TableContents"/>
              <w:bidi w:val="0"/>
              <w:spacing w:before="0" w:after="283"/>
              <w:ind w:left="0" w:right="0" w:hanging="0"/>
              <w:jc w:val="left"/>
              <w:rPr/>
            </w:pPr>
            <w:r>
              <w:rPr/>
            </w:r>
          </w:p>
        </w:tc>
        <w:tc>
          <w:tcPr>
            <w:tcW w:w="428" w:type="dxa"/>
            <w:tcBorders/>
            <w:shd w:fill="CCEEFF" w:val="clear"/>
            <w:vAlign w:val="bottom"/>
          </w:tcPr>
          <w:p>
            <w:pPr>
              <w:pStyle w:val="TableContents"/>
              <w:bidi w:val="0"/>
              <w:spacing w:before="0" w:after="283"/>
              <w:ind w:left="0" w:right="0" w:hanging="0"/>
              <w:jc w:val="left"/>
              <w:rPr/>
            </w:pPr>
            <w:r>
              <w:rPr/>
            </w:r>
          </w:p>
        </w:tc>
        <w:tc>
          <w:tcPr>
            <w:tcW w:w="1305" w:type="dxa"/>
            <w:tcBorders/>
            <w:shd w:fill="CCEEFF" w:val="clear"/>
            <w:vAlign w:val="bottom"/>
          </w:tcPr>
          <w:p>
            <w:pPr>
              <w:pStyle w:val="TableContents"/>
              <w:bidi w:val="0"/>
              <w:spacing w:before="0" w:after="283"/>
              <w:ind w:left="0" w:right="0" w:hanging="0"/>
              <w:jc w:val="left"/>
              <w:rPr/>
            </w:pPr>
            <w:r>
              <w:rPr/>
            </w:r>
          </w:p>
        </w:tc>
        <w:tc>
          <w:tcPr>
            <w:tcW w:w="33" w:type="dxa"/>
            <w:tcBorders/>
            <w:shd w:fill="CCEEFF" w:val="clear"/>
            <w:vAlign w:val="bottom"/>
          </w:tcPr>
          <w:p>
            <w:pPr>
              <w:pStyle w:val="TableContents"/>
              <w:bidi w:val="0"/>
              <w:spacing w:before="0" w:after="283"/>
              <w:ind w:left="0" w:right="0" w:hanging="0"/>
              <w:jc w:val="left"/>
              <w:rPr/>
            </w:pPr>
            <w:r>
              <w:rPr/>
            </w:r>
          </w:p>
        </w:tc>
      </w:tr>
      <w:tr>
        <w:trPr/>
        <w:tc>
          <w:tcPr>
            <w:tcW w:w="2961" w:type="dxa"/>
            <w:tcBorders/>
            <w:vAlign w:val="bottom"/>
          </w:tcPr>
          <w:p>
            <w:pPr>
              <w:pStyle w:val="TableContents"/>
              <w:bidi w:val="0"/>
              <w:spacing w:before="0" w:after="0"/>
              <w:ind w:left="0" w:right="0" w:hanging="0"/>
              <w:jc w:val="left"/>
              <w:rPr/>
            </w:pPr>
            <w:r>
              <w:rPr>
                <w:rFonts w:ascii="Times New Roman;serif" w:hAnsi="Times New Roman;serif"/>
                <w:color w:val="000000"/>
                <w:sz w:val="20"/>
              </w:rPr>
              <w:t>Continuing operations</w:t>
            </w:r>
            <w:r>
              <w:rPr/>
              <w:t xml:space="preserve"> </w:t>
            </w:r>
          </w:p>
        </w:tc>
        <w:tc>
          <w:tcPr>
            <w:tcW w:w="171" w:type="dxa"/>
            <w:tcBorders/>
            <w:vAlign w:val="bottom"/>
          </w:tcPr>
          <w:p>
            <w:pPr>
              <w:pStyle w:val="TableContents"/>
              <w:bidi w:val="0"/>
              <w:spacing w:before="0" w:after="283"/>
              <w:ind w:left="0" w:right="0" w:hanging="0"/>
              <w:jc w:val="left"/>
              <w:rPr/>
            </w:pPr>
            <w:r>
              <w:rPr/>
            </w:r>
          </w:p>
        </w:tc>
        <w:tc>
          <w:tcPr>
            <w:tcW w:w="457" w:type="dxa"/>
            <w:tcBorders/>
            <w:vAlign w:val="bottom"/>
          </w:tcPr>
          <w:p>
            <w:pPr>
              <w:pStyle w:val="TableContents"/>
              <w:bidi w:val="0"/>
              <w:spacing w:before="0" w:after="0"/>
              <w:ind w:left="0" w:right="0" w:hanging="0"/>
              <w:jc w:val="left"/>
              <w:rPr/>
            </w:pPr>
            <w:r>
              <w:rPr/>
              <w:t>$</w:t>
            </w:r>
          </w:p>
        </w:tc>
        <w:tc>
          <w:tcPr>
            <w:tcW w:w="1022" w:type="dxa"/>
            <w:tcBorders/>
            <w:vAlign w:val="bottom"/>
          </w:tcPr>
          <w:p>
            <w:pPr>
              <w:pStyle w:val="TableContents"/>
              <w:bidi w:val="0"/>
              <w:spacing w:before="0" w:after="0"/>
              <w:ind w:left="0" w:right="0" w:hanging="0"/>
              <w:jc w:val="right"/>
              <w:rPr/>
            </w:pPr>
            <w:r>
              <w:rPr/>
              <w:t>—</w:t>
            </w:r>
          </w:p>
        </w:tc>
        <w:tc>
          <w:tcPr>
            <w:tcW w:w="322" w:type="dxa"/>
            <w:tcBorders/>
            <w:vAlign w:val="bottom"/>
          </w:tcPr>
          <w:p>
            <w:pPr>
              <w:pStyle w:val="TableContents"/>
              <w:bidi w:val="0"/>
              <w:spacing w:before="0" w:after="283"/>
              <w:ind w:left="0" w:right="0" w:hanging="0"/>
              <w:jc w:val="left"/>
              <w:rPr/>
            </w:pPr>
            <w:r>
              <w:rPr/>
            </w:r>
          </w:p>
        </w:tc>
        <w:tc>
          <w:tcPr>
            <w:tcW w:w="323" w:type="dxa"/>
            <w:tcBorders/>
            <w:vAlign w:val="bottom"/>
          </w:tcPr>
          <w:p>
            <w:pPr>
              <w:pStyle w:val="TableContents"/>
              <w:bidi w:val="0"/>
              <w:spacing w:before="0" w:after="283"/>
              <w:ind w:left="0" w:right="0" w:hanging="0"/>
              <w:jc w:val="left"/>
              <w:rPr/>
            </w:pPr>
            <w:r>
              <w:rPr/>
            </w:r>
          </w:p>
        </w:tc>
        <w:tc>
          <w:tcPr>
            <w:tcW w:w="456" w:type="dxa"/>
            <w:tcBorders/>
            <w:vAlign w:val="bottom"/>
          </w:tcPr>
          <w:p>
            <w:pPr>
              <w:pStyle w:val="TableContents"/>
              <w:bidi w:val="0"/>
              <w:spacing w:before="0" w:after="0"/>
              <w:ind w:left="0" w:right="0" w:hanging="0"/>
              <w:jc w:val="left"/>
              <w:rPr/>
            </w:pPr>
            <w:r>
              <w:rPr/>
              <w:t>$</w:t>
            </w:r>
          </w:p>
        </w:tc>
        <w:tc>
          <w:tcPr>
            <w:tcW w:w="1022" w:type="dxa"/>
            <w:tcBorders/>
            <w:vAlign w:val="bottom"/>
          </w:tcPr>
          <w:p>
            <w:pPr>
              <w:pStyle w:val="TableContents"/>
              <w:bidi w:val="0"/>
              <w:spacing w:before="0" w:after="0"/>
              <w:ind w:left="0" w:right="0" w:hanging="0"/>
              <w:jc w:val="right"/>
              <w:rPr/>
            </w:pPr>
            <w:r>
              <w:rPr/>
              <w:t>—</w:t>
            </w:r>
          </w:p>
        </w:tc>
        <w:tc>
          <w:tcPr>
            <w:tcW w:w="33" w:type="dxa"/>
            <w:tcBorders/>
            <w:vAlign w:val="bottom"/>
          </w:tcPr>
          <w:p>
            <w:pPr>
              <w:pStyle w:val="TableContents"/>
              <w:bidi w:val="0"/>
              <w:spacing w:before="0" w:after="283"/>
              <w:ind w:left="0" w:right="0" w:hanging="0"/>
              <w:jc w:val="left"/>
              <w:rPr/>
            </w:pPr>
            <w:r>
              <w:rPr/>
            </w:r>
          </w:p>
        </w:tc>
        <w:tc>
          <w:tcPr>
            <w:tcW w:w="32" w:type="dxa"/>
            <w:tcBorders/>
            <w:vAlign w:val="center"/>
          </w:tcPr>
          <w:p>
            <w:pPr>
              <w:pStyle w:val="TableContents"/>
              <w:bidi w:val="0"/>
              <w:spacing w:before="0" w:after="283"/>
              <w:ind w:left="0" w:right="0" w:hanging="0"/>
              <w:jc w:val="left"/>
              <w:rPr/>
            </w:pPr>
            <w:r>
              <w:rPr/>
            </w:r>
          </w:p>
        </w:tc>
        <w:tc>
          <w:tcPr>
            <w:tcW w:w="179" w:type="dxa"/>
            <w:tcBorders/>
            <w:vAlign w:val="bottom"/>
          </w:tcPr>
          <w:p>
            <w:pPr>
              <w:pStyle w:val="TableContents"/>
              <w:widowControl/>
              <w:bidi w:val="0"/>
              <w:spacing w:before="0" w:after="0"/>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1304" w:type="dxa"/>
            <w:tcBorders/>
            <w:vAlign w:val="bottom"/>
          </w:tcPr>
          <w:p>
            <w:pPr>
              <w:pStyle w:val="TableContents"/>
              <w:bidi w:val="0"/>
              <w:spacing w:before="0" w:after="0"/>
              <w:ind w:left="0" w:right="0" w:hanging="0"/>
              <w:jc w:val="right"/>
              <w:rPr/>
            </w:pPr>
            <w:r>
              <w:rPr/>
              <w:t>—</w:t>
            </w:r>
          </w:p>
        </w:tc>
        <w:tc>
          <w:tcPr>
            <w:tcW w:w="79" w:type="dxa"/>
            <w:tcBorders/>
            <w:vAlign w:val="bottom"/>
          </w:tcPr>
          <w:p>
            <w:pPr>
              <w:pStyle w:val="TableContents"/>
              <w:bidi w:val="0"/>
              <w:spacing w:before="0" w:after="283"/>
              <w:ind w:left="0" w:right="0" w:hanging="0"/>
              <w:jc w:val="left"/>
              <w:rPr/>
            </w:pPr>
            <w:r>
              <w:rPr/>
            </w:r>
          </w:p>
        </w:tc>
        <w:tc>
          <w:tcPr>
            <w:tcW w:w="78" w:type="dxa"/>
            <w:tcBorders/>
            <w:vAlign w:val="bottom"/>
          </w:tcPr>
          <w:p>
            <w:pPr>
              <w:pStyle w:val="TableContents"/>
              <w:bidi w:val="0"/>
              <w:spacing w:before="0" w:after="283"/>
              <w:ind w:left="0" w:right="0" w:hanging="0"/>
              <w:jc w:val="left"/>
              <w:rPr/>
            </w:pPr>
            <w:r>
              <w:rPr/>
            </w:r>
          </w:p>
        </w:tc>
        <w:tc>
          <w:tcPr>
            <w:tcW w:w="428" w:type="dxa"/>
            <w:tcBorders/>
            <w:vAlign w:val="bottom"/>
          </w:tcPr>
          <w:p>
            <w:pPr>
              <w:pStyle w:val="TableContents"/>
              <w:widowControl/>
              <w:bidi w:val="0"/>
              <w:spacing w:before="0" w:after="0"/>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1305" w:type="dxa"/>
            <w:tcBorders/>
            <w:vAlign w:val="bottom"/>
          </w:tcPr>
          <w:p>
            <w:pPr>
              <w:pStyle w:val="TableContents"/>
              <w:bidi w:val="0"/>
              <w:spacing w:before="0" w:after="0"/>
              <w:ind w:left="0" w:right="0" w:hanging="0"/>
              <w:jc w:val="right"/>
              <w:rPr/>
            </w:pPr>
            <w:r>
              <w:rPr/>
              <w:t>—</w:t>
            </w:r>
          </w:p>
        </w:tc>
        <w:tc>
          <w:tcPr>
            <w:tcW w:w="33" w:type="dxa"/>
            <w:tcBorders/>
            <w:vAlign w:val="bottom"/>
          </w:tcPr>
          <w:p>
            <w:pPr>
              <w:pStyle w:val="TableContents"/>
              <w:bidi w:val="0"/>
              <w:spacing w:before="0" w:after="283"/>
              <w:ind w:left="0" w:right="0" w:hanging="0"/>
              <w:jc w:val="left"/>
              <w:rPr/>
            </w:pPr>
            <w:r>
              <w:rPr/>
            </w:r>
          </w:p>
        </w:tc>
      </w:tr>
      <w:tr>
        <w:trPr/>
        <w:tc>
          <w:tcPr>
            <w:tcW w:w="2961" w:type="dxa"/>
            <w:tcBorders/>
            <w:shd w:fill="CCEEFF" w:val="clear"/>
            <w:vAlign w:val="bottom"/>
          </w:tcPr>
          <w:p>
            <w:pPr>
              <w:pStyle w:val="TableContents"/>
              <w:bidi w:val="0"/>
              <w:spacing w:before="0" w:after="0"/>
              <w:ind w:left="0" w:right="0" w:hanging="0"/>
              <w:jc w:val="left"/>
              <w:rPr/>
            </w:pPr>
            <w:r>
              <w:rPr>
                <w:rFonts w:ascii="Times New Roman;serif" w:hAnsi="Times New Roman;serif"/>
                <w:color w:val="000000"/>
                <w:sz w:val="20"/>
              </w:rPr>
              <w:t>Discontinued operations</w:t>
            </w:r>
            <w:r>
              <w:rPr/>
              <w:t xml:space="preserve"> </w:t>
            </w:r>
          </w:p>
        </w:tc>
        <w:tc>
          <w:tcPr>
            <w:tcW w:w="171" w:type="dxa"/>
            <w:tcBorders/>
            <w:shd w:fill="CCEEFF" w:val="clear"/>
            <w:vAlign w:val="bottom"/>
          </w:tcPr>
          <w:p>
            <w:pPr>
              <w:pStyle w:val="TableContents"/>
              <w:bidi w:val="0"/>
              <w:spacing w:before="0" w:after="283"/>
              <w:ind w:left="0" w:right="0" w:hanging="0"/>
              <w:jc w:val="left"/>
              <w:rPr/>
            </w:pPr>
            <w:r>
              <w:rPr/>
            </w:r>
          </w:p>
        </w:tc>
        <w:tc>
          <w:tcPr>
            <w:tcW w:w="457" w:type="dxa"/>
            <w:tcBorders/>
            <w:shd w:fill="CCEEFF" w:val="clear"/>
            <w:vAlign w:val="bottom"/>
          </w:tcPr>
          <w:p>
            <w:pPr>
              <w:pStyle w:val="TableContents"/>
              <w:bidi w:val="0"/>
              <w:spacing w:before="0" w:after="283"/>
              <w:ind w:left="0" w:right="0" w:hanging="0"/>
              <w:jc w:val="left"/>
              <w:rPr/>
            </w:pPr>
            <w:r>
              <w:rPr/>
            </w:r>
          </w:p>
        </w:tc>
        <w:tc>
          <w:tcPr>
            <w:tcW w:w="1022" w:type="dxa"/>
            <w:tcBorders/>
            <w:shd w:fill="CCEEFF" w:val="clear"/>
            <w:vAlign w:val="bottom"/>
          </w:tcPr>
          <w:p>
            <w:pPr>
              <w:pStyle w:val="TableContents"/>
              <w:bidi w:val="0"/>
              <w:spacing w:before="0" w:after="0"/>
              <w:ind w:left="0" w:right="0" w:hanging="0"/>
              <w:jc w:val="right"/>
              <w:rPr/>
            </w:pPr>
            <w:r>
              <w:rPr/>
              <w:t>292</w:t>
            </w:r>
          </w:p>
        </w:tc>
        <w:tc>
          <w:tcPr>
            <w:tcW w:w="322" w:type="dxa"/>
            <w:tcBorders/>
            <w:shd w:fill="CCEEFF" w:val="clear"/>
            <w:vAlign w:val="bottom"/>
          </w:tcPr>
          <w:p>
            <w:pPr>
              <w:pStyle w:val="TableContents"/>
              <w:bidi w:val="0"/>
              <w:spacing w:before="0" w:after="283"/>
              <w:ind w:left="0" w:right="0" w:hanging="0"/>
              <w:jc w:val="left"/>
              <w:rPr/>
            </w:pPr>
            <w:r>
              <w:rPr/>
            </w:r>
          </w:p>
        </w:tc>
        <w:tc>
          <w:tcPr>
            <w:tcW w:w="323" w:type="dxa"/>
            <w:tcBorders/>
            <w:shd w:fill="CCEEFF" w:val="clear"/>
            <w:vAlign w:val="bottom"/>
          </w:tcPr>
          <w:p>
            <w:pPr>
              <w:pStyle w:val="TableContents"/>
              <w:bidi w:val="0"/>
              <w:spacing w:before="0" w:after="283"/>
              <w:ind w:left="0" w:right="0" w:hanging="0"/>
              <w:jc w:val="left"/>
              <w:rPr/>
            </w:pPr>
            <w:r>
              <w:rPr/>
            </w:r>
          </w:p>
        </w:tc>
        <w:tc>
          <w:tcPr>
            <w:tcW w:w="456" w:type="dxa"/>
            <w:tcBorders/>
            <w:shd w:fill="CCEEFF" w:val="clear"/>
            <w:vAlign w:val="bottom"/>
          </w:tcPr>
          <w:p>
            <w:pPr>
              <w:pStyle w:val="TableContents"/>
              <w:bidi w:val="0"/>
              <w:spacing w:before="0" w:after="283"/>
              <w:ind w:left="0" w:right="0" w:hanging="0"/>
              <w:jc w:val="left"/>
              <w:rPr/>
            </w:pPr>
            <w:r>
              <w:rPr/>
            </w:r>
          </w:p>
        </w:tc>
        <w:tc>
          <w:tcPr>
            <w:tcW w:w="1022" w:type="dxa"/>
            <w:tcBorders/>
            <w:shd w:fill="CCEEFF" w:val="clear"/>
            <w:vAlign w:val="bottom"/>
          </w:tcPr>
          <w:p>
            <w:pPr>
              <w:pStyle w:val="TableContents"/>
              <w:bidi w:val="0"/>
              <w:spacing w:before="0" w:after="0"/>
              <w:ind w:left="0" w:right="0" w:hanging="0"/>
              <w:jc w:val="right"/>
              <w:rPr/>
            </w:pPr>
            <w:r>
              <w:rPr/>
              <w:t>101</w:t>
            </w:r>
          </w:p>
        </w:tc>
        <w:tc>
          <w:tcPr>
            <w:tcW w:w="33" w:type="dxa"/>
            <w:tcBorders/>
            <w:shd w:fill="CCEEFF" w:val="clear"/>
            <w:vAlign w:val="bottom"/>
          </w:tcPr>
          <w:p>
            <w:pPr>
              <w:pStyle w:val="TableContents"/>
              <w:bidi w:val="0"/>
              <w:spacing w:before="0" w:after="283"/>
              <w:ind w:left="0" w:right="0" w:hanging="0"/>
              <w:jc w:val="left"/>
              <w:rPr/>
            </w:pPr>
            <w:r>
              <w:rPr/>
            </w:r>
          </w:p>
        </w:tc>
        <w:tc>
          <w:tcPr>
            <w:tcW w:w="32" w:type="dxa"/>
            <w:tcBorders/>
            <w:shd w:fill="CCEEFF" w:val="clear"/>
            <w:vAlign w:val="center"/>
          </w:tcPr>
          <w:p>
            <w:pPr>
              <w:pStyle w:val="TableContents"/>
              <w:bidi w:val="0"/>
              <w:spacing w:before="0" w:after="283"/>
              <w:ind w:left="0" w:right="0" w:hanging="0"/>
              <w:jc w:val="left"/>
              <w:rPr/>
            </w:pPr>
            <w:r>
              <w:rPr/>
            </w:r>
          </w:p>
        </w:tc>
        <w:tc>
          <w:tcPr>
            <w:tcW w:w="179" w:type="dxa"/>
            <w:tcBorders/>
            <w:shd w:fill="CCEEFF" w:val="clear"/>
            <w:vAlign w:val="bottom"/>
          </w:tcPr>
          <w:p>
            <w:pPr>
              <w:pStyle w:val="TableContents"/>
              <w:bidi w:val="0"/>
              <w:spacing w:before="0" w:after="283"/>
              <w:ind w:left="0" w:right="0" w:hanging="0"/>
              <w:jc w:val="left"/>
              <w:rPr/>
            </w:pPr>
            <w:r>
              <w:rPr/>
            </w:r>
          </w:p>
        </w:tc>
        <w:tc>
          <w:tcPr>
            <w:tcW w:w="1304" w:type="dxa"/>
            <w:tcBorders/>
            <w:shd w:fill="CCEEFF" w:val="clear"/>
            <w:vAlign w:val="bottom"/>
          </w:tcPr>
          <w:p>
            <w:pPr>
              <w:pStyle w:val="TableContents"/>
              <w:bidi w:val="0"/>
              <w:spacing w:before="0" w:after="0"/>
              <w:ind w:left="0" w:right="0" w:hanging="0"/>
              <w:jc w:val="right"/>
              <w:rPr/>
            </w:pPr>
            <w:r>
              <w:rPr/>
              <w:t>402</w:t>
            </w:r>
          </w:p>
        </w:tc>
        <w:tc>
          <w:tcPr>
            <w:tcW w:w="79" w:type="dxa"/>
            <w:tcBorders/>
            <w:shd w:fill="CCEEFF" w:val="clear"/>
            <w:vAlign w:val="bottom"/>
          </w:tcPr>
          <w:p>
            <w:pPr>
              <w:pStyle w:val="TableContents"/>
              <w:bidi w:val="0"/>
              <w:spacing w:before="0" w:after="283"/>
              <w:ind w:left="0" w:right="0" w:hanging="0"/>
              <w:jc w:val="left"/>
              <w:rPr/>
            </w:pPr>
            <w:r>
              <w:rPr/>
            </w:r>
          </w:p>
        </w:tc>
        <w:tc>
          <w:tcPr>
            <w:tcW w:w="78" w:type="dxa"/>
            <w:tcBorders/>
            <w:shd w:fill="CCEEFF" w:val="clear"/>
            <w:vAlign w:val="bottom"/>
          </w:tcPr>
          <w:p>
            <w:pPr>
              <w:pStyle w:val="TableContents"/>
              <w:bidi w:val="0"/>
              <w:spacing w:before="0" w:after="283"/>
              <w:ind w:left="0" w:right="0" w:hanging="0"/>
              <w:jc w:val="left"/>
              <w:rPr/>
            </w:pPr>
            <w:r>
              <w:rPr/>
            </w:r>
          </w:p>
        </w:tc>
        <w:tc>
          <w:tcPr>
            <w:tcW w:w="428" w:type="dxa"/>
            <w:tcBorders/>
            <w:shd w:fill="CCEEFF" w:val="clear"/>
            <w:vAlign w:val="bottom"/>
          </w:tcPr>
          <w:p>
            <w:pPr>
              <w:pStyle w:val="TableContents"/>
              <w:bidi w:val="0"/>
              <w:spacing w:before="0" w:after="283"/>
              <w:ind w:left="0" w:right="0" w:hanging="0"/>
              <w:jc w:val="left"/>
              <w:rPr/>
            </w:pPr>
            <w:r>
              <w:rPr/>
            </w:r>
          </w:p>
        </w:tc>
        <w:tc>
          <w:tcPr>
            <w:tcW w:w="1305" w:type="dxa"/>
            <w:tcBorders/>
            <w:shd w:fill="CCEEFF" w:val="clear"/>
            <w:vAlign w:val="bottom"/>
          </w:tcPr>
          <w:p>
            <w:pPr>
              <w:pStyle w:val="TableContents"/>
              <w:bidi w:val="0"/>
              <w:spacing w:before="0" w:after="0"/>
              <w:ind w:left="0" w:right="0" w:hanging="0"/>
              <w:jc w:val="right"/>
              <w:rPr/>
            </w:pPr>
            <w:r>
              <w:rPr/>
              <w:t>213</w:t>
            </w:r>
          </w:p>
        </w:tc>
        <w:tc>
          <w:tcPr>
            <w:tcW w:w="33" w:type="dxa"/>
            <w:tcBorders/>
            <w:shd w:fill="CCEEFF" w:val="clear"/>
            <w:vAlign w:val="bottom"/>
          </w:tcPr>
          <w:p>
            <w:pPr>
              <w:pStyle w:val="TableContents"/>
              <w:bidi w:val="0"/>
              <w:spacing w:before="0" w:after="283"/>
              <w:ind w:left="0" w:right="0" w:hanging="0"/>
              <w:jc w:val="left"/>
              <w:rPr/>
            </w:pPr>
            <w:r>
              <w:rPr/>
            </w:r>
          </w:p>
        </w:tc>
      </w:tr>
      <w:tr>
        <w:trPr/>
        <w:tc>
          <w:tcPr>
            <w:tcW w:w="2961" w:type="dxa"/>
            <w:tcBorders/>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rent expense </w:t>
            </w:r>
          </w:p>
        </w:tc>
        <w:tc>
          <w:tcPr>
            <w:tcW w:w="171" w:type="dxa"/>
            <w:tcBorders/>
            <w:vAlign w:val="bottom"/>
          </w:tcPr>
          <w:p>
            <w:pPr>
              <w:pStyle w:val="TableContents"/>
              <w:pBdr/>
              <w:bidi w:val="0"/>
              <w:spacing w:before="0" w:after="0"/>
              <w:ind w:left="0" w:right="0" w:hanging="0"/>
              <w:jc w:val="left"/>
              <w:rPr/>
            </w:pPr>
            <w:r>
              <w:rPr/>
              <w:t xml:space="preserve">  </w:t>
            </w:r>
          </w:p>
        </w:tc>
        <w:tc>
          <w:tcPr>
            <w:tcW w:w="457" w:type="dxa"/>
            <w:tcBorders/>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22"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 xml:space="preserve">292 </w:t>
            </w:r>
          </w:p>
        </w:tc>
        <w:tc>
          <w:tcPr>
            <w:tcW w:w="322" w:type="dxa"/>
            <w:tcBorders/>
            <w:vAlign w:val="bottom"/>
          </w:tcPr>
          <w:p>
            <w:pPr>
              <w:pStyle w:val="TableContents"/>
              <w:pBdr/>
              <w:bidi w:val="0"/>
              <w:spacing w:before="0" w:after="0"/>
              <w:ind w:left="0" w:right="0" w:hanging="0"/>
              <w:jc w:val="left"/>
              <w:rPr/>
            </w:pPr>
            <w:r>
              <w:rPr/>
              <w:t xml:space="preserve">  </w:t>
            </w:r>
          </w:p>
        </w:tc>
        <w:tc>
          <w:tcPr>
            <w:tcW w:w="323" w:type="dxa"/>
            <w:tcBorders/>
            <w:vAlign w:val="bottom"/>
          </w:tcPr>
          <w:p>
            <w:pPr>
              <w:pStyle w:val="TableContents"/>
              <w:pBdr/>
              <w:bidi w:val="0"/>
              <w:spacing w:before="0" w:after="0"/>
              <w:ind w:left="0" w:right="0" w:hanging="0"/>
              <w:jc w:val="left"/>
              <w:rPr/>
            </w:pPr>
            <w:r>
              <w:rPr/>
              <w:t xml:space="preserve">  </w:t>
            </w:r>
          </w:p>
        </w:tc>
        <w:tc>
          <w:tcPr>
            <w:tcW w:w="456" w:type="dxa"/>
            <w:tcBorders/>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 </w:t>
            </w:r>
          </w:p>
        </w:tc>
        <w:tc>
          <w:tcPr>
            <w:tcW w:w="1022" w:type="dxa"/>
            <w:tcBorders/>
            <w:vAlign w:val="bottom"/>
          </w:tcPr>
          <w:p>
            <w:pPr>
              <w:pStyle w:val="TableContents"/>
              <w:pBdr/>
              <w:bidi w:val="0"/>
              <w:spacing w:before="0" w:after="0"/>
              <w:ind w:left="0" w:right="0" w:hanging="0"/>
              <w:jc w:val="right"/>
              <w:rPr>
                <w:rFonts w:ascii="times new roman;times" w:hAnsi="times new roman;times"/>
                <w:sz w:val="20"/>
              </w:rPr>
            </w:pPr>
            <w:r>
              <w:rPr>
                <w:rFonts w:ascii="times new roman;times" w:hAnsi="times new roman;times"/>
                <w:sz w:val="20"/>
              </w:rPr>
              <w:t>101</w:t>
            </w:r>
          </w:p>
        </w:tc>
        <w:tc>
          <w:tcPr>
            <w:tcW w:w="33" w:type="dxa"/>
            <w:tcBorders/>
            <w:vAlign w:val="bottom"/>
          </w:tcPr>
          <w:p>
            <w:pPr>
              <w:pStyle w:val="TableContents"/>
              <w:bidi w:val="0"/>
              <w:spacing w:before="0" w:after="283"/>
              <w:ind w:left="0" w:right="0" w:hanging="0"/>
              <w:jc w:val="left"/>
              <w:rPr/>
            </w:pPr>
            <w:r>
              <w:rPr/>
            </w:r>
          </w:p>
        </w:tc>
        <w:tc>
          <w:tcPr>
            <w:tcW w:w="32" w:type="dxa"/>
            <w:tcBorders/>
            <w:vAlign w:val="center"/>
          </w:tcPr>
          <w:p>
            <w:pPr>
              <w:pStyle w:val="TableContents"/>
              <w:bidi w:val="0"/>
              <w:spacing w:before="0" w:after="283"/>
              <w:ind w:left="0" w:right="0" w:hanging="0"/>
              <w:jc w:val="left"/>
              <w:rPr/>
            </w:pPr>
            <w:r>
              <w:rPr/>
            </w:r>
          </w:p>
        </w:tc>
        <w:tc>
          <w:tcPr>
            <w:tcW w:w="179" w:type="dxa"/>
            <w:tcBorders/>
            <w:vAlign w:val="bottom"/>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1304" w:type="dxa"/>
            <w:tcBorders/>
            <w:vAlign w:val="bottom"/>
          </w:tcPr>
          <w:p>
            <w:pPr>
              <w:pStyle w:val="TableContents"/>
              <w:bidi w:val="0"/>
              <w:spacing w:before="0" w:after="0"/>
              <w:ind w:left="0" w:right="0" w:hanging="0"/>
              <w:jc w:val="right"/>
              <w:rPr/>
            </w:pPr>
            <w:r>
              <w:rPr/>
              <w:t>402</w:t>
            </w:r>
          </w:p>
        </w:tc>
        <w:tc>
          <w:tcPr>
            <w:tcW w:w="79" w:type="dxa"/>
            <w:tcBorders/>
            <w:vAlign w:val="bottom"/>
          </w:tcPr>
          <w:p>
            <w:pPr>
              <w:pStyle w:val="TableContents"/>
              <w:bidi w:val="0"/>
              <w:spacing w:before="0" w:after="283"/>
              <w:ind w:left="0" w:right="0" w:hanging="0"/>
              <w:jc w:val="left"/>
              <w:rPr/>
            </w:pPr>
            <w:r>
              <w:rPr/>
            </w:r>
          </w:p>
        </w:tc>
        <w:tc>
          <w:tcPr>
            <w:tcW w:w="78" w:type="dxa"/>
            <w:tcBorders/>
            <w:vAlign w:val="bottom"/>
          </w:tcPr>
          <w:p>
            <w:pPr>
              <w:pStyle w:val="TableContents"/>
              <w:bidi w:val="0"/>
              <w:spacing w:before="0" w:after="283"/>
              <w:ind w:left="0" w:right="0" w:hanging="0"/>
              <w:jc w:val="left"/>
              <w:rPr/>
            </w:pPr>
            <w:r>
              <w:rPr/>
            </w:r>
          </w:p>
        </w:tc>
        <w:tc>
          <w:tcPr>
            <w:tcW w:w="428" w:type="dxa"/>
            <w:tcBorders/>
            <w:vAlign w:val="bottom"/>
          </w:tcPr>
          <w:p>
            <w:pPr>
              <w:pStyle w:val="TableContents"/>
              <w:widowControl/>
              <w:bidi w:val="0"/>
              <w:spacing w:before="0" w:after="0"/>
              <w:ind w:left="0" w:right="0" w:hanging="0"/>
              <w:jc w:val="left"/>
              <w:rPr>
                <w:rFonts w:ascii="times new roman" w:hAnsi="times new roman"/>
                <w:b w:val="false"/>
                <w:color w:val="000000"/>
                <w:spacing w:val="0"/>
                <w:sz w:val="20"/>
              </w:rPr>
            </w:pPr>
            <w:r>
              <w:rPr>
                <w:rFonts w:ascii="times new roman" w:hAnsi="times new roman"/>
                <w:b w:val="false"/>
                <w:color w:val="000000"/>
                <w:spacing w:val="0"/>
                <w:sz w:val="20"/>
              </w:rPr>
              <w:t>$</w:t>
            </w:r>
          </w:p>
        </w:tc>
        <w:tc>
          <w:tcPr>
            <w:tcW w:w="1305" w:type="dxa"/>
            <w:tcBorders/>
            <w:vAlign w:val="bottom"/>
          </w:tcPr>
          <w:p>
            <w:pPr>
              <w:pStyle w:val="TableContents"/>
              <w:bidi w:val="0"/>
              <w:spacing w:before="0" w:after="0"/>
              <w:ind w:left="0" w:right="0" w:hanging="0"/>
              <w:jc w:val="right"/>
              <w:rPr/>
            </w:pPr>
            <w:r>
              <w:rPr/>
              <w:t>213</w:t>
            </w:r>
          </w:p>
        </w:tc>
        <w:tc>
          <w:tcPr>
            <w:tcW w:w="33" w:type="dxa"/>
            <w:tcBorders/>
            <w:vAlign w:val="bottom"/>
          </w:tcPr>
          <w:p>
            <w:pPr>
              <w:pStyle w:val="TableContents"/>
              <w:bidi w:val="0"/>
              <w:spacing w:before="0" w:after="283"/>
              <w:jc w:val="left"/>
              <w:rPr/>
            </w:pPr>
            <w:r>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0"/>
        <w:ind w:left="0" w:right="0" w:hanging="0"/>
        <w:jc w:val="both"/>
        <w:rPr/>
      </w:pPr>
      <w:r>
        <w:rPr>
          <w:rFonts w:ascii="Times New Roman;serif" w:hAnsi="Times New Roman;serif"/>
          <w:sz w:val="20"/>
        </w:rPr>
        <w:t>As of December 31, 2025, the Company had three operating leases:</w:t>
      </w:r>
      <w:r>
        <w:rPr>
          <w:rFonts w:ascii="Times New Roman" w:hAnsi="Times New Roman"/>
          <w:sz w:val="20"/>
        </w:rPr>
        <w:t xml:space="preserve"> the Edgewater Corporate Park facility at </w:t>
      </w:r>
      <w:bookmarkStart w:id="173" w:name="fs_G6I9J3FQJK00000000000000000000fs"/>
      <w:bookmarkEnd w:id="173"/>
      <w:r>
        <w:rPr>
          <w:rFonts w:ascii="Times New Roman" w:hAnsi="Times New Roman"/>
          <w:sz w:val="20"/>
        </w:rPr>
        <w:t>5225 Wiley Post Way, Salt Lake City, Utah (approximately 9,402 square feet), which supported administrative, sales, marketing, customer support, and warranty operations and was scheduled to expire in February 2028; a facility in Gainesville, Florida; and a warehouse at 363 West 2720 South, Salt Lake City, Utah. The Gainesville and warehouse leases were terminated during the three months ended March 31, 2026.</w:t>
      </w:r>
    </w:p>
    <w:p>
      <w:pPr>
        <w:pStyle w:val="TextBody"/>
        <w:widowControl/>
        <w:bidi w:val="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April 7, 2026, the Company entered into a lease termination agreement with Edgewater Corporate Park, LLC terminating the Edgewater lease in exchange for a termination fee of $300. Upon termination, the Company derecognized the remaining operating lease right-of-use asset of $321 and the related operating lease liability of $337 and recognized a net gain of $16, which is included in the condensed consolidated statements of operations for the three and six months ended June 30, 2026.</w:t>
      </w:r>
    </w:p>
    <w:p>
      <w:pPr>
        <w:pStyle w:val="TextBody"/>
        <w:widowControl/>
        <w:bidi w:val="0"/>
        <w:ind w:left="0" w:right="0" w:hanging="0"/>
        <w:jc w:val="left"/>
        <w:rPr>
          <w:sz w:val="20"/>
        </w:rPr>
      </w:pPr>
      <w:r>
        <w:rPr>
          <w:sz w:val="20"/>
        </w:rPr>
      </w:r>
    </w:p>
    <w:p>
      <w:pPr>
        <w:pStyle w:val="TextBody"/>
        <w:widowControl/>
        <w:bidi w:val="0"/>
        <w:ind w:left="0" w:right="0" w:hanging="0"/>
        <w:jc w:val="left"/>
        <w:rPr>
          <w:rFonts w:ascii="times new roman;times" w:hAnsi="times new roman;times"/>
          <w:b w:val="false"/>
          <w:i w:val="false"/>
          <w:caps w:val="false"/>
          <w:smallCaps w:val="false"/>
          <w:color w:val="000000"/>
          <w:spacing w:val="0"/>
          <w:sz w:val="20"/>
        </w:rPr>
      </w:pPr>
      <w:r>
        <w:rPr>
          <w:rFonts w:ascii="Times New Roman;serif" w:hAnsi="Times New Roman;serif"/>
          <w:b w:val="false"/>
          <w:i w:val="false"/>
          <w:caps w:val="false"/>
          <w:smallCaps w:val="false"/>
          <w:color w:val="000000"/>
          <w:spacing w:val="0"/>
          <w:sz w:val="20"/>
        </w:rPr>
        <w:t>Following these terminations, the Company had no operating leases, no operating lease right-of-use assets, and no operating lease liabilities as of June 30, 2026.</w:t>
      </w:r>
      <w:r>
        <w:rPr>
          <w:rFonts w:ascii="times new roman;times" w:hAnsi="times new roman;times"/>
          <w:b w:val="false"/>
          <w:i w:val="false"/>
          <w:caps w:val="false"/>
          <w:smallCaps w:val="false"/>
          <w:color w:val="000000"/>
          <w:spacing w:val="0"/>
          <w:sz w:val="20"/>
        </w:rPr>
        <w:t xml:space="preserve"> </w:t>
      </w:r>
    </w:p>
    <w:p>
      <w:pPr>
        <w:pStyle w:val="TextBody"/>
        <w:bidi w:val="0"/>
        <w:spacing w:lineRule="auto" w:line="288" w:before="0" w:after="0"/>
        <w:ind w:left="144" w:right="144" w:hanging="0"/>
        <w:jc w:val="both"/>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174" w:name="PageBreakNo16"/>
            <w:bookmarkEnd w:id="174"/>
            <w:r>
              <w:rPr>
                <w:sz w:val="20"/>
              </w:rPr>
              <w:t>16</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left"/>
        <w:rPr/>
      </w:pPr>
      <w:r>
        <w:rPr/>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Supplemental cash flow information related to leases was as follows: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144" w:right="144" w:hanging="0"/>
        <w:jc w:val="center"/>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7035"/>
        <w:gridCol w:w="147"/>
        <w:gridCol w:w="279"/>
        <w:gridCol w:w="911"/>
        <w:gridCol w:w="239"/>
        <w:gridCol w:w="239"/>
        <w:gridCol w:w="279"/>
        <w:gridCol w:w="911"/>
        <w:gridCol w:w="165"/>
      </w:tblGrid>
      <w:tr>
        <w:trPr/>
        <w:tc>
          <w:tcPr>
            <w:tcW w:w="7035" w:type="dxa"/>
            <w:tcBorders/>
            <w:vAlign w:val="bottom"/>
          </w:tcPr>
          <w:p>
            <w:pPr>
              <w:pStyle w:val="TableContents"/>
              <w:bidi w:val="0"/>
              <w:spacing w:before="0" w:after="0"/>
              <w:ind w:left="0" w:right="0" w:hanging="0"/>
              <w:jc w:val="left"/>
              <w:rPr/>
            </w:pPr>
            <w:r>
              <w:rPr/>
              <w:t xml:space="preserve">  </w:t>
            </w:r>
          </w:p>
        </w:tc>
        <w:tc>
          <w:tcPr>
            <w:tcW w:w="147" w:type="dxa"/>
            <w:tcBorders/>
            <w:vAlign w:val="bottom"/>
          </w:tcPr>
          <w:p>
            <w:pPr>
              <w:pStyle w:val="TableContents"/>
              <w:bidi w:val="0"/>
              <w:spacing w:before="0" w:after="0"/>
              <w:ind w:left="0" w:right="0" w:hanging="0"/>
              <w:jc w:val="left"/>
              <w:rPr/>
            </w:pPr>
            <w:r>
              <w:rPr/>
              <w:t xml:space="preserve">  </w:t>
            </w:r>
          </w:p>
        </w:tc>
        <w:tc>
          <w:tcPr>
            <w:tcW w:w="2858" w:type="dxa"/>
            <w:gridSpan w:val="6"/>
            <w:tcBorders/>
            <w:vAlign w:val="bottom"/>
          </w:tcPr>
          <w:p>
            <w:pPr>
              <w:pStyle w:val="TableContents"/>
              <w:bidi w:val="0"/>
              <w:spacing w:before="0" w:after="0"/>
              <w:ind w:left="0" w:right="0" w:hanging="0"/>
              <w:jc w:val="center"/>
              <w:rPr>
                <w:rFonts w:ascii="Times New Roman" w:hAnsi="Times New Roman"/>
                <w:b/>
                <w:sz w:val="20"/>
              </w:rPr>
            </w:pPr>
            <w:bookmarkStart w:id="175" w:name="fs_IO97YORQOW00000000000000000000FM"/>
            <w:bookmarkEnd w:id="175"/>
            <w:r>
              <w:rPr>
                <w:rFonts w:ascii="Times New Roman" w:hAnsi="Times New Roman"/>
                <w:b/>
                <w:sz w:val="20"/>
              </w:rPr>
              <w:t xml:space="preserve">Six Months Ended June 30, </w:t>
            </w:r>
          </w:p>
        </w:tc>
        <w:tc>
          <w:tcPr>
            <w:tcW w:w="165" w:type="dxa"/>
            <w:tcBorders/>
            <w:vAlign w:val="bottom"/>
          </w:tcPr>
          <w:p>
            <w:pPr>
              <w:pStyle w:val="TableContents"/>
              <w:bidi w:val="0"/>
              <w:spacing w:before="0" w:after="0"/>
              <w:ind w:left="0" w:right="0" w:hanging="0"/>
              <w:jc w:val="left"/>
              <w:rPr/>
            </w:pPr>
            <w:r>
              <w:rPr/>
              <w:t xml:space="preserve">  </w:t>
            </w:r>
          </w:p>
        </w:tc>
      </w:tr>
      <w:tr>
        <w:trPr/>
        <w:tc>
          <w:tcPr>
            <w:tcW w:w="7035" w:type="dxa"/>
            <w:tcBorders/>
            <w:vAlign w:val="bottom"/>
          </w:tcPr>
          <w:p>
            <w:pPr>
              <w:pStyle w:val="TableContents"/>
              <w:bidi w:val="0"/>
              <w:spacing w:before="0" w:after="0"/>
              <w:ind w:left="0" w:right="0" w:hanging="0"/>
              <w:jc w:val="left"/>
              <w:rPr/>
            </w:pPr>
            <w:r>
              <w:rPr/>
              <w:t xml:space="preserve">  </w:t>
            </w:r>
          </w:p>
        </w:tc>
        <w:tc>
          <w:tcPr>
            <w:tcW w:w="147" w:type="dxa"/>
            <w:tcBorders/>
            <w:vAlign w:val="bottom"/>
          </w:tcPr>
          <w:p>
            <w:pPr>
              <w:pStyle w:val="TableContents"/>
              <w:bidi w:val="0"/>
              <w:spacing w:before="0" w:after="0"/>
              <w:ind w:left="0" w:right="0" w:hanging="0"/>
              <w:jc w:val="left"/>
              <w:rPr/>
            </w:pPr>
            <w:r>
              <w:rPr/>
              <w:t xml:space="preserve">  </w:t>
            </w:r>
          </w:p>
        </w:tc>
        <w:tc>
          <w:tcPr>
            <w:tcW w:w="1190" w:type="dxa"/>
            <w:gridSpan w:val="2"/>
            <w:tcBorders/>
            <w:vAlign w:val="bottom"/>
          </w:tcPr>
          <w:p>
            <w:pPr>
              <w:pStyle w:val="TableContents"/>
              <w:bidi w:val="0"/>
              <w:spacing w:before="0" w:after="0"/>
              <w:ind w:left="0" w:right="0" w:hanging="0"/>
              <w:jc w:val="center"/>
              <w:rPr>
                <w:rFonts w:ascii="Times New Roman" w:hAnsi="Times New Roman"/>
                <w:b/>
                <w:sz w:val="20"/>
              </w:rPr>
            </w:pPr>
            <w:bookmarkStart w:id="176" w:name="fs_WMFH0ZLQYO00000000000000000000fs"/>
            <w:bookmarkEnd w:id="176"/>
            <w:r>
              <w:rPr>
                <w:rFonts w:ascii="Times New Roman" w:hAnsi="Times New Roman"/>
                <w:b/>
                <w:sz w:val="20"/>
              </w:rPr>
              <w:t xml:space="preserve">2026 </w:t>
            </w:r>
          </w:p>
        </w:tc>
        <w:tc>
          <w:tcPr>
            <w:tcW w:w="239" w:type="dxa"/>
            <w:tcBorders/>
            <w:vAlign w:val="bottom"/>
          </w:tcPr>
          <w:p>
            <w:pPr>
              <w:pStyle w:val="TableContents"/>
              <w:bidi w:val="0"/>
              <w:spacing w:before="0" w:after="0"/>
              <w:ind w:left="0" w:right="0" w:hanging="0"/>
              <w:jc w:val="left"/>
              <w:rPr/>
            </w:pPr>
            <w:r>
              <w:rPr/>
              <w:t xml:space="preserve">  </w:t>
            </w:r>
          </w:p>
        </w:tc>
        <w:tc>
          <w:tcPr>
            <w:tcW w:w="239" w:type="dxa"/>
            <w:tcBorders/>
            <w:vAlign w:val="bottom"/>
          </w:tcPr>
          <w:p>
            <w:pPr>
              <w:pStyle w:val="TableContents"/>
              <w:bidi w:val="0"/>
              <w:spacing w:before="0" w:after="0"/>
              <w:ind w:left="0" w:right="0" w:hanging="0"/>
              <w:jc w:val="left"/>
              <w:rPr/>
            </w:pPr>
            <w:r>
              <w:rPr/>
              <w:t xml:space="preserve">  </w:t>
            </w:r>
          </w:p>
        </w:tc>
        <w:tc>
          <w:tcPr>
            <w:tcW w:w="1190" w:type="dxa"/>
            <w:gridSpan w:val="2"/>
            <w:tcBorders/>
            <w:vAlign w:val="bottom"/>
          </w:tcPr>
          <w:p>
            <w:pPr>
              <w:pStyle w:val="TableContents"/>
              <w:bidi w:val="0"/>
              <w:spacing w:before="0" w:after="0"/>
              <w:ind w:left="0" w:right="0" w:hanging="0"/>
              <w:jc w:val="center"/>
              <w:rPr>
                <w:rFonts w:ascii="Times New Roman" w:hAnsi="Times New Roman"/>
                <w:b/>
                <w:sz w:val="20"/>
              </w:rPr>
            </w:pPr>
            <w:bookmarkStart w:id="177" w:name="fs_6436FJTWWW00000000000000000000fs"/>
            <w:bookmarkEnd w:id="177"/>
            <w:r>
              <w:rPr>
                <w:rFonts w:ascii="Times New Roman" w:hAnsi="Times New Roman"/>
                <w:b/>
                <w:sz w:val="20"/>
              </w:rPr>
              <w:t xml:space="preserve">2025 </w:t>
            </w:r>
          </w:p>
        </w:tc>
        <w:tc>
          <w:tcPr>
            <w:tcW w:w="165" w:type="dxa"/>
            <w:tcBorders/>
            <w:vAlign w:val="bottom"/>
          </w:tcPr>
          <w:p>
            <w:pPr>
              <w:pStyle w:val="TableContents"/>
              <w:bidi w:val="0"/>
              <w:spacing w:before="0" w:after="0"/>
              <w:ind w:left="0" w:right="0" w:hanging="0"/>
              <w:jc w:val="left"/>
              <w:rPr/>
            </w:pPr>
            <w:r>
              <w:rPr/>
              <w:t xml:space="preserve">  </w:t>
            </w:r>
          </w:p>
        </w:tc>
      </w:tr>
      <w:tr>
        <w:trPr/>
        <w:tc>
          <w:tcPr>
            <w:tcW w:w="7035"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Cash paid for amounts included in the measurement of lease liabilities </w:t>
            </w:r>
          </w:p>
        </w:tc>
        <w:tc>
          <w:tcPr>
            <w:tcW w:w="147" w:type="dxa"/>
            <w:tcBorders/>
            <w:shd w:fill="CCEEFF" w:val="clear"/>
            <w:vAlign w:val="bottom"/>
          </w:tcPr>
          <w:p>
            <w:pPr>
              <w:pStyle w:val="TableContents"/>
              <w:bidi w:val="0"/>
              <w:spacing w:before="0" w:after="0"/>
              <w:ind w:left="0" w:right="0" w:hanging="0"/>
              <w:jc w:val="left"/>
              <w:rPr/>
            </w:pPr>
            <w:r>
              <w:rPr/>
              <w:t xml:space="preserve">  </w:t>
            </w:r>
          </w:p>
        </w:tc>
        <w:tc>
          <w:tcPr>
            <w:tcW w:w="279" w:type="dxa"/>
            <w:tcBorders/>
            <w:shd w:fill="CCEEFF" w:val="clear"/>
            <w:vAlign w:val="bottom"/>
          </w:tcPr>
          <w:p>
            <w:pPr>
              <w:pStyle w:val="TableContents"/>
              <w:bidi w:val="0"/>
              <w:spacing w:before="0" w:after="283"/>
              <w:jc w:val="left"/>
              <w:rPr/>
            </w:pPr>
            <w:r>
              <w:rPr/>
            </w:r>
          </w:p>
        </w:tc>
        <w:tc>
          <w:tcPr>
            <w:tcW w:w="911" w:type="dxa"/>
            <w:tcBorders/>
            <w:shd w:fill="CCEEFF" w:val="clear"/>
            <w:vAlign w:val="bottom"/>
          </w:tcPr>
          <w:p>
            <w:pPr>
              <w:pStyle w:val="TableContents"/>
              <w:bidi w:val="0"/>
              <w:spacing w:before="0" w:after="283"/>
              <w:jc w:val="left"/>
              <w:rPr/>
            </w:pPr>
            <w:r>
              <w:rPr/>
            </w:r>
          </w:p>
        </w:tc>
        <w:tc>
          <w:tcPr>
            <w:tcW w:w="239" w:type="dxa"/>
            <w:tcBorders/>
            <w:shd w:fill="CCEEFF" w:val="clear"/>
            <w:vAlign w:val="bottom"/>
          </w:tcPr>
          <w:p>
            <w:pPr>
              <w:pStyle w:val="TableContents"/>
              <w:bidi w:val="0"/>
              <w:spacing w:before="0" w:after="0"/>
              <w:ind w:left="0" w:right="0" w:hanging="0"/>
              <w:jc w:val="left"/>
              <w:rPr/>
            </w:pPr>
            <w:r>
              <w:rPr/>
              <w:t xml:space="preserve">  </w:t>
            </w:r>
          </w:p>
        </w:tc>
        <w:tc>
          <w:tcPr>
            <w:tcW w:w="239" w:type="dxa"/>
            <w:tcBorders/>
            <w:shd w:fill="CCEEFF" w:val="clear"/>
            <w:vAlign w:val="bottom"/>
          </w:tcPr>
          <w:p>
            <w:pPr>
              <w:pStyle w:val="TableContents"/>
              <w:bidi w:val="0"/>
              <w:spacing w:before="0" w:after="0"/>
              <w:ind w:left="0" w:right="0" w:hanging="0"/>
              <w:jc w:val="left"/>
              <w:rPr/>
            </w:pPr>
            <w:r>
              <w:rPr/>
              <w:t xml:space="preserve">  </w:t>
            </w:r>
          </w:p>
        </w:tc>
        <w:tc>
          <w:tcPr>
            <w:tcW w:w="279" w:type="dxa"/>
            <w:tcBorders/>
            <w:shd w:fill="CCEEFF" w:val="clear"/>
            <w:vAlign w:val="bottom"/>
          </w:tcPr>
          <w:p>
            <w:pPr>
              <w:pStyle w:val="TableContents"/>
              <w:bidi w:val="0"/>
              <w:spacing w:before="0" w:after="0"/>
              <w:ind w:left="0" w:right="0" w:hanging="0"/>
              <w:jc w:val="left"/>
              <w:rPr/>
            </w:pPr>
            <w:r>
              <w:rPr/>
            </w:r>
          </w:p>
        </w:tc>
        <w:tc>
          <w:tcPr>
            <w:tcW w:w="911" w:type="dxa"/>
            <w:tcBorders/>
            <w:shd w:fill="CCEEFF" w:val="clear"/>
            <w:vAlign w:val="bottom"/>
          </w:tcPr>
          <w:p>
            <w:pPr>
              <w:pStyle w:val="TableContents"/>
              <w:bidi w:val="0"/>
              <w:spacing w:before="0" w:after="0"/>
              <w:ind w:left="0" w:right="0" w:hanging="0"/>
              <w:jc w:val="right"/>
              <w:rPr/>
            </w:pPr>
            <w:r>
              <w:rPr/>
            </w:r>
          </w:p>
        </w:tc>
        <w:tc>
          <w:tcPr>
            <w:tcW w:w="165" w:type="dxa"/>
            <w:tcBorders/>
            <w:shd w:fill="CCEEFF" w:val="clear"/>
            <w:vAlign w:val="bottom"/>
          </w:tcPr>
          <w:p>
            <w:pPr>
              <w:pStyle w:val="TableContents"/>
              <w:bidi w:val="0"/>
              <w:spacing w:before="0" w:after="0"/>
              <w:ind w:left="0" w:right="0" w:hanging="0"/>
              <w:jc w:val="left"/>
              <w:rPr/>
            </w:pPr>
            <w:r>
              <w:rPr/>
              <w:t xml:space="preserve">  </w:t>
            </w:r>
          </w:p>
        </w:tc>
      </w:tr>
      <w:tr>
        <w:trPr/>
        <w:tc>
          <w:tcPr>
            <w:tcW w:w="7035"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Operating cash flows from operating leases</w:t>
            </w:r>
          </w:p>
        </w:tc>
        <w:tc>
          <w:tcPr>
            <w:tcW w:w="147" w:type="dxa"/>
            <w:tcBorders/>
            <w:vAlign w:val="bottom"/>
          </w:tcPr>
          <w:p>
            <w:pPr>
              <w:pStyle w:val="TableContents"/>
              <w:bidi w:val="0"/>
              <w:spacing w:before="0" w:after="283"/>
              <w:jc w:val="left"/>
              <w:rPr/>
            </w:pPr>
            <w:r>
              <w:rPr/>
            </w:r>
          </w:p>
        </w:tc>
        <w:tc>
          <w:tcPr>
            <w:tcW w:w="279" w:type="dxa"/>
            <w:tcBorders/>
            <w:vAlign w:val="bottom"/>
          </w:tcPr>
          <w:p>
            <w:pPr>
              <w:pStyle w:val="TableContents"/>
              <w:bidi w:val="0"/>
              <w:spacing w:before="0" w:after="283"/>
              <w:jc w:val="left"/>
              <w:rPr/>
            </w:pPr>
            <w:r>
              <w:rPr/>
              <w:t>$</w:t>
            </w:r>
          </w:p>
        </w:tc>
        <w:tc>
          <w:tcPr>
            <w:tcW w:w="911" w:type="dxa"/>
            <w:tcBorders/>
            <w:vAlign w:val="bottom"/>
          </w:tcPr>
          <w:p>
            <w:pPr>
              <w:pStyle w:val="TableContents"/>
              <w:bidi w:val="0"/>
              <w:spacing w:before="0" w:after="283"/>
              <w:jc w:val="right"/>
              <w:rPr/>
            </w:pPr>
            <w:r>
              <w:rPr/>
              <w:t>(176</w:t>
            </w:r>
          </w:p>
        </w:tc>
        <w:tc>
          <w:tcPr>
            <w:tcW w:w="239" w:type="dxa"/>
            <w:tcBorders/>
            <w:vAlign w:val="bottom"/>
          </w:tcPr>
          <w:p>
            <w:pPr>
              <w:pStyle w:val="TableContents"/>
              <w:widowControl/>
              <w:bidi w:val="0"/>
              <w:spacing w:before="0" w:after="283"/>
              <w:ind w:left="0" w:right="0" w:hanging="0"/>
              <w:jc w:val="righ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239" w:type="dxa"/>
            <w:tcBorders/>
            <w:vAlign w:val="bottom"/>
          </w:tcPr>
          <w:p>
            <w:pPr>
              <w:pStyle w:val="TableContents"/>
              <w:bidi w:val="0"/>
              <w:spacing w:before="0" w:after="283"/>
              <w:jc w:val="left"/>
              <w:rPr/>
            </w:pPr>
            <w:r>
              <w:rPr/>
            </w:r>
          </w:p>
        </w:tc>
        <w:tc>
          <w:tcPr>
            <w:tcW w:w="279" w:type="dxa"/>
            <w:tcBorders/>
            <w:vAlign w:val="bottom"/>
          </w:tcPr>
          <w:p>
            <w:pPr>
              <w:pStyle w:val="TableContents"/>
              <w:bidi w:val="0"/>
              <w:spacing w:before="0" w:after="283"/>
              <w:jc w:val="left"/>
              <w:rPr/>
            </w:pPr>
            <w:r>
              <w:rPr/>
              <w:t>$</w:t>
            </w:r>
          </w:p>
        </w:tc>
        <w:tc>
          <w:tcPr>
            <w:tcW w:w="911" w:type="dxa"/>
            <w:tcBorders/>
            <w:vAlign w:val="bottom"/>
          </w:tcPr>
          <w:p>
            <w:pPr>
              <w:pStyle w:val="TableContents"/>
              <w:bidi w:val="0"/>
              <w:spacing w:before="0" w:after="283"/>
              <w:jc w:val="right"/>
              <w:rPr/>
            </w:pPr>
            <w:r>
              <w:rPr/>
              <w:t>(167</w:t>
            </w:r>
          </w:p>
        </w:tc>
        <w:tc>
          <w:tcPr>
            <w:tcW w:w="165" w:type="dxa"/>
            <w:tcBorders/>
            <w:vAlign w:val="bottom"/>
          </w:tcPr>
          <w:p>
            <w:pPr>
              <w:pStyle w:val="TableContents"/>
              <w:bidi w:val="0"/>
              <w:spacing w:before="0" w:after="283"/>
              <w:jc w:val="left"/>
              <w:rPr/>
            </w:pPr>
            <w:r>
              <w:rPr/>
              <w:t>)</w:t>
            </w:r>
          </w:p>
        </w:tc>
      </w:tr>
      <w:tr>
        <w:trPr/>
        <w:tc>
          <w:tcPr>
            <w:tcW w:w="7035" w:type="dxa"/>
            <w:tcBorders/>
            <w:shd w:fill="CCEEFF" w:val="clear"/>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Right-of-use assets obtained in exchange for lease obligations:</w:t>
            </w:r>
          </w:p>
        </w:tc>
        <w:tc>
          <w:tcPr>
            <w:tcW w:w="147" w:type="dxa"/>
            <w:tcBorders/>
            <w:shd w:fill="CCEEFF" w:val="clear"/>
            <w:vAlign w:val="bottom"/>
          </w:tcPr>
          <w:p>
            <w:pPr>
              <w:pStyle w:val="TableContents"/>
              <w:bidi w:val="0"/>
              <w:spacing w:before="0" w:after="283"/>
              <w:jc w:val="left"/>
              <w:rPr/>
            </w:pPr>
            <w:r>
              <w:rPr/>
            </w:r>
          </w:p>
        </w:tc>
        <w:tc>
          <w:tcPr>
            <w:tcW w:w="279" w:type="dxa"/>
            <w:tcBorders/>
            <w:shd w:fill="CCEEFF" w:val="clear"/>
            <w:vAlign w:val="bottom"/>
          </w:tcPr>
          <w:p>
            <w:pPr>
              <w:pStyle w:val="TableContents"/>
              <w:bidi w:val="0"/>
              <w:spacing w:before="0" w:after="283"/>
              <w:jc w:val="left"/>
              <w:rPr/>
            </w:pPr>
            <w:r>
              <w:rPr/>
            </w:r>
          </w:p>
        </w:tc>
        <w:tc>
          <w:tcPr>
            <w:tcW w:w="911" w:type="dxa"/>
            <w:tcBorders/>
            <w:shd w:fill="CCEEFF" w:val="clear"/>
            <w:vAlign w:val="bottom"/>
          </w:tcPr>
          <w:p>
            <w:pPr>
              <w:pStyle w:val="TableContents"/>
              <w:bidi w:val="0"/>
              <w:spacing w:before="0" w:after="283"/>
              <w:jc w:val="left"/>
              <w:rPr/>
            </w:pPr>
            <w:r>
              <w:rPr/>
            </w:r>
          </w:p>
        </w:tc>
        <w:tc>
          <w:tcPr>
            <w:tcW w:w="239" w:type="dxa"/>
            <w:tcBorders/>
            <w:shd w:fill="CCEEFF" w:val="clear"/>
            <w:vAlign w:val="bottom"/>
          </w:tcPr>
          <w:p>
            <w:pPr>
              <w:pStyle w:val="TableContents"/>
              <w:bidi w:val="0"/>
              <w:spacing w:before="0" w:after="283"/>
              <w:jc w:val="left"/>
              <w:rPr/>
            </w:pPr>
            <w:r>
              <w:rPr/>
            </w:r>
          </w:p>
        </w:tc>
        <w:tc>
          <w:tcPr>
            <w:tcW w:w="239" w:type="dxa"/>
            <w:tcBorders/>
            <w:shd w:fill="CCEEFF" w:val="clear"/>
            <w:vAlign w:val="bottom"/>
          </w:tcPr>
          <w:p>
            <w:pPr>
              <w:pStyle w:val="TableContents"/>
              <w:bidi w:val="0"/>
              <w:spacing w:before="0" w:after="283"/>
              <w:jc w:val="left"/>
              <w:rPr/>
            </w:pPr>
            <w:r>
              <w:rPr/>
            </w:r>
          </w:p>
        </w:tc>
        <w:tc>
          <w:tcPr>
            <w:tcW w:w="279" w:type="dxa"/>
            <w:tcBorders/>
            <w:shd w:fill="CCEEFF" w:val="clear"/>
            <w:vAlign w:val="bottom"/>
          </w:tcPr>
          <w:p>
            <w:pPr>
              <w:pStyle w:val="TableContents"/>
              <w:bidi w:val="0"/>
              <w:spacing w:before="0" w:after="283"/>
              <w:jc w:val="left"/>
              <w:rPr/>
            </w:pPr>
            <w:r>
              <w:rPr/>
            </w:r>
          </w:p>
        </w:tc>
        <w:tc>
          <w:tcPr>
            <w:tcW w:w="911" w:type="dxa"/>
            <w:tcBorders/>
            <w:shd w:fill="CCEEFF" w:val="clear"/>
            <w:vAlign w:val="bottom"/>
          </w:tcPr>
          <w:p>
            <w:pPr>
              <w:pStyle w:val="TableContents"/>
              <w:bidi w:val="0"/>
              <w:spacing w:before="0" w:after="283"/>
              <w:jc w:val="left"/>
              <w:rPr/>
            </w:pPr>
            <w:r>
              <w:rPr/>
            </w:r>
          </w:p>
        </w:tc>
        <w:tc>
          <w:tcPr>
            <w:tcW w:w="165" w:type="dxa"/>
            <w:tcBorders/>
            <w:shd w:fill="CCEEFF" w:val="clear"/>
            <w:vAlign w:val="bottom"/>
          </w:tcPr>
          <w:p>
            <w:pPr>
              <w:pStyle w:val="TableContents"/>
              <w:bidi w:val="0"/>
              <w:spacing w:before="0" w:after="283"/>
              <w:jc w:val="left"/>
              <w:rPr/>
            </w:pPr>
            <w:r>
              <w:rPr/>
            </w:r>
          </w:p>
        </w:tc>
      </w:tr>
      <w:tr>
        <w:trPr/>
        <w:tc>
          <w:tcPr>
            <w:tcW w:w="7035" w:type="dxa"/>
            <w:tcBorders/>
            <w:vAlign w:val="bottom"/>
          </w:tcPr>
          <w:p>
            <w:pPr>
              <w:pStyle w:val="TableContents"/>
              <w:widowControl/>
              <w:bidi w:val="0"/>
              <w:spacing w:before="0" w:after="283"/>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Operating leases</w:t>
            </w:r>
          </w:p>
        </w:tc>
        <w:tc>
          <w:tcPr>
            <w:tcW w:w="147" w:type="dxa"/>
            <w:tcBorders/>
            <w:vAlign w:val="bottom"/>
          </w:tcPr>
          <w:p>
            <w:pPr>
              <w:pStyle w:val="TableContents"/>
              <w:bidi w:val="0"/>
              <w:spacing w:before="0" w:after="283"/>
              <w:jc w:val="left"/>
              <w:rPr/>
            </w:pPr>
            <w:r>
              <w:rPr/>
            </w:r>
          </w:p>
        </w:tc>
        <w:tc>
          <w:tcPr>
            <w:tcW w:w="279" w:type="dxa"/>
            <w:tcBorders/>
            <w:vAlign w:val="bottom"/>
          </w:tcPr>
          <w:p>
            <w:pPr>
              <w:pStyle w:val="TableContents"/>
              <w:bidi w:val="0"/>
              <w:spacing w:before="0" w:after="283"/>
              <w:jc w:val="left"/>
              <w:rPr/>
            </w:pPr>
            <w:r>
              <w:rPr/>
              <w:t>$</w:t>
            </w:r>
          </w:p>
        </w:tc>
        <w:tc>
          <w:tcPr>
            <w:tcW w:w="911" w:type="dxa"/>
            <w:tcBorders/>
            <w:vAlign w:val="bottom"/>
          </w:tcPr>
          <w:p>
            <w:pPr>
              <w:pStyle w:val="TableContents"/>
              <w:bidi w:val="0"/>
              <w:spacing w:before="0" w:after="283"/>
              <w:jc w:val="right"/>
              <w:rPr/>
            </w:pPr>
            <w:r>
              <w:rPr/>
              <w:t>—</w:t>
            </w:r>
          </w:p>
        </w:tc>
        <w:tc>
          <w:tcPr>
            <w:tcW w:w="239" w:type="dxa"/>
            <w:tcBorders/>
            <w:vAlign w:val="bottom"/>
          </w:tcPr>
          <w:p>
            <w:pPr>
              <w:pStyle w:val="TableContents"/>
              <w:bidi w:val="0"/>
              <w:spacing w:before="0" w:after="283"/>
              <w:jc w:val="left"/>
              <w:rPr/>
            </w:pPr>
            <w:r>
              <w:rPr/>
            </w:r>
          </w:p>
        </w:tc>
        <w:tc>
          <w:tcPr>
            <w:tcW w:w="239" w:type="dxa"/>
            <w:tcBorders/>
            <w:vAlign w:val="bottom"/>
          </w:tcPr>
          <w:p>
            <w:pPr>
              <w:pStyle w:val="TableContents"/>
              <w:bidi w:val="0"/>
              <w:spacing w:before="0" w:after="283"/>
              <w:jc w:val="left"/>
              <w:rPr/>
            </w:pPr>
            <w:r>
              <w:rPr/>
            </w:r>
          </w:p>
        </w:tc>
        <w:tc>
          <w:tcPr>
            <w:tcW w:w="279" w:type="dxa"/>
            <w:tcBorders/>
            <w:vAlign w:val="bottom"/>
          </w:tcPr>
          <w:p>
            <w:pPr>
              <w:pStyle w:val="TableContents"/>
              <w:bidi w:val="0"/>
              <w:spacing w:before="0" w:after="283"/>
              <w:jc w:val="left"/>
              <w:rPr/>
            </w:pPr>
            <w:r>
              <w:rPr/>
              <w:t>$</w:t>
            </w:r>
          </w:p>
        </w:tc>
        <w:tc>
          <w:tcPr>
            <w:tcW w:w="911" w:type="dxa"/>
            <w:tcBorders/>
            <w:vAlign w:val="bottom"/>
          </w:tcPr>
          <w:p>
            <w:pPr>
              <w:pStyle w:val="TableContents"/>
              <w:bidi w:val="0"/>
              <w:spacing w:before="0" w:after="283"/>
              <w:jc w:val="right"/>
              <w:rPr/>
            </w:pPr>
            <w:r>
              <w:rPr/>
              <w:t>—</w:t>
            </w:r>
          </w:p>
        </w:tc>
        <w:tc>
          <w:tcPr>
            <w:tcW w:w="165" w:type="dxa"/>
            <w:tcBorders/>
            <w:vAlign w:val="bottom"/>
          </w:tcPr>
          <w:p>
            <w:pPr>
              <w:pStyle w:val="TableContents"/>
              <w:bidi w:val="0"/>
              <w:spacing w:before="0" w:after="283"/>
              <w:jc w:val="left"/>
              <w:rPr>
                <w:sz w:val="4"/>
                <w:szCs w:val="4"/>
              </w:rPr>
            </w:pPr>
            <w:r>
              <w:rPr>
                <w:sz w:val="4"/>
                <w:szCs w:val="4"/>
              </w:rPr>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Supplemental balance sheet information related to leases was as follows:</w:t>
      </w:r>
      <w:r>
        <w:rPr>
          <w:rFonts w:ascii="times new roman;times" w:hAnsi="times new roman;times"/>
          <w:sz w:val="20"/>
        </w:rPr>
        <w: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pPr>
      <w:r>
        <w:rPr/>
      </w:r>
    </w:p>
    <w:tbl>
      <w:tblPr>
        <w:tblW w:w="5000" w:type="pct"/>
        <w:jc w:val="left"/>
        <w:tblInd w:w="0" w:type="dxa"/>
        <w:tblLayout w:type="fixed"/>
        <w:tblCellMar>
          <w:top w:w="0" w:type="dxa"/>
          <w:left w:w="0" w:type="dxa"/>
          <w:bottom w:w="0" w:type="dxa"/>
          <w:right w:w="0" w:type="dxa"/>
        </w:tblCellMar>
      </w:tblPr>
      <w:tblGrid>
        <w:gridCol w:w="6289"/>
        <w:gridCol w:w="112"/>
        <w:gridCol w:w="519"/>
        <w:gridCol w:w="832"/>
        <w:gridCol w:w="215"/>
        <w:gridCol w:w="112"/>
        <w:gridCol w:w="455"/>
        <w:gridCol w:w="1436"/>
        <w:gridCol w:w="235"/>
      </w:tblGrid>
      <w:tr>
        <w:trPr/>
        <w:tc>
          <w:tcPr>
            <w:tcW w:w="6289" w:type="dxa"/>
            <w:tcBorders/>
            <w:vAlign w:val="bottom"/>
          </w:tcPr>
          <w:p>
            <w:pPr>
              <w:pStyle w:val="TableContents"/>
              <w:bidi w:val="0"/>
              <w:spacing w:before="0" w:after="283"/>
              <w:jc w:val="left"/>
              <w:rPr/>
            </w:pPr>
            <w:r>
              <w:rPr/>
              <w:t xml:space="preserve">  </w:t>
            </w:r>
          </w:p>
        </w:tc>
        <w:tc>
          <w:tcPr>
            <w:tcW w:w="112" w:type="dxa"/>
            <w:tcBorders/>
            <w:vAlign w:val="bottom"/>
          </w:tcPr>
          <w:p>
            <w:pPr>
              <w:pStyle w:val="TableContents"/>
              <w:bidi w:val="0"/>
              <w:spacing w:before="0" w:after="283"/>
              <w:jc w:val="left"/>
              <w:rPr/>
            </w:pPr>
            <w:r>
              <w:rPr/>
              <w:t xml:space="preserve">  </w:t>
            </w:r>
          </w:p>
        </w:tc>
        <w:tc>
          <w:tcPr>
            <w:tcW w:w="1351" w:type="dxa"/>
            <w:gridSpan w:val="2"/>
            <w:tcBorders/>
            <w:vAlign w:val="bottom"/>
          </w:tcPr>
          <w:p>
            <w:pPr>
              <w:pStyle w:val="TableContents"/>
              <w:bidi w:val="0"/>
              <w:spacing w:before="0" w:after="283"/>
              <w:jc w:val="center"/>
              <w:rPr>
                <w:b/>
              </w:rPr>
            </w:pPr>
            <w:bookmarkStart w:id="178" w:name="fs_ASSQ8S3NEO00000000000000000000FM"/>
            <w:bookmarkEnd w:id="178"/>
            <w:r>
              <w:rPr>
                <w:b/>
              </w:rPr>
              <w:t xml:space="preserve">June 30, 2026 </w:t>
            </w:r>
          </w:p>
        </w:tc>
        <w:tc>
          <w:tcPr>
            <w:tcW w:w="215" w:type="dxa"/>
            <w:tcBorders/>
            <w:vAlign w:val="bottom"/>
          </w:tcPr>
          <w:p>
            <w:pPr>
              <w:pStyle w:val="TableContents"/>
              <w:bidi w:val="0"/>
              <w:spacing w:before="0" w:after="283"/>
              <w:jc w:val="left"/>
              <w:rPr/>
            </w:pPr>
            <w:r>
              <w:rPr/>
              <w:t xml:space="preserve">  </w:t>
            </w:r>
          </w:p>
        </w:tc>
        <w:tc>
          <w:tcPr>
            <w:tcW w:w="112" w:type="dxa"/>
            <w:tcBorders/>
            <w:vAlign w:val="bottom"/>
          </w:tcPr>
          <w:p>
            <w:pPr>
              <w:pStyle w:val="TableContents"/>
              <w:bidi w:val="0"/>
              <w:spacing w:before="0" w:after="283"/>
              <w:jc w:val="left"/>
              <w:rPr/>
            </w:pPr>
            <w:r>
              <w:rPr/>
              <w:t xml:space="preserve">  </w:t>
            </w:r>
          </w:p>
        </w:tc>
        <w:tc>
          <w:tcPr>
            <w:tcW w:w="1891" w:type="dxa"/>
            <w:gridSpan w:val="2"/>
            <w:tcBorders/>
            <w:vAlign w:val="bottom"/>
          </w:tcPr>
          <w:p>
            <w:pPr>
              <w:pStyle w:val="TableContents"/>
              <w:bidi w:val="0"/>
              <w:spacing w:before="0" w:after="283"/>
              <w:jc w:val="center"/>
              <w:rPr>
                <w:b/>
              </w:rPr>
            </w:pPr>
            <w:bookmarkStart w:id="179" w:name="fs_EGQPYUTOS000000000000000000000FM"/>
            <w:bookmarkEnd w:id="179"/>
            <w:r>
              <w:rPr>
                <w:b/>
              </w:rPr>
              <w:t xml:space="preserve">December 31, 2025 </w:t>
            </w:r>
          </w:p>
        </w:tc>
        <w:tc>
          <w:tcPr>
            <w:tcW w:w="235" w:type="dxa"/>
            <w:tcBorders/>
            <w:vAlign w:val="bottom"/>
          </w:tcPr>
          <w:p>
            <w:pPr>
              <w:pStyle w:val="TableContents"/>
              <w:bidi w:val="0"/>
              <w:spacing w:before="0" w:after="283"/>
              <w:jc w:val="left"/>
              <w:rPr/>
            </w:pPr>
            <w:r>
              <w:rPr/>
              <w:t xml:space="preserve">  </w:t>
            </w:r>
          </w:p>
        </w:tc>
      </w:tr>
      <w:tr>
        <w:trPr/>
        <w:tc>
          <w:tcPr>
            <w:tcW w:w="6289" w:type="dxa"/>
            <w:tcBorders/>
            <w:shd w:fill="CCEEFF" w:val="clear"/>
            <w:vAlign w:val="bottom"/>
          </w:tcPr>
          <w:p>
            <w:pPr>
              <w:pStyle w:val="TableContents"/>
              <w:bidi w:val="0"/>
              <w:spacing w:before="0" w:after="283"/>
              <w:jc w:val="left"/>
              <w:rPr/>
            </w:pPr>
            <w:r>
              <w:rPr/>
              <w:t xml:space="preserve">Operating lease right-of-use assets </w:t>
            </w:r>
          </w:p>
        </w:tc>
        <w:tc>
          <w:tcPr>
            <w:tcW w:w="112" w:type="dxa"/>
            <w:tcBorders/>
            <w:shd w:fill="CCEEFF" w:val="clear"/>
            <w:vAlign w:val="bottom"/>
          </w:tcPr>
          <w:p>
            <w:pPr>
              <w:pStyle w:val="TableContents"/>
              <w:bidi w:val="0"/>
              <w:spacing w:before="0" w:after="283"/>
              <w:jc w:val="left"/>
              <w:rPr/>
            </w:pPr>
            <w:r>
              <w:rPr/>
              <w:t xml:space="preserve">  </w:t>
            </w:r>
          </w:p>
        </w:tc>
        <w:tc>
          <w:tcPr>
            <w:tcW w:w="519" w:type="dxa"/>
            <w:tcBorders/>
            <w:shd w:fill="CCEEFF" w:val="clear"/>
            <w:vAlign w:val="bottom"/>
          </w:tcPr>
          <w:p>
            <w:pPr>
              <w:pStyle w:val="TableContents"/>
              <w:bidi w:val="0"/>
              <w:spacing w:before="0" w:after="283"/>
              <w:jc w:val="left"/>
              <w:rPr/>
            </w:pPr>
            <w:r>
              <w:rPr/>
              <w:t xml:space="preserve">$ </w:t>
            </w:r>
          </w:p>
        </w:tc>
        <w:tc>
          <w:tcPr>
            <w:tcW w:w="832" w:type="dxa"/>
            <w:tcBorders/>
            <w:shd w:fill="CCEEFF" w:val="clear"/>
            <w:vAlign w:val="bottom"/>
          </w:tcPr>
          <w:p>
            <w:pPr>
              <w:pStyle w:val="TableContents"/>
              <w:bidi w:val="0"/>
              <w:spacing w:before="0" w:after="283"/>
              <w:jc w:val="right"/>
              <w:rPr/>
            </w:pPr>
            <w:r>
              <w:rPr/>
              <w:t> —</w:t>
            </w:r>
          </w:p>
        </w:tc>
        <w:tc>
          <w:tcPr>
            <w:tcW w:w="215" w:type="dxa"/>
            <w:tcBorders/>
            <w:shd w:fill="CCEEFF" w:val="clear"/>
            <w:vAlign w:val="bottom"/>
          </w:tcPr>
          <w:p>
            <w:pPr>
              <w:pStyle w:val="TableContents"/>
              <w:bidi w:val="0"/>
              <w:spacing w:before="0" w:after="283"/>
              <w:jc w:val="left"/>
              <w:rPr/>
            </w:pPr>
            <w:r>
              <w:rPr/>
              <w:t xml:space="preserve">  </w:t>
            </w:r>
          </w:p>
        </w:tc>
        <w:tc>
          <w:tcPr>
            <w:tcW w:w="112" w:type="dxa"/>
            <w:tcBorders/>
            <w:shd w:fill="CCEEFF" w:val="clear"/>
            <w:vAlign w:val="bottom"/>
          </w:tcPr>
          <w:p>
            <w:pPr>
              <w:pStyle w:val="TableContents"/>
              <w:bidi w:val="0"/>
              <w:spacing w:before="0" w:after="283"/>
              <w:jc w:val="left"/>
              <w:rPr/>
            </w:pPr>
            <w:r>
              <w:rPr/>
              <w:t xml:space="preserve">  </w:t>
            </w:r>
          </w:p>
        </w:tc>
        <w:tc>
          <w:tcPr>
            <w:tcW w:w="455" w:type="dxa"/>
            <w:tcBorders/>
            <w:shd w:fill="CCEEFF" w:val="clear"/>
            <w:vAlign w:val="bottom"/>
          </w:tcPr>
          <w:p>
            <w:pPr>
              <w:pStyle w:val="TableContents"/>
              <w:bidi w:val="0"/>
              <w:spacing w:before="0" w:after="283"/>
              <w:jc w:val="left"/>
              <w:rPr/>
            </w:pPr>
            <w:r>
              <w:rPr/>
              <w:t xml:space="preserve">$ </w:t>
            </w:r>
          </w:p>
        </w:tc>
        <w:tc>
          <w:tcPr>
            <w:tcW w:w="1436" w:type="dxa"/>
            <w:tcBorders/>
            <w:shd w:fill="CCEEFF" w:val="clear"/>
            <w:vAlign w:val="bottom"/>
          </w:tcPr>
          <w:p>
            <w:pPr>
              <w:pStyle w:val="TableContents"/>
              <w:bidi w:val="0"/>
              <w:spacing w:before="0" w:after="283"/>
              <w:jc w:val="right"/>
              <w:rPr/>
            </w:pPr>
            <w:r>
              <w:rPr/>
              <w:t> </w:t>
            </w:r>
            <w:r>
              <w:rPr/>
              <w:t>494</w:t>
            </w:r>
          </w:p>
        </w:tc>
        <w:tc>
          <w:tcPr>
            <w:tcW w:w="235" w:type="dxa"/>
            <w:tcBorders/>
            <w:shd w:fill="CCEEFF" w:val="clear"/>
            <w:vAlign w:val="bottom"/>
          </w:tcPr>
          <w:p>
            <w:pPr>
              <w:pStyle w:val="TableContents"/>
              <w:bidi w:val="0"/>
              <w:spacing w:before="0" w:after="283"/>
              <w:jc w:val="left"/>
              <w:rPr/>
            </w:pPr>
            <w:r>
              <w:rPr/>
              <w:t xml:space="preserve">  </w:t>
            </w:r>
          </w:p>
        </w:tc>
      </w:tr>
      <w:tr>
        <w:trPr/>
        <w:tc>
          <w:tcPr>
            <w:tcW w:w="6289" w:type="dxa"/>
            <w:tcBorders/>
            <w:vAlign w:val="bottom"/>
          </w:tcPr>
          <w:p>
            <w:pPr>
              <w:pStyle w:val="TableContents"/>
              <w:bidi w:val="0"/>
              <w:spacing w:before="0" w:after="283"/>
              <w:jc w:val="left"/>
              <w:rPr/>
            </w:pPr>
            <w:r>
              <w:rPr/>
            </w:r>
          </w:p>
        </w:tc>
        <w:tc>
          <w:tcPr>
            <w:tcW w:w="112" w:type="dxa"/>
            <w:tcBorders/>
            <w:vAlign w:val="bottom"/>
          </w:tcPr>
          <w:p>
            <w:pPr>
              <w:pStyle w:val="TableContents"/>
              <w:bidi w:val="0"/>
              <w:spacing w:before="0" w:after="283"/>
              <w:jc w:val="left"/>
              <w:rPr/>
            </w:pPr>
            <w:r>
              <w:rPr/>
              <w:t xml:space="preserve">  </w:t>
            </w:r>
          </w:p>
        </w:tc>
        <w:tc>
          <w:tcPr>
            <w:tcW w:w="519" w:type="dxa"/>
            <w:tcBorders/>
            <w:vAlign w:val="bottom"/>
          </w:tcPr>
          <w:p>
            <w:pPr>
              <w:pStyle w:val="TableContents"/>
              <w:bidi w:val="0"/>
              <w:spacing w:before="0" w:after="0"/>
              <w:ind w:left="0" w:right="0" w:hanging="0"/>
              <w:jc w:val="left"/>
              <w:rPr/>
            </w:pPr>
            <w:r>
              <w:rPr/>
            </w:r>
          </w:p>
        </w:tc>
        <w:tc>
          <w:tcPr>
            <w:tcW w:w="832" w:type="dxa"/>
            <w:tcBorders/>
            <w:vAlign w:val="bottom"/>
          </w:tcPr>
          <w:p>
            <w:pPr>
              <w:pStyle w:val="TableContents"/>
              <w:bidi w:val="0"/>
              <w:spacing w:before="0" w:after="283"/>
              <w:jc w:val="left"/>
              <w:rPr/>
            </w:pPr>
            <w:r>
              <w:rPr/>
            </w:r>
          </w:p>
        </w:tc>
        <w:tc>
          <w:tcPr>
            <w:tcW w:w="215" w:type="dxa"/>
            <w:tcBorders/>
            <w:vAlign w:val="bottom"/>
          </w:tcPr>
          <w:p>
            <w:pPr>
              <w:pStyle w:val="TableContents"/>
              <w:bidi w:val="0"/>
              <w:spacing w:before="0" w:after="283"/>
              <w:jc w:val="left"/>
              <w:rPr/>
            </w:pPr>
            <w:r>
              <w:rPr/>
            </w:r>
          </w:p>
        </w:tc>
        <w:tc>
          <w:tcPr>
            <w:tcW w:w="112" w:type="dxa"/>
            <w:tcBorders/>
            <w:vAlign w:val="bottom"/>
          </w:tcPr>
          <w:p>
            <w:pPr>
              <w:pStyle w:val="TableContents"/>
              <w:bidi w:val="0"/>
              <w:spacing w:before="0" w:after="283"/>
              <w:jc w:val="left"/>
              <w:rPr/>
            </w:pPr>
            <w:r>
              <w:rPr/>
            </w:r>
          </w:p>
        </w:tc>
        <w:tc>
          <w:tcPr>
            <w:tcW w:w="455" w:type="dxa"/>
            <w:tcBorders/>
            <w:vAlign w:val="bottom"/>
          </w:tcPr>
          <w:p>
            <w:pPr>
              <w:pStyle w:val="TableContents"/>
              <w:bidi w:val="0"/>
              <w:spacing w:before="0" w:after="283"/>
              <w:jc w:val="left"/>
              <w:rPr/>
            </w:pPr>
            <w:r>
              <w:rPr/>
            </w:r>
          </w:p>
        </w:tc>
        <w:tc>
          <w:tcPr>
            <w:tcW w:w="1436" w:type="dxa"/>
            <w:tcBorders/>
            <w:vAlign w:val="bottom"/>
          </w:tcPr>
          <w:p>
            <w:pPr>
              <w:pStyle w:val="TableContents"/>
              <w:bidi w:val="0"/>
              <w:spacing w:before="0" w:after="283"/>
              <w:jc w:val="left"/>
              <w:rPr/>
            </w:pPr>
            <w:r>
              <w:rPr/>
            </w:r>
          </w:p>
        </w:tc>
        <w:tc>
          <w:tcPr>
            <w:tcW w:w="235" w:type="dxa"/>
            <w:tcBorders/>
            <w:vAlign w:val="bottom"/>
          </w:tcPr>
          <w:p>
            <w:pPr>
              <w:pStyle w:val="TableContents"/>
              <w:bidi w:val="0"/>
              <w:spacing w:before="0" w:after="283"/>
              <w:jc w:val="left"/>
              <w:rPr/>
            </w:pPr>
            <w:r>
              <w:rPr/>
            </w:r>
          </w:p>
        </w:tc>
      </w:tr>
      <w:tr>
        <w:trPr/>
        <w:tc>
          <w:tcPr>
            <w:tcW w:w="6289" w:type="dxa"/>
            <w:tcBorders/>
            <w:shd w:fill="CCEEFF" w:val="clear"/>
            <w:vAlign w:val="bottom"/>
          </w:tcPr>
          <w:p>
            <w:pPr>
              <w:pStyle w:val="TableContents"/>
              <w:bidi w:val="0"/>
              <w:spacing w:before="0" w:after="283"/>
              <w:jc w:val="left"/>
              <w:rPr/>
            </w:pPr>
            <w:r>
              <w:rPr/>
              <w:t xml:space="preserve">Current portion of operating lease liabilities, included in accrued liabilities </w:t>
            </w:r>
          </w:p>
        </w:tc>
        <w:tc>
          <w:tcPr>
            <w:tcW w:w="112" w:type="dxa"/>
            <w:tcBorders/>
            <w:shd w:fill="CCEEFF" w:val="clear"/>
            <w:vAlign w:val="bottom"/>
          </w:tcPr>
          <w:p>
            <w:pPr>
              <w:pStyle w:val="TableContents"/>
              <w:bidi w:val="0"/>
              <w:spacing w:before="0" w:after="283"/>
              <w:jc w:val="left"/>
              <w:rPr/>
            </w:pPr>
            <w:r>
              <w:rPr/>
            </w:r>
          </w:p>
        </w:tc>
        <w:tc>
          <w:tcPr>
            <w:tcW w:w="519" w:type="dxa"/>
            <w:tcBorders/>
            <w:shd w:fill="CCEEFF" w:val="clear"/>
            <w:vAlign w:val="bottom"/>
          </w:tcPr>
          <w:p>
            <w:pPr>
              <w:pStyle w:val="TableContents"/>
              <w:bidi w:val="0"/>
              <w:spacing w:before="0" w:after="283"/>
              <w:jc w:val="left"/>
              <w:rPr/>
            </w:pPr>
            <w:r>
              <w:rPr/>
              <w:t>$</w:t>
            </w:r>
          </w:p>
        </w:tc>
        <w:tc>
          <w:tcPr>
            <w:tcW w:w="832" w:type="dxa"/>
            <w:tcBorders/>
            <w:shd w:fill="CCEEFF" w:val="clear"/>
            <w:vAlign w:val="bottom"/>
          </w:tcPr>
          <w:p>
            <w:pPr>
              <w:pStyle w:val="TableContents"/>
              <w:bidi w:val="0"/>
              <w:spacing w:before="0" w:after="283"/>
              <w:jc w:val="right"/>
              <w:rPr/>
            </w:pPr>
            <w:r>
              <w:rPr/>
              <w:t>—</w:t>
            </w:r>
          </w:p>
        </w:tc>
        <w:tc>
          <w:tcPr>
            <w:tcW w:w="215" w:type="dxa"/>
            <w:tcBorders/>
            <w:shd w:fill="CCEEFF" w:val="clear"/>
            <w:vAlign w:val="bottom"/>
          </w:tcPr>
          <w:p>
            <w:pPr>
              <w:pStyle w:val="TableContents"/>
              <w:bidi w:val="0"/>
              <w:spacing w:before="0" w:after="283"/>
              <w:jc w:val="left"/>
              <w:rPr/>
            </w:pPr>
            <w:r>
              <w:rPr/>
            </w:r>
          </w:p>
        </w:tc>
        <w:tc>
          <w:tcPr>
            <w:tcW w:w="112" w:type="dxa"/>
            <w:tcBorders/>
            <w:shd w:fill="CCEEFF" w:val="clear"/>
            <w:vAlign w:val="bottom"/>
          </w:tcPr>
          <w:p>
            <w:pPr>
              <w:pStyle w:val="TableContents"/>
              <w:bidi w:val="0"/>
              <w:spacing w:before="0" w:after="283"/>
              <w:jc w:val="left"/>
              <w:rPr/>
            </w:pPr>
            <w:r>
              <w:rPr/>
            </w:r>
          </w:p>
        </w:tc>
        <w:tc>
          <w:tcPr>
            <w:tcW w:w="455" w:type="dxa"/>
            <w:tcBorders/>
            <w:shd w:fill="CCEEFF" w:val="clear"/>
            <w:vAlign w:val="bottom"/>
          </w:tcPr>
          <w:p>
            <w:pPr>
              <w:pStyle w:val="TableContents"/>
              <w:bidi w:val="0"/>
              <w:spacing w:before="0" w:after="283"/>
              <w:jc w:val="left"/>
              <w:rPr/>
            </w:pPr>
            <w:r>
              <w:rPr/>
              <w:t>$</w:t>
            </w:r>
          </w:p>
        </w:tc>
        <w:tc>
          <w:tcPr>
            <w:tcW w:w="1436" w:type="dxa"/>
            <w:tcBorders/>
            <w:shd w:fill="CCEEFF" w:val="clear"/>
            <w:vAlign w:val="bottom"/>
          </w:tcPr>
          <w:p>
            <w:pPr>
              <w:pStyle w:val="TableContents"/>
              <w:bidi w:val="0"/>
              <w:spacing w:before="0" w:after="283"/>
              <w:jc w:val="right"/>
              <w:rPr/>
            </w:pPr>
            <w:r>
              <w:rPr/>
              <w:t>223</w:t>
            </w:r>
          </w:p>
        </w:tc>
        <w:tc>
          <w:tcPr>
            <w:tcW w:w="235" w:type="dxa"/>
            <w:tcBorders/>
            <w:shd w:fill="CCEEFF" w:val="clear"/>
            <w:vAlign w:val="bottom"/>
          </w:tcPr>
          <w:p>
            <w:pPr>
              <w:pStyle w:val="TableContents"/>
              <w:bidi w:val="0"/>
              <w:spacing w:before="0" w:after="283"/>
              <w:jc w:val="left"/>
              <w:rPr/>
            </w:pPr>
            <w:r>
              <w:rPr/>
            </w:r>
          </w:p>
        </w:tc>
      </w:tr>
      <w:tr>
        <w:trPr/>
        <w:tc>
          <w:tcPr>
            <w:tcW w:w="6289" w:type="dxa"/>
            <w:tcBorders/>
            <w:vAlign w:val="bottom"/>
          </w:tcPr>
          <w:p>
            <w:pPr>
              <w:pStyle w:val="TableContents"/>
              <w:bidi w:val="0"/>
              <w:spacing w:before="0" w:after="283"/>
              <w:jc w:val="left"/>
              <w:rPr/>
            </w:pPr>
            <w:r>
              <w:rPr/>
              <w:t xml:space="preserve">Operating lease liabilities, net of current portion </w:t>
            </w:r>
          </w:p>
        </w:tc>
        <w:tc>
          <w:tcPr>
            <w:tcW w:w="112" w:type="dxa"/>
            <w:tcBorders/>
            <w:vAlign w:val="bottom"/>
          </w:tcPr>
          <w:p>
            <w:pPr>
              <w:pStyle w:val="TableContents"/>
              <w:bidi w:val="0"/>
              <w:spacing w:before="0" w:after="283"/>
              <w:jc w:val="left"/>
              <w:rPr/>
            </w:pPr>
            <w:r>
              <w:rPr/>
              <w:t xml:space="preserve">  </w:t>
            </w:r>
          </w:p>
        </w:tc>
        <w:tc>
          <w:tcPr>
            <w:tcW w:w="519" w:type="dxa"/>
            <w:tcBorders/>
            <w:vAlign w:val="bottom"/>
          </w:tcPr>
          <w:p>
            <w:pPr>
              <w:pStyle w:val="TableContents"/>
              <w:bidi w:val="0"/>
              <w:spacing w:before="0" w:after="283"/>
              <w:jc w:val="left"/>
              <w:rPr/>
            </w:pPr>
            <w:r>
              <w:rPr/>
              <w:t xml:space="preserve">  </w:t>
            </w:r>
          </w:p>
        </w:tc>
        <w:tc>
          <w:tcPr>
            <w:tcW w:w="832" w:type="dxa"/>
            <w:tcBorders/>
            <w:vAlign w:val="bottom"/>
          </w:tcPr>
          <w:p>
            <w:pPr>
              <w:pStyle w:val="TableContents"/>
              <w:bidi w:val="0"/>
              <w:spacing w:before="0" w:after="283"/>
              <w:jc w:val="right"/>
              <w:rPr/>
            </w:pPr>
            <w:r>
              <w:rPr/>
              <w:t>—</w:t>
            </w:r>
          </w:p>
        </w:tc>
        <w:tc>
          <w:tcPr>
            <w:tcW w:w="215" w:type="dxa"/>
            <w:tcBorders/>
            <w:vAlign w:val="bottom"/>
          </w:tcPr>
          <w:p>
            <w:pPr>
              <w:pStyle w:val="TableContents"/>
              <w:bidi w:val="0"/>
              <w:spacing w:before="0" w:after="283"/>
              <w:jc w:val="left"/>
              <w:rPr/>
            </w:pPr>
            <w:r>
              <w:rPr/>
              <w:t xml:space="preserve">  </w:t>
            </w:r>
          </w:p>
        </w:tc>
        <w:tc>
          <w:tcPr>
            <w:tcW w:w="112" w:type="dxa"/>
            <w:tcBorders/>
            <w:vAlign w:val="bottom"/>
          </w:tcPr>
          <w:p>
            <w:pPr>
              <w:pStyle w:val="TableContents"/>
              <w:bidi w:val="0"/>
              <w:spacing w:before="0" w:after="283"/>
              <w:jc w:val="left"/>
              <w:rPr/>
            </w:pPr>
            <w:r>
              <w:rPr/>
              <w:t xml:space="preserve">  </w:t>
            </w:r>
          </w:p>
        </w:tc>
        <w:tc>
          <w:tcPr>
            <w:tcW w:w="455" w:type="dxa"/>
            <w:tcBorders/>
            <w:vAlign w:val="bottom"/>
          </w:tcPr>
          <w:p>
            <w:pPr>
              <w:pStyle w:val="TableContents"/>
              <w:bidi w:val="0"/>
              <w:spacing w:before="0" w:after="283"/>
              <w:jc w:val="left"/>
              <w:rPr/>
            </w:pPr>
            <w:r>
              <w:rPr/>
              <w:t xml:space="preserve">  </w:t>
            </w:r>
          </w:p>
        </w:tc>
        <w:tc>
          <w:tcPr>
            <w:tcW w:w="1436" w:type="dxa"/>
            <w:tcBorders/>
            <w:vAlign w:val="bottom"/>
          </w:tcPr>
          <w:p>
            <w:pPr>
              <w:pStyle w:val="TableContents"/>
              <w:bidi w:val="0"/>
              <w:spacing w:before="0" w:after="283"/>
              <w:jc w:val="right"/>
              <w:rPr/>
            </w:pPr>
            <w:r>
              <w:rPr/>
              <w:t>290</w:t>
            </w:r>
          </w:p>
        </w:tc>
        <w:tc>
          <w:tcPr>
            <w:tcW w:w="235" w:type="dxa"/>
            <w:tcBorders/>
            <w:vAlign w:val="bottom"/>
          </w:tcPr>
          <w:p>
            <w:pPr>
              <w:pStyle w:val="TableContents"/>
              <w:bidi w:val="0"/>
              <w:spacing w:before="0" w:after="283"/>
              <w:jc w:val="left"/>
              <w:rPr/>
            </w:pPr>
            <w:r>
              <w:rPr/>
              <w:t xml:space="preserve">  </w:t>
            </w:r>
          </w:p>
        </w:tc>
      </w:tr>
      <w:tr>
        <w:trPr/>
        <w:tc>
          <w:tcPr>
            <w:tcW w:w="6289" w:type="dxa"/>
            <w:tcBorders/>
            <w:shd w:fill="CCEEFF" w:val="clear"/>
            <w:vAlign w:val="bottom"/>
          </w:tcPr>
          <w:p>
            <w:pPr>
              <w:pStyle w:val="TableContents"/>
              <w:bidi w:val="0"/>
              <w:spacing w:before="0" w:after="283"/>
              <w:jc w:val="left"/>
              <w:rPr/>
            </w:pPr>
            <w:r>
              <w:rPr/>
              <w:t xml:space="preserve">Total operating lease liabilities </w:t>
            </w:r>
          </w:p>
        </w:tc>
        <w:tc>
          <w:tcPr>
            <w:tcW w:w="112" w:type="dxa"/>
            <w:tcBorders/>
            <w:shd w:fill="CCEEFF" w:val="clear"/>
            <w:vAlign w:val="bottom"/>
          </w:tcPr>
          <w:p>
            <w:pPr>
              <w:pStyle w:val="TableContents"/>
              <w:bidi w:val="0"/>
              <w:spacing w:before="0" w:after="283"/>
              <w:jc w:val="left"/>
              <w:rPr/>
            </w:pPr>
            <w:r>
              <w:rPr/>
              <w:t xml:space="preserve">  </w:t>
            </w:r>
          </w:p>
        </w:tc>
        <w:tc>
          <w:tcPr>
            <w:tcW w:w="519" w:type="dxa"/>
            <w:tcBorders/>
            <w:shd w:fill="CCEEFF" w:val="clear"/>
            <w:vAlign w:val="bottom"/>
          </w:tcPr>
          <w:p>
            <w:pPr>
              <w:pStyle w:val="TableContents"/>
              <w:bidi w:val="0"/>
              <w:spacing w:before="0" w:after="283"/>
              <w:jc w:val="left"/>
              <w:rPr/>
            </w:pPr>
            <w:r>
              <w:rPr/>
              <w:t xml:space="preserve">$ </w:t>
            </w:r>
          </w:p>
        </w:tc>
        <w:tc>
          <w:tcPr>
            <w:tcW w:w="832" w:type="dxa"/>
            <w:tcBorders/>
            <w:shd w:fill="CCEEFF" w:val="clear"/>
            <w:vAlign w:val="bottom"/>
          </w:tcPr>
          <w:p>
            <w:pPr>
              <w:pStyle w:val="TableContents"/>
              <w:bidi w:val="0"/>
              <w:spacing w:before="0" w:after="283"/>
              <w:jc w:val="right"/>
              <w:rPr/>
            </w:pPr>
            <w:r>
              <w:rPr/>
              <w:t>—</w:t>
            </w:r>
          </w:p>
        </w:tc>
        <w:tc>
          <w:tcPr>
            <w:tcW w:w="215" w:type="dxa"/>
            <w:tcBorders/>
            <w:shd w:fill="CCEEFF" w:val="clear"/>
            <w:vAlign w:val="bottom"/>
          </w:tcPr>
          <w:p>
            <w:pPr>
              <w:pStyle w:val="TableContents"/>
              <w:bidi w:val="0"/>
              <w:spacing w:before="0" w:after="283"/>
              <w:jc w:val="left"/>
              <w:rPr/>
            </w:pPr>
            <w:r>
              <w:rPr/>
              <w:t xml:space="preserve">  </w:t>
            </w:r>
          </w:p>
        </w:tc>
        <w:tc>
          <w:tcPr>
            <w:tcW w:w="112" w:type="dxa"/>
            <w:tcBorders/>
            <w:shd w:fill="CCEEFF" w:val="clear"/>
            <w:vAlign w:val="bottom"/>
          </w:tcPr>
          <w:p>
            <w:pPr>
              <w:pStyle w:val="TableContents"/>
              <w:bidi w:val="0"/>
              <w:spacing w:before="0" w:after="283"/>
              <w:jc w:val="left"/>
              <w:rPr/>
            </w:pPr>
            <w:r>
              <w:rPr/>
              <w:t xml:space="preserve">  </w:t>
            </w:r>
          </w:p>
        </w:tc>
        <w:tc>
          <w:tcPr>
            <w:tcW w:w="455" w:type="dxa"/>
            <w:tcBorders/>
            <w:shd w:fill="CCEEFF" w:val="clear"/>
            <w:vAlign w:val="bottom"/>
          </w:tcPr>
          <w:p>
            <w:pPr>
              <w:pStyle w:val="TableContents"/>
              <w:bidi w:val="0"/>
              <w:spacing w:before="0" w:after="283"/>
              <w:jc w:val="left"/>
              <w:rPr/>
            </w:pPr>
            <w:r>
              <w:rPr/>
              <w:t xml:space="preserve">$ </w:t>
            </w:r>
          </w:p>
        </w:tc>
        <w:tc>
          <w:tcPr>
            <w:tcW w:w="1436" w:type="dxa"/>
            <w:tcBorders/>
            <w:shd w:fill="CCEEFF" w:val="clear"/>
            <w:vAlign w:val="bottom"/>
          </w:tcPr>
          <w:p>
            <w:pPr>
              <w:pStyle w:val="TableContents"/>
              <w:bidi w:val="0"/>
              <w:spacing w:before="0" w:after="283"/>
              <w:jc w:val="right"/>
              <w:rPr/>
            </w:pPr>
            <w:r>
              <w:rPr/>
              <w:t>513</w:t>
            </w:r>
          </w:p>
        </w:tc>
        <w:tc>
          <w:tcPr>
            <w:tcW w:w="235" w:type="dxa"/>
            <w:tcBorders/>
            <w:shd w:fill="CCEEFF" w:val="clear"/>
            <w:vAlign w:val="bottom"/>
          </w:tcPr>
          <w:p>
            <w:pPr>
              <w:pStyle w:val="TableContents"/>
              <w:bidi w:val="0"/>
              <w:spacing w:before="0" w:after="283"/>
              <w:jc w:val="left"/>
              <w:rPr/>
            </w:pPr>
            <w:r>
              <w:rPr/>
              <w:t xml:space="preserve">  </w:t>
            </w:r>
          </w:p>
        </w:tc>
      </w:tr>
      <w:tr>
        <w:trPr/>
        <w:tc>
          <w:tcPr>
            <w:tcW w:w="6289" w:type="dxa"/>
            <w:tcBorders/>
            <w:vAlign w:val="bottom"/>
          </w:tcPr>
          <w:p>
            <w:pPr>
              <w:pStyle w:val="TableContents"/>
              <w:bidi w:val="0"/>
              <w:spacing w:before="0" w:after="283"/>
              <w:jc w:val="left"/>
              <w:rPr/>
            </w:pPr>
            <w:r>
              <w:rPr/>
              <w:t xml:space="preserve">  </w:t>
            </w:r>
          </w:p>
        </w:tc>
        <w:tc>
          <w:tcPr>
            <w:tcW w:w="112" w:type="dxa"/>
            <w:tcBorders/>
            <w:vAlign w:val="bottom"/>
          </w:tcPr>
          <w:p>
            <w:pPr>
              <w:pStyle w:val="TableContents"/>
              <w:bidi w:val="0"/>
              <w:spacing w:before="0" w:after="283"/>
              <w:jc w:val="left"/>
              <w:rPr/>
            </w:pPr>
            <w:r>
              <w:rPr/>
              <w:t xml:space="preserve">  </w:t>
            </w:r>
          </w:p>
        </w:tc>
        <w:tc>
          <w:tcPr>
            <w:tcW w:w="519" w:type="dxa"/>
            <w:tcBorders/>
            <w:vAlign w:val="bottom"/>
          </w:tcPr>
          <w:p>
            <w:pPr>
              <w:pStyle w:val="TableContents"/>
              <w:bidi w:val="0"/>
              <w:spacing w:before="0" w:after="283"/>
              <w:jc w:val="left"/>
              <w:rPr/>
            </w:pPr>
            <w:r>
              <w:rPr/>
              <w:t xml:space="preserve">  </w:t>
            </w:r>
          </w:p>
        </w:tc>
        <w:tc>
          <w:tcPr>
            <w:tcW w:w="832" w:type="dxa"/>
            <w:tcBorders/>
            <w:vAlign w:val="bottom"/>
          </w:tcPr>
          <w:p>
            <w:pPr>
              <w:pStyle w:val="TableContents"/>
              <w:bidi w:val="0"/>
              <w:spacing w:before="0" w:after="283"/>
              <w:jc w:val="right"/>
              <w:rPr/>
            </w:pPr>
            <w:r>
              <w:rPr/>
              <w:t xml:space="preserve">  </w:t>
            </w:r>
          </w:p>
        </w:tc>
        <w:tc>
          <w:tcPr>
            <w:tcW w:w="215" w:type="dxa"/>
            <w:tcBorders/>
            <w:vAlign w:val="bottom"/>
          </w:tcPr>
          <w:p>
            <w:pPr>
              <w:pStyle w:val="TableContents"/>
              <w:bidi w:val="0"/>
              <w:spacing w:before="0" w:after="283"/>
              <w:jc w:val="left"/>
              <w:rPr/>
            </w:pPr>
            <w:r>
              <w:rPr/>
              <w:t xml:space="preserve">  </w:t>
            </w:r>
          </w:p>
        </w:tc>
        <w:tc>
          <w:tcPr>
            <w:tcW w:w="112" w:type="dxa"/>
            <w:tcBorders/>
            <w:vAlign w:val="bottom"/>
          </w:tcPr>
          <w:p>
            <w:pPr>
              <w:pStyle w:val="TableContents"/>
              <w:bidi w:val="0"/>
              <w:spacing w:before="0" w:after="283"/>
              <w:jc w:val="left"/>
              <w:rPr/>
            </w:pPr>
            <w:r>
              <w:rPr/>
              <w:t xml:space="preserve">  </w:t>
            </w:r>
          </w:p>
        </w:tc>
        <w:tc>
          <w:tcPr>
            <w:tcW w:w="455" w:type="dxa"/>
            <w:tcBorders/>
            <w:vAlign w:val="bottom"/>
          </w:tcPr>
          <w:p>
            <w:pPr>
              <w:pStyle w:val="TableContents"/>
              <w:bidi w:val="0"/>
              <w:spacing w:before="0" w:after="283"/>
              <w:jc w:val="left"/>
              <w:rPr/>
            </w:pPr>
            <w:r>
              <w:rPr/>
              <w:t xml:space="preserve">  </w:t>
            </w:r>
          </w:p>
        </w:tc>
        <w:tc>
          <w:tcPr>
            <w:tcW w:w="1436" w:type="dxa"/>
            <w:tcBorders/>
            <w:vAlign w:val="bottom"/>
          </w:tcPr>
          <w:p>
            <w:pPr>
              <w:pStyle w:val="TableContents"/>
              <w:bidi w:val="0"/>
              <w:spacing w:before="0" w:after="283"/>
              <w:jc w:val="right"/>
              <w:rPr/>
            </w:pPr>
            <w:r>
              <w:rPr/>
              <w:t xml:space="preserve">  </w:t>
            </w:r>
          </w:p>
        </w:tc>
        <w:tc>
          <w:tcPr>
            <w:tcW w:w="235" w:type="dxa"/>
            <w:tcBorders/>
            <w:vAlign w:val="bottom"/>
          </w:tcPr>
          <w:p>
            <w:pPr>
              <w:pStyle w:val="TableContents"/>
              <w:bidi w:val="0"/>
              <w:spacing w:before="0" w:after="283"/>
              <w:jc w:val="left"/>
              <w:rPr/>
            </w:pPr>
            <w:r>
              <w:rPr/>
              <w:t xml:space="preserve">  </w:t>
            </w:r>
          </w:p>
        </w:tc>
      </w:tr>
      <w:tr>
        <w:trPr/>
        <w:tc>
          <w:tcPr>
            <w:tcW w:w="6289" w:type="dxa"/>
            <w:tcBorders/>
            <w:shd w:fill="CCEEFF" w:val="clear"/>
            <w:vAlign w:val="bottom"/>
          </w:tcPr>
          <w:p>
            <w:pPr>
              <w:pStyle w:val="TableContents"/>
              <w:bidi w:val="0"/>
              <w:spacing w:before="0" w:after="283"/>
              <w:jc w:val="left"/>
              <w:rPr/>
            </w:pPr>
            <w:r>
              <w:rPr/>
              <w:t>Weighted average remaining lease term for operating leases (in years) </w:t>
            </w:r>
          </w:p>
        </w:tc>
        <w:tc>
          <w:tcPr>
            <w:tcW w:w="112" w:type="dxa"/>
            <w:tcBorders/>
            <w:shd w:fill="CCEEFF" w:val="clear"/>
            <w:vAlign w:val="bottom"/>
          </w:tcPr>
          <w:p>
            <w:pPr>
              <w:pStyle w:val="TableContents"/>
              <w:bidi w:val="0"/>
              <w:spacing w:before="0" w:after="283"/>
              <w:jc w:val="left"/>
              <w:rPr/>
            </w:pPr>
            <w:r>
              <w:rPr/>
            </w:r>
          </w:p>
        </w:tc>
        <w:tc>
          <w:tcPr>
            <w:tcW w:w="519" w:type="dxa"/>
            <w:tcBorders/>
            <w:shd w:fill="CCEEFF" w:val="clear"/>
            <w:vAlign w:val="bottom"/>
          </w:tcPr>
          <w:p>
            <w:pPr>
              <w:pStyle w:val="TableContents"/>
              <w:bidi w:val="0"/>
              <w:spacing w:before="0" w:after="283"/>
              <w:jc w:val="left"/>
              <w:rPr/>
            </w:pPr>
            <w:r>
              <w:rPr/>
            </w:r>
          </w:p>
        </w:tc>
        <w:tc>
          <w:tcPr>
            <w:tcW w:w="832" w:type="dxa"/>
            <w:tcBorders/>
            <w:shd w:fill="CCEEFF" w:val="clear"/>
            <w:vAlign w:val="bottom"/>
          </w:tcPr>
          <w:p>
            <w:pPr>
              <w:pStyle w:val="TableContents"/>
              <w:bidi w:val="0"/>
              <w:spacing w:before="0" w:after="283"/>
              <w:jc w:val="right"/>
              <w:rPr/>
            </w:pPr>
            <w:r>
              <w:rPr/>
              <w:t>—</w:t>
            </w:r>
          </w:p>
        </w:tc>
        <w:tc>
          <w:tcPr>
            <w:tcW w:w="215" w:type="dxa"/>
            <w:tcBorders/>
            <w:shd w:fill="CCEEFF" w:val="clear"/>
            <w:vAlign w:val="bottom"/>
          </w:tcPr>
          <w:p>
            <w:pPr>
              <w:pStyle w:val="TableContents"/>
              <w:bidi w:val="0"/>
              <w:spacing w:before="0" w:after="283"/>
              <w:jc w:val="left"/>
              <w:rPr/>
            </w:pPr>
            <w:r>
              <w:rPr/>
            </w:r>
          </w:p>
        </w:tc>
        <w:tc>
          <w:tcPr>
            <w:tcW w:w="112" w:type="dxa"/>
            <w:tcBorders/>
            <w:shd w:fill="CCEEFF" w:val="clear"/>
            <w:vAlign w:val="bottom"/>
          </w:tcPr>
          <w:p>
            <w:pPr>
              <w:pStyle w:val="TableContents"/>
              <w:bidi w:val="0"/>
              <w:spacing w:before="0" w:after="283"/>
              <w:jc w:val="left"/>
              <w:rPr/>
            </w:pPr>
            <w:r>
              <w:rPr/>
            </w:r>
          </w:p>
        </w:tc>
        <w:tc>
          <w:tcPr>
            <w:tcW w:w="455" w:type="dxa"/>
            <w:tcBorders/>
            <w:shd w:fill="CCEEFF" w:val="clear"/>
            <w:vAlign w:val="bottom"/>
          </w:tcPr>
          <w:p>
            <w:pPr>
              <w:pStyle w:val="TableContents"/>
              <w:bidi w:val="0"/>
              <w:spacing w:before="0" w:after="283"/>
              <w:jc w:val="left"/>
              <w:rPr/>
            </w:pPr>
            <w:r>
              <w:rPr/>
            </w:r>
          </w:p>
        </w:tc>
        <w:tc>
          <w:tcPr>
            <w:tcW w:w="1436" w:type="dxa"/>
            <w:tcBorders/>
            <w:shd w:fill="CCEEFF" w:val="clear"/>
            <w:vAlign w:val="bottom"/>
          </w:tcPr>
          <w:p>
            <w:pPr>
              <w:pStyle w:val="TableContents"/>
              <w:bidi w:val="0"/>
              <w:spacing w:before="0" w:after="283"/>
              <w:jc w:val="right"/>
              <w:rPr/>
            </w:pPr>
            <w:r>
              <w:rPr/>
              <w:t>2.17</w:t>
            </w:r>
          </w:p>
        </w:tc>
        <w:tc>
          <w:tcPr>
            <w:tcW w:w="235" w:type="dxa"/>
            <w:tcBorders/>
            <w:shd w:fill="CCEEFF" w:val="clear"/>
            <w:vAlign w:val="bottom"/>
          </w:tcPr>
          <w:p>
            <w:pPr>
              <w:pStyle w:val="TableContents"/>
              <w:bidi w:val="0"/>
              <w:spacing w:before="0" w:after="283"/>
              <w:jc w:val="left"/>
              <w:rPr/>
            </w:pPr>
            <w:r>
              <w:rPr/>
            </w:r>
          </w:p>
        </w:tc>
      </w:tr>
      <w:tr>
        <w:trPr/>
        <w:tc>
          <w:tcPr>
            <w:tcW w:w="6289" w:type="dxa"/>
            <w:tcBorders/>
            <w:vAlign w:val="bottom"/>
          </w:tcPr>
          <w:p>
            <w:pPr>
              <w:pStyle w:val="TableContents"/>
              <w:bidi w:val="0"/>
              <w:spacing w:before="0" w:after="283"/>
              <w:jc w:val="left"/>
              <w:rPr/>
            </w:pPr>
            <w:r>
              <w:rPr/>
              <w:t xml:space="preserve">Weighted average discount rate for operating leases </w:t>
            </w:r>
          </w:p>
        </w:tc>
        <w:tc>
          <w:tcPr>
            <w:tcW w:w="112" w:type="dxa"/>
            <w:tcBorders/>
            <w:vAlign w:val="bottom"/>
          </w:tcPr>
          <w:p>
            <w:pPr>
              <w:pStyle w:val="TableContents"/>
              <w:bidi w:val="0"/>
              <w:spacing w:before="0" w:after="283"/>
              <w:jc w:val="left"/>
              <w:rPr/>
            </w:pPr>
            <w:r>
              <w:rPr/>
            </w:r>
          </w:p>
        </w:tc>
        <w:tc>
          <w:tcPr>
            <w:tcW w:w="519" w:type="dxa"/>
            <w:tcBorders/>
            <w:vAlign w:val="bottom"/>
          </w:tcPr>
          <w:p>
            <w:pPr>
              <w:pStyle w:val="TableContents"/>
              <w:bidi w:val="0"/>
              <w:spacing w:before="0" w:after="283"/>
              <w:jc w:val="left"/>
              <w:rPr/>
            </w:pPr>
            <w:r>
              <w:rPr/>
            </w:r>
          </w:p>
        </w:tc>
        <w:tc>
          <w:tcPr>
            <w:tcW w:w="832" w:type="dxa"/>
            <w:tcBorders/>
            <w:vAlign w:val="bottom"/>
          </w:tcPr>
          <w:p>
            <w:pPr>
              <w:pStyle w:val="TableContents"/>
              <w:bidi w:val="0"/>
              <w:spacing w:before="0" w:after="283"/>
              <w:jc w:val="right"/>
              <w:rPr/>
            </w:pPr>
            <w:r>
              <w:rPr/>
              <w:t>—</w:t>
            </w:r>
          </w:p>
        </w:tc>
        <w:tc>
          <w:tcPr>
            <w:tcW w:w="215" w:type="dxa"/>
            <w:tcBorders/>
            <w:vAlign w:val="bottom"/>
          </w:tcPr>
          <w:p>
            <w:pPr>
              <w:pStyle w:val="TableContents"/>
              <w:bidi w:val="0"/>
              <w:spacing w:before="0" w:after="283"/>
              <w:jc w:val="left"/>
              <w:rPr/>
            </w:pPr>
            <w:r>
              <w:rPr/>
              <w:t>%</w:t>
            </w:r>
          </w:p>
        </w:tc>
        <w:tc>
          <w:tcPr>
            <w:tcW w:w="112" w:type="dxa"/>
            <w:tcBorders/>
            <w:vAlign w:val="bottom"/>
          </w:tcPr>
          <w:p>
            <w:pPr>
              <w:pStyle w:val="TableContents"/>
              <w:bidi w:val="0"/>
              <w:spacing w:before="0" w:after="283"/>
              <w:jc w:val="left"/>
              <w:rPr/>
            </w:pPr>
            <w:r>
              <w:rPr/>
            </w:r>
          </w:p>
        </w:tc>
        <w:tc>
          <w:tcPr>
            <w:tcW w:w="455" w:type="dxa"/>
            <w:tcBorders/>
            <w:vAlign w:val="bottom"/>
          </w:tcPr>
          <w:p>
            <w:pPr>
              <w:pStyle w:val="TableContents"/>
              <w:bidi w:val="0"/>
              <w:spacing w:before="0" w:after="283"/>
              <w:jc w:val="left"/>
              <w:rPr/>
            </w:pPr>
            <w:r>
              <w:rPr/>
            </w:r>
          </w:p>
        </w:tc>
        <w:tc>
          <w:tcPr>
            <w:tcW w:w="1436" w:type="dxa"/>
            <w:tcBorders/>
            <w:vAlign w:val="bottom"/>
          </w:tcPr>
          <w:p>
            <w:pPr>
              <w:pStyle w:val="TableContents"/>
              <w:bidi w:val="0"/>
              <w:spacing w:before="0" w:after="283"/>
              <w:jc w:val="right"/>
              <w:rPr/>
            </w:pPr>
            <w:r>
              <w:rPr/>
              <w:t>6.76</w:t>
            </w:r>
          </w:p>
        </w:tc>
        <w:tc>
          <w:tcPr>
            <w:tcW w:w="235" w:type="dxa"/>
            <w:tcBorders/>
            <w:vAlign w:val="bottom"/>
          </w:tcPr>
          <w:p>
            <w:pPr>
              <w:pStyle w:val="TableContents"/>
              <w:bidi w:val="0"/>
              <w:spacing w:before="0" w:after="283"/>
              <w:jc w:val="left"/>
              <w:rPr/>
            </w:pPr>
            <w:r>
              <w:rPr/>
              <w:t>%</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 xml:space="preserve">The Company had no remaining operating lease payment obligations as of </w:t>
      </w:r>
      <w:bookmarkStart w:id="180" w:name="fs_7DDQ1YXCJK00000000000000000000FM"/>
      <w:bookmarkEnd w:id="180"/>
      <w:r>
        <w:rPr>
          <w:rFonts w:ascii="Times New Roman" w:hAnsi="Times New Roman"/>
          <w:sz w:val="20"/>
        </w:rPr>
        <w:t>June 30, 2026.</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center"/>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 w:hAnsi="Times New Roman"/>
          <w:b/>
          <w:sz w:val="20"/>
        </w:rPr>
      </w:pPr>
      <w:r>
        <w:rPr>
          <w:rFonts w:ascii="Times New Roman" w:hAnsi="Times New Roman"/>
          <w:b/>
          <w:sz w:val="20"/>
        </w:rPr>
        <w:t>10. Shareholders' Equity</w:t>
      </w:r>
    </w:p>
    <w:p>
      <w:pPr>
        <w:pStyle w:val="TextBody"/>
        <w:bidi w:val="0"/>
        <w:spacing w:lineRule="auto" w:line="288" w:before="0" w:after="0"/>
        <w:ind w:left="144" w:right="144" w:hanging="0"/>
        <w:jc w:val="both"/>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5108"/>
        <w:gridCol w:w="118"/>
        <w:gridCol w:w="218"/>
        <w:gridCol w:w="845"/>
        <w:gridCol w:w="154"/>
        <w:gridCol w:w="153"/>
        <w:gridCol w:w="218"/>
        <w:gridCol w:w="902"/>
        <w:gridCol w:w="124"/>
        <w:gridCol w:w="22"/>
        <w:gridCol w:w="148"/>
        <w:gridCol w:w="895"/>
        <w:gridCol w:w="112"/>
        <w:gridCol w:w="26"/>
        <w:gridCol w:w="148"/>
        <w:gridCol w:w="895"/>
        <w:gridCol w:w="119"/>
      </w:tblGrid>
      <w:tr>
        <w:trPr/>
        <w:tc>
          <w:tcPr>
            <w:tcW w:w="5108" w:type="dxa"/>
            <w:tcBorders/>
            <w:vAlign w:val="bottom"/>
          </w:tcPr>
          <w:p>
            <w:pPr>
              <w:pStyle w:val="TableContents"/>
              <w:bidi w:val="0"/>
              <w:spacing w:before="0" w:after="0"/>
              <w:ind w:left="0" w:right="0" w:hanging="0"/>
              <w:jc w:val="left"/>
              <w:rPr/>
            </w:pPr>
            <w:r>
              <w:rPr/>
              <w:t xml:space="preserve">  </w:t>
            </w:r>
          </w:p>
        </w:tc>
        <w:tc>
          <w:tcPr>
            <w:tcW w:w="118" w:type="dxa"/>
            <w:tcBorders/>
            <w:vAlign w:val="bottom"/>
          </w:tcPr>
          <w:p>
            <w:pPr>
              <w:pStyle w:val="TableContents"/>
              <w:bidi w:val="0"/>
              <w:spacing w:before="0" w:after="0"/>
              <w:ind w:left="0" w:right="0" w:hanging="0"/>
              <w:jc w:val="left"/>
              <w:rPr/>
            </w:pPr>
            <w:r>
              <w:rPr/>
              <w:t xml:space="preserve">  </w:t>
            </w:r>
          </w:p>
        </w:tc>
        <w:tc>
          <w:tcPr>
            <w:tcW w:w="2490" w:type="dxa"/>
            <w:gridSpan w:val="6"/>
            <w:tcBorders/>
            <w:vAlign w:val="bottom"/>
          </w:tcPr>
          <w:p>
            <w:pPr>
              <w:pStyle w:val="TableContents"/>
              <w:bidi w:val="0"/>
              <w:spacing w:before="0" w:after="0"/>
              <w:ind w:left="0" w:right="0" w:hanging="0"/>
              <w:jc w:val="center"/>
              <w:rPr>
                <w:rFonts w:ascii="Times New Roman" w:hAnsi="Times New Roman"/>
                <w:b/>
                <w:sz w:val="20"/>
              </w:rPr>
            </w:pPr>
            <w:bookmarkStart w:id="181" w:name="fs_AUX7ASH61S00000000000000000000FM"/>
            <w:bookmarkEnd w:id="181"/>
            <w:r>
              <w:rPr>
                <w:rFonts w:ascii="Times New Roman" w:hAnsi="Times New Roman"/>
                <w:b/>
                <w:sz w:val="20"/>
              </w:rPr>
              <w:t xml:space="preserve">Three months ended June 30, </w:t>
            </w:r>
          </w:p>
        </w:tc>
        <w:tc>
          <w:tcPr>
            <w:tcW w:w="124" w:type="dxa"/>
            <w:tcBorders/>
            <w:vAlign w:val="bottom"/>
          </w:tcPr>
          <w:p>
            <w:pPr>
              <w:pStyle w:val="TableContents"/>
              <w:bidi w:val="0"/>
              <w:spacing w:before="0" w:after="0"/>
              <w:ind w:left="0" w:right="0" w:hanging="0"/>
              <w:jc w:val="left"/>
              <w:rPr/>
            </w:pPr>
            <w:r>
              <w:rPr/>
              <w:t xml:space="preserve">  </w:t>
            </w:r>
          </w:p>
        </w:tc>
        <w:tc>
          <w:tcPr>
            <w:tcW w:w="22" w:type="dxa"/>
            <w:tcBorders/>
            <w:vAlign w:val="bottom"/>
          </w:tcPr>
          <w:p>
            <w:pPr>
              <w:pStyle w:val="TableContents"/>
              <w:bidi w:val="0"/>
              <w:spacing w:before="0" w:after="283"/>
              <w:jc w:val="left"/>
              <w:rPr/>
            </w:pPr>
            <w:r>
              <w:rPr/>
            </w:r>
          </w:p>
        </w:tc>
        <w:tc>
          <w:tcPr>
            <w:tcW w:w="2224" w:type="dxa"/>
            <w:gridSpan w:val="6"/>
            <w:tcBorders/>
            <w:vAlign w:val="bottom"/>
          </w:tcPr>
          <w:p>
            <w:pPr>
              <w:pStyle w:val="TableContents"/>
              <w:widowControl/>
              <w:bidi w:val="0"/>
              <w:spacing w:before="0" w:after="283"/>
              <w:ind w:left="0" w:right="0" w:hanging="0"/>
              <w:jc w:val="center"/>
              <w:rPr>
                <w:rFonts w:ascii="times new roman" w:hAnsi="times new roman"/>
                <w:b/>
                <w:color w:val="000000"/>
                <w:spacing w:val="0"/>
                <w:sz w:val="20"/>
              </w:rPr>
            </w:pPr>
            <w:bookmarkStart w:id="182" w:name="fs_AZX27N4JO000000000000000000000FM"/>
            <w:bookmarkEnd w:id="182"/>
            <w:r>
              <w:rPr>
                <w:rFonts w:ascii="times new roman" w:hAnsi="times new roman"/>
                <w:b/>
                <w:color w:val="000000"/>
                <w:spacing w:val="0"/>
                <w:sz w:val="20"/>
              </w:rPr>
              <w:t>Six months ended June 30,</w:t>
            </w:r>
          </w:p>
        </w:tc>
        <w:tc>
          <w:tcPr>
            <w:tcW w:w="119" w:type="dxa"/>
            <w:tcBorders/>
            <w:vAlign w:val="bottom"/>
          </w:tcPr>
          <w:p>
            <w:pPr>
              <w:pStyle w:val="TableContents"/>
              <w:bidi w:val="0"/>
              <w:spacing w:before="0" w:after="283"/>
              <w:jc w:val="left"/>
              <w:rPr/>
            </w:pPr>
            <w:r>
              <w:rPr/>
            </w:r>
          </w:p>
        </w:tc>
      </w:tr>
      <w:tr>
        <w:trPr/>
        <w:tc>
          <w:tcPr>
            <w:tcW w:w="5108" w:type="dxa"/>
            <w:tcBorders/>
            <w:vAlign w:val="bottom"/>
          </w:tcPr>
          <w:p>
            <w:pPr>
              <w:pStyle w:val="TableContents"/>
              <w:bidi w:val="0"/>
              <w:spacing w:before="0" w:after="0"/>
              <w:ind w:left="0" w:right="0" w:hanging="0"/>
              <w:jc w:val="left"/>
              <w:rPr/>
            </w:pPr>
            <w:r>
              <w:rPr/>
              <w:t xml:space="preserve">  </w:t>
            </w:r>
          </w:p>
        </w:tc>
        <w:tc>
          <w:tcPr>
            <w:tcW w:w="118" w:type="dxa"/>
            <w:tcBorders/>
            <w:vAlign w:val="bottom"/>
          </w:tcPr>
          <w:p>
            <w:pPr>
              <w:pStyle w:val="TableContents"/>
              <w:bidi w:val="0"/>
              <w:spacing w:before="0" w:after="0"/>
              <w:ind w:left="0" w:right="0" w:hanging="0"/>
              <w:jc w:val="left"/>
              <w:rPr/>
            </w:pPr>
            <w:r>
              <w:rPr/>
              <w:t xml:space="preserve">  </w:t>
            </w:r>
          </w:p>
        </w:tc>
        <w:tc>
          <w:tcPr>
            <w:tcW w:w="1063" w:type="dxa"/>
            <w:gridSpan w:val="2"/>
            <w:tcBorders/>
            <w:vAlign w:val="bottom"/>
          </w:tcPr>
          <w:p>
            <w:pPr>
              <w:pStyle w:val="TableContents"/>
              <w:bidi w:val="0"/>
              <w:spacing w:before="0" w:after="0"/>
              <w:ind w:left="0" w:right="0" w:hanging="0"/>
              <w:jc w:val="center"/>
              <w:rPr>
                <w:rFonts w:ascii="Times New Roman" w:hAnsi="Times New Roman"/>
                <w:b/>
                <w:sz w:val="20"/>
              </w:rPr>
            </w:pPr>
            <w:bookmarkStart w:id="183" w:name="fs_MFDNO928HC00000000000000000000fs"/>
            <w:bookmarkEnd w:id="183"/>
            <w:r>
              <w:rPr>
                <w:rFonts w:ascii="Times New Roman" w:hAnsi="Times New Roman"/>
                <w:b/>
                <w:sz w:val="20"/>
              </w:rPr>
              <w:t xml:space="preserve">2026 </w:t>
            </w:r>
          </w:p>
        </w:tc>
        <w:tc>
          <w:tcPr>
            <w:tcW w:w="154" w:type="dxa"/>
            <w:tcBorders/>
            <w:vAlign w:val="bottom"/>
          </w:tcPr>
          <w:p>
            <w:pPr>
              <w:pStyle w:val="TableContents"/>
              <w:bidi w:val="0"/>
              <w:spacing w:before="0" w:after="0"/>
              <w:ind w:left="0" w:right="0" w:hanging="0"/>
              <w:jc w:val="left"/>
              <w:rPr/>
            </w:pPr>
            <w:r>
              <w:rPr/>
              <w:t xml:space="preserve">  </w:t>
            </w:r>
          </w:p>
        </w:tc>
        <w:tc>
          <w:tcPr>
            <w:tcW w:w="153" w:type="dxa"/>
            <w:tcBorders/>
            <w:vAlign w:val="bottom"/>
          </w:tcPr>
          <w:p>
            <w:pPr>
              <w:pStyle w:val="TableContents"/>
              <w:bidi w:val="0"/>
              <w:spacing w:before="0" w:after="0"/>
              <w:ind w:left="0" w:right="0" w:hanging="0"/>
              <w:jc w:val="left"/>
              <w:rPr/>
            </w:pPr>
            <w:r>
              <w:rPr/>
              <w:t xml:space="preserve">  </w:t>
            </w:r>
          </w:p>
        </w:tc>
        <w:tc>
          <w:tcPr>
            <w:tcW w:w="1120" w:type="dxa"/>
            <w:gridSpan w:val="2"/>
            <w:tcBorders/>
            <w:vAlign w:val="bottom"/>
          </w:tcPr>
          <w:p>
            <w:pPr>
              <w:pStyle w:val="TableContents"/>
              <w:bidi w:val="0"/>
              <w:spacing w:before="0" w:after="0"/>
              <w:ind w:left="0" w:right="0" w:hanging="0"/>
              <w:jc w:val="center"/>
              <w:rPr>
                <w:rFonts w:ascii="Times New Roman" w:hAnsi="Times New Roman"/>
                <w:b/>
                <w:sz w:val="20"/>
              </w:rPr>
            </w:pPr>
            <w:bookmarkStart w:id="184" w:name="fs_967RHZ2JQO00000000000000000000fs"/>
            <w:bookmarkEnd w:id="184"/>
            <w:r>
              <w:rPr>
                <w:rFonts w:ascii="Times New Roman" w:hAnsi="Times New Roman"/>
                <w:b/>
                <w:sz w:val="20"/>
              </w:rPr>
              <w:t xml:space="preserve">2025 </w:t>
            </w:r>
          </w:p>
        </w:tc>
        <w:tc>
          <w:tcPr>
            <w:tcW w:w="124" w:type="dxa"/>
            <w:tcBorders/>
            <w:vAlign w:val="bottom"/>
          </w:tcPr>
          <w:p>
            <w:pPr>
              <w:pStyle w:val="TableContents"/>
              <w:bidi w:val="0"/>
              <w:spacing w:before="0" w:after="0"/>
              <w:ind w:left="0" w:right="0" w:hanging="0"/>
              <w:jc w:val="left"/>
              <w:rPr/>
            </w:pPr>
            <w:r>
              <w:rPr/>
              <w:t xml:space="preserve">  </w:t>
            </w:r>
          </w:p>
        </w:tc>
        <w:tc>
          <w:tcPr>
            <w:tcW w:w="22" w:type="dxa"/>
            <w:tcBorders/>
            <w:vAlign w:val="bottom"/>
          </w:tcPr>
          <w:p>
            <w:pPr>
              <w:pStyle w:val="TableContents"/>
              <w:bidi w:val="0"/>
              <w:spacing w:before="0" w:after="283"/>
              <w:jc w:val="left"/>
              <w:rPr/>
            </w:pPr>
            <w:r>
              <w:rPr/>
            </w:r>
          </w:p>
        </w:tc>
        <w:tc>
          <w:tcPr>
            <w:tcW w:w="1043" w:type="dxa"/>
            <w:gridSpan w:val="2"/>
            <w:tcBorders/>
            <w:vAlign w:val="bottom"/>
          </w:tcPr>
          <w:p>
            <w:pPr>
              <w:pStyle w:val="TableContents"/>
              <w:bidi w:val="0"/>
              <w:spacing w:before="0" w:after="283"/>
              <w:jc w:val="center"/>
              <w:rPr>
                <w:b/>
              </w:rPr>
            </w:pPr>
            <w:bookmarkStart w:id="185" w:name="fs_WQHOWCEB8000000000000000000000fs"/>
            <w:bookmarkEnd w:id="185"/>
            <w:r>
              <w:rPr>
                <w:b/>
              </w:rPr>
              <w:t>2026</w:t>
            </w:r>
          </w:p>
        </w:tc>
        <w:tc>
          <w:tcPr>
            <w:tcW w:w="112" w:type="dxa"/>
            <w:tcBorders/>
            <w:vAlign w:val="bottom"/>
          </w:tcPr>
          <w:p>
            <w:pPr>
              <w:pStyle w:val="TableContents"/>
              <w:bidi w:val="0"/>
              <w:spacing w:before="0" w:after="283"/>
              <w:jc w:val="left"/>
              <w:rPr/>
            </w:pPr>
            <w:r>
              <w:rPr/>
            </w:r>
          </w:p>
        </w:tc>
        <w:tc>
          <w:tcPr>
            <w:tcW w:w="26" w:type="dxa"/>
            <w:tcBorders/>
            <w:vAlign w:val="bottom"/>
          </w:tcPr>
          <w:p>
            <w:pPr>
              <w:pStyle w:val="TableContents"/>
              <w:bidi w:val="0"/>
              <w:spacing w:before="0" w:after="283"/>
              <w:jc w:val="left"/>
              <w:rPr/>
            </w:pPr>
            <w:r>
              <w:rPr/>
            </w:r>
          </w:p>
        </w:tc>
        <w:tc>
          <w:tcPr>
            <w:tcW w:w="1043" w:type="dxa"/>
            <w:gridSpan w:val="2"/>
            <w:tcBorders/>
            <w:vAlign w:val="bottom"/>
          </w:tcPr>
          <w:p>
            <w:pPr>
              <w:pStyle w:val="TableContents"/>
              <w:bidi w:val="0"/>
              <w:spacing w:before="0" w:after="283"/>
              <w:jc w:val="center"/>
              <w:rPr>
                <w:b/>
              </w:rPr>
            </w:pPr>
            <w:bookmarkStart w:id="186" w:name="fs_6ALNELZXZ400000000000000000000fs"/>
            <w:bookmarkEnd w:id="186"/>
            <w:r>
              <w:rPr>
                <w:b/>
              </w:rPr>
              <w:t>2025</w:t>
            </w:r>
          </w:p>
        </w:tc>
        <w:tc>
          <w:tcPr>
            <w:tcW w:w="119" w:type="dxa"/>
            <w:tcBorders/>
            <w:vAlign w:val="bottom"/>
          </w:tcPr>
          <w:p>
            <w:pPr>
              <w:pStyle w:val="TableContents"/>
              <w:bidi w:val="0"/>
              <w:spacing w:before="0" w:after="283"/>
              <w:jc w:val="left"/>
              <w:rPr/>
            </w:pPr>
            <w:r>
              <w:rPr/>
            </w:r>
          </w:p>
        </w:tc>
      </w:tr>
      <w:tr>
        <w:trPr/>
        <w:tc>
          <w:tcPr>
            <w:tcW w:w="5108"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Preferred stock, common stock and additional paid-in capital </w:t>
            </w:r>
          </w:p>
        </w:tc>
        <w:tc>
          <w:tcPr>
            <w:tcW w:w="118" w:type="dxa"/>
            <w:tcBorders/>
            <w:vAlign w:val="bottom"/>
          </w:tcPr>
          <w:p>
            <w:pPr>
              <w:pStyle w:val="TableContents"/>
              <w:bidi w:val="0"/>
              <w:spacing w:before="0" w:after="0"/>
              <w:ind w:left="0" w:right="0" w:hanging="0"/>
              <w:jc w:val="left"/>
              <w:rPr/>
            </w:pPr>
            <w:r>
              <w:rPr/>
              <w:t xml:space="preserve">  </w:t>
            </w:r>
          </w:p>
        </w:tc>
        <w:tc>
          <w:tcPr>
            <w:tcW w:w="218" w:type="dxa"/>
            <w:tcBorders/>
            <w:vAlign w:val="bottom"/>
          </w:tcPr>
          <w:p>
            <w:pPr>
              <w:pStyle w:val="TableContents"/>
              <w:bidi w:val="0"/>
              <w:spacing w:before="0" w:after="0"/>
              <w:ind w:left="0" w:right="0" w:hanging="0"/>
              <w:jc w:val="left"/>
              <w:rPr/>
            </w:pPr>
            <w:r>
              <w:rPr/>
              <w:t xml:space="preserve">  </w:t>
            </w:r>
          </w:p>
        </w:tc>
        <w:tc>
          <w:tcPr>
            <w:tcW w:w="845" w:type="dxa"/>
            <w:tcBorders/>
            <w:vAlign w:val="bottom"/>
          </w:tcPr>
          <w:p>
            <w:pPr>
              <w:pStyle w:val="TableContents"/>
              <w:bidi w:val="0"/>
              <w:spacing w:before="0" w:after="0"/>
              <w:ind w:left="0" w:right="0" w:hanging="0"/>
              <w:jc w:val="left"/>
              <w:rPr/>
            </w:pPr>
            <w:r>
              <w:rPr/>
              <w:t xml:space="preserve">  </w:t>
            </w:r>
          </w:p>
        </w:tc>
        <w:tc>
          <w:tcPr>
            <w:tcW w:w="154" w:type="dxa"/>
            <w:tcBorders/>
            <w:vAlign w:val="bottom"/>
          </w:tcPr>
          <w:p>
            <w:pPr>
              <w:pStyle w:val="TableContents"/>
              <w:bidi w:val="0"/>
              <w:spacing w:before="0" w:after="0"/>
              <w:ind w:left="0" w:right="0" w:hanging="0"/>
              <w:jc w:val="left"/>
              <w:rPr/>
            </w:pPr>
            <w:r>
              <w:rPr/>
              <w:t xml:space="preserve">  </w:t>
            </w:r>
          </w:p>
        </w:tc>
        <w:tc>
          <w:tcPr>
            <w:tcW w:w="153" w:type="dxa"/>
            <w:tcBorders/>
            <w:vAlign w:val="bottom"/>
          </w:tcPr>
          <w:p>
            <w:pPr>
              <w:pStyle w:val="TableContents"/>
              <w:bidi w:val="0"/>
              <w:spacing w:before="0" w:after="0"/>
              <w:ind w:left="0" w:right="0" w:hanging="0"/>
              <w:jc w:val="left"/>
              <w:rPr/>
            </w:pPr>
            <w:r>
              <w:rPr/>
              <w:t xml:space="preserve">  </w:t>
            </w:r>
          </w:p>
        </w:tc>
        <w:tc>
          <w:tcPr>
            <w:tcW w:w="218" w:type="dxa"/>
            <w:tcBorders/>
            <w:vAlign w:val="bottom"/>
          </w:tcPr>
          <w:p>
            <w:pPr>
              <w:pStyle w:val="TableContents"/>
              <w:bidi w:val="0"/>
              <w:spacing w:before="0" w:after="0"/>
              <w:ind w:left="0" w:right="0" w:hanging="0"/>
              <w:jc w:val="left"/>
              <w:rPr/>
            </w:pPr>
            <w:r>
              <w:rPr/>
              <w:t xml:space="preserve">  </w:t>
            </w:r>
          </w:p>
        </w:tc>
        <w:tc>
          <w:tcPr>
            <w:tcW w:w="902" w:type="dxa"/>
            <w:tcBorders/>
            <w:vAlign w:val="bottom"/>
          </w:tcPr>
          <w:p>
            <w:pPr>
              <w:pStyle w:val="TableContents"/>
              <w:bidi w:val="0"/>
              <w:spacing w:before="0" w:after="0"/>
              <w:ind w:left="0" w:right="0" w:hanging="0"/>
              <w:jc w:val="left"/>
              <w:rPr/>
            </w:pPr>
            <w:r>
              <w:rPr/>
              <w:t xml:space="preserve">  </w:t>
            </w:r>
          </w:p>
        </w:tc>
        <w:tc>
          <w:tcPr>
            <w:tcW w:w="124" w:type="dxa"/>
            <w:tcBorders/>
            <w:vAlign w:val="bottom"/>
          </w:tcPr>
          <w:p>
            <w:pPr>
              <w:pStyle w:val="TableContents"/>
              <w:bidi w:val="0"/>
              <w:spacing w:before="0" w:after="0"/>
              <w:ind w:left="0" w:right="0" w:hanging="0"/>
              <w:jc w:val="left"/>
              <w:rPr/>
            </w:pPr>
            <w:r>
              <w:rPr/>
              <w:t xml:space="preserve">  </w:t>
            </w:r>
          </w:p>
        </w:tc>
        <w:tc>
          <w:tcPr>
            <w:tcW w:w="22" w:type="dxa"/>
            <w:tcBorders/>
            <w:vAlign w:val="bottom"/>
          </w:tcPr>
          <w:p>
            <w:pPr>
              <w:pStyle w:val="TableContents"/>
              <w:bidi w:val="0"/>
              <w:spacing w:before="0" w:after="283"/>
              <w:jc w:val="left"/>
              <w:rPr/>
            </w:pPr>
            <w:r>
              <w:rPr/>
            </w:r>
          </w:p>
        </w:tc>
        <w:tc>
          <w:tcPr>
            <w:tcW w:w="148" w:type="dxa"/>
            <w:tcBorders/>
            <w:vAlign w:val="bottom"/>
          </w:tcPr>
          <w:p>
            <w:pPr>
              <w:pStyle w:val="TableContents"/>
              <w:bidi w:val="0"/>
              <w:spacing w:before="0" w:after="283"/>
              <w:jc w:val="left"/>
              <w:rPr/>
            </w:pPr>
            <w:r>
              <w:rPr/>
            </w:r>
          </w:p>
        </w:tc>
        <w:tc>
          <w:tcPr>
            <w:tcW w:w="895" w:type="dxa"/>
            <w:tcBorders/>
            <w:vAlign w:val="bottom"/>
          </w:tcPr>
          <w:p>
            <w:pPr>
              <w:pStyle w:val="TableContents"/>
              <w:bidi w:val="0"/>
              <w:spacing w:before="0" w:after="283"/>
              <w:jc w:val="left"/>
              <w:rPr/>
            </w:pPr>
            <w:r>
              <w:rPr/>
            </w:r>
          </w:p>
        </w:tc>
        <w:tc>
          <w:tcPr>
            <w:tcW w:w="112" w:type="dxa"/>
            <w:tcBorders/>
            <w:vAlign w:val="bottom"/>
          </w:tcPr>
          <w:p>
            <w:pPr>
              <w:pStyle w:val="TableContents"/>
              <w:bidi w:val="0"/>
              <w:spacing w:before="0" w:after="283"/>
              <w:jc w:val="left"/>
              <w:rPr/>
            </w:pPr>
            <w:r>
              <w:rPr/>
            </w:r>
          </w:p>
        </w:tc>
        <w:tc>
          <w:tcPr>
            <w:tcW w:w="26" w:type="dxa"/>
            <w:tcBorders/>
            <w:vAlign w:val="bottom"/>
          </w:tcPr>
          <w:p>
            <w:pPr>
              <w:pStyle w:val="TableContents"/>
              <w:bidi w:val="0"/>
              <w:spacing w:before="0" w:after="283"/>
              <w:jc w:val="left"/>
              <w:rPr/>
            </w:pPr>
            <w:r>
              <w:rPr/>
            </w:r>
          </w:p>
        </w:tc>
        <w:tc>
          <w:tcPr>
            <w:tcW w:w="148" w:type="dxa"/>
            <w:tcBorders/>
            <w:vAlign w:val="bottom"/>
          </w:tcPr>
          <w:p>
            <w:pPr>
              <w:pStyle w:val="TableContents"/>
              <w:bidi w:val="0"/>
              <w:spacing w:before="0" w:after="283"/>
              <w:jc w:val="left"/>
              <w:rPr/>
            </w:pPr>
            <w:r>
              <w:rPr/>
            </w:r>
          </w:p>
        </w:tc>
        <w:tc>
          <w:tcPr>
            <w:tcW w:w="895" w:type="dxa"/>
            <w:tcBorders/>
            <w:vAlign w:val="bottom"/>
          </w:tcPr>
          <w:p>
            <w:pPr>
              <w:pStyle w:val="TableContents"/>
              <w:bidi w:val="0"/>
              <w:spacing w:before="0" w:after="283"/>
              <w:jc w:val="left"/>
              <w:rPr/>
            </w:pPr>
            <w:r>
              <w:rPr/>
            </w:r>
          </w:p>
        </w:tc>
        <w:tc>
          <w:tcPr>
            <w:tcW w:w="119" w:type="dxa"/>
            <w:tcBorders/>
            <w:vAlign w:val="bottom"/>
          </w:tcPr>
          <w:p>
            <w:pPr>
              <w:pStyle w:val="TableContents"/>
              <w:bidi w:val="0"/>
              <w:spacing w:before="0" w:after="283"/>
              <w:jc w:val="left"/>
              <w:rPr/>
            </w:pPr>
            <w:r>
              <w:rPr/>
            </w:r>
          </w:p>
        </w:tc>
      </w:tr>
      <w:tr>
        <w:trPr/>
        <w:tc>
          <w:tcPr>
            <w:tcW w:w="5108"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beginning of period </w:t>
            </w:r>
          </w:p>
        </w:tc>
        <w:tc>
          <w:tcPr>
            <w:tcW w:w="118" w:type="dxa"/>
            <w:tcBorders/>
            <w:shd w:fill="CCEEFF" w:val="clear"/>
            <w:vAlign w:val="bottom"/>
          </w:tcPr>
          <w:p>
            <w:pPr>
              <w:pStyle w:val="TableContents"/>
              <w:bidi w:val="0"/>
              <w:spacing w:before="0" w:after="0"/>
              <w:ind w:left="0" w:right="0" w:hanging="0"/>
              <w:jc w:val="left"/>
              <w:rPr/>
            </w:pPr>
            <w:r>
              <w:rPr/>
              <w:t xml:space="preserve">  </w:t>
            </w:r>
          </w:p>
        </w:tc>
        <w:tc>
          <w:tcPr>
            <w:tcW w:w="218"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4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37,503 </w:t>
            </w:r>
          </w:p>
        </w:tc>
        <w:tc>
          <w:tcPr>
            <w:tcW w:w="154" w:type="dxa"/>
            <w:tcBorders/>
            <w:shd w:fill="CCEEFF" w:val="clear"/>
            <w:vAlign w:val="bottom"/>
          </w:tcPr>
          <w:p>
            <w:pPr>
              <w:pStyle w:val="TableContents"/>
              <w:pBdr/>
              <w:bidi w:val="0"/>
              <w:spacing w:before="0" w:after="0"/>
              <w:ind w:left="0" w:right="0" w:hanging="0"/>
              <w:jc w:val="left"/>
              <w:rPr/>
            </w:pPr>
            <w:r>
              <w:rPr/>
              <w:t xml:space="preserve">  </w:t>
            </w:r>
          </w:p>
        </w:tc>
        <w:tc>
          <w:tcPr>
            <w:tcW w:w="153" w:type="dxa"/>
            <w:tcBorders/>
            <w:shd w:fill="CCEEFF" w:val="clear"/>
            <w:vAlign w:val="bottom"/>
          </w:tcPr>
          <w:p>
            <w:pPr>
              <w:pStyle w:val="TableContents"/>
              <w:pBdr/>
              <w:bidi w:val="0"/>
              <w:spacing w:before="0" w:after="0"/>
              <w:ind w:left="0" w:right="0" w:hanging="0"/>
              <w:jc w:val="left"/>
              <w:rPr/>
            </w:pPr>
            <w:r>
              <w:rPr/>
              <w:t xml:space="preserve">  </w:t>
            </w:r>
          </w:p>
        </w:tc>
        <w:tc>
          <w:tcPr>
            <w:tcW w:w="21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02"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32,726 </w:t>
            </w:r>
          </w:p>
        </w:tc>
        <w:tc>
          <w:tcPr>
            <w:tcW w:w="124" w:type="dxa"/>
            <w:tcBorders/>
            <w:shd w:fill="CCEEFF" w:val="clear"/>
            <w:vAlign w:val="bottom"/>
          </w:tcPr>
          <w:p>
            <w:pPr>
              <w:pStyle w:val="TableContents"/>
              <w:pBdr/>
              <w:bidi w:val="0"/>
              <w:spacing w:before="0" w:after="0"/>
              <w:ind w:left="0" w:right="0" w:hanging="0"/>
              <w:jc w:val="left"/>
              <w:rPr/>
            </w:pPr>
            <w:r>
              <w:rPr/>
              <w:t xml:space="preserve">  </w:t>
            </w:r>
          </w:p>
        </w:tc>
        <w:tc>
          <w:tcPr>
            <w:tcW w:w="22"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95" w:type="dxa"/>
            <w:tcBorders/>
            <w:shd w:fill="CCEEFF" w:val="clear"/>
            <w:vAlign w:val="bottom"/>
          </w:tcPr>
          <w:p>
            <w:pPr>
              <w:pStyle w:val="TableContents"/>
              <w:bidi w:val="0"/>
              <w:spacing w:before="0" w:after="0"/>
              <w:ind w:left="0" w:right="0" w:hanging="0"/>
              <w:jc w:val="right"/>
              <w:rPr/>
            </w:pPr>
            <w:r>
              <w:rPr/>
              <w:t>35,769</w:t>
            </w:r>
          </w:p>
        </w:tc>
        <w:tc>
          <w:tcPr>
            <w:tcW w:w="112" w:type="dxa"/>
            <w:tcBorders/>
            <w:shd w:fill="CCEEFF" w:val="clear"/>
            <w:vAlign w:val="bottom"/>
          </w:tcPr>
          <w:p>
            <w:pPr>
              <w:pStyle w:val="TableContents"/>
              <w:bidi w:val="0"/>
              <w:spacing w:before="0" w:after="283"/>
              <w:ind w:left="0" w:right="0" w:hanging="0"/>
              <w:jc w:val="left"/>
              <w:rPr/>
            </w:pPr>
            <w:r>
              <w:rPr/>
            </w:r>
          </w:p>
        </w:tc>
        <w:tc>
          <w:tcPr>
            <w:tcW w:w="26"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95" w:type="dxa"/>
            <w:tcBorders/>
            <w:shd w:fill="CCEEFF" w:val="clear"/>
            <w:vAlign w:val="bottom"/>
          </w:tcPr>
          <w:p>
            <w:pPr>
              <w:pStyle w:val="TableContents"/>
              <w:bidi w:val="0"/>
              <w:spacing w:before="0" w:after="0"/>
              <w:ind w:left="0" w:right="0" w:hanging="0"/>
              <w:jc w:val="right"/>
              <w:rPr/>
            </w:pPr>
            <w:r>
              <w:rPr/>
              <w:t>31,696</w:t>
            </w:r>
          </w:p>
        </w:tc>
        <w:tc>
          <w:tcPr>
            <w:tcW w:w="119" w:type="dxa"/>
            <w:tcBorders/>
            <w:shd w:fill="CCEEFF" w:val="clear"/>
            <w:vAlign w:val="bottom"/>
          </w:tcPr>
          <w:p>
            <w:pPr>
              <w:pStyle w:val="TableContents"/>
              <w:bidi w:val="0"/>
              <w:spacing w:before="0" w:after="283"/>
              <w:jc w:val="left"/>
              <w:rPr/>
            </w:pPr>
            <w:r>
              <w:rPr/>
            </w:r>
          </w:p>
        </w:tc>
      </w:tr>
      <w:tr>
        <w:trPr/>
        <w:tc>
          <w:tcPr>
            <w:tcW w:w="5108"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Return of dividend </w:t>
            </w:r>
          </w:p>
        </w:tc>
        <w:tc>
          <w:tcPr>
            <w:tcW w:w="118" w:type="dxa"/>
            <w:tcBorders/>
            <w:vAlign w:val="bottom"/>
          </w:tcPr>
          <w:p>
            <w:pPr>
              <w:pStyle w:val="TableContents"/>
              <w:bidi w:val="0"/>
              <w:spacing w:before="0" w:after="0"/>
              <w:ind w:left="0" w:right="0" w:hanging="0"/>
              <w:jc w:val="left"/>
              <w:rPr/>
            </w:pPr>
            <w:r>
              <w:rPr/>
              <w:t xml:space="preserve">  </w:t>
            </w:r>
          </w:p>
        </w:tc>
        <w:tc>
          <w:tcPr>
            <w:tcW w:w="218" w:type="dxa"/>
            <w:tcBorders/>
            <w:vAlign w:val="bottom"/>
          </w:tcPr>
          <w:p>
            <w:pPr>
              <w:pStyle w:val="TableContents"/>
              <w:bidi w:val="0"/>
              <w:spacing w:before="0" w:after="0"/>
              <w:ind w:left="0" w:right="0" w:hanging="0"/>
              <w:jc w:val="left"/>
              <w:rPr/>
            </w:pPr>
            <w:r>
              <w:rPr/>
            </w:r>
          </w:p>
        </w:tc>
        <w:tc>
          <w:tcPr>
            <w:tcW w:w="845" w:type="dxa"/>
            <w:tcBorders/>
            <w:vAlign w:val="bottom"/>
          </w:tcPr>
          <w:p>
            <w:pPr>
              <w:pStyle w:val="TableContents"/>
              <w:pBdr/>
              <w:bidi w:val="0"/>
              <w:spacing w:before="0" w:after="0"/>
              <w:ind w:left="0" w:right="0" w:hanging="0"/>
              <w:jc w:val="right"/>
              <w:rPr/>
            </w:pPr>
            <w:r>
              <w:rPr/>
              <w:t>—</w:t>
            </w:r>
          </w:p>
        </w:tc>
        <w:tc>
          <w:tcPr>
            <w:tcW w:w="154" w:type="dxa"/>
            <w:tcBorders/>
            <w:vAlign w:val="bottom"/>
          </w:tcPr>
          <w:p>
            <w:pPr>
              <w:pStyle w:val="TableContents"/>
              <w:bidi w:val="0"/>
              <w:spacing w:before="0" w:after="283"/>
              <w:ind w:left="0" w:right="0" w:hanging="0"/>
              <w:jc w:val="left"/>
              <w:rPr>
                <w:sz w:val="4"/>
                <w:szCs w:val="4"/>
              </w:rPr>
            </w:pPr>
            <w:r>
              <w:rPr>
                <w:sz w:val="4"/>
                <w:szCs w:val="4"/>
              </w:rPr>
            </w:r>
          </w:p>
        </w:tc>
        <w:tc>
          <w:tcPr>
            <w:tcW w:w="153" w:type="dxa"/>
            <w:tcBorders/>
            <w:vAlign w:val="bottom"/>
          </w:tcPr>
          <w:p>
            <w:pPr>
              <w:pStyle w:val="TableContents"/>
              <w:pBdr/>
              <w:bidi w:val="0"/>
              <w:spacing w:before="0" w:after="0"/>
              <w:ind w:left="0" w:right="0" w:hanging="0"/>
              <w:jc w:val="left"/>
              <w:rPr/>
            </w:pPr>
            <w:r>
              <w:rPr/>
              <w:t xml:space="preserve">  </w:t>
            </w:r>
          </w:p>
        </w:tc>
        <w:tc>
          <w:tcPr>
            <w:tcW w:w="218" w:type="dxa"/>
            <w:tcBorders/>
            <w:vAlign w:val="bottom"/>
          </w:tcPr>
          <w:p>
            <w:pPr>
              <w:pStyle w:val="TableContents"/>
              <w:pBdr/>
              <w:bidi w:val="0"/>
              <w:spacing w:before="0" w:after="0"/>
              <w:ind w:left="0" w:right="0" w:hanging="0"/>
              <w:jc w:val="left"/>
              <w:rPr/>
            </w:pPr>
            <w:r>
              <w:rPr/>
            </w:r>
          </w:p>
        </w:tc>
        <w:tc>
          <w:tcPr>
            <w:tcW w:w="902" w:type="dxa"/>
            <w:tcBorders/>
            <w:vAlign w:val="bottom"/>
          </w:tcPr>
          <w:p>
            <w:pPr>
              <w:pStyle w:val="TableContents"/>
              <w:pBdr/>
              <w:bidi w:val="0"/>
              <w:spacing w:before="0" w:after="0"/>
              <w:ind w:left="0" w:right="0" w:hanging="0"/>
              <w:jc w:val="right"/>
              <w:rPr/>
            </w:pPr>
            <w:r>
              <w:rPr/>
              <w:t>—</w:t>
            </w:r>
          </w:p>
        </w:tc>
        <w:tc>
          <w:tcPr>
            <w:tcW w:w="124" w:type="dxa"/>
            <w:tcBorders/>
            <w:vAlign w:val="bottom"/>
          </w:tcPr>
          <w:p>
            <w:pPr>
              <w:pStyle w:val="TableContents"/>
              <w:bidi w:val="0"/>
              <w:spacing w:before="0" w:after="283"/>
              <w:ind w:left="0" w:right="0" w:hanging="0"/>
              <w:jc w:val="left"/>
              <w:rPr>
                <w:sz w:val="4"/>
                <w:szCs w:val="4"/>
              </w:rPr>
            </w:pPr>
            <w:r>
              <w:rPr>
                <w:sz w:val="4"/>
                <w:szCs w:val="4"/>
              </w:rPr>
            </w:r>
          </w:p>
        </w:tc>
        <w:tc>
          <w:tcPr>
            <w:tcW w:w="22"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bidi w:val="0"/>
              <w:spacing w:before="0" w:after="283"/>
              <w:ind w:left="0" w:right="0" w:hanging="0"/>
              <w:jc w:val="left"/>
              <w:rPr/>
            </w:pPr>
            <w:r>
              <w:rPr/>
            </w:r>
          </w:p>
        </w:tc>
        <w:tc>
          <w:tcPr>
            <w:tcW w:w="895" w:type="dxa"/>
            <w:tcBorders/>
            <w:vAlign w:val="bottom"/>
          </w:tcPr>
          <w:p>
            <w:pPr>
              <w:pStyle w:val="TableContents"/>
              <w:bidi w:val="0"/>
              <w:spacing w:before="0" w:after="0"/>
              <w:ind w:left="0" w:right="0" w:hanging="0"/>
              <w:jc w:val="right"/>
              <w:rPr/>
            </w:pPr>
            <w:r>
              <w:rPr/>
              <w:t>6</w:t>
            </w:r>
          </w:p>
        </w:tc>
        <w:tc>
          <w:tcPr>
            <w:tcW w:w="112" w:type="dxa"/>
            <w:tcBorders/>
            <w:vAlign w:val="bottom"/>
          </w:tcPr>
          <w:p>
            <w:pPr>
              <w:pStyle w:val="TableContents"/>
              <w:bidi w:val="0"/>
              <w:spacing w:before="0" w:after="283"/>
              <w:ind w:left="0" w:right="0" w:hanging="0"/>
              <w:jc w:val="left"/>
              <w:rPr/>
            </w:pPr>
            <w:r>
              <w:rPr/>
            </w:r>
          </w:p>
        </w:tc>
        <w:tc>
          <w:tcPr>
            <w:tcW w:w="26"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bidi w:val="0"/>
              <w:spacing w:before="0" w:after="283"/>
              <w:ind w:left="0" w:right="0" w:hanging="0"/>
              <w:jc w:val="left"/>
              <w:rPr/>
            </w:pPr>
            <w:r>
              <w:rPr/>
            </w:r>
          </w:p>
        </w:tc>
        <w:tc>
          <w:tcPr>
            <w:tcW w:w="895" w:type="dxa"/>
            <w:tcBorders/>
            <w:vAlign w:val="bottom"/>
          </w:tcPr>
          <w:p>
            <w:pPr>
              <w:pStyle w:val="TableContents"/>
              <w:bidi w:val="0"/>
              <w:spacing w:before="0" w:after="0"/>
              <w:ind w:left="0" w:right="0" w:hanging="0"/>
              <w:jc w:val="right"/>
              <w:rPr/>
            </w:pPr>
            <w:r>
              <w:rPr/>
              <w:t>—</w:t>
            </w:r>
          </w:p>
        </w:tc>
        <w:tc>
          <w:tcPr>
            <w:tcW w:w="119" w:type="dxa"/>
            <w:tcBorders/>
            <w:vAlign w:val="bottom"/>
          </w:tcPr>
          <w:p>
            <w:pPr>
              <w:pStyle w:val="TableContents"/>
              <w:bidi w:val="0"/>
              <w:spacing w:before="0" w:after="283"/>
              <w:jc w:val="left"/>
              <w:rPr/>
            </w:pPr>
            <w:r>
              <w:rPr/>
            </w:r>
          </w:p>
        </w:tc>
      </w:tr>
      <w:tr>
        <w:trPr/>
        <w:tc>
          <w:tcPr>
            <w:tcW w:w="5108" w:type="dxa"/>
            <w:tcBorders/>
            <w:shd w:fill="CCEEFF" w:val="clear"/>
            <w:vAlign w:val="bottom"/>
          </w:tcPr>
          <w:p>
            <w:pPr>
              <w:pStyle w:val="TableContents"/>
              <w:bidi w:val="0"/>
              <w:spacing w:before="0" w:after="283"/>
              <w:jc w:val="left"/>
              <w:rPr>
                <w:rFonts w:ascii="Times New Roman;serif" w:hAnsi="Times New Roman;serif"/>
                <w:color w:val="212529"/>
                <w:sz w:val="20"/>
              </w:rPr>
            </w:pPr>
            <w:r>
              <w:rPr>
                <w:rFonts w:ascii="Times New Roman;serif" w:hAnsi="Times New Roman;serif"/>
                <w:color w:val="212529"/>
                <w:sz w:val="20"/>
              </w:rPr>
              <w:t xml:space="preserve">Repurchase of warrants </w:t>
            </w:r>
          </w:p>
        </w:tc>
        <w:tc>
          <w:tcPr>
            <w:tcW w:w="118" w:type="dxa"/>
            <w:tcBorders/>
            <w:shd w:fill="CCEEFF" w:val="clear"/>
            <w:vAlign w:val="bottom"/>
          </w:tcPr>
          <w:p>
            <w:pPr>
              <w:pStyle w:val="TableContents"/>
              <w:bidi w:val="0"/>
              <w:spacing w:before="0" w:after="283"/>
              <w:jc w:val="left"/>
              <w:rPr/>
            </w:pPr>
            <w:r>
              <w:rPr/>
            </w:r>
          </w:p>
        </w:tc>
        <w:tc>
          <w:tcPr>
            <w:tcW w:w="218" w:type="dxa"/>
            <w:tcBorders/>
            <w:shd w:fill="CCEEFF" w:val="clear"/>
            <w:vAlign w:val="bottom"/>
          </w:tcPr>
          <w:p>
            <w:pPr>
              <w:pStyle w:val="TableContents"/>
              <w:bidi w:val="0"/>
              <w:spacing w:before="0" w:after="283"/>
              <w:ind w:left="0" w:right="0" w:hanging="0"/>
              <w:jc w:val="left"/>
              <w:rPr/>
            </w:pPr>
            <w:r>
              <w:rPr/>
            </w:r>
          </w:p>
        </w:tc>
        <w:tc>
          <w:tcPr>
            <w:tcW w:w="845" w:type="dxa"/>
            <w:tcBorders/>
            <w:shd w:fill="CCEEFF" w:val="clear"/>
            <w:vAlign w:val="bottom"/>
          </w:tcPr>
          <w:p>
            <w:pPr>
              <w:pStyle w:val="TableContents"/>
              <w:bidi w:val="0"/>
              <w:spacing w:before="0" w:after="0"/>
              <w:ind w:left="0" w:right="0" w:hanging="0"/>
              <w:jc w:val="right"/>
              <w:rPr/>
            </w:pPr>
            <w:r>
              <w:rPr/>
              <w:t>—</w:t>
            </w:r>
          </w:p>
        </w:tc>
        <w:tc>
          <w:tcPr>
            <w:tcW w:w="154"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153" w:type="dxa"/>
            <w:tcBorders/>
            <w:shd w:fill="CCEEFF" w:val="clear"/>
            <w:vAlign w:val="bottom"/>
          </w:tcPr>
          <w:p>
            <w:pPr>
              <w:pStyle w:val="TableContents"/>
              <w:bidi w:val="0"/>
              <w:spacing w:before="0" w:after="283"/>
              <w:ind w:left="0" w:right="0" w:hanging="0"/>
              <w:jc w:val="left"/>
              <w:rPr/>
            </w:pPr>
            <w:r>
              <w:rPr/>
            </w:r>
          </w:p>
        </w:tc>
        <w:tc>
          <w:tcPr>
            <w:tcW w:w="218" w:type="dxa"/>
            <w:tcBorders/>
            <w:shd w:fill="CCEEFF" w:val="clear"/>
            <w:vAlign w:val="bottom"/>
          </w:tcPr>
          <w:p>
            <w:pPr>
              <w:pStyle w:val="TableContents"/>
              <w:bidi w:val="0"/>
              <w:spacing w:before="0" w:after="283"/>
              <w:ind w:left="0" w:right="0" w:hanging="0"/>
              <w:jc w:val="left"/>
              <w:rPr/>
            </w:pPr>
            <w:r>
              <w:rPr/>
            </w:r>
          </w:p>
        </w:tc>
        <w:tc>
          <w:tcPr>
            <w:tcW w:w="902" w:type="dxa"/>
            <w:tcBorders/>
            <w:shd w:fill="CCEEFF" w:val="clear"/>
            <w:vAlign w:val="bottom"/>
          </w:tcPr>
          <w:p>
            <w:pPr>
              <w:pStyle w:val="TableContents"/>
              <w:bidi w:val="0"/>
              <w:spacing w:before="0" w:after="0"/>
              <w:ind w:left="0" w:right="0" w:hanging="0"/>
              <w:jc w:val="right"/>
              <w:rPr/>
            </w:pPr>
            <w:r>
              <w:rPr/>
              <w:t>—</w:t>
            </w:r>
          </w:p>
        </w:tc>
        <w:tc>
          <w:tcPr>
            <w:tcW w:w="124" w:type="dxa"/>
            <w:tcBorders/>
            <w:shd w:fill="CCEEFF" w:val="clear"/>
            <w:vAlign w:val="bottom"/>
          </w:tcPr>
          <w:p>
            <w:pPr>
              <w:pStyle w:val="TableContents"/>
              <w:bidi w:val="0"/>
              <w:spacing w:before="0" w:after="283"/>
              <w:ind w:left="0" w:right="0" w:hanging="0"/>
              <w:jc w:val="left"/>
              <w:rPr/>
            </w:pPr>
            <w:r>
              <w:rPr/>
            </w:r>
          </w:p>
        </w:tc>
        <w:tc>
          <w:tcPr>
            <w:tcW w:w="22"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bidi w:val="0"/>
              <w:spacing w:before="0" w:after="283"/>
              <w:ind w:left="0" w:right="0" w:hanging="0"/>
              <w:jc w:val="left"/>
              <w:rPr/>
            </w:pPr>
            <w:r>
              <w:rPr/>
            </w:r>
          </w:p>
        </w:tc>
        <w:tc>
          <w:tcPr>
            <w:tcW w:w="895" w:type="dxa"/>
            <w:tcBorders/>
            <w:shd w:fill="CCEEFF" w:val="clear"/>
            <w:vAlign w:val="bottom"/>
          </w:tcPr>
          <w:p>
            <w:pPr>
              <w:pStyle w:val="TableContents"/>
              <w:bidi w:val="0"/>
              <w:spacing w:before="0" w:after="0"/>
              <w:ind w:left="0" w:right="0" w:hanging="0"/>
              <w:jc w:val="right"/>
              <w:rPr/>
            </w:pPr>
            <w:r>
              <w:rPr/>
              <w:t>(22</w:t>
            </w:r>
          </w:p>
        </w:tc>
        <w:tc>
          <w:tcPr>
            <w:tcW w:w="112" w:type="dxa"/>
            <w:tcBorders/>
            <w:shd w:fill="CCEEFF" w:val="clear"/>
            <w:vAlign w:val="bottom"/>
          </w:tcPr>
          <w:p>
            <w:pPr>
              <w:pStyle w:val="TableContents"/>
              <w:bidi w:val="0"/>
              <w:spacing w:before="0" w:after="0"/>
              <w:ind w:left="0" w:right="0" w:hanging="0"/>
              <w:jc w:val="left"/>
              <w:rPr/>
            </w:pPr>
            <w:r>
              <w:rPr/>
              <w:t>)</w:t>
            </w:r>
          </w:p>
        </w:tc>
        <w:tc>
          <w:tcPr>
            <w:tcW w:w="26"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bidi w:val="0"/>
              <w:spacing w:before="0" w:after="283"/>
              <w:ind w:left="0" w:right="0" w:hanging="0"/>
              <w:jc w:val="left"/>
              <w:rPr/>
            </w:pPr>
            <w:r>
              <w:rPr/>
            </w:r>
          </w:p>
        </w:tc>
        <w:tc>
          <w:tcPr>
            <w:tcW w:w="895" w:type="dxa"/>
            <w:tcBorders/>
            <w:shd w:fill="CCEEFF" w:val="clear"/>
            <w:vAlign w:val="bottom"/>
          </w:tcPr>
          <w:p>
            <w:pPr>
              <w:pStyle w:val="TableContents"/>
              <w:bidi w:val="0"/>
              <w:spacing w:before="0" w:after="0"/>
              <w:ind w:left="0" w:right="0" w:hanging="0"/>
              <w:jc w:val="right"/>
              <w:rPr/>
            </w:pPr>
            <w:r>
              <w:rPr/>
              <w:t>—</w:t>
            </w:r>
          </w:p>
        </w:tc>
        <w:tc>
          <w:tcPr>
            <w:tcW w:w="119" w:type="dxa"/>
            <w:tcBorders/>
            <w:shd w:fill="CCEEFF" w:val="clear"/>
            <w:vAlign w:val="bottom"/>
          </w:tcPr>
          <w:p>
            <w:pPr>
              <w:pStyle w:val="TableContents"/>
              <w:bidi w:val="0"/>
              <w:spacing w:before="0" w:after="283"/>
              <w:jc w:val="left"/>
              <w:rPr/>
            </w:pPr>
            <w:r>
              <w:rPr/>
            </w:r>
          </w:p>
        </w:tc>
      </w:tr>
      <w:tr>
        <w:trPr/>
        <w:tc>
          <w:tcPr>
            <w:tcW w:w="5108" w:type="dxa"/>
            <w:tcBorders/>
            <w:vAlign w:val="bottom"/>
          </w:tcPr>
          <w:p>
            <w:pPr>
              <w:pStyle w:val="TableContents"/>
              <w:widowControl/>
              <w:bidi w:val="0"/>
              <w:spacing w:before="0" w:after="283"/>
              <w:ind w:left="0" w:right="0" w:hanging="0"/>
              <w:jc w:val="both"/>
              <w:rPr>
                <w:rFonts w:ascii="times new roman" w:hAnsi="times new roman"/>
                <w:b w:val="false"/>
                <w:i w:val="false"/>
                <w:caps w:val="false"/>
                <w:smallCaps w:val="false"/>
                <w:color w:val="212529"/>
                <w:spacing w:val="0"/>
                <w:sz w:val="20"/>
              </w:rPr>
            </w:pPr>
            <w:r>
              <w:rPr>
                <w:rFonts w:ascii="times new roman" w:hAnsi="times new roman"/>
                <w:b w:val="false"/>
                <w:i w:val="false"/>
                <w:caps w:val="false"/>
                <w:smallCaps w:val="false"/>
                <w:color w:val="212529"/>
                <w:spacing w:val="0"/>
                <w:sz w:val="20"/>
              </w:rPr>
              <w:t>Issuance of common stock and warrants, net</w:t>
            </w:r>
          </w:p>
        </w:tc>
        <w:tc>
          <w:tcPr>
            <w:tcW w:w="118" w:type="dxa"/>
            <w:tcBorders/>
            <w:vAlign w:val="bottom"/>
          </w:tcPr>
          <w:p>
            <w:pPr>
              <w:pStyle w:val="TableContents"/>
              <w:bidi w:val="0"/>
              <w:spacing w:before="0" w:after="283"/>
              <w:jc w:val="left"/>
              <w:rPr/>
            </w:pPr>
            <w:r>
              <w:rPr/>
            </w:r>
          </w:p>
        </w:tc>
        <w:tc>
          <w:tcPr>
            <w:tcW w:w="218" w:type="dxa"/>
            <w:tcBorders/>
            <w:vAlign w:val="bottom"/>
          </w:tcPr>
          <w:p>
            <w:pPr>
              <w:pStyle w:val="TableContents"/>
              <w:bidi w:val="0"/>
              <w:spacing w:before="0" w:after="283"/>
              <w:ind w:left="0" w:right="0" w:hanging="0"/>
              <w:jc w:val="left"/>
              <w:rPr/>
            </w:pPr>
            <w:r>
              <w:rPr/>
            </w:r>
          </w:p>
        </w:tc>
        <w:tc>
          <w:tcPr>
            <w:tcW w:w="845" w:type="dxa"/>
            <w:tcBorders/>
            <w:vAlign w:val="bottom"/>
          </w:tcPr>
          <w:p>
            <w:pPr>
              <w:pStyle w:val="TableContents"/>
              <w:bidi w:val="0"/>
              <w:spacing w:before="0" w:after="0"/>
              <w:ind w:left="0" w:right="0" w:hanging="0"/>
              <w:jc w:val="right"/>
              <w:rPr/>
            </w:pPr>
            <w:r>
              <w:rPr/>
              <w:t>—</w:t>
            </w:r>
          </w:p>
        </w:tc>
        <w:tc>
          <w:tcPr>
            <w:tcW w:w="154" w:type="dxa"/>
            <w:tcBorders/>
            <w:vAlign w:val="bottom"/>
          </w:tcPr>
          <w:p>
            <w:pPr>
              <w:pStyle w:val="TableContents"/>
              <w:bidi w:val="0"/>
              <w:spacing w:before="0" w:after="283"/>
              <w:ind w:left="0" w:right="0" w:hanging="0"/>
              <w:jc w:val="left"/>
              <w:rPr>
                <w:sz w:val="4"/>
                <w:szCs w:val="4"/>
              </w:rPr>
            </w:pPr>
            <w:r>
              <w:rPr>
                <w:sz w:val="4"/>
                <w:szCs w:val="4"/>
              </w:rPr>
            </w:r>
          </w:p>
        </w:tc>
        <w:tc>
          <w:tcPr>
            <w:tcW w:w="153" w:type="dxa"/>
            <w:tcBorders/>
            <w:vAlign w:val="bottom"/>
          </w:tcPr>
          <w:p>
            <w:pPr>
              <w:pStyle w:val="TableContents"/>
              <w:bidi w:val="0"/>
              <w:spacing w:before="0" w:after="283"/>
              <w:ind w:left="0" w:right="0" w:hanging="0"/>
              <w:jc w:val="left"/>
              <w:rPr/>
            </w:pPr>
            <w:r>
              <w:rPr/>
            </w:r>
          </w:p>
        </w:tc>
        <w:tc>
          <w:tcPr>
            <w:tcW w:w="218" w:type="dxa"/>
            <w:tcBorders/>
            <w:vAlign w:val="bottom"/>
          </w:tcPr>
          <w:p>
            <w:pPr>
              <w:pStyle w:val="TableContents"/>
              <w:bidi w:val="0"/>
              <w:spacing w:before="0" w:after="283"/>
              <w:ind w:left="0" w:right="0" w:hanging="0"/>
              <w:jc w:val="left"/>
              <w:rPr/>
            </w:pPr>
            <w:r>
              <w:rPr/>
            </w:r>
          </w:p>
        </w:tc>
        <w:tc>
          <w:tcPr>
            <w:tcW w:w="902" w:type="dxa"/>
            <w:tcBorders/>
            <w:vAlign w:val="bottom"/>
          </w:tcPr>
          <w:p>
            <w:pPr>
              <w:pStyle w:val="TableContents"/>
              <w:bidi w:val="0"/>
              <w:spacing w:before="0" w:after="0"/>
              <w:ind w:left="0" w:right="0" w:hanging="0"/>
              <w:jc w:val="right"/>
              <w:rPr/>
            </w:pPr>
            <w:r>
              <w:rPr/>
              <w:t>—</w:t>
            </w:r>
          </w:p>
        </w:tc>
        <w:tc>
          <w:tcPr>
            <w:tcW w:w="124" w:type="dxa"/>
            <w:tcBorders/>
            <w:vAlign w:val="bottom"/>
          </w:tcPr>
          <w:p>
            <w:pPr>
              <w:pStyle w:val="TableContents"/>
              <w:bidi w:val="0"/>
              <w:spacing w:before="0" w:after="283"/>
              <w:ind w:left="0" w:right="0" w:hanging="0"/>
              <w:jc w:val="left"/>
              <w:rPr/>
            </w:pPr>
            <w:r>
              <w:rPr/>
            </w:r>
          </w:p>
        </w:tc>
        <w:tc>
          <w:tcPr>
            <w:tcW w:w="22"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bidi w:val="0"/>
              <w:spacing w:before="0" w:after="283"/>
              <w:ind w:left="0" w:right="0" w:hanging="0"/>
              <w:jc w:val="left"/>
              <w:rPr/>
            </w:pPr>
            <w:r>
              <w:rPr/>
            </w:r>
          </w:p>
        </w:tc>
        <w:tc>
          <w:tcPr>
            <w:tcW w:w="895" w:type="dxa"/>
            <w:tcBorders/>
            <w:vAlign w:val="bottom"/>
          </w:tcPr>
          <w:p>
            <w:pPr>
              <w:pStyle w:val="TableContents"/>
              <w:bidi w:val="0"/>
              <w:spacing w:before="0" w:after="0"/>
              <w:ind w:left="0" w:right="0" w:hanging="0"/>
              <w:jc w:val="right"/>
              <w:rPr/>
            </w:pPr>
            <w:r>
              <w:rPr/>
              <w:t>1,750</w:t>
            </w:r>
          </w:p>
        </w:tc>
        <w:tc>
          <w:tcPr>
            <w:tcW w:w="112" w:type="dxa"/>
            <w:tcBorders/>
            <w:vAlign w:val="bottom"/>
          </w:tcPr>
          <w:p>
            <w:pPr>
              <w:pStyle w:val="TableContents"/>
              <w:bidi w:val="0"/>
              <w:spacing w:before="0" w:after="283"/>
              <w:ind w:left="0" w:right="0" w:hanging="0"/>
              <w:jc w:val="left"/>
              <w:rPr/>
            </w:pPr>
            <w:r>
              <w:rPr/>
            </w:r>
          </w:p>
        </w:tc>
        <w:tc>
          <w:tcPr>
            <w:tcW w:w="26"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bidi w:val="0"/>
              <w:spacing w:before="0" w:after="283"/>
              <w:ind w:left="0" w:right="0" w:hanging="0"/>
              <w:jc w:val="left"/>
              <w:rPr/>
            </w:pPr>
            <w:r>
              <w:rPr/>
            </w:r>
          </w:p>
        </w:tc>
        <w:tc>
          <w:tcPr>
            <w:tcW w:w="895" w:type="dxa"/>
            <w:tcBorders/>
            <w:vAlign w:val="bottom"/>
          </w:tcPr>
          <w:p>
            <w:pPr>
              <w:pStyle w:val="TableContents"/>
              <w:bidi w:val="0"/>
              <w:spacing w:before="0" w:after="0"/>
              <w:ind w:left="0" w:right="0" w:hanging="0"/>
              <w:jc w:val="right"/>
              <w:rPr/>
            </w:pPr>
            <w:r>
              <w:rPr/>
              <w:t>1,000</w:t>
            </w:r>
          </w:p>
        </w:tc>
        <w:tc>
          <w:tcPr>
            <w:tcW w:w="119" w:type="dxa"/>
            <w:tcBorders/>
            <w:vAlign w:val="bottom"/>
          </w:tcPr>
          <w:p>
            <w:pPr>
              <w:pStyle w:val="TableContents"/>
              <w:bidi w:val="0"/>
              <w:spacing w:before="0" w:after="283"/>
              <w:jc w:val="left"/>
              <w:rPr/>
            </w:pPr>
            <w:r>
              <w:rPr/>
            </w:r>
          </w:p>
        </w:tc>
      </w:tr>
      <w:tr>
        <w:trPr/>
        <w:tc>
          <w:tcPr>
            <w:tcW w:w="5108"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Share-based compensation expense </w:t>
            </w:r>
          </w:p>
        </w:tc>
        <w:tc>
          <w:tcPr>
            <w:tcW w:w="118" w:type="dxa"/>
            <w:tcBorders/>
            <w:shd w:fill="CCEEFF" w:val="clear"/>
            <w:vAlign w:val="bottom"/>
          </w:tcPr>
          <w:p>
            <w:pPr>
              <w:pStyle w:val="TableContents"/>
              <w:bidi w:val="0"/>
              <w:spacing w:before="0" w:after="0"/>
              <w:ind w:left="0" w:right="0" w:hanging="0"/>
              <w:jc w:val="left"/>
              <w:rPr/>
            </w:pPr>
            <w:r>
              <w:rPr/>
              <w:t xml:space="preserve">  </w:t>
            </w:r>
          </w:p>
        </w:tc>
        <w:tc>
          <w:tcPr>
            <w:tcW w:w="218" w:type="dxa"/>
            <w:tcBorders/>
            <w:shd w:fill="CCEEFF" w:val="clear"/>
            <w:vAlign w:val="bottom"/>
          </w:tcPr>
          <w:p>
            <w:pPr>
              <w:pStyle w:val="TableContents"/>
              <w:bidi w:val="0"/>
              <w:spacing w:before="0" w:after="0"/>
              <w:ind w:left="0" w:right="0" w:hanging="0"/>
              <w:jc w:val="left"/>
              <w:rPr/>
            </w:pPr>
            <w:r>
              <w:rPr/>
              <w:t xml:space="preserve">  </w:t>
            </w:r>
          </w:p>
        </w:tc>
        <w:tc>
          <w:tcPr>
            <w:tcW w:w="845" w:type="dxa"/>
            <w:tcBorders/>
            <w:shd w:fill="CCEEFF" w:val="clear"/>
            <w:vAlign w:val="bottom"/>
          </w:tcPr>
          <w:p>
            <w:pPr>
              <w:pStyle w:val="TableContents"/>
              <w:pBdr/>
              <w:bidi w:val="0"/>
              <w:spacing w:before="0" w:after="0"/>
              <w:ind w:left="0" w:right="0" w:hanging="0"/>
              <w:jc w:val="right"/>
              <w:rPr/>
            </w:pPr>
            <w:r>
              <w:rPr/>
              <w:t xml:space="preserve">— </w:t>
            </w:r>
          </w:p>
        </w:tc>
        <w:tc>
          <w:tcPr>
            <w:tcW w:w="154" w:type="dxa"/>
            <w:tcBorders/>
            <w:shd w:fill="CCEEFF" w:val="clear"/>
            <w:vAlign w:val="bottom"/>
          </w:tcPr>
          <w:p>
            <w:pPr>
              <w:pStyle w:val="TableContents"/>
              <w:pBdr/>
              <w:bidi w:val="0"/>
              <w:spacing w:before="0" w:after="0"/>
              <w:ind w:left="0" w:right="0" w:hanging="0"/>
              <w:jc w:val="left"/>
              <w:rPr/>
            </w:pPr>
            <w:r>
              <w:rPr/>
              <w:t xml:space="preserve">  </w:t>
            </w:r>
          </w:p>
        </w:tc>
        <w:tc>
          <w:tcPr>
            <w:tcW w:w="153" w:type="dxa"/>
            <w:tcBorders/>
            <w:shd w:fill="CCEEFF" w:val="clear"/>
            <w:vAlign w:val="bottom"/>
          </w:tcPr>
          <w:p>
            <w:pPr>
              <w:pStyle w:val="TableContents"/>
              <w:pBdr/>
              <w:bidi w:val="0"/>
              <w:spacing w:before="0" w:after="0"/>
              <w:ind w:left="0" w:right="0" w:hanging="0"/>
              <w:jc w:val="left"/>
              <w:rPr/>
            </w:pPr>
            <w:r>
              <w:rPr/>
              <w:t xml:space="preserve">  </w:t>
            </w:r>
          </w:p>
        </w:tc>
        <w:tc>
          <w:tcPr>
            <w:tcW w:w="218" w:type="dxa"/>
            <w:tcBorders/>
            <w:shd w:fill="CCEEFF" w:val="clear"/>
            <w:vAlign w:val="bottom"/>
          </w:tcPr>
          <w:p>
            <w:pPr>
              <w:pStyle w:val="TableContents"/>
              <w:pBdr/>
              <w:bidi w:val="0"/>
              <w:spacing w:before="0" w:after="0"/>
              <w:ind w:left="0" w:right="0" w:hanging="0"/>
              <w:jc w:val="left"/>
              <w:rPr/>
            </w:pPr>
            <w:r>
              <w:rPr/>
              <w:t xml:space="preserve">  </w:t>
            </w:r>
          </w:p>
        </w:tc>
        <w:tc>
          <w:tcPr>
            <w:tcW w:w="902"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21 </w:t>
            </w:r>
          </w:p>
        </w:tc>
        <w:tc>
          <w:tcPr>
            <w:tcW w:w="124" w:type="dxa"/>
            <w:tcBorders/>
            <w:shd w:fill="CCEEFF" w:val="clear"/>
            <w:vAlign w:val="bottom"/>
          </w:tcPr>
          <w:p>
            <w:pPr>
              <w:pStyle w:val="TableContents"/>
              <w:pBdr/>
              <w:bidi w:val="0"/>
              <w:spacing w:before="0" w:after="0"/>
              <w:ind w:left="0" w:right="0" w:hanging="0"/>
              <w:jc w:val="left"/>
              <w:rPr/>
            </w:pPr>
            <w:r>
              <w:rPr/>
              <w:t xml:space="preserve">  </w:t>
            </w:r>
          </w:p>
        </w:tc>
        <w:tc>
          <w:tcPr>
            <w:tcW w:w="22"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bidi w:val="0"/>
              <w:spacing w:before="0" w:after="283"/>
              <w:ind w:left="0" w:right="0" w:hanging="0"/>
              <w:jc w:val="left"/>
              <w:rPr/>
            </w:pPr>
            <w:r>
              <w:rPr/>
            </w:r>
          </w:p>
        </w:tc>
        <w:tc>
          <w:tcPr>
            <w:tcW w:w="895" w:type="dxa"/>
            <w:tcBorders/>
            <w:shd w:fill="CCEEFF" w:val="clear"/>
            <w:vAlign w:val="bottom"/>
          </w:tcPr>
          <w:p>
            <w:pPr>
              <w:pStyle w:val="TableContents"/>
              <w:bidi w:val="0"/>
              <w:spacing w:before="0" w:after="0"/>
              <w:ind w:left="0" w:right="0" w:hanging="0"/>
              <w:jc w:val="right"/>
              <w:rPr/>
            </w:pPr>
            <w:r>
              <w:rPr/>
              <w:t>—</w:t>
            </w:r>
          </w:p>
        </w:tc>
        <w:tc>
          <w:tcPr>
            <w:tcW w:w="112" w:type="dxa"/>
            <w:tcBorders/>
            <w:shd w:fill="CCEEFF" w:val="clear"/>
            <w:vAlign w:val="bottom"/>
          </w:tcPr>
          <w:p>
            <w:pPr>
              <w:pStyle w:val="TableContents"/>
              <w:bidi w:val="0"/>
              <w:spacing w:before="0" w:after="283"/>
              <w:ind w:left="0" w:right="0" w:hanging="0"/>
              <w:jc w:val="left"/>
              <w:rPr/>
            </w:pPr>
            <w:r>
              <w:rPr/>
            </w:r>
          </w:p>
        </w:tc>
        <w:tc>
          <w:tcPr>
            <w:tcW w:w="26"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bidi w:val="0"/>
              <w:spacing w:before="0" w:after="283"/>
              <w:ind w:left="0" w:right="0" w:hanging="0"/>
              <w:jc w:val="left"/>
              <w:rPr/>
            </w:pPr>
            <w:r>
              <w:rPr/>
            </w:r>
          </w:p>
        </w:tc>
        <w:tc>
          <w:tcPr>
            <w:tcW w:w="895" w:type="dxa"/>
            <w:tcBorders/>
            <w:shd w:fill="CCEEFF" w:val="clear"/>
            <w:vAlign w:val="bottom"/>
          </w:tcPr>
          <w:p>
            <w:pPr>
              <w:pStyle w:val="TableContents"/>
              <w:bidi w:val="0"/>
              <w:spacing w:before="0" w:after="0"/>
              <w:ind w:left="0" w:right="0" w:hanging="0"/>
              <w:jc w:val="right"/>
              <w:rPr/>
            </w:pPr>
            <w:r>
              <w:rPr/>
              <w:t>44</w:t>
            </w:r>
          </w:p>
        </w:tc>
        <w:tc>
          <w:tcPr>
            <w:tcW w:w="119" w:type="dxa"/>
            <w:tcBorders/>
            <w:shd w:fill="CCEEFF" w:val="clear"/>
            <w:vAlign w:val="bottom"/>
          </w:tcPr>
          <w:p>
            <w:pPr>
              <w:pStyle w:val="TableContents"/>
              <w:bidi w:val="0"/>
              <w:spacing w:before="0" w:after="283"/>
              <w:jc w:val="left"/>
              <w:rPr/>
            </w:pPr>
            <w:r>
              <w:rPr/>
            </w:r>
          </w:p>
        </w:tc>
      </w:tr>
      <w:tr>
        <w:trPr/>
        <w:tc>
          <w:tcPr>
            <w:tcW w:w="5108"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Proceeds from employee stock purchase plan </w:t>
            </w:r>
          </w:p>
        </w:tc>
        <w:tc>
          <w:tcPr>
            <w:tcW w:w="118" w:type="dxa"/>
            <w:tcBorders/>
            <w:vAlign w:val="bottom"/>
          </w:tcPr>
          <w:p>
            <w:pPr>
              <w:pStyle w:val="TableContents"/>
              <w:bidi w:val="0"/>
              <w:spacing w:before="0" w:after="0"/>
              <w:ind w:left="0" w:right="0" w:hanging="0"/>
              <w:jc w:val="left"/>
              <w:rPr/>
            </w:pPr>
            <w:r>
              <w:rPr/>
              <w:t xml:space="preserve">  </w:t>
            </w:r>
          </w:p>
        </w:tc>
        <w:tc>
          <w:tcPr>
            <w:tcW w:w="218" w:type="dxa"/>
            <w:tcBorders/>
            <w:vAlign w:val="bottom"/>
          </w:tcPr>
          <w:p>
            <w:pPr>
              <w:pStyle w:val="TableContents"/>
              <w:bidi w:val="0"/>
              <w:spacing w:before="0" w:after="0"/>
              <w:ind w:left="0" w:right="0" w:hanging="0"/>
              <w:jc w:val="left"/>
              <w:rPr/>
            </w:pPr>
            <w:r>
              <w:rPr/>
              <w:t xml:space="preserve">  </w:t>
            </w:r>
          </w:p>
        </w:tc>
        <w:tc>
          <w:tcPr>
            <w:tcW w:w="845" w:type="dxa"/>
            <w:tcBorders/>
            <w:vAlign w:val="bottom"/>
          </w:tcPr>
          <w:p>
            <w:pPr>
              <w:pStyle w:val="TableContents"/>
              <w:pBdr/>
              <w:bidi w:val="0"/>
              <w:spacing w:before="0" w:after="0"/>
              <w:ind w:left="0" w:right="0" w:hanging="0"/>
              <w:jc w:val="right"/>
              <w:rPr/>
            </w:pPr>
            <w:r>
              <w:rPr/>
              <w:t>—</w:t>
            </w:r>
          </w:p>
        </w:tc>
        <w:tc>
          <w:tcPr>
            <w:tcW w:w="154" w:type="dxa"/>
            <w:tcBorders/>
            <w:vAlign w:val="bottom"/>
          </w:tcPr>
          <w:p>
            <w:pPr>
              <w:pStyle w:val="TableContents"/>
              <w:bidi w:val="0"/>
              <w:spacing w:before="0" w:after="283"/>
              <w:ind w:left="0" w:right="0" w:hanging="0"/>
              <w:jc w:val="left"/>
              <w:rPr>
                <w:sz w:val="4"/>
                <w:szCs w:val="4"/>
              </w:rPr>
            </w:pPr>
            <w:r>
              <w:rPr>
                <w:sz w:val="4"/>
                <w:szCs w:val="4"/>
              </w:rPr>
            </w:r>
          </w:p>
        </w:tc>
        <w:tc>
          <w:tcPr>
            <w:tcW w:w="153" w:type="dxa"/>
            <w:tcBorders/>
            <w:vAlign w:val="bottom"/>
          </w:tcPr>
          <w:p>
            <w:pPr>
              <w:pStyle w:val="TableContents"/>
              <w:pBdr/>
              <w:bidi w:val="0"/>
              <w:spacing w:before="0" w:after="0"/>
              <w:ind w:left="0" w:right="0" w:hanging="0"/>
              <w:jc w:val="left"/>
              <w:rPr/>
            </w:pPr>
            <w:r>
              <w:rPr/>
              <w:t xml:space="preserve">  </w:t>
            </w:r>
          </w:p>
        </w:tc>
        <w:tc>
          <w:tcPr>
            <w:tcW w:w="218" w:type="dxa"/>
            <w:tcBorders/>
            <w:vAlign w:val="bottom"/>
          </w:tcPr>
          <w:p>
            <w:pPr>
              <w:pStyle w:val="TableContents"/>
              <w:pBdr/>
              <w:bidi w:val="0"/>
              <w:spacing w:before="0" w:after="0"/>
              <w:ind w:left="0" w:right="0" w:hanging="0"/>
              <w:jc w:val="left"/>
              <w:rPr/>
            </w:pPr>
            <w:r>
              <w:rPr/>
              <w:t xml:space="preserve">  </w:t>
            </w:r>
          </w:p>
        </w:tc>
        <w:tc>
          <w:tcPr>
            <w:tcW w:w="902"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(7</w:t>
            </w:r>
          </w:p>
        </w:tc>
        <w:tc>
          <w:tcPr>
            <w:tcW w:w="124" w:type="dxa"/>
            <w:tcBorders/>
            <w:vAlign w:val="bottom"/>
          </w:tcPr>
          <w:p>
            <w:pPr>
              <w:pStyle w:val="TableContents"/>
              <w:bidi w:val="0"/>
              <w:spacing w:before="0" w:after="0"/>
              <w:ind w:left="0" w:right="0" w:hanging="0"/>
              <w:jc w:val="left"/>
              <w:rPr/>
            </w:pPr>
            <w:r>
              <w:rPr/>
              <w:t>)</w:t>
            </w:r>
          </w:p>
        </w:tc>
        <w:tc>
          <w:tcPr>
            <w:tcW w:w="22"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bidi w:val="0"/>
              <w:spacing w:before="0" w:after="283"/>
              <w:ind w:left="0" w:right="0" w:hanging="0"/>
              <w:jc w:val="left"/>
              <w:rPr/>
            </w:pPr>
            <w:r>
              <w:rPr/>
            </w:r>
          </w:p>
        </w:tc>
        <w:tc>
          <w:tcPr>
            <w:tcW w:w="895" w:type="dxa"/>
            <w:tcBorders/>
            <w:vAlign w:val="bottom"/>
          </w:tcPr>
          <w:p>
            <w:pPr>
              <w:pStyle w:val="TableContents"/>
              <w:bidi w:val="0"/>
              <w:spacing w:before="0" w:after="0"/>
              <w:ind w:left="0" w:right="0" w:hanging="0"/>
              <w:jc w:val="right"/>
              <w:rPr/>
            </w:pPr>
            <w:r>
              <w:rPr/>
              <w:t>—</w:t>
            </w:r>
          </w:p>
        </w:tc>
        <w:tc>
          <w:tcPr>
            <w:tcW w:w="112" w:type="dxa"/>
            <w:tcBorders/>
            <w:vAlign w:val="bottom"/>
          </w:tcPr>
          <w:p>
            <w:pPr>
              <w:pStyle w:val="TableContents"/>
              <w:bidi w:val="0"/>
              <w:spacing w:before="0" w:after="283"/>
              <w:ind w:left="0" w:right="0" w:hanging="0"/>
              <w:jc w:val="left"/>
              <w:rPr/>
            </w:pPr>
            <w:r>
              <w:rPr/>
            </w:r>
          </w:p>
        </w:tc>
        <w:tc>
          <w:tcPr>
            <w:tcW w:w="26"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bidi w:val="0"/>
              <w:spacing w:before="0" w:after="283"/>
              <w:ind w:left="0" w:right="0" w:hanging="0"/>
              <w:jc w:val="left"/>
              <w:rPr/>
            </w:pPr>
            <w:r>
              <w:rPr/>
            </w:r>
          </w:p>
        </w:tc>
        <w:tc>
          <w:tcPr>
            <w:tcW w:w="895" w:type="dxa"/>
            <w:tcBorders/>
            <w:vAlign w:val="bottom"/>
          </w:tcPr>
          <w:p>
            <w:pPr>
              <w:pStyle w:val="TableContents"/>
              <w:bidi w:val="0"/>
              <w:spacing w:before="0" w:after="0"/>
              <w:ind w:left="0" w:right="0" w:hanging="0"/>
              <w:jc w:val="right"/>
              <w:rPr/>
            </w:pPr>
            <w:r>
              <w:rPr/>
              <w:t>—</w:t>
            </w:r>
          </w:p>
        </w:tc>
        <w:tc>
          <w:tcPr>
            <w:tcW w:w="119" w:type="dxa"/>
            <w:tcBorders/>
            <w:vAlign w:val="bottom"/>
          </w:tcPr>
          <w:p>
            <w:pPr>
              <w:pStyle w:val="TableContents"/>
              <w:bidi w:val="0"/>
              <w:spacing w:before="0" w:after="283"/>
              <w:jc w:val="left"/>
              <w:rPr/>
            </w:pPr>
            <w:r>
              <w:rPr/>
            </w:r>
          </w:p>
        </w:tc>
      </w:tr>
      <w:tr>
        <w:trPr/>
        <w:tc>
          <w:tcPr>
            <w:tcW w:w="5108"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end of period </w:t>
            </w:r>
          </w:p>
        </w:tc>
        <w:tc>
          <w:tcPr>
            <w:tcW w:w="118" w:type="dxa"/>
            <w:tcBorders/>
            <w:shd w:fill="CCEEFF" w:val="clear"/>
            <w:vAlign w:val="bottom"/>
          </w:tcPr>
          <w:p>
            <w:pPr>
              <w:pStyle w:val="TableContents"/>
              <w:bidi w:val="0"/>
              <w:spacing w:before="0" w:after="0"/>
              <w:ind w:left="0" w:right="0" w:hanging="0"/>
              <w:jc w:val="left"/>
              <w:rPr/>
            </w:pPr>
            <w:r>
              <w:rPr/>
              <w:t xml:space="preserve">  </w:t>
            </w:r>
          </w:p>
        </w:tc>
        <w:tc>
          <w:tcPr>
            <w:tcW w:w="218"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4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37,503 </w:t>
            </w:r>
          </w:p>
        </w:tc>
        <w:tc>
          <w:tcPr>
            <w:tcW w:w="154" w:type="dxa"/>
            <w:tcBorders/>
            <w:shd w:fill="CCEEFF" w:val="clear"/>
            <w:vAlign w:val="bottom"/>
          </w:tcPr>
          <w:p>
            <w:pPr>
              <w:pStyle w:val="TableContents"/>
              <w:pBdr/>
              <w:bidi w:val="0"/>
              <w:spacing w:before="0" w:after="0"/>
              <w:ind w:left="0" w:right="0" w:hanging="0"/>
              <w:jc w:val="left"/>
              <w:rPr/>
            </w:pPr>
            <w:r>
              <w:rPr/>
              <w:t xml:space="preserve">  </w:t>
            </w:r>
          </w:p>
        </w:tc>
        <w:tc>
          <w:tcPr>
            <w:tcW w:w="153" w:type="dxa"/>
            <w:tcBorders/>
            <w:shd w:fill="CCEEFF" w:val="clear"/>
            <w:vAlign w:val="bottom"/>
          </w:tcPr>
          <w:p>
            <w:pPr>
              <w:pStyle w:val="TableContents"/>
              <w:pBdr/>
              <w:bidi w:val="0"/>
              <w:spacing w:before="0" w:after="0"/>
              <w:ind w:left="0" w:right="0" w:hanging="0"/>
              <w:jc w:val="left"/>
              <w:rPr/>
            </w:pPr>
            <w:r>
              <w:rPr/>
              <w:t xml:space="preserve">  </w:t>
            </w:r>
          </w:p>
        </w:tc>
        <w:tc>
          <w:tcPr>
            <w:tcW w:w="21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02"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32,740 </w:t>
            </w:r>
          </w:p>
        </w:tc>
        <w:tc>
          <w:tcPr>
            <w:tcW w:w="124" w:type="dxa"/>
            <w:tcBorders/>
            <w:shd w:fill="CCEEFF" w:val="clear"/>
            <w:vAlign w:val="bottom"/>
          </w:tcPr>
          <w:p>
            <w:pPr>
              <w:pStyle w:val="TableContents"/>
              <w:pBdr/>
              <w:bidi w:val="0"/>
              <w:spacing w:before="0" w:after="0"/>
              <w:ind w:left="0" w:right="0" w:hanging="0"/>
              <w:jc w:val="left"/>
              <w:rPr/>
            </w:pPr>
            <w:r>
              <w:rPr/>
              <w:t xml:space="preserve">  </w:t>
            </w:r>
          </w:p>
        </w:tc>
        <w:tc>
          <w:tcPr>
            <w:tcW w:w="22"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95" w:type="dxa"/>
            <w:tcBorders/>
            <w:shd w:fill="CCEEFF" w:val="clear"/>
            <w:vAlign w:val="bottom"/>
          </w:tcPr>
          <w:p>
            <w:pPr>
              <w:pStyle w:val="TableContents"/>
              <w:bidi w:val="0"/>
              <w:spacing w:before="0" w:after="0"/>
              <w:ind w:left="0" w:right="0" w:hanging="0"/>
              <w:jc w:val="right"/>
              <w:rPr/>
            </w:pPr>
            <w:r>
              <w:rPr/>
              <w:t>37,503</w:t>
            </w:r>
          </w:p>
        </w:tc>
        <w:tc>
          <w:tcPr>
            <w:tcW w:w="112" w:type="dxa"/>
            <w:tcBorders/>
            <w:shd w:fill="CCEEFF" w:val="clear"/>
            <w:vAlign w:val="bottom"/>
          </w:tcPr>
          <w:p>
            <w:pPr>
              <w:pStyle w:val="TableContents"/>
              <w:bidi w:val="0"/>
              <w:spacing w:before="0" w:after="283"/>
              <w:ind w:left="0" w:right="0" w:hanging="0"/>
              <w:jc w:val="left"/>
              <w:rPr/>
            </w:pPr>
            <w:r>
              <w:rPr/>
            </w:r>
          </w:p>
        </w:tc>
        <w:tc>
          <w:tcPr>
            <w:tcW w:w="26"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95" w:type="dxa"/>
            <w:tcBorders/>
            <w:shd w:fill="CCEEFF" w:val="clear"/>
            <w:vAlign w:val="bottom"/>
          </w:tcPr>
          <w:p>
            <w:pPr>
              <w:pStyle w:val="TableContents"/>
              <w:bidi w:val="0"/>
              <w:spacing w:before="0" w:after="0"/>
              <w:ind w:left="0" w:right="0" w:hanging="0"/>
              <w:jc w:val="right"/>
              <w:rPr/>
            </w:pPr>
            <w:r>
              <w:rPr/>
              <w:t>32,740</w:t>
            </w:r>
          </w:p>
        </w:tc>
        <w:tc>
          <w:tcPr>
            <w:tcW w:w="119" w:type="dxa"/>
            <w:tcBorders/>
            <w:shd w:fill="CCEEFF" w:val="clear"/>
            <w:vAlign w:val="bottom"/>
          </w:tcPr>
          <w:p>
            <w:pPr>
              <w:pStyle w:val="TableContents"/>
              <w:bidi w:val="0"/>
              <w:spacing w:before="0" w:after="283"/>
              <w:jc w:val="left"/>
              <w:rPr/>
            </w:pPr>
            <w:r>
              <w:rPr/>
            </w:r>
          </w:p>
        </w:tc>
      </w:tr>
      <w:tr>
        <w:trPr/>
        <w:tc>
          <w:tcPr>
            <w:tcW w:w="5108" w:type="dxa"/>
            <w:tcBorders/>
            <w:vAlign w:val="bottom"/>
          </w:tcPr>
          <w:p>
            <w:pPr>
              <w:pStyle w:val="TableContents"/>
              <w:bidi w:val="0"/>
              <w:spacing w:before="0" w:after="0"/>
              <w:ind w:left="0" w:right="0" w:hanging="0"/>
              <w:jc w:val="left"/>
              <w:rPr/>
            </w:pPr>
            <w:r>
              <w:rPr/>
              <w:t xml:space="preserve">  </w:t>
            </w:r>
          </w:p>
        </w:tc>
        <w:tc>
          <w:tcPr>
            <w:tcW w:w="118" w:type="dxa"/>
            <w:tcBorders/>
            <w:vAlign w:val="bottom"/>
          </w:tcPr>
          <w:p>
            <w:pPr>
              <w:pStyle w:val="TableContents"/>
              <w:bidi w:val="0"/>
              <w:spacing w:before="0" w:after="0"/>
              <w:ind w:left="0" w:right="0" w:hanging="0"/>
              <w:jc w:val="left"/>
              <w:rPr/>
            </w:pPr>
            <w:r>
              <w:rPr/>
              <w:t xml:space="preserve">  </w:t>
            </w:r>
          </w:p>
        </w:tc>
        <w:tc>
          <w:tcPr>
            <w:tcW w:w="218" w:type="dxa"/>
            <w:tcBorders/>
            <w:vAlign w:val="bottom"/>
          </w:tcPr>
          <w:p>
            <w:pPr>
              <w:pStyle w:val="TableContents"/>
              <w:bidi w:val="0"/>
              <w:spacing w:before="0" w:after="0"/>
              <w:ind w:left="0" w:right="0" w:hanging="0"/>
              <w:jc w:val="left"/>
              <w:rPr/>
            </w:pPr>
            <w:r>
              <w:rPr/>
              <w:t xml:space="preserve">  </w:t>
            </w:r>
          </w:p>
        </w:tc>
        <w:tc>
          <w:tcPr>
            <w:tcW w:w="845" w:type="dxa"/>
            <w:tcBorders/>
            <w:vAlign w:val="bottom"/>
          </w:tcPr>
          <w:p>
            <w:pPr>
              <w:pStyle w:val="TableContents"/>
              <w:pBdr/>
              <w:bidi w:val="0"/>
              <w:spacing w:before="0" w:after="0"/>
              <w:ind w:left="0" w:right="0" w:hanging="0"/>
              <w:jc w:val="right"/>
              <w:rPr/>
            </w:pPr>
            <w:r>
              <w:rPr/>
              <w:t xml:space="preserve">  </w:t>
            </w:r>
          </w:p>
        </w:tc>
        <w:tc>
          <w:tcPr>
            <w:tcW w:w="154" w:type="dxa"/>
            <w:tcBorders/>
            <w:vAlign w:val="bottom"/>
          </w:tcPr>
          <w:p>
            <w:pPr>
              <w:pStyle w:val="TableContents"/>
              <w:pBdr/>
              <w:bidi w:val="0"/>
              <w:spacing w:before="0" w:after="0"/>
              <w:ind w:left="0" w:right="0" w:hanging="0"/>
              <w:jc w:val="left"/>
              <w:rPr/>
            </w:pPr>
            <w:r>
              <w:rPr/>
              <w:t xml:space="preserve">  </w:t>
            </w:r>
          </w:p>
        </w:tc>
        <w:tc>
          <w:tcPr>
            <w:tcW w:w="153" w:type="dxa"/>
            <w:tcBorders/>
            <w:vAlign w:val="bottom"/>
          </w:tcPr>
          <w:p>
            <w:pPr>
              <w:pStyle w:val="TableContents"/>
              <w:pBdr/>
              <w:bidi w:val="0"/>
              <w:spacing w:before="0" w:after="0"/>
              <w:ind w:left="0" w:right="0" w:hanging="0"/>
              <w:jc w:val="left"/>
              <w:rPr/>
            </w:pPr>
            <w:r>
              <w:rPr/>
              <w:t xml:space="preserve">  </w:t>
            </w:r>
          </w:p>
        </w:tc>
        <w:tc>
          <w:tcPr>
            <w:tcW w:w="218" w:type="dxa"/>
            <w:tcBorders/>
            <w:vAlign w:val="bottom"/>
          </w:tcPr>
          <w:p>
            <w:pPr>
              <w:pStyle w:val="TableContents"/>
              <w:pBdr/>
              <w:bidi w:val="0"/>
              <w:spacing w:before="0" w:after="0"/>
              <w:ind w:left="0" w:right="0" w:hanging="0"/>
              <w:jc w:val="left"/>
              <w:rPr/>
            </w:pPr>
            <w:r>
              <w:rPr/>
              <w:t xml:space="preserve">  </w:t>
            </w:r>
          </w:p>
        </w:tc>
        <w:tc>
          <w:tcPr>
            <w:tcW w:w="902" w:type="dxa"/>
            <w:tcBorders/>
            <w:vAlign w:val="bottom"/>
          </w:tcPr>
          <w:p>
            <w:pPr>
              <w:pStyle w:val="TableContents"/>
              <w:pBdr/>
              <w:bidi w:val="0"/>
              <w:spacing w:before="0" w:after="0"/>
              <w:ind w:left="0" w:right="0" w:hanging="0"/>
              <w:jc w:val="right"/>
              <w:rPr/>
            </w:pPr>
            <w:r>
              <w:rPr/>
              <w:t xml:space="preserve">  </w:t>
            </w:r>
          </w:p>
        </w:tc>
        <w:tc>
          <w:tcPr>
            <w:tcW w:w="124" w:type="dxa"/>
            <w:tcBorders/>
            <w:vAlign w:val="bottom"/>
          </w:tcPr>
          <w:p>
            <w:pPr>
              <w:pStyle w:val="TableContents"/>
              <w:pBdr/>
              <w:bidi w:val="0"/>
              <w:spacing w:before="0" w:after="0"/>
              <w:ind w:left="0" w:right="0" w:hanging="0"/>
              <w:jc w:val="left"/>
              <w:rPr/>
            </w:pPr>
            <w:r>
              <w:rPr/>
              <w:t xml:space="preserve">  </w:t>
            </w:r>
          </w:p>
        </w:tc>
        <w:tc>
          <w:tcPr>
            <w:tcW w:w="22"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bidi w:val="0"/>
              <w:spacing w:before="0" w:after="283"/>
              <w:ind w:left="0" w:right="0" w:hanging="0"/>
              <w:jc w:val="left"/>
              <w:rPr/>
            </w:pPr>
            <w:r>
              <w:rPr/>
            </w:r>
          </w:p>
        </w:tc>
        <w:tc>
          <w:tcPr>
            <w:tcW w:w="895" w:type="dxa"/>
            <w:tcBorders/>
            <w:vAlign w:val="bottom"/>
          </w:tcPr>
          <w:p>
            <w:pPr>
              <w:pStyle w:val="TableContents"/>
              <w:bidi w:val="0"/>
              <w:spacing w:before="0" w:after="283"/>
              <w:ind w:left="0" w:right="0" w:hanging="0"/>
              <w:jc w:val="left"/>
              <w:rPr/>
            </w:pPr>
            <w:r>
              <w:rPr/>
            </w:r>
          </w:p>
        </w:tc>
        <w:tc>
          <w:tcPr>
            <w:tcW w:w="112" w:type="dxa"/>
            <w:tcBorders/>
            <w:vAlign w:val="bottom"/>
          </w:tcPr>
          <w:p>
            <w:pPr>
              <w:pStyle w:val="TableContents"/>
              <w:bidi w:val="0"/>
              <w:spacing w:before="0" w:after="283"/>
              <w:ind w:left="0" w:right="0" w:hanging="0"/>
              <w:jc w:val="left"/>
              <w:rPr/>
            </w:pPr>
            <w:r>
              <w:rPr/>
            </w:r>
          </w:p>
        </w:tc>
        <w:tc>
          <w:tcPr>
            <w:tcW w:w="26"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bidi w:val="0"/>
              <w:spacing w:before="0" w:after="283"/>
              <w:ind w:left="0" w:right="0" w:hanging="0"/>
              <w:jc w:val="left"/>
              <w:rPr/>
            </w:pPr>
            <w:r>
              <w:rPr/>
            </w:r>
          </w:p>
        </w:tc>
        <w:tc>
          <w:tcPr>
            <w:tcW w:w="895" w:type="dxa"/>
            <w:tcBorders/>
            <w:vAlign w:val="bottom"/>
          </w:tcPr>
          <w:p>
            <w:pPr>
              <w:pStyle w:val="TableContents"/>
              <w:bidi w:val="0"/>
              <w:spacing w:before="0" w:after="283"/>
              <w:ind w:left="0" w:right="0" w:hanging="0"/>
              <w:jc w:val="left"/>
              <w:rPr/>
            </w:pPr>
            <w:r>
              <w:rPr/>
            </w:r>
          </w:p>
        </w:tc>
        <w:tc>
          <w:tcPr>
            <w:tcW w:w="119" w:type="dxa"/>
            <w:tcBorders/>
            <w:vAlign w:val="bottom"/>
          </w:tcPr>
          <w:p>
            <w:pPr>
              <w:pStyle w:val="TableContents"/>
              <w:bidi w:val="0"/>
              <w:spacing w:before="0" w:after="283"/>
              <w:jc w:val="left"/>
              <w:rPr/>
            </w:pPr>
            <w:r>
              <w:rPr/>
            </w:r>
          </w:p>
        </w:tc>
      </w:tr>
      <w:tr>
        <w:trPr/>
        <w:tc>
          <w:tcPr>
            <w:tcW w:w="5108" w:type="dxa"/>
            <w:tcBorders/>
            <w:shd w:fill="CCEEFF" w:val="cle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Accumulated other comprehensive loss </w:t>
            </w:r>
          </w:p>
        </w:tc>
        <w:tc>
          <w:tcPr>
            <w:tcW w:w="118" w:type="dxa"/>
            <w:tcBorders/>
            <w:shd w:fill="CCEEFF" w:val="clear"/>
            <w:vAlign w:val="bottom"/>
          </w:tcPr>
          <w:p>
            <w:pPr>
              <w:pStyle w:val="TableContents"/>
              <w:bidi w:val="0"/>
              <w:spacing w:before="0" w:after="0"/>
              <w:ind w:left="0" w:right="0" w:hanging="0"/>
              <w:jc w:val="left"/>
              <w:rPr/>
            </w:pPr>
            <w:r>
              <w:rPr/>
              <w:t xml:space="preserve">  </w:t>
            </w:r>
          </w:p>
        </w:tc>
        <w:tc>
          <w:tcPr>
            <w:tcW w:w="218" w:type="dxa"/>
            <w:tcBorders/>
            <w:shd w:fill="CCEEFF" w:val="clear"/>
            <w:vAlign w:val="bottom"/>
          </w:tcPr>
          <w:p>
            <w:pPr>
              <w:pStyle w:val="TableContents"/>
              <w:bidi w:val="0"/>
              <w:spacing w:before="0" w:after="0"/>
              <w:ind w:left="0" w:right="0" w:hanging="0"/>
              <w:jc w:val="left"/>
              <w:rPr/>
            </w:pPr>
            <w:r>
              <w:rPr/>
              <w:t xml:space="preserve">  </w:t>
            </w:r>
          </w:p>
        </w:tc>
        <w:tc>
          <w:tcPr>
            <w:tcW w:w="845" w:type="dxa"/>
            <w:tcBorders/>
            <w:shd w:fill="CCEEFF" w:val="clear"/>
            <w:vAlign w:val="bottom"/>
          </w:tcPr>
          <w:p>
            <w:pPr>
              <w:pStyle w:val="TableContents"/>
              <w:pBdr/>
              <w:bidi w:val="0"/>
              <w:spacing w:before="0" w:after="0"/>
              <w:ind w:left="0" w:right="0" w:hanging="0"/>
              <w:jc w:val="right"/>
              <w:rPr/>
            </w:pPr>
            <w:r>
              <w:rPr/>
              <w:t xml:space="preserve">  </w:t>
            </w:r>
          </w:p>
        </w:tc>
        <w:tc>
          <w:tcPr>
            <w:tcW w:w="154" w:type="dxa"/>
            <w:tcBorders/>
            <w:shd w:fill="CCEEFF" w:val="clear"/>
            <w:vAlign w:val="bottom"/>
          </w:tcPr>
          <w:p>
            <w:pPr>
              <w:pStyle w:val="TableContents"/>
              <w:pBdr/>
              <w:bidi w:val="0"/>
              <w:spacing w:before="0" w:after="0"/>
              <w:ind w:left="0" w:right="0" w:hanging="0"/>
              <w:jc w:val="left"/>
              <w:rPr/>
            </w:pPr>
            <w:r>
              <w:rPr/>
              <w:t xml:space="preserve">  </w:t>
            </w:r>
          </w:p>
        </w:tc>
        <w:tc>
          <w:tcPr>
            <w:tcW w:w="153" w:type="dxa"/>
            <w:tcBorders/>
            <w:shd w:fill="CCEEFF" w:val="clear"/>
            <w:vAlign w:val="bottom"/>
          </w:tcPr>
          <w:p>
            <w:pPr>
              <w:pStyle w:val="TableContents"/>
              <w:pBdr/>
              <w:bidi w:val="0"/>
              <w:spacing w:before="0" w:after="0"/>
              <w:ind w:left="0" w:right="0" w:hanging="0"/>
              <w:jc w:val="left"/>
              <w:rPr/>
            </w:pPr>
            <w:r>
              <w:rPr/>
              <w:t xml:space="preserve">  </w:t>
            </w:r>
          </w:p>
        </w:tc>
        <w:tc>
          <w:tcPr>
            <w:tcW w:w="218" w:type="dxa"/>
            <w:tcBorders/>
            <w:shd w:fill="CCEEFF" w:val="clear"/>
            <w:vAlign w:val="bottom"/>
          </w:tcPr>
          <w:p>
            <w:pPr>
              <w:pStyle w:val="TableContents"/>
              <w:pBdr/>
              <w:bidi w:val="0"/>
              <w:spacing w:before="0" w:after="0"/>
              <w:ind w:left="0" w:right="0" w:hanging="0"/>
              <w:jc w:val="left"/>
              <w:rPr/>
            </w:pPr>
            <w:r>
              <w:rPr/>
              <w:t xml:space="preserve">  </w:t>
            </w:r>
          </w:p>
        </w:tc>
        <w:tc>
          <w:tcPr>
            <w:tcW w:w="902" w:type="dxa"/>
            <w:tcBorders/>
            <w:shd w:fill="CCEEFF" w:val="clear"/>
            <w:vAlign w:val="bottom"/>
          </w:tcPr>
          <w:p>
            <w:pPr>
              <w:pStyle w:val="TableContents"/>
              <w:pBdr/>
              <w:bidi w:val="0"/>
              <w:spacing w:before="0" w:after="0"/>
              <w:ind w:left="0" w:right="0" w:hanging="0"/>
              <w:jc w:val="right"/>
              <w:rPr/>
            </w:pPr>
            <w:r>
              <w:rPr/>
              <w:t xml:space="preserve">  </w:t>
            </w:r>
          </w:p>
        </w:tc>
        <w:tc>
          <w:tcPr>
            <w:tcW w:w="124" w:type="dxa"/>
            <w:tcBorders/>
            <w:shd w:fill="CCEEFF" w:val="clear"/>
            <w:vAlign w:val="bottom"/>
          </w:tcPr>
          <w:p>
            <w:pPr>
              <w:pStyle w:val="TableContents"/>
              <w:pBdr/>
              <w:bidi w:val="0"/>
              <w:spacing w:before="0" w:after="0"/>
              <w:ind w:left="0" w:right="0" w:hanging="0"/>
              <w:jc w:val="left"/>
              <w:rPr/>
            </w:pPr>
            <w:r>
              <w:rPr/>
              <w:t xml:space="preserve">  </w:t>
            </w:r>
          </w:p>
        </w:tc>
        <w:tc>
          <w:tcPr>
            <w:tcW w:w="22"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bidi w:val="0"/>
              <w:spacing w:before="0" w:after="283"/>
              <w:ind w:left="0" w:right="0" w:hanging="0"/>
              <w:jc w:val="left"/>
              <w:rPr/>
            </w:pPr>
            <w:r>
              <w:rPr/>
            </w:r>
          </w:p>
        </w:tc>
        <w:tc>
          <w:tcPr>
            <w:tcW w:w="895" w:type="dxa"/>
            <w:tcBorders/>
            <w:shd w:fill="CCEEFF" w:val="clear"/>
            <w:vAlign w:val="bottom"/>
          </w:tcPr>
          <w:p>
            <w:pPr>
              <w:pStyle w:val="TableContents"/>
              <w:bidi w:val="0"/>
              <w:spacing w:before="0" w:after="283"/>
              <w:ind w:left="0" w:right="0" w:hanging="0"/>
              <w:jc w:val="left"/>
              <w:rPr/>
            </w:pPr>
            <w:r>
              <w:rPr/>
            </w:r>
          </w:p>
        </w:tc>
        <w:tc>
          <w:tcPr>
            <w:tcW w:w="112" w:type="dxa"/>
            <w:tcBorders/>
            <w:shd w:fill="CCEEFF" w:val="clear"/>
            <w:vAlign w:val="bottom"/>
          </w:tcPr>
          <w:p>
            <w:pPr>
              <w:pStyle w:val="TableContents"/>
              <w:bidi w:val="0"/>
              <w:spacing w:before="0" w:after="283"/>
              <w:ind w:left="0" w:right="0" w:hanging="0"/>
              <w:jc w:val="left"/>
              <w:rPr/>
            </w:pPr>
            <w:r>
              <w:rPr/>
            </w:r>
          </w:p>
        </w:tc>
        <w:tc>
          <w:tcPr>
            <w:tcW w:w="26"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bidi w:val="0"/>
              <w:spacing w:before="0" w:after="283"/>
              <w:ind w:left="0" w:right="0" w:hanging="0"/>
              <w:jc w:val="left"/>
              <w:rPr/>
            </w:pPr>
            <w:r>
              <w:rPr/>
            </w:r>
          </w:p>
        </w:tc>
        <w:tc>
          <w:tcPr>
            <w:tcW w:w="895" w:type="dxa"/>
            <w:tcBorders/>
            <w:shd w:fill="CCEEFF" w:val="clear"/>
            <w:vAlign w:val="bottom"/>
          </w:tcPr>
          <w:p>
            <w:pPr>
              <w:pStyle w:val="TableContents"/>
              <w:bidi w:val="0"/>
              <w:spacing w:before="0" w:after="283"/>
              <w:ind w:left="0" w:right="0" w:hanging="0"/>
              <w:jc w:val="left"/>
              <w:rPr/>
            </w:pPr>
            <w:r>
              <w:rPr/>
            </w:r>
          </w:p>
        </w:tc>
        <w:tc>
          <w:tcPr>
            <w:tcW w:w="119" w:type="dxa"/>
            <w:tcBorders/>
            <w:shd w:fill="CCEEFF" w:val="clear"/>
            <w:vAlign w:val="bottom"/>
          </w:tcPr>
          <w:p>
            <w:pPr>
              <w:pStyle w:val="TableContents"/>
              <w:bidi w:val="0"/>
              <w:spacing w:before="0" w:after="283"/>
              <w:jc w:val="left"/>
              <w:rPr/>
            </w:pPr>
            <w:r>
              <w:rPr/>
            </w:r>
          </w:p>
        </w:tc>
      </w:tr>
      <w:tr>
        <w:trPr/>
        <w:tc>
          <w:tcPr>
            <w:tcW w:w="5108"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beginning of period </w:t>
            </w:r>
          </w:p>
        </w:tc>
        <w:tc>
          <w:tcPr>
            <w:tcW w:w="118" w:type="dxa"/>
            <w:tcBorders/>
            <w:vAlign w:val="bottom"/>
          </w:tcPr>
          <w:p>
            <w:pPr>
              <w:pStyle w:val="TableContents"/>
              <w:bidi w:val="0"/>
              <w:spacing w:before="0" w:after="0"/>
              <w:ind w:left="0" w:right="0" w:hanging="0"/>
              <w:jc w:val="left"/>
              <w:rPr/>
            </w:pPr>
            <w:r>
              <w:rPr/>
              <w:t xml:space="preserve">  </w:t>
            </w:r>
          </w:p>
        </w:tc>
        <w:tc>
          <w:tcPr>
            <w:tcW w:w="218"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45"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(341</w:t>
            </w:r>
          </w:p>
        </w:tc>
        <w:tc>
          <w:tcPr>
            <w:tcW w:w="154" w:type="dxa"/>
            <w:tcBorders/>
            <w:vAlign w:val="bottom"/>
          </w:tcPr>
          <w:p>
            <w:pPr>
              <w:pStyle w:val="TableContents"/>
              <w:bidi w:val="0"/>
              <w:spacing w:before="0" w:after="0"/>
              <w:ind w:left="0" w:right="0" w:hanging="0"/>
              <w:jc w:val="left"/>
              <w:rPr/>
            </w:pPr>
            <w:r>
              <w:rPr/>
              <w:t>)</w:t>
            </w:r>
          </w:p>
        </w:tc>
        <w:tc>
          <w:tcPr>
            <w:tcW w:w="153" w:type="dxa"/>
            <w:tcBorders/>
            <w:vAlign w:val="bottom"/>
          </w:tcPr>
          <w:p>
            <w:pPr>
              <w:pStyle w:val="TableContents"/>
              <w:pBdr/>
              <w:bidi w:val="0"/>
              <w:spacing w:before="0" w:after="0"/>
              <w:ind w:left="0" w:right="0" w:hanging="0"/>
              <w:jc w:val="left"/>
              <w:rPr/>
            </w:pPr>
            <w:r>
              <w:rPr/>
              <w:t xml:space="preserve">  </w:t>
            </w:r>
          </w:p>
        </w:tc>
        <w:tc>
          <w:tcPr>
            <w:tcW w:w="218"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02"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(319</w:t>
            </w:r>
          </w:p>
        </w:tc>
        <w:tc>
          <w:tcPr>
            <w:tcW w:w="124" w:type="dxa"/>
            <w:tcBorders/>
            <w:vAlign w:val="bottom"/>
          </w:tcPr>
          <w:p>
            <w:pPr>
              <w:pStyle w:val="TableContents"/>
              <w:bidi w:val="0"/>
              <w:spacing w:before="0" w:after="0"/>
              <w:ind w:left="0" w:right="0" w:hanging="0"/>
              <w:jc w:val="left"/>
              <w:rPr/>
            </w:pPr>
            <w:r>
              <w:rPr/>
              <w:t>)</w:t>
            </w:r>
          </w:p>
        </w:tc>
        <w:tc>
          <w:tcPr>
            <w:tcW w:w="22"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95" w:type="dxa"/>
            <w:tcBorders/>
            <w:vAlign w:val="bottom"/>
          </w:tcPr>
          <w:p>
            <w:pPr>
              <w:pStyle w:val="TableContents"/>
              <w:bidi w:val="0"/>
              <w:spacing w:before="0" w:after="0"/>
              <w:ind w:left="0" w:right="0" w:hanging="0"/>
              <w:jc w:val="right"/>
              <w:rPr/>
            </w:pPr>
            <w:r>
              <w:rPr/>
              <w:t>(340</w:t>
            </w:r>
          </w:p>
        </w:tc>
        <w:tc>
          <w:tcPr>
            <w:tcW w:w="112" w:type="dxa"/>
            <w:tcBorders/>
            <w:vAlign w:val="bottom"/>
          </w:tcPr>
          <w:p>
            <w:pPr>
              <w:pStyle w:val="TableContents"/>
              <w:bidi w:val="0"/>
              <w:spacing w:before="0" w:after="0"/>
              <w:ind w:left="0" w:right="0" w:hanging="0"/>
              <w:jc w:val="left"/>
              <w:rPr/>
            </w:pPr>
            <w:r>
              <w:rPr/>
              <w:t>)</w:t>
            </w:r>
          </w:p>
        </w:tc>
        <w:tc>
          <w:tcPr>
            <w:tcW w:w="26"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95" w:type="dxa"/>
            <w:tcBorders/>
            <w:vAlign w:val="bottom"/>
          </w:tcPr>
          <w:p>
            <w:pPr>
              <w:pStyle w:val="TableContents"/>
              <w:bidi w:val="0"/>
              <w:spacing w:before="0" w:after="0"/>
              <w:ind w:left="0" w:right="0" w:hanging="0"/>
              <w:jc w:val="right"/>
              <w:rPr/>
            </w:pPr>
            <w:r>
              <w:rPr/>
              <w:t>(306</w:t>
            </w:r>
          </w:p>
        </w:tc>
        <w:tc>
          <w:tcPr>
            <w:tcW w:w="119" w:type="dxa"/>
            <w:tcBorders/>
            <w:vAlign w:val="bottom"/>
          </w:tcPr>
          <w:p>
            <w:pPr>
              <w:pStyle w:val="TableContents"/>
              <w:bidi w:val="0"/>
              <w:spacing w:before="0" w:after="0"/>
              <w:jc w:val="left"/>
              <w:rPr/>
            </w:pPr>
            <w:r>
              <w:rPr/>
              <w:t>)</w:t>
            </w:r>
          </w:p>
        </w:tc>
      </w:tr>
      <w:tr>
        <w:trPr/>
        <w:tc>
          <w:tcPr>
            <w:tcW w:w="5108"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Foreign currency translation adjustment </w:t>
            </w:r>
          </w:p>
        </w:tc>
        <w:tc>
          <w:tcPr>
            <w:tcW w:w="118" w:type="dxa"/>
            <w:tcBorders/>
            <w:shd w:fill="CCEEFF" w:val="clear"/>
            <w:vAlign w:val="bottom"/>
          </w:tcPr>
          <w:p>
            <w:pPr>
              <w:pStyle w:val="TableContents"/>
              <w:bidi w:val="0"/>
              <w:spacing w:before="0" w:after="0"/>
              <w:ind w:left="0" w:right="0" w:hanging="0"/>
              <w:jc w:val="left"/>
              <w:rPr/>
            </w:pPr>
            <w:r>
              <w:rPr/>
              <w:t xml:space="preserve">  </w:t>
            </w:r>
          </w:p>
        </w:tc>
        <w:tc>
          <w:tcPr>
            <w:tcW w:w="218" w:type="dxa"/>
            <w:tcBorders/>
            <w:shd w:fill="CCEEFF" w:val="clear"/>
            <w:vAlign w:val="bottom"/>
          </w:tcPr>
          <w:p>
            <w:pPr>
              <w:pStyle w:val="TableContents"/>
              <w:bidi w:val="0"/>
              <w:spacing w:before="0" w:after="0"/>
              <w:ind w:left="0" w:right="0" w:hanging="0"/>
              <w:jc w:val="left"/>
              <w:rPr/>
            </w:pPr>
            <w:r>
              <w:rPr/>
              <w:t xml:space="preserve">  </w:t>
            </w:r>
          </w:p>
        </w:tc>
        <w:tc>
          <w:tcPr>
            <w:tcW w:w="845" w:type="dxa"/>
            <w:tcBorders/>
            <w:shd w:fill="CCEEFF" w:val="clear"/>
            <w:vAlign w:val="bottom"/>
          </w:tcPr>
          <w:p>
            <w:pPr>
              <w:pStyle w:val="TableContents"/>
              <w:pBdr/>
              <w:bidi w:val="0"/>
              <w:spacing w:before="0" w:after="0"/>
              <w:ind w:left="0" w:right="0" w:hanging="0"/>
              <w:jc w:val="right"/>
              <w:rPr>
                <w:rFonts w:ascii="Times New Roman" w:hAnsi="Times New Roman"/>
              </w:rPr>
            </w:pPr>
            <w:r>
              <w:rPr>
                <w:rFonts w:ascii="Times New Roman" w:hAnsi="Times New Roman"/>
              </w:rPr>
              <w:t>1</w:t>
            </w:r>
          </w:p>
        </w:tc>
        <w:tc>
          <w:tcPr>
            <w:tcW w:w="154"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153" w:type="dxa"/>
            <w:tcBorders/>
            <w:shd w:fill="CCEEFF" w:val="clear"/>
            <w:vAlign w:val="bottom"/>
          </w:tcPr>
          <w:p>
            <w:pPr>
              <w:pStyle w:val="TableContents"/>
              <w:pBdr/>
              <w:bidi w:val="0"/>
              <w:spacing w:before="0" w:after="0"/>
              <w:ind w:left="0" w:right="0" w:hanging="0"/>
              <w:jc w:val="left"/>
              <w:rPr/>
            </w:pPr>
            <w:r>
              <w:rPr/>
              <w:t xml:space="preserve">  </w:t>
            </w:r>
          </w:p>
        </w:tc>
        <w:tc>
          <w:tcPr>
            <w:tcW w:w="218" w:type="dxa"/>
            <w:tcBorders/>
            <w:shd w:fill="CCEEFF" w:val="clear"/>
            <w:vAlign w:val="bottom"/>
          </w:tcPr>
          <w:p>
            <w:pPr>
              <w:pStyle w:val="TableContents"/>
              <w:pBdr/>
              <w:bidi w:val="0"/>
              <w:spacing w:before="0" w:after="0"/>
              <w:ind w:left="0" w:right="0" w:hanging="0"/>
              <w:jc w:val="left"/>
              <w:rPr/>
            </w:pPr>
            <w:r>
              <w:rPr/>
              <w:t xml:space="preserve">  </w:t>
            </w:r>
          </w:p>
        </w:tc>
        <w:tc>
          <w:tcPr>
            <w:tcW w:w="902"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(10</w:t>
            </w:r>
          </w:p>
        </w:tc>
        <w:tc>
          <w:tcPr>
            <w:tcW w:w="124" w:type="dxa"/>
            <w:tcBorders/>
            <w:shd w:fill="CCEEFF" w:val="clear"/>
            <w:vAlign w:val="bottom"/>
          </w:tcPr>
          <w:p>
            <w:pPr>
              <w:pStyle w:val="TableContents"/>
              <w:bidi w:val="0"/>
              <w:spacing w:before="0" w:after="0"/>
              <w:ind w:left="0" w:right="0" w:hanging="0"/>
              <w:jc w:val="left"/>
              <w:rPr/>
            </w:pPr>
            <w:r>
              <w:rPr/>
              <w:t>)</w:t>
            </w:r>
          </w:p>
        </w:tc>
        <w:tc>
          <w:tcPr>
            <w:tcW w:w="22"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bidi w:val="0"/>
              <w:spacing w:before="0" w:after="283"/>
              <w:ind w:left="0" w:right="0" w:hanging="0"/>
              <w:jc w:val="left"/>
              <w:rPr/>
            </w:pPr>
            <w:r>
              <w:rPr/>
            </w:r>
          </w:p>
        </w:tc>
        <w:tc>
          <w:tcPr>
            <w:tcW w:w="895" w:type="dxa"/>
            <w:tcBorders/>
            <w:shd w:fill="CCEEFF" w:val="clear"/>
            <w:vAlign w:val="bottom"/>
          </w:tcPr>
          <w:p>
            <w:pPr>
              <w:pStyle w:val="TableContents"/>
              <w:bidi w:val="0"/>
              <w:spacing w:before="0" w:after="0"/>
              <w:ind w:left="0" w:right="0" w:hanging="0"/>
              <w:jc w:val="right"/>
              <w:rPr/>
            </w:pPr>
            <w:r>
              <w:rPr/>
              <w:t>—</w:t>
            </w:r>
          </w:p>
        </w:tc>
        <w:tc>
          <w:tcPr>
            <w:tcW w:w="112" w:type="dxa"/>
            <w:tcBorders/>
            <w:shd w:fill="CCEEFF" w:val="clear"/>
            <w:vAlign w:val="bottom"/>
          </w:tcPr>
          <w:p>
            <w:pPr>
              <w:pStyle w:val="TableContents"/>
              <w:bidi w:val="0"/>
              <w:spacing w:before="0" w:after="283"/>
              <w:ind w:left="0" w:right="0" w:hanging="0"/>
              <w:jc w:val="left"/>
              <w:rPr/>
            </w:pPr>
            <w:r>
              <w:rPr/>
            </w:r>
          </w:p>
        </w:tc>
        <w:tc>
          <w:tcPr>
            <w:tcW w:w="26"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bidi w:val="0"/>
              <w:spacing w:before="0" w:after="283"/>
              <w:ind w:left="0" w:right="0" w:hanging="0"/>
              <w:jc w:val="left"/>
              <w:rPr/>
            </w:pPr>
            <w:r>
              <w:rPr/>
            </w:r>
          </w:p>
        </w:tc>
        <w:tc>
          <w:tcPr>
            <w:tcW w:w="895" w:type="dxa"/>
            <w:tcBorders/>
            <w:shd w:fill="CCEEFF" w:val="clear"/>
            <w:vAlign w:val="bottom"/>
          </w:tcPr>
          <w:p>
            <w:pPr>
              <w:pStyle w:val="TableContents"/>
              <w:bidi w:val="0"/>
              <w:spacing w:before="0" w:after="0"/>
              <w:ind w:left="0" w:right="0" w:hanging="0"/>
              <w:jc w:val="right"/>
              <w:rPr/>
            </w:pPr>
            <w:r>
              <w:rPr/>
              <w:t>(23</w:t>
            </w:r>
          </w:p>
        </w:tc>
        <w:tc>
          <w:tcPr>
            <w:tcW w:w="119" w:type="dxa"/>
            <w:tcBorders/>
            <w:shd w:fill="CCEEFF" w:val="clear"/>
            <w:vAlign w:val="bottom"/>
          </w:tcPr>
          <w:p>
            <w:pPr>
              <w:pStyle w:val="TableContents"/>
              <w:bidi w:val="0"/>
              <w:spacing w:before="0" w:after="0"/>
              <w:jc w:val="left"/>
              <w:rPr/>
            </w:pPr>
            <w:r>
              <w:rPr/>
              <w:t>)</w:t>
            </w:r>
          </w:p>
        </w:tc>
      </w:tr>
      <w:tr>
        <w:trPr/>
        <w:tc>
          <w:tcPr>
            <w:tcW w:w="5108"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end of period </w:t>
            </w:r>
          </w:p>
        </w:tc>
        <w:tc>
          <w:tcPr>
            <w:tcW w:w="118" w:type="dxa"/>
            <w:tcBorders/>
            <w:vAlign w:val="bottom"/>
          </w:tcPr>
          <w:p>
            <w:pPr>
              <w:pStyle w:val="TableContents"/>
              <w:bidi w:val="0"/>
              <w:spacing w:before="0" w:after="0"/>
              <w:ind w:left="0" w:right="0" w:hanging="0"/>
              <w:jc w:val="left"/>
              <w:rPr/>
            </w:pPr>
            <w:r>
              <w:rPr/>
              <w:t xml:space="preserve">  </w:t>
            </w:r>
          </w:p>
        </w:tc>
        <w:tc>
          <w:tcPr>
            <w:tcW w:w="218"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45"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(340</w:t>
            </w:r>
          </w:p>
        </w:tc>
        <w:tc>
          <w:tcPr>
            <w:tcW w:w="154" w:type="dxa"/>
            <w:tcBorders/>
            <w:vAlign w:val="bottom"/>
          </w:tcPr>
          <w:p>
            <w:pPr>
              <w:pStyle w:val="TableContents"/>
              <w:bidi w:val="0"/>
              <w:spacing w:before="0" w:after="0"/>
              <w:ind w:left="0" w:right="0" w:hanging="0"/>
              <w:jc w:val="left"/>
              <w:rPr/>
            </w:pPr>
            <w:r>
              <w:rPr/>
              <w:t>)</w:t>
            </w:r>
          </w:p>
        </w:tc>
        <w:tc>
          <w:tcPr>
            <w:tcW w:w="153" w:type="dxa"/>
            <w:tcBorders/>
            <w:vAlign w:val="bottom"/>
          </w:tcPr>
          <w:p>
            <w:pPr>
              <w:pStyle w:val="TableContents"/>
              <w:pBdr/>
              <w:bidi w:val="0"/>
              <w:spacing w:before="0" w:after="0"/>
              <w:ind w:left="0" w:right="0" w:hanging="0"/>
              <w:jc w:val="left"/>
              <w:rPr/>
            </w:pPr>
            <w:r>
              <w:rPr/>
              <w:t xml:space="preserve">  </w:t>
            </w:r>
          </w:p>
        </w:tc>
        <w:tc>
          <w:tcPr>
            <w:tcW w:w="218"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02"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(329</w:t>
            </w:r>
          </w:p>
        </w:tc>
        <w:tc>
          <w:tcPr>
            <w:tcW w:w="124" w:type="dxa"/>
            <w:tcBorders/>
            <w:vAlign w:val="bottom"/>
          </w:tcPr>
          <w:p>
            <w:pPr>
              <w:pStyle w:val="TableContents"/>
              <w:bidi w:val="0"/>
              <w:spacing w:before="0" w:after="0"/>
              <w:ind w:left="0" w:right="0" w:hanging="0"/>
              <w:jc w:val="left"/>
              <w:rPr/>
            </w:pPr>
            <w:r>
              <w:rPr/>
              <w:t>)</w:t>
            </w:r>
          </w:p>
        </w:tc>
        <w:tc>
          <w:tcPr>
            <w:tcW w:w="22"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95" w:type="dxa"/>
            <w:tcBorders/>
            <w:vAlign w:val="bottom"/>
          </w:tcPr>
          <w:p>
            <w:pPr>
              <w:pStyle w:val="TableContents"/>
              <w:bidi w:val="0"/>
              <w:spacing w:before="0" w:after="0"/>
              <w:ind w:left="0" w:right="0" w:hanging="0"/>
              <w:jc w:val="right"/>
              <w:rPr/>
            </w:pPr>
            <w:r>
              <w:rPr/>
              <w:t>(340</w:t>
            </w:r>
          </w:p>
        </w:tc>
        <w:tc>
          <w:tcPr>
            <w:tcW w:w="112" w:type="dxa"/>
            <w:tcBorders/>
            <w:vAlign w:val="bottom"/>
          </w:tcPr>
          <w:p>
            <w:pPr>
              <w:pStyle w:val="TableContents"/>
              <w:bidi w:val="0"/>
              <w:spacing w:before="0" w:after="0"/>
              <w:ind w:left="0" w:right="0" w:hanging="0"/>
              <w:jc w:val="left"/>
              <w:rPr/>
            </w:pPr>
            <w:r>
              <w:rPr/>
              <w:t>)</w:t>
            </w:r>
          </w:p>
        </w:tc>
        <w:tc>
          <w:tcPr>
            <w:tcW w:w="26"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95" w:type="dxa"/>
            <w:tcBorders/>
            <w:vAlign w:val="bottom"/>
          </w:tcPr>
          <w:p>
            <w:pPr>
              <w:pStyle w:val="TableContents"/>
              <w:bidi w:val="0"/>
              <w:spacing w:before="0" w:after="0"/>
              <w:ind w:left="0" w:right="0" w:hanging="0"/>
              <w:jc w:val="right"/>
              <w:rPr/>
            </w:pPr>
            <w:r>
              <w:rPr/>
              <w:t>(329</w:t>
            </w:r>
          </w:p>
        </w:tc>
        <w:tc>
          <w:tcPr>
            <w:tcW w:w="119" w:type="dxa"/>
            <w:tcBorders/>
            <w:vAlign w:val="bottom"/>
          </w:tcPr>
          <w:p>
            <w:pPr>
              <w:pStyle w:val="TableContents"/>
              <w:bidi w:val="0"/>
              <w:spacing w:before="0" w:after="0"/>
              <w:jc w:val="left"/>
              <w:rPr/>
            </w:pPr>
            <w:r>
              <w:rPr/>
              <w:t>)</w:t>
            </w:r>
          </w:p>
        </w:tc>
      </w:tr>
      <w:tr>
        <w:trPr/>
        <w:tc>
          <w:tcPr>
            <w:tcW w:w="5108" w:type="dxa"/>
            <w:tcBorders/>
            <w:shd w:fill="CCEEFF" w:val="clear"/>
            <w:vAlign w:val="bottom"/>
          </w:tcPr>
          <w:p>
            <w:pPr>
              <w:pStyle w:val="TableContents"/>
              <w:bidi w:val="0"/>
              <w:spacing w:before="0" w:after="0"/>
              <w:ind w:left="0" w:right="0" w:hanging="0"/>
              <w:jc w:val="left"/>
              <w:rPr/>
            </w:pPr>
            <w:r>
              <w:rPr/>
              <w:t xml:space="preserve">  </w:t>
            </w:r>
          </w:p>
        </w:tc>
        <w:tc>
          <w:tcPr>
            <w:tcW w:w="118" w:type="dxa"/>
            <w:tcBorders/>
            <w:shd w:fill="CCEEFF" w:val="clear"/>
            <w:vAlign w:val="bottom"/>
          </w:tcPr>
          <w:p>
            <w:pPr>
              <w:pStyle w:val="TableContents"/>
              <w:bidi w:val="0"/>
              <w:spacing w:before="0" w:after="0"/>
              <w:ind w:left="0" w:right="0" w:hanging="0"/>
              <w:jc w:val="left"/>
              <w:rPr/>
            </w:pPr>
            <w:r>
              <w:rPr/>
              <w:t xml:space="preserve">  </w:t>
            </w:r>
          </w:p>
        </w:tc>
        <w:tc>
          <w:tcPr>
            <w:tcW w:w="218" w:type="dxa"/>
            <w:tcBorders/>
            <w:shd w:fill="CCEEFF" w:val="clear"/>
            <w:vAlign w:val="bottom"/>
          </w:tcPr>
          <w:p>
            <w:pPr>
              <w:pStyle w:val="TableContents"/>
              <w:bidi w:val="0"/>
              <w:spacing w:before="0" w:after="0"/>
              <w:ind w:left="0" w:right="0" w:hanging="0"/>
              <w:jc w:val="left"/>
              <w:rPr/>
            </w:pPr>
            <w:r>
              <w:rPr/>
              <w:t xml:space="preserve">  </w:t>
            </w:r>
          </w:p>
        </w:tc>
        <w:tc>
          <w:tcPr>
            <w:tcW w:w="845" w:type="dxa"/>
            <w:tcBorders/>
            <w:shd w:fill="CCEEFF" w:val="clear"/>
            <w:vAlign w:val="bottom"/>
          </w:tcPr>
          <w:p>
            <w:pPr>
              <w:pStyle w:val="TableContents"/>
              <w:pBdr/>
              <w:bidi w:val="0"/>
              <w:spacing w:before="0" w:after="0"/>
              <w:ind w:left="0" w:right="0" w:hanging="0"/>
              <w:jc w:val="right"/>
              <w:rPr/>
            </w:pPr>
            <w:r>
              <w:rPr/>
              <w:t xml:space="preserve">  </w:t>
            </w:r>
          </w:p>
        </w:tc>
        <w:tc>
          <w:tcPr>
            <w:tcW w:w="154" w:type="dxa"/>
            <w:tcBorders/>
            <w:shd w:fill="CCEEFF" w:val="clear"/>
            <w:vAlign w:val="bottom"/>
          </w:tcPr>
          <w:p>
            <w:pPr>
              <w:pStyle w:val="TableContents"/>
              <w:pBdr/>
              <w:bidi w:val="0"/>
              <w:spacing w:before="0" w:after="0"/>
              <w:ind w:left="0" w:right="0" w:hanging="0"/>
              <w:jc w:val="left"/>
              <w:rPr/>
            </w:pPr>
            <w:r>
              <w:rPr/>
              <w:t xml:space="preserve">  </w:t>
            </w:r>
          </w:p>
        </w:tc>
        <w:tc>
          <w:tcPr>
            <w:tcW w:w="153" w:type="dxa"/>
            <w:tcBorders/>
            <w:shd w:fill="CCEEFF" w:val="clear"/>
            <w:vAlign w:val="bottom"/>
          </w:tcPr>
          <w:p>
            <w:pPr>
              <w:pStyle w:val="TableContents"/>
              <w:pBdr/>
              <w:bidi w:val="0"/>
              <w:spacing w:before="0" w:after="0"/>
              <w:ind w:left="0" w:right="0" w:hanging="0"/>
              <w:jc w:val="left"/>
              <w:rPr/>
            </w:pPr>
            <w:r>
              <w:rPr/>
              <w:t xml:space="preserve">  </w:t>
            </w:r>
          </w:p>
        </w:tc>
        <w:tc>
          <w:tcPr>
            <w:tcW w:w="218" w:type="dxa"/>
            <w:tcBorders/>
            <w:shd w:fill="CCEEFF" w:val="clear"/>
            <w:vAlign w:val="bottom"/>
          </w:tcPr>
          <w:p>
            <w:pPr>
              <w:pStyle w:val="TableContents"/>
              <w:pBdr/>
              <w:bidi w:val="0"/>
              <w:spacing w:before="0" w:after="0"/>
              <w:ind w:left="0" w:right="0" w:hanging="0"/>
              <w:jc w:val="left"/>
              <w:rPr/>
            </w:pPr>
            <w:r>
              <w:rPr/>
              <w:t xml:space="preserve">  </w:t>
            </w:r>
          </w:p>
        </w:tc>
        <w:tc>
          <w:tcPr>
            <w:tcW w:w="902" w:type="dxa"/>
            <w:tcBorders/>
            <w:shd w:fill="CCEEFF" w:val="clear"/>
            <w:vAlign w:val="bottom"/>
          </w:tcPr>
          <w:p>
            <w:pPr>
              <w:pStyle w:val="TableContents"/>
              <w:pBdr/>
              <w:bidi w:val="0"/>
              <w:spacing w:before="0" w:after="0"/>
              <w:ind w:left="0" w:right="0" w:hanging="0"/>
              <w:jc w:val="right"/>
              <w:rPr/>
            </w:pPr>
            <w:r>
              <w:rPr/>
              <w:t xml:space="preserve">  </w:t>
            </w:r>
          </w:p>
        </w:tc>
        <w:tc>
          <w:tcPr>
            <w:tcW w:w="124" w:type="dxa"/>
            <w:tcBorders/>
            <w:shd w:fill="CCEEFF" w:val="clear"/>
            <w:vAlign w:val="bottom"/>
          </w:tcPr>
          <w:p>
            <w:pPr>
              <w:pStyle w:val="TableContents"/>
              <w:pBdr/>
              <w:bidi w:val="0"/>
              <w:spacing w:before="0" w:after="0"/>
              <w:ind w:left="0" w:right="0" w:hanging="0"/>
              <w:jc w:val="left"/>
              <w:rPr/>
            </w:pPr>
            <w:r>
              <w:rPr/>
              <w:t xml:space="preserve">  </w:t>
            </w:r>
          </w:p>
        </w:tc>
        <w:tc>
          <w:tcPr>
            <w:tcW w:w="22"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bidi w:val="0"/>
              <w:spacing w:before="0" w:after="283"/>
              <w:ind w:left="0" w:right="0" w:hanging="0"/>
              <w:jc w:val="left"/>
              <w:rPr/>
            </w:pPr>
            <w:r>
              <w:rPr/>
            </w:r>
          </w:p>
        </w:tc>
        <w:tc>
          <w:tcPr>
            <w:tcW w:w="895" w:type="dxa"/>
            <w:tcBorders/>
            <w:shd w:fill="CCEEFF" w:val="clear"/>
            <w:vAlign w:val="bottom"/>
          </w:tcPr>
          <w:p>
            <w:pPr>
              <w:pStyle w:val="TableContents"/>
              <w:bidi w:val="0"/>
              <w:spacing w:before="0" w:after="283"/>
              <w:ind w:left="0" w:right="0" w:hanging="0"/>
              <w:jc w:val="left"/>
              <w:rPr/>
            </w:pPr>
            <w:r>
              <w:rPr/>
            </w:r>
          </w:p>
        </w:tc>
        <w:tc>
          <w:tcPr>
            <w:tcW w:w="112" w:type="dxa"/>
            <w:tcBorders/>
            <w:shd w:fill="CCEEFF" w:val="clear"/>
            <w:vAlign w:val="bottom"/>
          </w:tcPr>
          <w:p>
            <w:pPr>
              <w:pStyle w:val="TableContents"/>
              <w:bidi w:val="0"/>
              <w:spacing w:before="0" w:after="283"/>
              <w:ind w:left="0" w:right="0" w:hanging="0"/>
              <w:jc w:val="left"/>
              <w:rPr/>
            </w:pPr>
            <w:r>
              <w:rPr/>
            </w:r>
          </w:p>
        </w:tc>
        <w:tc>
          <w:tcPr>
            <w:tcW w:w="26"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bidi w:val="0"/>
              <w:spacing w:before="0" w:after="283"/>
              <w:ind w:left="0" w:right="0" w:hanging="0"/>
              <w:jc w:val="left"/>
              <w:rPr/>
            </w:pPr>
            <w:r>
              <w:rPr/>
            </w:r>
          </w:p>
        </w:tc>
        <w:tc>
          <w:tcPr>
            <w:tcW w:w="895" w:type="dxa"/>
            <w:tcBorders/>
            <w:shd w:fill="CCEEFF" w:val="clear"/>
            <w:vAlign w:val="bottom"/>
          </w:tcPr>
          <w:p>
            <w:pPr>
              <w:pStyle w:val="TableContents"/>
              <w:bidi w:val="0"/>
              <w:spacing w:before="0" w:after="283"/>
              <w:ind w:left="0" w:right="0" w:hanging="0"/>
              <w:jc w:val="left"/>
              <w:rPr/>
            </w:pPr>
            <w:r>
              <w:rPr/>
            </w:r>
          </w:p>
        </w:tc>
        <w:tc>
          <w:tcPr>
            <w:tcW w:w="119" w:type="dxa"/>
            <w:tcBorders/>
            <w:shd w:fill="CCEEFF" w:val="clear"/>
            <w:vAlign w:val="bottom"/>
          </w:tcPr>
          <w:p>
            <w:pPr>
              <w:pStyle w:val="TableContents"/>
              <w:bidi w:val="0"/>
              <w:spacing w:before="0" w:after="283"/>
              <w:jc w:val="left"/>
              <w:rPr/>
            </w:pPr>
            <w:r>
              <w:rPr/>
            </w:r>
          </w:p>
        </w:tc>
      </w:tr>
      <w:tr>
        <w:trPr/>
        <w:tc>
          <w:tcPr>
            <w:tcW w:w="5108" w:type="dxa"/>
            <w:tcBorders/>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Accumulated deficit  </w:t>
            </w:r>
          </w:p>
        </w:tc>
        <w:tc>
          <w:tcPr>
            <w:tcW w:w="118" w:type="dxa"/>
            <w:tcBorders/>
            <w:vAlign w:val="bottom"/>
          </w:tcPr>
          <w:p>
            <w:pPr>
              <w:pStyle w:val="TableContents"/>
              <w:bidi w:val="0"/>
              <w:spacing w:before="0" w:after="0"/>
              <w:ind w:left="0" w:right="0" w:hanging="0"/>
              <w:jc w:val="left"/>
              <w:rPr/>
            </w:pPr>
            <w:r>
              <w:rPr/>
              <w:t xml:space="preserve">  </w:t>
            </w:r>
          </w:p>
        </w:tc>
        <w:tc>
          <w:tcPr>
            <w:tcW w:w="218" w:type="dxa"/>
            <w:tcBorders/>
            <w:vAlign w:val="bottom"/>
          </w:tcPr>
          <w:p>
            <w:pPr>
              <w:pStyle w:val="TableContents"/>
              <w:bidi w:val="0"/>
              <w:spacing w:before="0" w:after="0"/>
              <w:ind w:left="0" w:right="0" w:hanging="0"/>
              <w:jc w:val="left"/>
              <w:rPr/>
            </w:pPr>
            <w:r>
              <w:rPr/>
              <w:t xml:space="preserve">  </w:t>
            </w:r>
          </w:p>
        </w:tc>
        <w:tc>
          <w:tcPr>
            <w:tcW w:w="845" w:type="dxa"/>
            <w:tcBorders/>
            <w:vAlign w:val="bottom"/>
          </w:tcPr>
          <w:p>
            <w:pPr>
              <w:pStyle w:val="TableContents"/>
              <w:pBdr/>
              <w:bidi w:val="0"/>
              <w:spacing w:before="0" w:after="0"/>
              <w:ind w:left="0" w:right="0" w:hanging="0"/>
              <w:jc w:val="right"/>
              <w:rPr/>
            </w:pPr>
            <w:r>
              <w:rPr/>
              <w:t xml:space="preserve">  </w:t>
            </w:r>
          </w:p>
        </w:tc>
        <w:tc>
          <w:tcPr>
            <w:tcW w:w="154" w:type="dxa"/>
            <w:tcBorders/>
            <w:vAlign w:val="bottom"/>
          </w:tcPr>
          <w:p>
            <w:pPr>
              <w:pStyle w:val="TableContents"/>
              <w:pBdr/>
              <w:bidi w:val="0"/>
              <w:spacing w:before="0" w:after="0"/>
              <w:ind w:left="0" w:right="0" w:hanging="0"/>
              <w:jc w:val="left"/>
              <w:rPr/>
            </w:pPr>
            <w:r>
              <w:rPr/>
              <w:t xml:space="preserve">  </w:t>
            </w:r>
          </w:p>
        </w:tc>
        <w:tc>
          <w:tcPr>
            <w:tcW w:w="153" w:type="dxa"/>
            <w:tcBorders/>
            <w:vAlign w:val="bottom"/>
          </w:tcPr>
          <w:p>
            <w:pPr>
              <w:pStyle w:val="TableContents"/>
              <w:pBdr/>
              <w:bidi w:val="0"/>
              <w:spacing w:before="0" w:after="0"/>
              <w:ind w:left="0" w:right="0" w:hanging="0"/>
              <w:jc w:val="left"/>
              <w:rPr/>
            </w:pPr>
            <w:r>
              <w:rPr/>
              <w:t xml:space="preserve">  </w:t>
            </w:r>
          </w:p>
        </w:tc>
        <w:tc>
          <w:tcPr>
            <w:tcW w:w="218" w:type="dxa"/>
            <w:tcBorders/>
            <w:vAlign w:val="bottom"/>
          </w:tcPr>
          <w:p>
            <w:pPr>
              <w:pStyle w:val="TableContents"/>
              <w:pBdr/>
              <w:bidi w:val="0"/>
              <w:spacing w:before="0" w:after="0"/>
              <w:ind w:left="0" w:right="0" w:hanging="0"/>
              <w:jc w:val="left"/>
              <w:rPr/>
            </w:pPr>
            <w:r>
              <w:rPr/>
              <w:t xml:space="preserve">  </w:t>
            </w:r>
          </w:p>
        </w:tc>
        <w:tc>
          <w:tcPr>
            <w:tcW w:w="902" w:type="dxa"/>
            <w:tcBorders/>
            <w:vAlign w:val="bottom"/>
          </w:tcPr>
          <w:p>
            <w:pPr>
              <w:pStyle w:val="TableContents"/>
              <w:pBdr/>
              <w:bidi w:val="0"/>
              <w:spacing w:before="0" w:after="0"/>
              <w:ind w:left="0" w:right="0" w:hanging="0"/>
              <w:jc w:val="right"/>
              <w:rPr/>
            </w:pPr>
            <w:r>
              <w:rPr/>
              <w:t xml:space="preserve">  </w:t>
            </w:r>
          </w:p>
        </w:tc>
        <w:tc>
          <w:tcPr>
            <w:tcW w:w="124" w:type="dxa"/>
            <w:tcBorders/>
            <w:vAlign w:val="bottom"/>
          </w:tcPr>
          <w:p>
            <w:pPr>
              <w:pStyle w:val="TableContents"/>
              <w:pBdr/>
              <w:bidi w:val="0"/>
              <w:spacing w:before="0" w:after="0"/>
              <w:ind w:left="0" w:right="0" w:hanging="0"/>
              <w:jc w:val="left"/>
              <w:rPr/>
            </w:pPr>
            <w:r>
              <w:rPr/>
              <w:t xml:space="preserve">  </w:t>
            </w:r>
          </w:p>
        </w:tc>
        <w:tc>
          <w:tcPr>
            <w:tcW w:w="22"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bidi w:val="0"/>
              <w:spacing w:before="0" w:after="283"/>
              <w:ind w:left="0" w:right="0" w:hanging="0"/>
              <w:jc w:val="left"/>
              <w:rPr/>
            </w:pPr>
            <w:r>
              <w:rPr/>
            </w:r>
          </w:p>
        </w:tc>
        <w:tc>
          <w:tcPr>
            <w:tcW w:w="895" w:type="dxa"/>
            <w:tcBorders/>
            <w:vAlign w:val="bottom"/>
          </w:tcPr>
          <w:p>
            <w:pPr>
              <w:pStyle w:val="TableContents"/>
              <w:bidi w:val="0"/>
              <w:spacing w:before="0" w:after="283"/>
              <w:ind w:left="0" w:right="0" w:hanging="0"/>
              <w:jc w:val="left"/>
              <w:rPr/>
            </w:pPr>
            <w:r>
              <w:rPr/>
            </w:r>
          </w:p>
        </w:tc>
        <w:tc>
          <w:tcPr>
            <w:tcW w:w="112" w:type="dxa"/>
            <w:tcBorders/>
            <w:vAlign w:val="bottom"/>
          </w:tcPr>
          <w:p>
            <w:pPr>
              <w:pStyle w:val="TableContents"/>
              <w:bidi w:val="0"/>
              <w:spacing w:before="0" w:after="283"/>
              <w:ind w:left="0" w:right="0" w:hanging="0"/>
              <w:jc w:val="left"/>
              <w:rPr/>
            </w:pPr>
            <w:r>
              <w:rPr/>
            </w:r>
          </w:p>
        </w:tc>
        <w:tc>
          <w:tcPr>
            <w:tcW w:w="26"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bidi w:val="0"/>
              <w:spacing w:before="0" w:after="283"/>
              <w:ind w:left="0" w:right="0" w:hanging="0"/>
              <w:jc w:val="left"/>
              <w:rPr/>
            </w:pPr>
            <w:r>
              <w:rPr/>
            </w:r>
          </w:p>
        </w:tc>
        <w:tc>
          <w:tcPr>
            <w:tcW w:w="895" w:type="dxa"/>
            <w:tcBorders/>
            <w:vAlign w:val="bottom"/>
          </w:tcPr>
          <w:p>
            <w:pPr>
              <w:pStyle w:val="TableContents"/>
              <w:bidi w:val="0"/>
              <w:spacing w:before="0" w:after="283"/>
              <w:ind w:left="0" w:right="0" w:hanging="0"/>
              <w:jc w:val="left"/>
              <w:rPr/>
            </w:pPr>
            <w:r>
              <w:rPr/>
            </w:r>
          </w:p>
        </w:tc>
        <w:tc>
          <w:tcPr>
            <w:tcW w:w="119" w:type="dxa"/>
            <w:tcBorders/>
            <w:vAlign w:val="bottom"/>
          </w:tcPr>
          <w:p>
            <w:pPr>
              <w:pStyle w:val="TableContents"/>
              <w:bidi w:val="0"/>
              <w:spacing w:before="0" w:after="283"/>
              <w:jc w:val="left"/>
              <w:rPr/>
            </w:pPr>
            <w:r>
              <w:rPr/>
            </w:r>
          </w:p>
        </w:tc>
      </w:tr>
      <w:tr>
        <w:trPr/>
        <w:tc>
          <w:tcPr>
            <w:tcW w:w="5108"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beginning of period </w:t>
            </w:r>
          </w:p>
        </w:tc>
        <w:tc>
          <w:tcPr>
            <w:tcW w:w="118" w:type="dxa"/>
            <w:tcBorders/>
            <w:shd w:fill="CCEEFF" w:val="clear"/>
            <w:vAlign w:val="bottom"/>
          </w:tcPr>
          <w:p>
            <w:pPr>
              <w:pStyle w:val="TableContents"/>
              <w:bidi w:val="0"/>
              <w:spacing w:before="0" w:after="0"/>
              <w:ind w:left="0" w:right="0" w:hanging="0"/>
              <w:jc w:val="left"/>
              <w:rPr/>
            </w:pPr>
            <w:r>
              <w:rPr/>
              <w:t xml:space="preserve">  </w:t>
            </w:r>
          </w:p>
        </w:tc>
        <w:tc>
          <w:tcPr>
            <w:tcW w:w="218"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4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(36,630</w:t>
            </w:r>
          </w:p>
        </w:tc>
        <w:tc>
          <w:tcPr>
            <w:tcW w:w="154" w:type="dxa"/>
            <w:tcBorders/>
            <w:shd w:fill="CCEEFF" w:val="clear"/>
            <w:vAlign w:val="bottom"/>
          </w:tcPr>
          <w:p>
            <w:pPr>
              <w:pStyle w:val="TableContents"/>
              <w:bidi w:val="0"/>
              <w:spacing w:before="0" w:after="0"/>
              <w:ind w:left="0" w:right="0" w:hanging="0"/>
              <w:jc w:val="left"/>
              <w:rPr/>
            </w:pPr>
            <w:r>
              <w:rPr/>
              <w:t>)</w:t>
            </w:r>
          </w:p>
        </w:tc>
        <w:tc>
          <w:tcPr>
            <w:tcW w:w="153" w:type="dxa"/>
            <w:tcBorders/>
            <w:shd w:fill="CCEEFF" w:val="clear"/>
            <w:vAlign w:val="bottom"/>
          </w:tcPr>
          <w:p>
            <w:pPr>
              <w:pStyle w:val="TableContents"/>
              <w:pBdr/>
              <w:bidi w:val="0"/>
              <w:spacing w:before="0" w:after="0"/>
              <w:ind w:left="0" w:right="0" w:hanging="0"/>
              <w:jc w:val="left"/>
              <w:rPr/>
            </w:pPr>
            <w:r>
              <w:rPr/>
              <w:t xml:space="preserve">  </w:t>
            </w:r>
          </w:p>
        </w:tc>
        <w:tc>
          <w:tcPr>
            <w:tcW w:w="218"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02"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(12,893</w:t>
            </w:r>
          </w:p>
        </w:tc>
        <w:tc>
          <w:tcPr>
            <w:tcW w:w="124" w:type="dxa"/>
            <w:tcBorders/>
            <w:shd w:fill="CCEEFF" w:val="clear"/>
            <w:vAlign w:val="bottom"/>
          </w:tcPr>
          <w:p>
            <w:pPr>
              <w:pStyle w:val="TableContents"/>
              <w:bidi w:val="0"/>
              <w:spacing w:before="0" w:after="0"/>
              <w:ind w:left="0" w:right="0" w:hanging="0"/>
              <w:jc w:val="left"/>
              <w:rPr/>
            </w:pPr>
            <w:r>
              <w:rPr/>
              <w:t>)</w:t>
            </w:r>
          </w:p>
        </w:tc>
        <w:tc>
          <w:tcPr>
            <w:tcW w:w="22"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95" w:type="dxa"/>
            <w:tcBorders/>
            <w:shd w:fill="CCEEFF" w:val="clear"/>
            <w:vAlign w:val="bottom"/>
          </w:tcPr>
          <w:p>
            <w:pPr>
              <w:pStyle w:val="TableContents"/>
              <w:bidi w:val="0"/>
              <w:spacing w:before="0" w:after="0"/>
              <w:ind w:left="0" w:right="0" w:hanging="0"/>
              <w:jc w:val="right"/>
              <w:rPr/>
            </w:pPr>
            <w:r>
              <w:rPr/>
              <w:t>(36,143</w:t>
            </w:r>
          </w:p>
        </w:tc>
        <w:tc>
          <w:tcPr>
            <w:tcW w:w="112" w:type="dxa"/>
            <w:tcBorders/>
            <w:shd w:fill="CCEEFF" w:val="clear"/>
            <w:vAlign w:val="bottom"/>
          </w:tcPr>
          <w:p>
            <w:pPr>
              <w:pStyle w:val="TableContents"/>
              <w:bidi w:val="0"/>
              <w:spacing w:before="0" w:after="0"/>
              <w:ind w:left="0" w:right="0" w:hanging="0"/>
              <w:jc w:val="left"/>
              <w:rPr/>
            </w:pPr>
            <w:r>
              <w:rPr/>
              <w:t>)</w:t>
            </w:r>
          </w:p>
        </w:tc>
        <w:tc>
          <w:tcPr>
            <w:tcW w:w="26"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95" w:type="dxa"/>
            <w:tcBorders/>
            <w:shd w:fill="CCEEFF" w:val="clear"/>
            <w:vAlign w:val="bottom"/>
          </w:tcPr>
          <w:p>
            <w:pPr>
              <w:pStyle w:val="TableContents"/>
              <w:bidi w:val="0"/>
              <w:spacing w:before="0" w:after="0"/>
              <w:ind w:left="0" w:right="0" w:hanging="0"/>
              <w:jc w:val="right"/>
              <w:rPr/>
            </w:pPr>
            <w:r>
              <w:rPr/>
              <w:t>(10,059</w:t>
            </w:r>
          </w:p>
        </w:tc>
        <w:tc>
          <w:tcPr>
            <w:tcW w:w="119" w:type="dxa"/>
            <w:tcBorders/>
            <w:shd w:fill="CCEEFF" w:val="clear"/>
            <w:vAlign w:val="bottom"/>
          </w:tcPr>
          <w:p>
            <w:pPr>
              <w:pStyle w:val="TableContents"/>
              <w:bidi w:val="0"/>
              <w:spacing w:before="0" w:after="0"/>
              <w:jc w:val="left"/>
              <w:rPr/>
            </w:pPr>
            <w:r>
              <w:rPr/>
              <w:t>)</w:t>
            </w:r>
          </w:p>
        </w:tc>
      </w:tr>
      <w:tr>
        <w:trPr/>
        <w:tc>
          <w:tcPr>
            <w:tcW w:w="5108" w:type="dxa"/>
            <w:tcBorders/>
            <w:vAlign w:val="bottom"/>
          </w:tcPr>
          <w:p>
            <w:pPr>
              <w:pStyle w:val="TableContents"/>
              <w:bidi w:val="0"/>
              <w:spacing w:before="0" w:after="283"/>
              <w:jc w:val="left"/>
              <w:rPr/>
            </w:pPr>
            <w:r>
              <w:rPr>
                <w:rFonts w:ascii="Times New Roman;serif" w:hAnsi="Times New Roman;serif"/>
                <w:color w:val="000000"/>
                <w:sz w:val="20"/>
              </w:rPr>
              <w:t>Net income (loss) – discontinued operations</w:t>
            </w:r>
            <w:r>
              <w:rPr/>
              <w:t xml:space="preserve"> </w:t>
            </w:r>
          </w:p>
        </w:tc>
        <w:tc>
          <w:tcPr>
            <w:tcW w:w="118" w:type="dxa"/>
            <w:tcBorders/>
            <w:vAlign w:val="bottom"/>
          </w:tcPr>
          <w:p>
            <w:pPr>
              <w:pStyle w:val="TableContents"/>
              <w:bidi w:val="0"/>
              <w:spacing w:before="0" w:after="283"/>
              <w:jc w:val="left"/>
              <w:rPr/>
            </w:pPr>
            <w:r>
              <w:rPr/>
            </w:r>
          </w:p>
        </w:tc>
        <w:tc>
          <w:tcPr>
            <w:tcW w:w="218" w:type="dxa"/>
            <w:tcBorders/>
            <w:vAlign w:val="bottom"/>
          </w:tcPr>
          <w:p>
            <w:pPr>
              <w:pStyle w:val="TableContents"/>
              <w:bidi w:val="0"/>
              <w:spacing w:before="0" w:after="283"/>
              <w:ind w:left="0" w:right="0" w:hanging="0"/>
              <w:jc w:val="left"/>
              <w:rPr/>
            </w:pPr>
            <w:r>
              <w:rPr/>
            </w:r>
          </w:p>
        </w:tc>
        <w:tc>
          <w:tcPr>
            <w:tcW w:w="845" w:type="dxa"/>
            <w:tcBorders/>
            <w:vAlign w:val="bottom"/>
          </w:tcPr>
          <w:p>
            <w:pPr>
              <w:pStyle w:val="TableContents"/>
              <w:bidi w:val="0"/>
              <w:spacing w:before="0" w:after="0"/>
              <w:ind w:left="0" w:right="0" w:hanging="0"/>
              <w:jc w:val="right"/>
              <w:rPr/>
            </w:pPr>
            <w:r>
              <w:rPr/>
              <w:t>5</w:t>
            </w:r>
          </w:p>
        </w:tc>
        <w:tc>
          <w:tcPr>
            <w:tcW w:w="154" w:type="dxa"/>
            <w:tcBorders/>
            <w:vAlign w:val="bottom"/>
          </w:tcPr>
          <w:p>
            <w:pPr>
              <w:pStyle w:val="TableContents"/>
              <w:bidi w:val="0"/>
              <w:spacing w:before="0" w:after="283"/>
              <w:ind w:left="0" w:right="0" w:hanging="0"/>
              <w:jc w:val="left"/>
              <w:rPr>
                <w:sz w:val="4"/>
                <w:szCs w:val="4"/>
              </w:rPr>
            </w:pPr>
            <w:r>
              <w:rPr>
                <w:sz w:val="4"/>
                <w:szCs w:val="4"/>
              </w:rPr>
            </w:r>
          </w:p>
        </w:tc>
        <w:tc>
          <w:tcPr>
            <w:tcW w:w="153" w:type="dxa"/>
            <w:tcBorders/>
            <w:vAlign w:val="bottom"/>
          </w:tcPr>
          <w:p>
            <w:pPr>
              <w:pStyle w:val="TableContents"/>
              <w:bidi w:val="0"/>
              <w:spacing w:before="0" w:after="283"/>
              <w:ind w:left="0" w:right="0" w:hanging="0"/>
              <w:jc w:val="left"/>
              <w:rPr/>
            </w:pPr>
            <w:r>
              <w:rPr/>
            </w:r>
          </w:p>
        </w:tc>
        <w:tc>
          <w:tcPr>
            <w:tcW w:w="218" w:type="dxa"/>
            <w:tcBorders/>
            <w:vAlign w:val="bottom"/>
          </w:tcPr>
          <w:p>
            <w:pPr>
              <w:pStyle w:val="TableContents"/>
              <w:bidi w:val="0"/>
              <w:spacing w:before="0" w:after="283"/>
              <w:ind w:left="0" w:right="0" w:hanging="0"/>
              <w:jc w:val="left"/>
              <w:rPr/>
            </w:pPr>
            <w:r>
              <w:rPr/>
            </w:r>
          </w:p>
        </w:tc>
        <w:tc>
          <w:tcPr>
            <w:tcW w:w="902" w:type="dxa"/>
            <w:tcBorders/>
            <w:vAlign w:val="bottom"/>
          </w:tcPr>
          <w:p>
            <w:pPr>
              <w:pStyle w:val="TableContents"/>
              <w:bidi w:val="0"/>
              <w:spacing w:before="0" w:after="0"/>
              <w:ind w:left="0" w:right="0" w:hanging="0"/>
              <w:jc w:val="right"/>
              <w:rPr/>
            </w:pPr>
            <w:r>
              <w:rPr/>
              <w:t>(3,367</w:t>
            </w:r>
          </w:p>
        </w:tc>
        <w:tc>
          <w:tcPr>
            <w:tcW w:w="124" w:type="dxa"/>
            <w:tcBorders/>
            <w:vAlign w:val="bottom"/>
          </w:tcPr>
          <w:p>
            <w:pPr>
              <w:pStyle w:val="TableContents"/>
              <w:bidi w:val="0"/>
              <w:spacing w:before="0" w:after="0"/>
              <w:ind w:left="0" w:right="0" w:hanging="0"/>
              <w:jc w:val="left"/>
              <w:rPr/>
            </w:pPr>
            <w:r>
              <w:rPr/>
              <w:t>)</w:t>
            </w:r>
          </w:p>
        </w:tc>
        <w:tc>
          <w:tcPr>
            <w:tcW w:w="22"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bidi w:val="0"/>
              <w:spacing w:before="0" w:after="283"/>
              <w:ind w:left="0" w:right="0" w:hanging="0"/>
              <w:jc w:val="left"/>
              <w:rPr/>
            </w:pPr>
            <w:r>
              <w:rPr/>
            </w:r>
          </w:p>
        </w:tc>
        <w:tc>
          <w:tcPr>
            <w:tcW w:w="895" w:type="dxa"/>
            <w:tcBorders/>
            <w:vAlign w:val="bottom"/>
          </w:tcPr>
          <w:p>
            <w:pPr>
              <w:pStyle w:val="TableContents"/>
              <w:bidi w:val="0"/>
              <w:spacing w:before="0" w:after="0"/>
              <w:ind w:left="0" w:right="0" w:hanging="0"/>
              <w:jc w:val="right"/>
              <w:rPr/>
            </w:pPr>
            <w:r>
              <w:rPr/>
              <w:t>368</w:t>
            </w:r>
          </w:p>
        </w:tc>
        <w:tc>
          <w:tcPr>
            <w:tcW w:w="112" w:type="dxa"/>
            <w:tcBorders/>
            <w:vAlign w:val="bottom"/>
          </w:tcPr>
          <w:p>
            <w:pPr>
              <w:pStyle w:val="TableContents"/>
              <w:bidi w:val="0"/>
              <w:spacing w:before="0" w:after="283"/>
              <w:ind w:left="0" w:right="0" w:hanging="0"/>
              <w:jc w:val="left"/>
              <w:rPr/>
            </w:pPr>
            <w:r>
              <w:rPr/>
            </w:r>
          </w:p>
        </w:tc>
        <w:tc>
          <w:tcPr>
            <w:tcW w:w="26"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bidi w:val="0"/>
              <w:spacing w:before="0" w:after="283"/>
              <w:ind w:left="0" w:right="0" w:hanging="0"/>
              <w:jc w:val="left"/>
              <w:rPr/>
            </w:pPr>
            <w:r>
              <w:rPr/>
            </w:r>
          </w:p>
        </w:tc>
        <w:tc>
          <w:tcPr>
            <w:tcW w:w="895" w:type="dxa"/>
            <w:tcBorders/>
            <w:vAlign w:val="bottom"/>
          </w:tcPr>
          <w:p>
            <w:pPr>
              <w:pStyle w:val="TableContents"/>
              <w:bidi w:val="0"/>
              <w:spacing w:before="0" w:after="0"/>
              <w:ind w:left="0" w:right="0" w:hanging="0"/>
              <w:jc w:val="right"/>
              <w:rPr/>
            </w:pPr>
            <w:r>
              <w:rPr/>
              <w:t>(5,387</w:t>
            </w:r>
          </w:p>
        </w:tc>
        <w:tc>
          <w:tcPr>
            <w:tcW w:w="119" w:type="dxa"/>
            <w:tcBorders/>
            <w:vAlign w:val="bottom"/>
          </w:tcPr>
          <w:p>
            <w:pPr>
              <w:pStyle w:val="TableContents"/>
              <w:bidi w:val="0"/>
              <w:spacing w:before="0" w:after="0"/>
              <w:jc w:val="left"/>
              <w:rPr/>
            </w:pPr>
            <w:r>
              <w:rPr/>
              <w:t>)</w:t>
            </w:r>
          </w:p>
        </w:tc>
      </w:tr>
      <w:tr>
        <w:trPr/>
        <w:tc>
          <w:tcPr>
            <w:tcW w:w="5108" w:type="dxa"/>
            <w:tcBorders/>
            <w:shd w:fill="CCEEFF" w:val="clear"/>
            <w:vAlign w:val="bottom"/>
          </w:tcPr>
          <w:p>
            <w:pPr>
              <w:pStyle w:val="TableContents"/>
              <w:widowControl/>
              <w:bidi w:val="0"/>
              <w:spacing w:before="0" w:after="283"/>
              <w:ind w:left="0" w:right="0" w:hanging="0"/>
              <w:jc w:val="both"/>
              <w:rPr/>
            </w:pPr>
            <w:r>
              <w:rPr/>
              <w:t>Net loss </w:t>
            </w:r>
            <w:r>
              <w:rPr>
                <w:caps w:val="false"/>
                <w:smallCaps w:val="false"/>
                <w:color w:val="000000"/>
                <w:spacing w:val="0"/>
              </w:rPr>
              <w:t xml:space="preserve">– </w:t>
            </w:r>
            <w:r>
              <w:rPr>
                <w:rFonts w:ascii="Times New Roman;serif" w:hAnsi="Times New Roman;serif"/>
                <w:b w:val="false"/>
                <w:i w:val="false"/>
                <w:caps w:val="false"/>
                <w:smallCaps w:val="false"/>
                <w:color w:val="000000"/>
                <w:spacing w:val="0"/>
                <w:sz w:val="20"/>
              </w:rPr>
              <w:t>continuing operations</w:t>
            </w:r>
          </w:p>
        </w:tc>
        <w:tc>
          <w:tcPr>
            <w:tcW w:w="118" w:type="dxa"/>
            <w:tcBorders/>
            <w:shd w:fill="CCEEFF" w:val="clear"/>
            <w:vAlign w:val="bottom"/>
          </w:tcPr>
          <w:p>
            <w:pPr>
              <w:pStyle w:val="TableContents"/>
              <w:bidi w:val="0"/>
              <w:spacing w:before="0" w:after="0"/>
              <w:ind w:left="0" w:right="0" w:hanging="0"/>
              <w:jc w:val="left"/>
              <w:rPr/>
            </w:pPr>
            <w:r>
              <w:rPr/>
              <w:t xml:space="preserve">  </w:t>
            </w:r>
          </w:p>
        </w:tc>
        <w:tc>
          <w:tcPr>
            <w:tcW w:w="218" w:type="dxa"/>
            <w:tcBorders/>
            <w:shd w:fill="CCEEFF" w:val="clear"/>
            <w:vAlign w:val="bottom"/>
          </w:tcPr>
          <w:p>
            <w:pPr>
              <w:pStyle w:val="TableContents"/>
              <w:bidi w:val="0"/>
              <w:spacing w:before="0" w:after="0"/>
              <w:ind w:left="0" w:right="0" w:hanging="0"/>
              <w:jc w:val="left"/>
              <w:rPr/>
            </w:pPr>
            <w:r>
              <w:rPr/>
              <w:t xml:space="preserve">  </w:t>
            </w:r>
          </w:p>
        </w:tc>
        <w:tc>
          <w:tcPr>
            <w:tcW w:w="845"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(919</w:t>
            </w:r>
          </w:p>
        </w:tc>
        <w:tc>
          <w:tcPr>
            <w:tcW w:w="154" w:type="dxa"/>
            <w:tcBorders/>
            <w:shd w:fill="CCEEFF" w:val="clear"/>
            <w:vAlign w:val="bottom"/>
          </w:tcPr>
          <w:p>
            <w:pPr>
              <w:pStyle w:val="TableContents"/>
              <w:bidi w:val="0"/>
              <w:spacing w:before="0" w:after="0"/>
              <w:ind w:left="0" w:right="0" w:hanging="0"/>
              <w:jc w:val="left"/>
              <w:rPr/>
            </w:pPr>
            <w:r>
              <w:rPr/>
              <w:t>)</w:t>
            </w:r>
          </w:p>
        </w:tc>
        <w:tc>
          <w:tcPr>
            <w:tcW w:w="153" w:type="dxa"/>
            <w:tcBorders/>
            <w:shd w:fill="CCEEFF" w:val="clear"/>
            <w:vAlign w:val="bottom"/>
          </w:tcPr>
          <w:p>
            <w:pPr>
              <w:pStyle w:val="TableContents"/>
              <w:pBdr/>
              <w:bidi w:val="0"/>
              <w:spacing w:before="0" w:after="0"/>
              <w:ind w:left="0" w:right="0" w:hanging="0"/>
              <w:jc w:val="left"/>
              <w:rPr/>
            </w:pPr>
            <w:r>
              <w:rPr/>
              <w:t xml:space="preserve">  </w:t>
            </w:r>
          </w:p>
        </w:tc>
        <w:tc>
          <w:tcPr>
            <w:tcW w:w="218" w:type="dxa"/>
            <w:tcBorders/>
            <w:shd w:fill="CCEEFF" w:val="clear"/>
            <w:vAlign w:val="bottom"/>
          </w:tcPr>
          <w:p>
            <w:pPr>
              <w:pStyle w:val="TableContents"/>
              <w:pBdr/>
              <w:bidi w:val="0"/>
              <w:spacing w:before="0" w:after="0"/>
              <w:ind w:left="0" w:right="0" w:hanging="0"/>
              <w:jc w:val="left"/>
              <w:rPr/>
            </w:pPr>
            <w:r>
              <w:rPr/>
              <w:t xml:space="preserve">  </w:t>
            </w:r>
          </w:p>
        </w:tc>
        <w:tc>
          <w:tcPr>
            <w:tcW w:w="902"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(1,205 </w:t>
            </w:r>
          </w:p>
        </w:tc>
        <w:tc>
          <w:tcPr>
            <w:tcW w:w="124"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2"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bidi w:val="0"/>
              <w:spacing w:before="0" w:after="283"/>
              <w:ind w:left="0" w:right="0" w:hanging="0"/>
              <w:jc w:val="left"/>
              <w:rPr/>
            </w:pPr>
            <w:r>
              <w:rPr/>
            </w:r>
          </w:p>
        </w:tc>
        <w:tc>
          <w:tcPr>
            <w:tcW w:w="895" w:type="dxa"/>
            <w:tcBorders/>
            <w:shd w:fill="CCEEFF" w:val="clear"/>
            <w:vAlign w:val="bottom"/>
          </w:tcPr>
          <w:p>
            <w:pPr>
              <w:pStyle w:val="TableContents"/>
              <w:bidi w:val="0"/>
              <w:spacing w:before="0" w:after="0"/>
              <w:ind w:left="0" w:right="0" w:hanging="0"/>
              <w:jc w:val="right"/>
              <w:rPr/>
            </w:pPr>
            <w:r>
              <w:rPr/>
              <w:t>(1,769</w:t>
            </w:r>
          </w:p>
        </w:tc>
        <w:tc>
          <w:tcPr>
            <w:tcW w:w="112" w:type="dxa"/>
            <w:tcBorders/>
            <w:shd w:fill="CCEEFF" w:val="clear"/>
            <w:vAlign w:val="bottom"/>
          </w:tcPr>
          <w:p>
            <w:pPr>
              <w:pStyle w:val="TableContents"/>
              <w:bidi w:val="0"/>
              <w:spacing w:before="0" w:after="0"/>
              <w:ind w:left="0" w:right="0" w:hanging="0"/>
              <w:jc w:val="left"/>
              <w:rPr/>
            </w:pPr>
            <w:r>
              <w:rPr/>
              <w:t>)</w:t>
            </w:r>
          </w:p>
        </w:tc>
        <w:tc>
          <w:tcPr>
            <w:tcW w:w="26"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bidi w:val="0"/>
              <w:spacing w:before="0" w:after="283"/>
              <w:ind w:left="0" w:right="0" w:hanging="0"/>
              <w:jc w:val="left"/>
              <w:rPr/>
            </w:pPr>
            <w:r>
              <w:rPr/>
            </w:r>
          </w:p>
        </w:tc>
        <w:tc>
          <w:tcPr>
            <w:tcW w:w="895" w:type="dxa"/>
            <w:tcBorders/>
            <w:shd w:fill="CCEEFF" w:val="clear"/>
            <w:vAlign w:val="bottom"/>
          </w:tcPr>
          <w:p>
            <w:pPr>
              <w:pStyle w:val="TableContents"/>
              <w:bidi w:val="0"/>
              <w:spacing w:before="0" w:after="0"/>
              <w:ind w:left="0" w:right="0" w:hanging="0"/>
              <w:jc w:val="right"/>
              <w:rPr/>
            </w:pPr>
            <w:r>
              <w:rPr/>
              <w:t>(2,019</w:t>
            </w:r>
          </w:p>
        </w:tc>
        <w:tc>
          <w:tcPr>
            <w:tcW w:w="119" w:type="dxa"/>
            <w:tcBorders/>
            <w:shd w:fill="CCEEFF" w:val="clear"/>
            <w:vAlign w:val="bottom"/>
          </w:tcPr>
          <w:p>
            <w:pPr>
              <w:pStyle w:val="TableContents"/>
              <w:bidi w:val="0"/>
              <w:spacing w:before="0" w:after="0"/>
              <w:jc w:val="left"/>
              <w:rPr/>
            </w:pPr>
            <w:r>
              <w:rPr/>
              <w:t>)</w:t>
            </w:r>
          </w:p>
        </w:tc>
      </w:tr>
      <w:tr>
        <w:trPr/>
        <w:tc>
          <w:tcPr>
            <w:tcW w:w="5108"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Balance, end of period </w:t>
            </w:r>
          </w:p>
        </w:tc>
        <w:tc>
          <w:tcPr>
            <w:tcW w:w="118" w:type="dxa"/>
            <w:tcBorders/>
            <w:vAlign w:val="bottom"/>
          </w:tcPr>
          <w:p>
            <w:pPr>
              <w:pStyle w:val="TableContents"/>
              <w:bidi w:val="0"/>
              <w:spacing w:before="0" w:after="0"/>
              <w:ind w:left="0" w:right="0" w:hanging="0"/>
              <w:jc w:val="left"/>
              <w:rPr/>
            </w:pPr>
            <w:r>
              <w:rPr/>
              <w:t xml:space="preserve">  </w:t>
            </w:r>
          </w:p>
        </w:tc>
        <w:tc>
          <w:tcPr>
            <w:tcW w:w="218"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45"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(37,544</w:t>
            </w:r>
          </w:p>
        </w:tc>
        <w:tc>
          <w:tcPr>
            <w:tcW w:w="154" w:type="dxa"/>
            <w:tcBorders/>
            <w:vAlign w:val="bottom"/>
          </w:tcPr>
          <w:p>
            <w:pPr>
              <w:pStyle w:val="TableContents"/>
              <w:bidi w:val="0"/>
              <w:spacing w:before="0" w:after="0"/>
              <w:ind w:left="0" w:right="0" w:hanging="0"/>
              <w:jc w:val="left"/>
              <w:rPr/>
            </w:pPr>
            <w:r>
              <w:rPr/>
              <w:t>)</w:t>
            </w:r>
          </w:p>
        </w:tc>
        <w:tc>
          <w:tcPr>
            <w:tcW w:w="153" w:type="dxa"/>
            <w:tcBorders/>
            <w:vAlign w:val="bottom"/>
          </w:tcPr>
          <w:p>
            <w:pPr>
              <w:pStyle w:val="TableContents"/>
              <w:pBdr/>
              <w:bidi w:val="0"/>
              <w:spacing w:before="0" w:after="0"/>
              <w:ind w:left="0" w:right="0" w:hanging="0"/>
              <w:jc w:val="left"/>
              <w:rPr/>
            </w:pPr>
            <w:r>
              <w:rPr/>
              <w:t xml:space="preserve">  </w:t>
            </w:r>
          </w:p>
        </w:tc>
        <w:tc>
          <w:tcPr>
            <w:tcW w:w="218"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02"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(17,465 </w:t>
            </w:r>
          </w:p>
        </w:tc>
        <w:tc>
          <w:tcPr>
            <w:tcW w:w="124"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2"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95" w:type="dxa"/>
            <w:tcBorders/>
            <w:vAlign w:val="bottom"/>
          </w:tcPr>
          <w:p>
            <w:pPr>
              <w:pStyle w:val="TableContents"/>
              <w:bidi w:val="0"/>
              <w:spacing w:before="0" w:after="0"/>
              <w:ind w:left="0" w:right="0" w:hanging="0"/>
              <w:jc w:val="right"/>
              <w:rPr/>
            </w:pPr>
            <w:r>
              <w:rPr/>
              <w:t>(37,544</w:t>
            </w:r>
          </w:p>
        </w:tc>
        <w:tc>
          <w:tcPr>
            <w:tcW w:w="112" w:type="dxa"/>
            <w:tcBorders/>
            <w:vAlign w:val="bottom"/>
          </w:tcPr>
          <w:p>
            <w:pPr>
              <w:pStyle w:val="TableContents"/>
              <w:bidi w:val="0"/>
              <w:spacing w:before="0" w:after="0"/>
              <w:ind w:left="0" w:right="0" w:hanging="0"/>
              <w:jc w:val="left"/>
              <w:rPr/>
            </w:pPr>
            <w:r>
              <w:rPr/>
              <w:t>)</w:t>
            </w:r>
          </w:p>
        </w:tc>
        <w:tc>
          <w:tcPr>
            <w:tcW w:w="26"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95" w:type="dxa"/>
            <w:tcBorders/>
            <w:vAlign w:val="bottom"/>
          </w:tcPr>
          <w:p>
            <w:pPr>
              <w:pStyle w:val="TableContents"/>
              <w:bidi w:val="0"/>
              <w:spacing w:before="0" w:after="0"/>
              <w:ind w:left="0" w:right="0" w:hanging="0"/>
              <w:jc w:val="right"/>
              <w:rPr/>
            </w:pPr>
            <w:r>
              <w:rPr/>
              <w:t>(17,465</w:t>
            </w:r>
          </w:p>
        </w:tc>
        <w:tc>
          <w:tcPr>
            <w:tcW w:w="119" w:type="dxa"/>
            <w:tcBorders/>
            <w:vAlign w:val="bottom"/>
          </w:tcPr>
          <w:p>
            <w:pPr>
              <w:pStyle w:val="TableContents"/>
              <w:bidi w:val="0"/>
              <w:spacing w:before="0" w:after="0"/>
              <w:jc w:val="left"/>
              <w:rPr/>
            </w:pPr>
            <w:r>
              <w:rPr/>
              <w:t>)</w:t>
            </w:r>
          </w:p>
        </w:tc>
      </w:tr>
      <w:tr>
        <w:trPr/>
        <w:tc>
          <w:tcPr>
            <w:tcW w:w="5108" w:type="dxa"/>
            <w:tcBorders/>
            <w:shd w:fill="CCEEFF" w:val="clear"/>
            <w:vAlign w:val="bottom"/>
          </w:tcPr>
          <w:p>
            <w:pPr>
              <w:pStyle w:val="TableContents"/>
              <w:bidi w:val="0"/>
              <w:spacing w:before="0" w:after="0"/>
              <w:ind w:left="0" w:right="0" w:hanging="0"/>
              <w:jc w:val="left"/>
              <w:rPr/>
            </w:pPr>
            <w:r>
              <w:rPr/>
              <w:t xml:space="preserve">  </w:t>
            </w:r>
          </w:p>
        </w:tc>
        <w:tc>
          <w:tcPr>
            <w:tcW w:w="118" w:type="dxa"/>
            <w:tcBorders/>
            <w:shd w:fill="CCEEFF" w:val="clear"/>
            <w:vAlign w:val="bottom"/>
          </w:tcPr>
          <w:p>
            <w:pPr>
              <w:pStyle w:val="TableContents"/>
              <w:bidi w:val="0"/>
              <w:spacing w:before="0" w:after="0"/>
              <w:ind w:left="0" w:right="0" w:hanging="0"/>
              <w:jc w:val="left"/>
              <w:rPr/>
            </w:pPr>
            <w:r>
              <w:rPr/>
              <w:t xml:space="preserve">  </w:t>
            </w:r>
          </w:p>
        </w:tc>
        <w:tc>
          <w:tcPr>
            <w:tcW w:w="218" w:type="dxa"/>
            <w:tcBorders/>
            <w:shd w:fill="CCEEFF" w:val="clear"/>
            <w:vAlign w:val="bottom"/>
          </w:tcPr>
          <w:p>
            <w:pPr>
              <w:pStyle w:val="TableContents"/>
              <w:bidi w:val="0"/>
              <w:spacing w:before="0" w:after="0"/>
              <w:ind w:left="0" w:right="0" w:hanging="0"/>
              <w:jc w:val="left"/>
              <w:rPr/>
            </w:pPr>
            <w:r>
              <w:rPr/>
              <w:t xml:space="preserve">  </w:t>
            </w:r>
          </w:p>
        </w:tc>
        <w:tc>
          <w:tcPr>
            <w:tcW w:w="845" w:type="dxa"/>
            <w:tcBorders/>
            <w:shd w:fill="CCEEFF" w:val="clear"/>
            <w:vAlign w:val="bottom"/>
          </w:tcPr>
          <w:p>
            <w:pPr>
              <w:pStyle w:val="TableContents"/>
              <w:pBdr/>
              <w:bidi w:val="0"/>
              <w:spacing w:before="0" w:after="0"/>
              <w:ind w:left="0" w:right="0" w:hanging="0"/>
              <w:jc w:val="right"/>
              <w:rPr/>
            </w:pPr>
            <w:r>
              <w:rPr/>
              <w:t xml:space="preserve">  </w:t>
            </w:r>
          </w:p>
        </w:tc>
        <w:tc>
          <w:tcPr>
            <w:tcW w:w="154" w:type="dxa"/>
            <w:tcBorders/>
            <w:shd w:fill="CCEEFF" w:val="clear"/>
            <w:vAlign w:val="bottom"/>
          </w:tcPr>
          <w:p>
            <w:pPr>
              <w:pStyle w:val="TableContents"/>
              <w:pBdr/>
              <w:bidi w:val="0"/>
              <w:spacing w:before="0" w:after="0"/>
              <w:ind w:left="0" w:right="0" w:hanging="0"/>
              <w:jc w:val="left"/>
              <w:rPr/>
            </w:pPr>
            <w:r>
              <w:rPr/>
              <w:t xml:space="preserve">  </w:t>
            </w:r>
          </w:p>
        </w:tc>
        <w:tc>
          <w:tcPr>
            <w:tcW w:w="153" w:type="dxa"/>
            <w:tcBorders/>
            <w:shd w:fill="CCEEFF" w:val="clear"/>
            <w:vAlign w:val="bottom"/>
          </w:tcPr>
          <w:p>
            <w:pPr>
              <w:pStyle w:val="TableContents"/>
              <w:pBdr/>
              <w:bidi w:val="0"/>
              <w:spacing w:before="0" w:after="0"/>
              <w:ind w:left="0" w:right="0" w:hanging="0"/>
              <w:jc w:val="left"/>
              <w:rPr/>
            </w:pPr>
            <w:r>
              <w:rPr/>
              <w:t xml:space="preserve">  </w:t>
            </w:r>
          </w:p>
        </w:tc>
        <w:tc>
          <w:tcPr>
            <w:tcW w:w="218" w:type="dxa"/>
            <w:tcBorders/>
            <w:shd w:fill="CCEEFF" w:val="clear"/>
            <w:vAlign w:val="bottom"/>
          </w:tcPr>
          <w:p>
            <w:pPr>
              <w:pStyle w:val="TableContents"/>
              <w:pBdr/>
              <w:bidi w:val="0"/>
              <w:spacing w:before="0" w:after="0"/>
              <w:ind w:left="0" w:right="0" w:hanging="0"/>
              <w:jc w:val="left"/>
              <w:rPr/>
            </w:pPr>
            <w:r>
              <w:rPr/>
              <w:t xml:space="preserve">  </w:t>
            </w:r>
          </w:p>
        </w:tc>
        <w:tc>
          <w:tcPr>
            <w:tcW w:w="902" w:type="dxa"/>
            <w:tcBorders/>
            <w:shd w:fill="CCEEFF" w:val="clear"/>
            <w:vAlign w:val="bottom"/>
          </w:tcPr>
          <w:p>
            <w:pPr>
              <w:pStyle w:val="TableContents"/>
              <w:pBdr/>
              <w:bidi w:val="0"/>
              <w:spacing w:before="0" w:after="0"/>
              <w:ind w:left="0" w:right="0" w:hanging="0"/>
              <w:jc w:val="right"/>
              <w:rPr/>
            </w:pPr>
            <w:r>
              <w:rPr/>
              <w:t xml:space="preserve">  </w:t>
            </w:r>
          </w:p>
        </w:tc>
        <w:tc>
          <w:tcPr>
            <w:tcW w:w="124" w:type="dxa"/>
            <w:tcBorders/>
            <w:shd w:fill="CCEEFF" w:val="clear"/>
            <w:vAlign w:val="bottom"/>
          </w:tcPr>
          <w:p>
            <w:pPr>
              <w:pStyle w:val="TableContents"/>
              <w:pBdr/>
              <w:bidi w:val="0"/>
              <w:spacing w:before="0" w:after="0"/>
              <w:ind w:left="0" w:right="0" w:hanging="0"/>
              <w:jc w:val="left"/>
              <w:rPr/>
            </w:pPr>
            <w:r>
              <w:rPr/>
              <w:t xml:space="preserve">  </w:t>
            </w:r>
          </w:p>
        </w:tc>
        <w:tc>
          <w:tcPr>
            <w:tcW w:w="22"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bidi w:val="0"/>
              <w:spacing w:before="0" w:after="283"/>
              <w:ind w:left="0" w:right="0" w:hanging="0"/>
              <w:jc w:val="left"/>
              <w:rPr/>
            </w:pPr>
            <w:r>
              <w:rPr/>
            </w:r>
          </w:p>
        </w:tc>
        <w:tc>
          <w:tcPr>
            <w:tcW w:w="895" w:type="dxa"/>
            <w:tcBorders/>
            <w:shd w:fill="CCEEFF" w:val="clear"/>
            <w:vAlign w:val="bottom"/>
          </w:tcPr>
          <w:p>
            <w:pPr>
              <w:pStyle w:val="TableContents"/>
              <w:bidi w:val="0"/>
              <w:spacing w:before="0" w:after="283"/>
              <w:ind w:left="0" w:right="0" w:hanging="0"/>
              <w:jc w:val="left"/>
              <w:rPr/>
            </w:pPr>
            <w:r>
              <w:rPr/>
            </w:r>
          </w:p>
        </w:tc>
        <w:tc>
          <w:tcPr>
            <w:tcW w:w="112" w:type="dxa"/>
            <w:tcBorders/>
            <w:shd w:fill="CCEEFF" w:val="clear"/>
            <w:vAlign w:val="bottom"/>
          </w:tcPr>
          <w:p>
            <w:pPr>
              <w:pStyle w:val="TableContents"/>
              <w:bidi w:val="0"/>
              <w:spacing w:before="0" w:after="283"/>
              <w:ind w:left="0" w:right="0" w:hanging="0"/>
              <w:jc w:val="left"/>
              <w:rPr/>
            </w:pPr>
            <w:r>
              <w:rPr/>
            </w:r>
          </w:p>
        </w:tc>
        <w:tc>
          <w:tcPr>
            <w:tcW w:w="26" w:type="dxa"/>
            <w:tcBorders/>
            <w:shd w:fill="CCEEFF" w:val="clear"/>
            <w:vAlign w:val="bottom"/>
          </w:tcPr>
          <w:p>
            <w:pPr>
              <w:pStyle w:val="TableContents"/>
              <w:bidi w:val="0"/>
              <w:spacing w:before="0" w:after="283"/>
              <w:ind w:left="0" w:right="0" w:hanging="0"/>
              <w:jc w:val="left"/>
              <w:rPr/>
            </w:pPr>
            <w:r>
              <w:rPr/>
            </w:r>
          </w:p>
        </w:tc>
        <w:tc>
          <w:tcPr>
            <w:tcW w:w="148" w:type="dxa"/>
            <w:tcBorders/>
            <w:shd w:fill="CCEEFF" w:val="clear"/>
            <w:vAlign w:val="bottom"/>
          </w:tcPr>
          <w:p>
            <w:pPr>
              <w:pStyle w:val="TableContents"/>
              <w:bidi w:val="0"/>
              <w:spacing w:before="0" w:after="283"/>
              <w:ind w:left="0" w:right="0" w:hanging="0"/>
              <w:jc w:val="left"/>
              <w:rPr/>
            </w:pPr>
            <w:r>
              <w:rPr/>
            </w:r>
          </w:p>
        </w:tc>
        <w:tc>
          <w:tcPr>
            <w:tcW w:w="895" w:type="dxa"/>
            <w:tcBorders/>
            <w:shd w:fill="CCEEFF" w:val="clear"/>
            <w:vAlign w:val="bottom"/>
          </w:tcPr>
          <w:p>
            <w:pPr>
              <w:pStyle w:val="TableContents"/>
              <w:bidi w:val="0"/>
              <w:spacing w:before="0" w:after="283"/>
              <w:ind w:left="0" w:right="0" w:hanging="0"/>
              <w:jc w:val="left"/>
              <w:rPr/>
            </w:pPr>
            <w:r>
              <w:rPr/>
            </w:r>
          </w:p>
        </w:tc>
        <w:tc>
          <w:tcPr>
            <w:tcW w:w="119" w:type="dxa"/>
            <w:tcBorders/>
            <w:shd w:fill="CCEEFF" w:val="clear"/>
            <w:vAlign w:val="bottom"/>
          </w:tcPr>
          <w:p>
            <w:pPr>
              <w:pStyle w:val="TableContents"/>
              <w:bidi w:val="0"/>
              <w:spacing w:before="0" w:after="283"/>
              <w:jc w:val="left"/>
              <w:rPr/>
            </w:pPr>
            <w:r>
              <w:rPr/>
            </w:r>
          </w:p>
        </w:tc>
      </w:tr>
      <w:tr>
        <w:trPr/>
        <w:tc>
          <w:tcPr>
            <w:tcW w:w="5108"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Total shareholders' equity </w:t>
            </w:r>
          </w:p>
        </w:tc>
        <w:tc>
          <w:tcPr>
            <w:tcW w:w="118" w:type="dxa"/>
            <w:tcBorders/>
            <w:vAlign w:val="bottom"/>
          </w:tcPr>
          <w:p>
            <w:pPr>
              <w:pStyle w:val="TableContents"/>
              <w:bidi w:val="0"/>
              <w:spacing w:before="0" w:after="0"/>
              <w:ind w:left="0" w:right="0" w:hanging="0"/>
              <w:jc w:val="left"/>
              <w:rPr/>
            </w:pPr>
            <w:r>
              <w:rPr/>
              <w:t xml:space="preserve">  </w:t>
            </w:r>
          </w:p>
        </w:tc>
        <w:tc>
          <w:tcPr>
            <w:tcW w:w="218"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45"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(381</w:t>
            </w:r>
          </w:p>
        </w:tc>
        <w:tc>
          <w:tcPr>
            <w:tcW w:w="154" w:type="dxa"/>
            <w:tcBorders/>
            <w:vAlign w:val="bottom"/>
          </w:tcPr>
          <w:p>
            <w:pPr>
              <w:pStyle w:val="TableContents"/>
              <w:bidi w:val="0"/>
              <w:spacing w:before="0" w:after="0"/>
              <w:ind w:left="0" w:right="0" w:hanging="0"/>
              <w:jc w:val="left"/>
              <w:rPr/>
            </w:pPr>
            <w:r>
              <w:rPr/>
              <w:t>)</w:t>
            </w:r>
          </w:p>
        </w:tc>
        <w:tc>
          <w:tcPr>
            <w:tcW w:w="153" w:type="dxa"/>
            <w:tcBorders/>
            <w:vAlign w:val="bottom"/>
          </w:tcPr>
          <w:p>
            <w:pPr>
              <w:pStyle w:val="TableContents"/>
              <w:pBdr/>
              <w:bidi w:val="0"/>
              <w:spacing w:before="0" w:after="0"/>
              <w:ind w:left="0" w:right="0" w:hanging="0"/>
              <w:jc w:val="left"/>
              <w:rPr/>
            </w:pPr>
            <w:r>
              <w:rPr/>
              <w:t xml:space="preserve">  </w:t>
            </w:r>
          </w:p>
        </w:tc>
        <w:tc>
          <w:tcPr>
            <w:tcW w:w="218"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902"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14,946</w:t>
            </w:r>
          </w:p>
        </w:tc>
        <w:tc>
          <w:tcPr>
            <w:tcW w:w="124" w:type="dxa"/>
            <w:tcBorders/>
            <w:vAlign w:val="bottom"/>
          </w:tcPr>
          <w:p>
            <w:pPr>
              <w:pStyle w:val="TableContents"/>
              <w:pBdr/>
              <w:bidi w:val="0"/>
              <w:spacing w:before="0" w:after="0"/>
              <w:ind w:left="0" w:right="0" w:hanging="0"/>
              <w:jc w:val="left"/>
              <w:rPr/>
            </w:pPr>
            <w:r>
              <w:rPr/>
              <w:t xml:space="preserve">  </w:t>
            </w:r>
          </w:p>
        </w:tc>
        <w:tc>
          <w:tcPr>
            <w:tcW w:w="22"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95" w:type="dxa"/>
            <w:tcBorders/>
            <w:vAlign w:val="bottom"/>
          </w:tcPr>
          <w:p>
            <w:pPr>
              <w:pStyle w:val="TableContents"/>
              <w:bidi w:val="0"/>
              <w:spacing w:before="0" w:after="0"/>
              <w:ind w:left="0" w:right="0" w:hanging="0"/>
              <w:jc w:val="right"/>
              <w:rPr/>
            </w:pPr>
            <w:r>
              <w:rPr/>
              <w:t>(381</w:t>
            </w:r>
          </w:p>
        </w:tc>
        <w:tc>
          <w:tcPr>
            <w:tcW w:w="112" w:type="dxa"/>
            <w:tcBorders/>
            <w:vAlign w:val="bottom"/>
          </w:tcPr>
          <w:p>
            <w:pPr>
              <w:pStyle w:val="TableContents"/>
              <w:bidi w:val="0"/>
              <w:spacing w:before="0" w:after="0"/>
              <w:ind w:left="0" w:right="0" w:hanging="0"/>
              <w:jc w:val="left"/>
              <w:rPr/>
            </w:pPr>
            <w:r>
              <w:rPr/>
              <w:t>)</w:t>
            </w:r>
          </w:p>
        </w:tc>
        <w:tc>
          <w:tcPr>
            <w:tcW w:w="26" w:type="dxa"/>
            <w:tcBorders/>
            <w:vAlign w:val="bottom"/>
          </w:tcPr>
          <w:p>
            <w:pPr>
              <w:pStyle w:val="TableContents"/>
              <w:bidi w:val="0"/>
              <w:spacing w:before="0" w:after="283"/>
              <w:ind w:left="0" w:right="0" w:hanging="0"/>
              <w:jc w:val="left"/>
              <w:rPr/>
            </w:pPr>
            <w:r>
              <w:rPr/>
            </w:r>
          </w:p>
        </w:tc>
        <w:tc>
          <w:tcPr>
            <w:tcW w:w="148" w:type="dxa"/>
            <w:tcBorders/>
            <w:vAlign w:val="bottom"/>
          </w:tcPr>
          <w:p>
            <w:pPr>
              <w:pStyle w:val="TableContents"/>
              <w:widowControl/>
              <w:bidi w:val="0"/>
              <w:spacing w:before="0" w:after="0"/>
              <w:ind w:left="0" w:right="0" w:hanging="0"/>
              <w:jc w:val="both"/>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95" w:type="dxa"/>
            <w:tcBorders/>
            <w:vAlign w:val="bottom"/>
          </w:tcPr>
          <w:p>
            <w:pPr>
              <w:pStyle w:val="TableContents"/>
              <w:bidi w:val="0"/>
              <w:spacing w:before="0" w:after="0"/>
              <w:ind w:left="0" w:right="0" w:hanging="0"/>
              <w:jc w:val="right"/>
              <w:rPr/>
            </w:pPr>
            <w:r>
              <w:rPr/>
              <w:t>14,946</w:t>
            </w:r>
          </w:p>
        </w:tc>
        <w:tc>
          <w:tcPr>
            <w:tcW w:w="119" w:type="dxa"/>
            <w:tcBorders/>
            <w:vAlign w:val="bottom"/>
          </w:tcPr>
          <w:p>
            <w:pPr>
              <w:pStyle w:val="TableContents"/>
              <w:bidi w:val="0"/>
              <w:spacing w:before="0" w:after="283"/>
              <w:jc w:val="left"/>
              <w:rPr/>
            </w:pPr>
            <w:r>
              <w:rPr/>
            </w:r>
          </w:p>
        </w:tc>
      </w:tr>
    </w:tbl>
    <w:p>
      <w:pPr>
        <w:pStyle w:val="TextBody"/>
        <w:bidi w:val="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187" w:name="PageBreakNo17"/>
            <w:bookmarkEnd w:id="187"/>
            <w:r>
              <w:rPr>
                <w:sz w:val="20"/>
              </w:rPr>
              <w:t>17</w:t>
            </w:r>
          </w:p>
        </w:tc>
      </w:tr>
    </w:tbl>
    <w:p>
      <w:pPr>
        <w:pStyle w:val="TextBody"/>
        <w:bidi w:val="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jc w:val="both"/>
        <w:rPr/>
      </w:pPr>
      <w:r>
        <w:rPr/>
      </w:r>
    </w:p>
    <w:p>
      <w:pPr>
        <w:pStyle w:val="TextBody"/>
        <w:bidi w:val="0"/>
        <w:jc w:val="left"/>
        <w:rPr/>
      </w:pPr>
      <w:hyperlink w:anchor="TOC">
        <w:r>
          <w:rPr>
            <w:rStyle w:val="InternetLink"/>
            <w:color w:val="0000FF"/>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widowControl/>
        <w:bidi w:val="0"/>
        <w:spacing w:before="0" w:after="0"/>
        <w:ind w:left="0" w:right="0" w:hanging="0"/>
        <w:jc w:val="both"/>
        <w:rPr>
          <w:rFonts w:ascii="Times New Roman;serif" w:hAnsi="Times New Roman;serif"/>
          <w:b/>
          <w:i/>
          <w:color w:val="000000"/>
          <w:spacing w:val="0"/>
          <w:sz w:val="20"/>
        </w:rPr>
      </w:pPr>
      <w:r>
        <w:rPr>
          <w:rFonts w:ascii="Times New Roman;serif" w:hAnsi="Times New Roman;serif"/>
          <w:b/>
          <w:i/>
          <w:color w:val="000000"/>
          <w:spacing w:val="0"/>
          <w:sz w:val="20"/>
        </w:rPr>
      </w:r>
    </w:p>
    <w:p>
      <w:pPr>
        <w:pStyle w:val="TextBody"/>
        <w:widowControl/>
        <w:bidi w:val="0"/>
        <w:spacing w:before="0" w:after="0"/>
        <w:ind w:left="0" w:right="0" w:hanging="0"/>
        <w:jc w:val="both"/>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Issue of Common Stock</w:t>
      </w:r>
    </w:p>
    <w:p>
      <w:pPr>
        <w:pStyle w:val="TextBody"/>
        <w:widowControl/>
        <w:bidi w:val="0"/>
        <w:spacing w:before="0" w:after="0"/>
        <w:ind w:left="0" w:right="0" w:hanging="0"/>
        <w:jc w:val="both"/>
        <w:rPr/>
      </w:pPr>
      <w:r>
        <w:rPr/>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On February 26, 2025 the Company entered into a securities purchase agreement with Edward D. Bagley, pursuant to which the Company agreed to issue and sell, in a private placement at-the-market offering of 133,334 shares of the Company’s common stock, par value $0.001 per share, at a purchase price of $7.50 per share of common stock. The Company received $1,000 in cash in connection with the sale. Mr. Bagley is an affiliate of the Company and was the Company’s single largest stockholder.</w:t>
      </w:r>
    </w:p>
    <w:p>
      <w:pPr>
        <w:pStyle w:val="TextBody"/>
        <w:widowControl/>
        <w:bidi w:val="0"/>
        <w:spacing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i/>
          <w:color w:val="000000"/>
          <w:spacing w:val="0"/>
          <w:sz w:val="20"/>
        </w:rPr>
        <w:t>Amendments to Certificate of Incorporation and Reverse Stock Split</w:t>
      </w:r>
      <w:r>
        <w:rPr>
          <w:rFonts w:ascii="times new roman;times" w:hAnsi="times new roman;times"/>
          <w:b w:val="false"/>
          <w:color w:val="000000"/>
          <w:spacing w:val="0"/>
          <w:sz w:val="20"/>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At the special meeting of stockholders held on May 30, 2025, stockholders approved amendments to the Certificate of Incorporation to: (i) increase the authorized number of shares of common stock from 50,000,000 to 150,000,000; (ii) authorize 50,000,000 shares of "blank check" preferred stock; (iii) effect a reverse stock split at a ratio between 1-for-10 and 1-for-15, with the exact ratio to be determined by the Board of Directors; and (iv) eliminate the prohibition on stockholder action by written consent and to allow such actions. Following stockholder approval, on June 4, 2025, the Company filed a Certificate of Amendment to its Certificate of Incorporation to effect these changes, including the selection of a 1-for-15 reverse stock split ratio, which became effective at </w:t>
      </w:r>
      <w:bookmarkStart w:id="188" w:name="fs_RB282SHDS000000000000000000000fs"/>
      <w:bookmarkEnd w:id="188"/>
      <w:r>
        <w:rPr>
          <w:rFonts w:ascii="times new roman;times" w:hAnsi="times new roman;times"/>
          <w:sz w:val="20"/>
        </w:rPr>
        <w:t>5:</w:t>
      </w:r>
      <w:bookmarkStart w:id="189" w:name="fs_SHUFQCR8BK00000000000000000000fs"/>
      <w:bookmarkEnd w:id="189"/>
      <w:r>
        <w:rPr>
          <w:rFonts w:ascii="times new roman;times" w:hAnsi="times new roman;times"/>
          <w:sz w:val="20"/>
        </w:rPr>
        <w:t xml:space="preserve">00 p.m. Eastern Time on June 9, 2025. The common stock began trading on a split-adjusted basis on the Nasdaq Capital Market on June 10, 2025, under the symbol "CLRO" and a new CUSIP number of </w:t>
      </w:r>
      <w:bookmarkStart w:id="190" w:name="fs_3DPTSTN2R400000000000000000000fs"/>
      <w:bookmarkEnd w:id="190"/>
      <w:r>
        <w:rPr>
          <w:rFonts w:ascii="times new roman;times" w:hAnsi="times new roman;times"/>
          <w:sz w:val="20"/>
        </w:rPr>
        <w:t>18506U</w:t>
      </w:r>
      <w:bookmarkStart w:id="191" w:name="fs_U9U4KWIW5S00000000000000000000fs"/>
      <w:bookmarkEnd w:id="191"/>
      <w:r>
        <w:rPr>
          <w:rFonts w:ascii="times new roman;times" w:hAnsi="times new roman;times"/>
          <w:sz w:val="20"/>
        </w:rPr>
        <w:t xml:space="preserve">203. The reverse stock split was primarily intended to increase the per share market price of the common stock in order to regain compliance with the minimum bid price requirement for continued listing on the Nasdaq Capital Market. As a result of the reverse stock split, every 15 shares of issued and outstanding common stock were automatically combined into </w:t>
      </w:r>
      <w:bookmarkStart w:id="192" w:name="fs_J70FJJNNKW00000000000000000000fs"/>
      <w:bookmarkEnd w:id="192"/>
      <w:r>
        <w:rPr>
          <w:rFonts w:ascii="times new roman;times" w:hAnsi="times new roman;times"/>
          <w:sz w:val="20"/>
        </w:rPr>
        <w:t>one share, with no fractional shares issued (any fractional interests were converted to one whole share). The reverse stock split did not change the par value of the common stock but reduced the number of issued and outstanding shares from approximately 26.0 million to approximately 1.7 million, with proportional adjustments to outstanding stock options, warrants, and shares reserved under equity incentive plans. All share and per-share amounts in these condensed consolidated financial statements and related notes have been retroactively adjusted to reflect the reverse stock split for all periods presented.</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 xml:space="preserve">For additional details, including the Certificate of Amendment, refer to the Company's Current Report on Form 8-K filed with the SEC on June 2, 2025, including the press release attached as Exhibit </w:t>
      </w:r>
      <w:bookmarkStart w:id="193" w:name="fs_HOKXEHGOJK00000000000000000000fs"/>
      <w:bookmarkEnd w:id="193"/>
      <w:r>
        <w:rPr>
          <w:rFonts w:ascii="times new roman;times" w:hAnsi="times new roman;times"/>
          <w:b w:val="false"/>
          <w:color w:val="000000"/>
          <w:spacing w:val="0"/>
          <w:sz w:val="20"/>
        </w:rPr>
        <w:t xml:space="preserve">99.1 and the Certificate of Amendment attached as Exhibit </w:t>
      </w:r>
      <w:bookmarkStart w:id="194" w:name="fs_MI0R9IL9DC00000000000000000000fs"/>
      <w:bookmarkEnd w:id="194"/>
      <w:r>
        <w:rPr>
          <w:rFonts w:ascii="times new roman;times" w:hAnsi="times new roman;times"/>
          <w:b w:val="false"/>
          <w:color w:val="000000"/>
          <w:spacing w:val="0"/>
          <w:sz w:val="20"/>
        </w:rPr>
        <w:t xml:space="preserve">3.1 thereto. </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i/>
          <w:color w:val="000000"/>
          <w:spacing w:val="0"/>
          <w:sz w:val="20"/>
        </w:rPr>
        <w:t>Preferred Stock Designations and Related Matters</w:t>
      </w:r>
      <w:r>
        <w:rPr>
          <w:rFonts w:ascii="times new roman;times" w:hAnsi="times new roman;times"/>
          <w:b w:val="false"/>
          <w:color w:val="000000"/>
          <w:spacing w:val="0"/>
          <w:sz w:val="20"/>
        </w:rPr>
        <w:t xml:space="preserve">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On June 24, 2025, the Company filed Certificates of Designation with the State of Delaware authorizing up to 2,069,066 shares of Class A Redeemable Preferred Stock and 5,100 shares of Class B Convertible Preferred Stock.  The Class A Redeemable Preferred Stock ranked senior to common stock and was mandatorily redeemable upon an Asset Sale. The Class B Convertible Preferred Stock ranked senior to common stock and to other equity, except the Class A Redeemable Preferred Stock, and carried dividend, voting (on an as-converted basis), and liquidation rights. The issuance, reclassification, redemption, and conversion of these securities during 2025 and 2026 are described below.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Additionally, effective June 20, 2025, the Board of Directors was expanded from four to five members, with Eric Boehnke and Youngsun Park (a/k/a Sunny Park), nominees of First Finance, appointed as directors to serve until the next annual meeting or until their successors are elected and qualified. Neither appointee has any material arrangements or family relationships with the Company requiring disclosure under Item </w:t>
      </w:r>
      <w:bookmarkStart w:id="195" w:name="fs_2V5G9ME8SG00000000000000000000fs"/>
      <w:bookmarkEnd w:id="195"/>
      <w:r>
        <w:rPr>
          <w:rFonts w:ascii="times new roman;times" w:hAnsi="times new roman;times"/>
          <w:sz w:val="20"/>
        </w:rPr>
        <w:t>404(a) of Regulation S-K, and they receive standard director compensation.</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196" w:name="PageBreakNo18"/>
            <w:bookmarkEnd w:id="196"/>
            <w:r>
              <w:rPr>
                <w:sz w:val="20"/>
              </w:rPr>
              <w:t>18</w:t>
            </w:r>
          </w:p>
        </w:tc>
      </w:tr>
    </w:tbl>
    <w:p>
      <w:pPr>
        <w:pStyle w:val="HorizontalLine"/>
        <w:bidi w:val="0"/>
        <w:jc w:val="both"/>
        <w:rPr/>
      </w:pPr>
      <w:r>
        <w:rPr/>
      </w:r>
    </w:p>
    <w:p>
      <w:pPr>
        <w:pStyle w:val="TextBody"/>
        <w:bidi w:val="0"/>
        <w:jc w:val="left"/>
        <w:rPr/>
      </w:pPr>
      <w:hyperlink w:anchor="TOC">
        <w:r>
          <w:rPr>
            <w:rStyle w:val="InternetLink"/>
            <w:color w:val="0000FF"/>
            <w:sz w:val="20"/>
          </w:rPr>
          <w:t>Table of Contents</w:t>
        </w:r>
      </w:hyperlink>
    </w:p>
    <w:p>
      <w:pPr>
        <w:pStyle w:val="TextBody"/>
        <w:bidi w:val="0"/>
        <w:spacing w:lineRule="auto" w:line="288" w:before="0" w:after="0"/>
        <w:ind w:left="144" w:right="144" w:hanging="0"/>
        <w:jc w:val="center"/>
        <w:rPr/>
      </w:pPr>
      <w:r>
        <w:rPr/>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UNAUDITED 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On July 18, 2025, the Company issued 2,069,065 shares of Class A Redeemable Preferred Stock, par value $0.001 per share, as a one-time special stock dividend to holders of common stock and common stock equivalents of record as of July 11, 2025, consisting of one Class A share for each common share and common stock equivalent then outstanding. The Class A shares ranked senior to common stock and were mandatorily redeemable upon an Asset Sale for 100% of the net proceeds as defined in the Certificate of Designation, subject to a minimum of par value. Upon the closing of the Asset Sale on October 24, 2025, the redemption obligation became unconditional and the Class A Redeemable Preferred Stock was reclassified from temporary equity to a current liability in accordance with ASC 480-10-S99. On April 21, 2026, the Company redeemed all 2,069,065 outstanding shares at par value for aggregate consideration of $2, and all Class A shares were cancelled; holders received no distribution of Asset Sale proceeds. No shares of Class A Redeemable Preferred Stock were issued or outstanding as of June 30, 2026. See Note 3 — Capital Structure: Class A Redeemable Preferred Stock.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On July 21, 2025, the Company's $3,000 convertible note issued to First Finance on June 20, 2025, together with $26 of accrued interest, automatically converted into 3,026 shares of Class B Convertible Preferred Stock pursuant to its original terms, at a fixed conversion ratio of 166.44474 common shares per Class B share determined at issuance. Because the conversion option was indexed to, and settled in, the Company's own equity, it qualified for the own-equity scope exception under ASC 815-40; accordingly, no derivative liability was recorded and the full conversion amount was recognized in equity with no gain or loss. On November 24, 2025, First Finance converted all 3,026 shares of Class B Convertible Preferred Stock into 503,662 shares of common stock at the fixed conversion price of $6.008 per share. No shares of Class B Convertible Preferred Stock were issued or outstanding as of June 30, 2026 or December 31, 2025. See Note 4 — Notes Payable. </w:t>
      </w: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 xml:space="preserve">For additional details, refer to the Company's Current Report on Form 8-K filed with the SEC on June 25, 2025, including the Certificates of Designation attached as Exhibits </w:t>
      </w:r>
      <w:bookmarkStart w:id="197" w:name="fs_BW68VDVK0000000000000000000000fs"/>
      <w:bookmarkEnd w:id="197"/>
      <w:r>
        <w:rPr>
          <w:rFonts w:ascii="times new roman;times" w:hAnsi="times new roman;times"/>
          <w:b w:val="false"/>
          <w:color w:val="000000"/>
          <w:spacing w:val="0"/>
          <w:sz w:val="20"/>
        </w:rPr>
        <w:t xml:space="preserve">3.1 and </w:t>
      </w:r>
      <w:bookmarkStart w:id="198" w:name="fs_3SFAJTAZI800000000000000000000fs"/>
      <w:bookmarkEnd w:id="198"/>
      <w:r>
        <w:rPr>
          <w:rFonts w:ascii="times new roman;times" w:hAnsi="times new roman;times"/>
          <w:b w:val="false"/>
          <w:color w:val="000000"/>
          <w:spacing w:val="0"/>
          <w:sz w:val="20"/>
        </w:rPr>
        <w:t xml:space="preserve">3.2, the Note Purchase Agreement attached as Exhibit </w:t>
      </w:r>
      <w:bookmarkStart w:id="199" w:name="fs_XYU6YCKHO000000000000000000000fs"/>
      <w:bookmarkEnd w:id="199"/>
      <w:r>
        <w:rPr>
          <w:rFonts w:ascii="times new roman;times" w:hAnsi="times new roman;times"/>
          <w:b w:val="false"/>
          <w:color w:val="000000"/>
          <w:spacing w:val="0"/>
          <w:sz w:val="20"/>
        </w:rPr>
        <w:t xml:space="preserve">10.1, and the Convertible Note attached as Exhibit </w:t>
      </w:r>
      <w:bookmarkStart w:id="200" w:name="fs_CHZCQ3JWZK00000000000000000000fs"/>
      <w:bookmarkEnd w:id="200"/>
      <w:r>
        <w:rPr>
          <w:rFonts w:ascii="times new roman;times" w:hAnsi="times new roman;times"/>
          <w:b w:val="false"/>
          <w:color w:val="000000"/>
          <w:spacing w:val="0"/>
          <w:sz w:val="20"/>
        </w:rPr>
        <w:t xml:space="preserve">10.2 thereto. </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i/>
          <w:color w:val="000000"/>
          <w:spacing w:val="0"/>
          <w:sz w:val="20"/>
        </w:rPr>
      </w:pPr>
      <w:r>
        <w:rPr>
          <w:rFonts w:ascii="times new roman;times" w:hAnsi="times new roman;times"/>
          <w:b w:val="false"/>
          <w:i/>
          <w:color w:val="000000"/>
          <w:spacing w:val="0"/>
          <w:sz w:val="20"/>
        </w:rPr>
        <w:t>March 2, 2026 Private Placement</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spacing w:val="0"/>
          <w:sz w:val="20"/>
        </w:rPr>
      </w:pPr>
      <w:r>
        <w:rPr>
          <w:rFonts w:ascii="times new roman;times" w:hAnsi="times new roman;times"/>
          <w:b w:val="false"/>
          <w:spacing w:val="0"/>
          <w:sz w:val="20"/>
        </w:rPr>
        <w:t xml:space="preserve">On March 2, 2026, the Company entered into a Securities Purchase Agreement with First Finance, the Company’s largest stockholder, pursuant to which the Company issued and sold 437,500 shares of common stock at a purchase price of $4.00 per share and a warrant to purchase up to 437,500 additional shares of common stock at an exercise price of $5.00 per share. The warrant has a two-year term expiring on March 2, 2028 and becomes exercisable on September 2, 2026. The warrant is classified in stockholders’ equity in accordance with ASC </w:t>
      </w:r>
      <w:bookmarkStart w:id="201" w:name="fs_AZEY3MBY4000000000000000000000fs"/>
      <w:bookmarkEnd w:id="201"/>
      <w:r>
        <w:rPr>
          <w:rFonts w:ascii="times new roman;times" w:hAnsi="times new roman;times"/>
          <w:b w:val="false"/>
          <w:spacing w:val="0"/>
          <w:sz w:val="20"/>
        </w:rPr>
        <w:t>815-</w:t>
      </w:r>
      <w:bookmarkStart w:id="202" w:name="fs_KVYTX8B2J400000000000000000000fs"/>
      <w:bookmarkEnd w:id="202"/>
      <w:r>
        <w:rPr>
          <w:rFonts w:ascii="times new roman;times" w:hAnsi="times new roman;times"/>
          <w:b w:val="false"/>
          <w:spacing w:val="0"/>
          <w:sz w:val="20"/>
        </w:rPr>
        <w:t>40. The Company received gross proceeds of $1,750. The fair value of the warrants was determined using the Black-Scholes option pricing model. The Company allocated the proceeds between the common stock and the warrants based on their relative fair values. The portion of the proceeds allocated to the warrants, $618, was recorded in additional paid-in capital – warrants. The Company also entered into a Registration Rights Agreement with First Finance providing for the registration of the shares and warrant shares for resale.  It is a condition to Vivani Medical, Inc.’s obligations to consummate the closing of the Merger Agreement for First Finance to have waived any right to receive value in respect of any warrants held by it or its affiliates. On August 4, 2026, all warrants issued pursuant to the Securities Purchase Agreement were cancelled. See Note 14 — Subsequent Events.</w:t>
      </w:r>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 xml:space="preserve">The issuance was made in reliance on the exemption from registration provided by Section </w:t>
      </w:r>
      <w:bookmarkStart w:id="203" w:name="fs_FY084VHXF400000000000000000000fs"/>
      <w:bookmarkEnd w:id="203"/>
      <w:r>
        <w:rPr>
          <w:rFonts w:ascii="times new roman;times" w:hAnsi="times new roman;times"/>
          <w:b w:val="false"/>
          <w:color w:val="000000"/>
          <w:spacing w:val="0"/>
          <w:sz w:val="20"/>
        </w:rPr>
        <w:t>4(a)(</w:t>
      </w:r>
      <w:bookmarkStart w:id="204" w:name="fs_YWQ4N7TFC000000000000000000000fs"/>
      <w:bookmarkEnd w:id="204"/>
      <w:r>
        <w:rPr>
          <w:rFonts w:ascii="times new roman;times" w:hAnsi="times new roman;times"/>
          <w:b w:val="false"/>
          <w:color w:val="000000"/>
          <w:spacing w:val="0"/>
          <w:sz w:val="20"/>
        </w:rPr>
        <w:t xml:space="preserve">2) of the Securities Act of </w:t>
      </w:r>
      <w:bookmarkStart w:id="205" w:name="fs_O3WU99MK9S00000000000000000000fs"/>
      <w:bookmarkEnd w:id="205"/>
      <w:r>
        <w:rPr>
          <w:rFonts w:ascii="times new roman;times" w:hAnsi="times new roman;times"/>
          <w:b w:val="false"/>
          <w:color w:val="000000"/>
          <w:spacing w:val="0"/>
          <w:sz w:val="20"/>
        </w:rPr>
        <w:t xml:space="preserve">1933, as amended, and Rule </w:t>
      </w:r>
      <w:bookmarkStart w:id="206" w:name="fs_WO1ZPZM2EO00000000000000000000fs"/>
      <w:bookmarkEnd w:id="206"/>
      <w:r>
        <w:rPr>
          <w:rFonts w:ascii="times new roman;times" w:hAnsi="times new roman;times"/>
          <w:b w:val="false"/>
          <w:color w:val="000000"/>
          <w:spacing w:val="0"/>
          <w:sz w:val="20"/>
        </w:rPr>
        <w:t>506(b) promulgated thereunder. The transaction was approved by the Board of Directors (with interested directors recusing themselves as appropriate).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sz w:val="20"/>
          <w:szCs w:val="20"/>
        </w:rPr>
      </w:pPr>
      <w:r>
        <w:rPr>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07" w:name="PageBreakNo19"/>
            <w:bookmarkEnd w:id="207"/>
            <w:r>
              <w:rPr>
                <w:sz w:val="20"/>
              </w:rPr>
              <w:t>19</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left"/>
        <w:rPr/>
      </w:pPr>
      <w:r>
        <w:rPr/>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00"/>
        <w:ind w:left="0" w:right="0" w:hanging="0"/>
        <w:jc w:val="left"/>
        <w:rPr/>
      </w:pPr>
      <w:r>
        <w:rPr>
          <w:rFonts w:ascii="Times New Roman" w:hAnsi="Times New Roman"/>
          <w:b/>
          <w:sz w:val="20"/>
        </w:rPr>
        <w:t>11</w:t>
      </w:r>
      <w:r>
        <w:rPr>
          <w:rFonts w:ascii="Times New Roman" w:hAnsi="Times New Roman"/>
          <w:b/>
          <w:sz w:val="20"/>
        </w:rPr>
        <w:t>. Share-based Compensation</w:t>
      </w:r>
    </w:p>
    <w:p>
      <w:pPr>
        <w:pStyle w:val="TextBody"/>
        <w:bidi w:val="0"/>
        <w:spacing w:lineRule="auto" w:line="288" w:before="0" w:after="0"/>
        <w:ind w:left="0" w:right="0" w:hanging="0"/>
        <w:jc w:val="both"/>
        <w:rPr>
          <w:rFonts w:ascii="Times New Roman;serif" w:hAnsi="Times New Roman;serif"/>
          <w:sz w:val="20"/>
        </w:rPr>
      </w:pPr>
      <w:r>
        <w:rPr>
          <w:rFonts w:ascii="Times New Roman;serif" w:hAnsi="Times New Roman;serif"/>
          <w:sz w:val="20"/>
        </w:rPr>
        <w:t>The Company determines the fair value of share-based payments on the date of grant using the Black-Scholes option pricing model in accordance with ASC Topic 718, which requires assumptions regarding the risk-free interest rate, the expected life of the awards, expected volatility over the term of the awards, and expected dividends. No stock options were granted during the three and six months ended June 30, 2026 or 2025.</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 xml:space="preserve">A summary of the stock option activity under the Company’s plans for the </w:t>
      </w:r>
      <w:bookmarkStart w:id="208" w:name="fs_NP86LQKGLC00000000000000000000FM"/>
      <w:bookmarkEnd w:id="208"/>
      <w:r>
        <w:rPr>
          <w:rFonts w:ascii="Times New Roman" w:hAnsi="Times New Roman"/>
          <w:sz w:val="20"/>
        </w:rPr>
        <w:t>six months ended June 30, 2026,</w:t>
      </w:r>
      <w:r>
        <w:rPr>
          <w:rFonts w:ascii="times new roman;times" w:hAnsi="times new roman;times"/>
          <w:sz w:val="20"/>
        </w:rPr>
        <w:t xml:space="preserve"> </w:t>
      </w:r>
      <w:r>
        <w:rPr>
          <w:rFonts w:ascii="Times New Roman" w:hAnsi="Times New Roman"/>
          <w:sz w:val="20"/>
        </w:rPr>
        <w:t>is as follows: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4352"/>
        <w:gridCol w:w="144"/>
        <w:gridCol w:w="290"/>
        <w:gridCol w:w="1572"/>
        <w:gridCol w:w="145"/>
        <w:gridCol w:w="144"/>
        <w:gridCol w:w="695"/>
        <w:gridCol w:w="2700"/>
        <w:gridCol w:w="163"/>
      </w:tblGrid>
      <w:tr>
        <w:trPr/>
        <w:tc>
          <w:tcPr>
            <w:tcW w:w="4352" w:type="dxa"/>
            <w:tcBorders/>
            <w:vAlign w:val="bottom"/>
          </w:tcPr>
          <w:p>
            <w:pPr>
              <w:pStyle w:val="TableContents"/>
              <w:bidi w:val="0"/>
              <w:spacing w:before="0" w:after="0"/>
              <w:ind w:left="0" w:right="0" w:hanging="0"/>
              <w:jc w:val="left"/>
              <w:rPr/>
            </w:pPr>
            <w:r>
              <w:rPr/>
              <w:t xml:space="preserve">  </w:t>
            </w:r>
          </w:p>
        </w:tc>
        <w:tc>
          <w:tcPr>
            <w:tcW w:w="144" w:type="dxa"/>
            <w:tcBorders/>
            <w:vAlign w:val="bottom"/>
          </w:tcPr>
          <w:p>
            <w:pPr>
              <w:pStyle w:val="TableContents"/>
              <w:pBdr/>
              <w:bidi w:val="0"/>
              <w:spacing w:before="0" w:after="0"/>
              <w:ind w:left="0" w:right="0" w:hanging="0"/>
              <w:jc w:val="left"/>
              <w:rPr/>
            </w:pPr>
            <w:r>
              <w:rPr/>
              <w:t xml:space="preserve">  </w:t>
            </w:r>
          </w:p>
        </w:tc>
        <w:tc>
          <w:tcPr>
            <w:tcW w:w="1862" w:type="dxa"/>
            <w:gridSpan w:val="2"/>
            <w:tcBorders/>
            <w:vAlign w:val="bottom"/>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 xml:space="preserve">Number of shares </w:t>
            </w:r>
          </w:p>
        </w:tc>
        <w:tc>
          <w:tcPr>
            <w:tcW w:w="145" w:type="dxa"/>
            <w:tcBorders/>
            <w:vAlign w:val="bottom"/>
          </w:tcPr>
          <w:p>
            <w:pPr>
              <w:pStyle w:val="TableContents"/>
              <w:pBdr/>
              <w:bidi w:val="0"/>
              <w:spacing w:before="0" w:after="0"/>
              <w:ind w:left="0" w:right="0" w:hanging="0"/>
              <w:jc w:val="left"/>
              <w:rPr/>
            </w:pPr>
            <w:r>
              <w:rPr/>
              <w:t xml:space="preserve">  </w:t>
            </w:r>
          </w:p>
        </w:tc>
        <w:tc>
          <w:tcPr>
            <w:tcW w:w="144" w:type="dxa"/>
            <w:tcBorders/>
            <w:vAlign w:val="bottom"/>
          </w:tcPr>
          <w:p>
            <w:pPr>
              <w:pStyle w:val="TableContents"/>
              <w:pBdr/>
              <w:bidi w:val="0"/>
              <w:spacing w:before="0" w:after="0"/>
              <w:ind w:left="0" w:right="0" w:hanging="0"/>
              <w:jc w:val="left"/>
              <w:rPr/>
            </w:pPr>
            <w:r>
              <w:rPr/>
              <w:t xml:space="preserve">  </w:t>
            </w:r>
          </w:p>
        </w:tc>
        <w:tc>
          <w:tcPr>
            <w:tcW w:w="3395" w:type="dxa"/>
            <w:gridSpan w:val="2"/>
            <w:tcBorders/>
            <w:vAlign w:val="bottom"/>
          </w:tcPr>
          <w:p>
            <w:pPr>
              <w:pStyle w:val="TableContents"/>
              <w:bidi w:val="0"/>
              <w:spacing w:lineRule="auto" w:line="264" w:before="0" w:after="0"/>
              <w:ind w:left="0" w:right="0" w:hanging="0"/>
              <w:jc w:val="center"/>
              <w:rPr>
                <w:rFonts w:ascii="Times New Roman" w:hAnsi="Times New Roman"/>
                <w:b/>
                <w:sz w:val="20"/>
              </w:rPr>
            </w:pPr>
            <w:r>
              <w:rPr>
                <w:rFonts w:ascii="Times New Roman" w:hAnsi="Times New Roman"/>
                <w:b/>
                <w:sz w:val="20"/>
              </w:rPr>
              <w:t xml:space="preserve">Weighted average exercise price </w:t>
            </w:r>
          </w:p>
        </w:tc>
        <w:tc>
          <w:tcPr>
            <w:tcW w:w="163" w:type="dxa"/>
            <w:tcBorders/>
            <w:vAlign w:val="bottom"/>
          </w:tcPr>
          <w:p>
            <w:pPr>
              <w:pStyle w:val="TableContents"/>
              <w:bidi w:val="0"/>
              <w:spacing w:before="0" w:after="0"/>
              <w:ind w:left="0" w:right="0" w:hanging="0"/>
              <w:jc w:val="left"/>
              <w:rPr/>
            </w:pPr>
            <w:r>
              <w:rPr/>
              <w:t xml:space="preserve">  </w:t>
            </w:r>
          </w:p>
        </w:tc>
      </w:tr>
      <w:tr>
        <w:trPr/>
        <w:tc>
          <w:tcPr>
            <w:tcW w:w="4352" w:type="dxa"/>
            <w:tcBorders/>
            <w:shd w:fill="CCEEFF" w:val="cle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 xml:space="preserve">Options outstanding at beginning of year </w:t>
            </w:r>
          </w:p>
        </w:tc>
        <w:tc>
          <w:tcPr>
            <w:tcW w:w="144" w:type="dxa"/>
            <w:tcBorders/>
            <w:shd w:fill="CCEEFF" w:val="clear"/>
            <w:vAlign w:val="bottom"/>
          </w:tcPr>
          <w:p>
            <w:pPr>
              <w:pStyle w:val="TableContents"/>
              <w:pBdr/>
              <w:bidi w:val="0"/>
              <w:spacing w:before="0" w:after="0"/>
              <w:ind w:left="0" w:right="0" w:hanging="0"/>
              <w:jc w:val="left"/>
              <w:rPr/>
            </w:pPr>
            <w:r>
              <w:rPr/>
              <w:t xml:space="preserve">  </w:t>
            </w:r>
          </w:p>
        </w:tc>
        <w:tc>
          <w:tcPr>
            <w:tcW w:w="290" w:type="dxa"/>
            <w:tcBorders/>
            <w:shd w:fill="CCEEFF" w:val="clear"/>
            <w:vAlign w:val="bottom"/>
          </w:tcPr>
          <w:p>
            <w:pPr>
              <w:pStyle w:val="TableContents"/>
              <w:bidi w:val="0"/>
              <w:spacing w:before="0" w:after="0"/>
              <w:ind w:left="0" w:right="0" w:hanging="0"/>
              <w:jc w:val="left"/>
              <w:rPr/>
            </w:pPr>
            <w:r>
              <w:rPr/>
              <w:t xml:space="preserve">  </w:t>
            </w:r>
          </w:p>
        </w:tc>
        <w:tc>
          <w:tcPr>
            <w:tcW w:w="1572"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19,716 </w:t>
            </w:r>
          </w:p>
        </w:tc>
        <w:tc>
          <w:tcPr>
            <w:tcW w:w="145" w:type="dxa"/>
            <w:tcBorders/>
            <w:shd w:fill="CCEEFF" w:val="clear"/>
            <w:vAlign w:val="bottom"/>
          </w:tcPr>
          <w:p>
            <w:pPr>
              <w:pStyle w:val="TableContents"/>
              <w:pBdr/>
              <w:bidi w:val="0"/>
              <w:spacing w:before="0" w:after="0"/>
              <w:ind w:left="0" w:right="0" w:hanging="0"/>
              <w:jc w:val="left"/>
              <w:rPr/>
            </w:pPr>
            <w:r>
              <w:rPr/>
              <w:t xml:space="preserve">  </w:t>
            </w:r>
          </w:p>
        </w:tc>
        <w:tc>
          <w:tcPr>
            <w:tcW w:w="144" w:type="dxa"/>
            <w:tcBorders/>
            <w:shd w:fill="CCEEFF" w:val="clear"/>
            <w:vAlign w:val="bottom"/>
          </w:tcPr>
          <w:p>
            <w:pPr>
              <w:pStyle w:val="TableContents"/>
              <w:pBdr/>
              <w:bidi w:val="0"/>
              <w:spacing w:before="0" w:after="0"/>
              <w:ind w:left="0" w:right="0" w:hanging="0"/>
              <w:jc w:val="left"/>
              <w:rPr/>
            </w:pPr>
            <w:r>
              <w:rPr/>
              <w:t xml:space="preserve">  </w:t>
            </w:r>
          </w:p>
        </w:tc>
        <w:tc>
          <w:tcPr>
            <w:tcW w:w="69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70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35.33 </w:t>
            </w:r>
          </w:p>
        </w:tc>
        <w:tc>
          <w:tcPr>
            <w:tcW w:w="163" w:type="dxa"/>
            <w:tcBorders/>
            <w:shd w:fill="CCEEFF" w:val="clear"/>
            <w:vAlign w:val="bottom"/>
          </w:tcPr>
          <w:p>
            <w:pPr>
              <w:pStyle w:val="TableContents"/>
              <w:pBdr/>
              <w:bidi w:val="0"/>
              <w:spacing w:before="0" w:after="0"/>
              <w:ind w:left="0" w:right="0" w:hanging="0"/>
              <w:jc w:val="left"/>
              <w:rPr/>
            </w:pPr>
            <w:r>
              <w:rPr/>
              <w:t xml:space="preserve">  </w:t>
            </w:r>
          </w:p>
        </w:tc>
      </w:tr>
      <w:tr>
        <w:trPr/>
        <w:tc>
          <w:tcPr>
            <w:tcW w:w="4352"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Granted </w:t>
            </w:r>
          </w:p>
        </w:tc>
        <w:tc>
          <w:tcPr>
            <w:tcW w:w="144" w:type="dxa"/>
            <w:tcBorders/>
            <w:vAlign w:val="bottom"/>
          </w:tcPr>
          <w:p>
            <w:pPr>
              <w:pStyle w:val="TableContents"/>
              <w:pBdr/>
              <w:bidi w:val="0"/>
              <w:spacing w:before="0" w:after="0"/>
              <w:ind w:left="0" w:right="0" w:hanging="0"/>
              <w:jc w:val="left"/>
              <w:rPr/>
            </w:pPr>
            <w:r>
              <w:rPr/>
              <w:t xml:space="preserve">  </w:t>
            </w:r>
          </w:p>
        </w:tc>
        <w:tc>
          <w:tcPr>
            <w:tcW w:w="290" w:type="dxa"/>
            <w:tcBorders/>
            <w:vAlign w:val="bottom"/>
          </w:tcPr>
          <w:p>
            <w:pPr>
              <w:pStyle w:val="TableContents"/>
              <w:bidi w:val="0"/>
              <w:spacing w:before="0" w:after="0"/>
              <w:ind w:left="0" w:right="0" w:hanging="0"/>
              <w:jc w:val="left"/>
              <w:rPr/>
            </w:pPr>
            <w:r>
              <w:rPr/>
              <w:t xml:space="preserve">  </w:t>
            </w:r>
          </w:p>
        </w:tc>
        <w:tc>
          <w:tcPr>
            <w:tcW w:w="1572" w:type="dxa"/>
            <w:tcBorders/>
            <w:vAlign w:val="bottom"/>
          </w:tcPr>
          <w:p>
            <w:pPr>
              <w:pStyle w:val="TableContents"/>
              <w:pBdr/>
              <w:bidi w:val="0"/>
              <w:spacing w:before="0" w:after="0"/>
              <w:ind w:left="0" w:right="0" w:hanging="0"/>
              <w:jc w:val="right"/>
              <w:rPr/>
            </w:pPr>
            <w:r>
              <w:rPr/>
              <w:t xml:space="preserve">— </w:t>
            </w:r>
          </w:p>
        </w:tc>
        <w:tc>
          <w:tcPr>
            <w:tcW w:w="145" w:type="dxa"/>
            <w:tcBorders/>
            <w:vAlign w:val="bottom"/>
          </w:tcPr>
          <w:p>
            <w:pPr>
              <w:pStyle w:val="TableContents"/>
              <w:pBdr/>
              <w:bidi w:val="0"/>
              <w:spacing w:before="0" w:after="0"/>
              <w:ind w:left="0" w:right="0" w:hanging="0"/>
              <w:jc w:val="left"/>
              <w:rPr/>
            </w:pPr>
            <w:r>
              <w:rPr/>
              <w:t xml:space="preserve">  </w:t>
            </w:r>
          </w:p>
        </w:tc>
        <w:tc>
          <w:tcPr>
            <w:tcW w:w="144" w:type="dxa"/>
            <w:tcBorders/>
            <w:vAlign w:val="bottom"/>
          </w:tcPr>
          <w:p>
            <w:pPr>
              <w:pStyle w:val="TableContents"/>
              <w:pBdr/>
              <w:bidi w:val="0"/>
              <w:spacing w:before="0" w:after="0"/>
              <w:ind w:left="0" w:right="0" w:hanging="0"/>
              <w:jc w:val="left"/>
              <w:rPr/>
            </w:pPr>
            <w:r>
              <w:rPr/>
              <w:t xml:space="preserve">  </w:t>
            </w:r>
          </w:p>
        </w:tc>
        <w:tc>
          <w:tcPr>
            <w:tcW w:w="695" w:type="dxa"/>
            <w:tcBorders/>
            <w:vAlign w:val="bottom"/>
          </w:tcPr>
          <w:p>
            <w:pPr>
              <w:pStyle w:val="TableContents"/>
              <w:pBdr/>
              <w:bidi w:val="0"/>
              <w:spacing w:before="0" w:after="0"/>
              <w:ind w:left="0" w:right="0" w:hanging="0"/>
              <w:jc w:val="left"/>
              <w:rPr/>
            </w:pPr>
            <w:r>
              <w:rPr/>
              <w:t xml:space="preserve">  </w:t>
            </w:r>
          </w:p>
        </w:tc>
        <w:tc>
          <w:tcPr>
            <w:tcW w:w="2700" w:type="dxa"/>
            <w:tcBorders/>
            <w:vAlign w:val="bottom"/>
          </w:tcPr>
          <w:p>
            <w:pPr>
              <w:pStyle w:val="TableContents"/>
              <w:pBdr/>
              <w:bidi w:val="0"/>
              <w:spacing w:before="0" w:after="0"/>
              <w:ind w:left="0" w:right="0" w:hanging="0"/>
              <w:jc w:val="right"/>
              <w:rPr/>
            </w:pPr>
            <w:r>
              <w:rPr/>
              <w:t>—</w:t>
            </w:r>
          </w:p>
        </w:tc>
        <w:tc>
          <w:tcPr>
            <w:tcW w:w="163" w:type="dxa"/>
            <w:tcBorders/>
            <w:vAlign w:val="bottom"/>
          </w:tcPr>
          <w:p>
            <w:pPr>
              <w:pStyle w:val="TableContents"/>
              <w:pBdr/>
              <w:bidi w:val="0"/>
              <w:spacing w:before="0" w:after="0"/>
              <w:ind w:left="0" w:right="0" w:hanging="0"/>
              <w:jc w:val="left"/>
              <w:rPr/>
            </w:pPr>
            <w:r>
              <w:rPr/>
              <w:t xml:space="preserve">  </w:t>
            </w:r>
          </w:p>
        </w:tc>
      </w:tr>
      <w:tr>
        <w:trPr/>
        <w:tc>
          <w:tcPr>
            <w:tcW w:w="4352" w:type="dxa"/>
            <w:tcBorders/>
            <w:shd w:fill="CCEEFF" w:val="clear"/>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Less: </w:t>
            </w:r>
          </w:p>
        </w:tc>
        <w:tc>
          <w:tcPr>
            <w:tcW w:w="144" w:type="dxa"/>
            <w:tcBorders/>
            <w:shd w:fill="CCEEFF" w:val="clear"/>
            <w:vAlign w:val="bottom"/>
          </w:tcPr>
          <w:p>
            <w:pPr>
              <w:pStyle w:val="TableContents"/>
              <w:pBdr/>
              <w:bidi w:val="0"/>
              <w:spacing w:before="0" w:after="0"/>
              <w:ind w:left="0" w:right="0" w:hanging="0"/>
              <w:jc w:val="left"/>
              <w:rPr/>
            </w:pPr>
            <w:r>
              <w:rPr/>
              <w:t xml:space="preserve">  </w:t>
            </w:r>
          </w:p>
        </w:tc>
        <w:tc>
          <w:tcPr>
            <w:tcW w:w="290" w:type="dxa"/>
            <w:tcBorders/>
            <w:shd w:fill="CCEEFF" w:val="clear"/>
            <w:vAlign w:val="bottom"/>
          </w:tcPr>
          <w:p>
            <w:pPr>
              <w:pStyle w:val="TableContents"/>
              <w:bidi w:val="0"/>
              <w:spacing w:before="0" w:after="0"/>
              <w:ind w:left="0" w:right="0" w:hanging="0"/>
              <w:jc w:val="left"/>
              <w:rPr/>
            </w:pPr>
            <w:r>
              <w:rPr/>
              <w:t xml:space="preserve">  </w:t>
            </w:r>
          </w:p>
        </w:tc>
        <w:tc>
          <w:tcPr>
            <w:tcW w:w="1572" w:type="dxa"/>
            <w:tcBorders/>
            <w:shd w:fill="CCEEFF" w:val="clear"/>
            <w:vAlign w:val="bottom"/>
          </w:tcPr>
          <w:p>
            <w:pPr>
              <w:pStyle w:val="TableContents"/>
              <w:pBdr/>
              <w:bidi w:val="0"/>
              <w:spacing w:before="0" w:after="0"/>
              <w:ind w:left="0" w:right="0" w:hanging="0"/>
              <w:jc w:val="left"/>
              <w:rPr/>
            </w:pPr>
            <w:r>
              <w:rPr/>
              <w:t xml:space="preserve">  </w:t>
            </w:r>
          </w:p>
        </w:tc>
        <w:tc>
          <w:tcPr>
            <w:tcW w:w="145" w:type="dxa"/>
            <w:tcBorders/>
            <w:shd w:fill="CCEEFF" w:val="clear"/>
            <w:vAlign w:val="bottom"/>
          </w:tcPr>
          <w:p>
            <w:pPr>
              <w:pStyle w:val="TableContents"/>
              <w:pBdr/>
              <w:bidi w:val="0"/>
              <w:spacing w:before="0" w:after="0"/>
              <w:ind w:left="0" w:right="0" w:hanging="0"/>
              <w:jc w:val="left"/>
              <w:rPr/>
            </w:pPr>
            <w:r>
              <w:rPr/>
              <w:t xml:space="preserve">  </w:t>
            </w:r>
          </w:p>
        </w:tc>
        <w:tc>
          <w:tcPr>
            <w:tcW w:w="144" w:type="dxa"/>
            <w:tcBorders/>
            <w:shd w:fill="CCEEFF" w:val="clear"/>
            <w:vAlign w:val="bottom"/>
          </w:tcPr>
          <w:p>
            <w:pPr>
              <w:pStyle w:val="TableContents"/>
              <w:pBdr/>
              <w:bidi w:val="0"/>
              <w:spacing w:before="0" w:after="0"/>
              <w:ind w:left="0" w:right="0" w:hanging="0"/>
              <w:jc w:val="left"/>
              <w:rPr/>
            </w:pPr>
            <w:r>
              <w:rPr/>
              <w:t xml:space="preserve">  </w:t>
            </w:r>
          </w:p>
        </w:tc>
        <w:tc>
          <w:tcPr>
            <w:tcW w:w="695" w:type="dxa"/>
            <w:tcBorders/>
            <w:shd w:fill="CCEEFF" w:val="clear"/>
            <w:vAlign w:val="bottom"/>
          </w:tcPr>
          <w:p>
            <w:pPr>
              <w:pStyle w:val="TableContents"/>
              <w:pBdr/>
              <w:bidi w:val="0"/>
              <w:spacing w:before="0" w:after="0"/>
              <w:ind w:left="0" w:right="0" w:hanging="0"/>
              <w:jc w:val="left"/>
              <w:rPr/>
            </w:pPr>
            <w:r>
              <w:rPr/>
              <w:t xml:space="preserve">  </w:t>
            </w:r>
          </w:p>
        </w:tc>
        <w:tc>
          <w:tcPr>
            <w:tcW w:w="2700" w:type="dxa"/>
            <w:tcBorders/>
            <w:shd w:fill="CCEEFF" w:val="clear"/>
            <w:vAlign w:val="bottom"/>
          </w:tcPr>
          <w:p>
            <w:pPr>
              <w:pStyle w:val="TableContents"/>
              <w:pBdr/>
              <w:bidi w:val="0"/>
              <w:spacing w:before="0" w:after="0"/>
              <w:ind w:left="0" w:right="0" w:hanging="0"/>
              <w:jc w:val="left"/>
              <w:rPr/>
            </w:pPr>
            <w:r>
              <w:rPr/>
              <w:t xml:space="preserve">  </w:t>
            </w:r>
          </w:p>
        </w:tc>
        <w:tc>
          <w:tcPr>
            <w:tcW w:w="163" w:type="dxa"/>
            <w:tcBorders/>
            <w:shd w:fill="CCEEFF" w:val="clear"/>
            <w:vAlign w:val="bottom"/>
          </w:tcPr>
          <w:p>
            <w:pPr>
              <w:pStyle w:val="TableContents"/>
              <w:pBdr/>
              <w:bidi w:val="0"/>
              <w:spacing w:before="0" w:after="0"/>
              <w:ind w:left="0" w:right="0" w:hanging="0"/>
              <w:jc w:val="left"/>
              <w:rPr/>
            </w:pPr>
            <w:r>
              <w:rPr/>
              <w:t xml:space="preserve">  </w:t>
            </w:r>
          </w:p>
        </w:tc>
      </w:tr>
      <w:tr>
        <w:trPr/>
        <w:tc>
          <w:tcPr>
            <w:tcW w:w="4352" w:type="dxa"/>
            <w:tcBorders/>
            <w:vAlign w:val="center"/>
          </w:tcPr>
          <w:p>
            <w:pPr>
              <w:pStyle w:val="TableContents"/>
              <w:widowControl/>
              <w:bidi w:val="0"/>
              <w:spacing w:before="0" w:after="283"/>
              <w:ind w:left="0" w:right="0" w:hanging="0"/>
              <w:jc w:val="left"/>
              <w:rPr/>
            </w:pPr>
            <w:r>
              <w:rPr/>
              <w:t xml:space="preserve">    </w:t>
            </w:r>
            <w:r>
              <w:rPr>
                <w:rFonts w:ascii="Times New Roman" w:hAnsi="Times New Roman"/>
                <w:b w:val="false"/>
                <w:i w:val="false"/>
                <w:caps w:val="false"/>
                <w:smallCaps w:val="false"/>
                <w:color w:val="000000"/>
                <w:spacing w:val="0"/>
                <w:sz w:val="20"/>
              </w:rPr>
              <w:t>Exercised</w:t>
            </w:r>
          </w:p>
        </w:tc>
        <w:tc>
          <w:tcPr>
            <w:tcW w:w="144" w:type="dxa"/>
            <w:tcBorders/>
            <w:vAlign w:val="center"/>
          </w:tcPr>
          <w:p>
            <w:pPr>
              <w:pStyle w:val="TableContents"/>
              <w:bidi w:val="0"/>
              <w:spacing w:before="0" w:after="283"/>
              <w:jc w:val="left"/>
              <w:rPr/>
            </w:pPr>
            <w:r>
              <w:rPr/>
            </w:r>
          </w:p>
        </w:tc>
        <w:tc>
          <w:tcPr>
            <w:tcW w:w="290" w:type="dxa"/>
            <w:tcBorders/>
            <w:vAlign w:val="center"/>
          </w:tcPr>
          <w:p>
            <w:pPr>
              <w:pStyle w:val="TableContents"/>
              <w:bidi w:val="0"/>
              <w:spacing w:before="0" w:after="283"/>
              <w:ind w:left="0" w:right="0" w:hanging="0"/>
              <w:jc w:val="left"/>
              <w:rPr/>
            </w:pPr>
            <w:r>
              <w:rPr/>
            </w:r>
          </w:p>
        </w:tc>
        <w:tc>
          <w:tcPr>
            <w:tcW w:w="1572" w:type="dxa"/>
            <w:tcBorders/>
            <w:vAlign w:val="center"/>
          </w:tcPr>
          <w:p>
            <w:pPr>
              <w:pStyle w:val="TableContents"/>
              <w:bidi w:val="0"/>
              <w:spacing w:before="0" w:after="0"/>
              <w:ind w:left="0" w:right="0" w:hanging="0"/>
              <w:jc w:val="right"/>
              <w:rPr/>
            </w:pPr>
            <w:r>
              <w:rPr/>
              <w:t>—</w:t>
            </w:r>
          </w:p>
        </w:tc>
        <w:tc>
          <w:tcPr>
            <w:tcW w:w="145" w:type="dxa"/>
            <w:tcBorders/>
            <w:vAlign w:val="center"/>
          </w:tcPr>
          <w:p>
            <w:pPr>
              <w:pStyle w:val="TableContents"/>
              <w:bidi w:val="0"/>
              <w:spacing w:before="0" w:after="283"/>
              <w:ind w:left="0" w:right="0" w:hanging="0"/>
              <w:jc w:val="left"/>
              <w:rPr/>
            </w:pPr>
            <w:r>
              <w:rPr/>
            </w:r>
          </w:p>
        </w:tc>
        <w:tc>
          <w:tcPr>
            <w:tcW w:w="144" w:type="dxa"/>
            <w:tcBorders/>
            <w:vAlign w:val="center"/>
          </w:tcPr>
          <w:p>
            <w:pPr>
              <w:pStyle w:val="TableContents"/>
              <w:bidi w:val="0"/>
              <w:spacing w:before="0" w:after="283"/>
              <w:ind w:left="0" w:right="0" w:hanging="0"/>
              <w:jc w:val="left"/>
              <w:rPr/>
            </w:pPr>
            <w:r>
              <w:rPr/>
            </w:r>
          </w:p>
        </w:tc>
        <w:tc>
          <w:tcPr>
            <w:tcW w:w="695" w:type="dxa"/>
            <w:tcBorders/>
            <w:vAlign w:val="center"/>
          </w:tcPr>
          <w:p>
            <w:pPr>
              <w:pStyle w:val="TableContents"/>
              <w:bidi w:val="0"/>
              <w:spacing w:before="0" w:after="283"/>
              <w:ind w:left="0" w:right="0" w:hanging="0"/>
              <w:jc w:val="left"/>
              <w:rPr/>
            </w:pPr>
            <w:r>
              <w:rPr/>
            </w:r>
          </w:p>
        </w:tc>
        <w:tc>
          <w:tcPr>
            <w:tcW w:w="2700" w:type="dxa"/>
            <w:tcBorders/>
            <w:vAlign w:val="center"/>
          </w:tcPr>
          <w:p>
            <w:pPr>
              <w:pStyle w:val="TableContents"/>
              <w:bidi w:val="0"/>
              <w:spacing w:before="0" w:after="0"/>
              <w:ind w:left="0" w:right="0" w:hanging="0"/>
              <w:jc w:val="right"/>
              <w:rPr/>
            </w:pPr>
            <w:r>
              <w:rPr/>
              <w:t>—</w:t>
            </w:r>
          </w:p>
        </w:tc>
        <w:tc>
          <w:tcPr>
            <w:tcW w:w="163" w:type="dxa"/>
            <w:tcBorders/>
            <w:vAlign w:val="center"/>
          </w:tcPr>
          <w:p>
            <w:pPr>
              <w:pStyle w:val="TableContents"/>
              <w:bidi w:val="0"/>
              <w:spacing w:before="0" w:after="283"/>
              <w:jc w:val="left"/>
              <w:rPr/>
            </w:pPr>
            <w:r>
              <w:rPr/>
            </w:r>
          </w:p>
        </w:tc>
      </w:tr>
      <w:tr>
        <w:trPr/>
        <w:tc>
          <w:tcPr>
            <w:tcW w:w="4352" w:type="dxa"/>
            <w:tcBorders/>
            <w:shd w:fill="CCEEFF" w:val="clear"/>
            <w:vAlign w:val="center"/>
          </w:tcPr>
          <w:p>
            <w:pPr>
              <w:pStyle w:val="TableContents"/>
              <w:widowControl/>
              <w:bidi w:val="0"/>
              <w:spacing w:before="0" w:after="283"/>
              <w:ind w:left="0" w:right="0" w:hanging="0"/>
              <w:jc w:val="left"/>
              <w:rPr/>
            </w:pPr>
            <w:r>
              <w:rPr/>
              <w:t xml:space="preserve">    </w:t>
            </w:r>
            <w:r>
              <w:rPr>
                <w:rFonts w:ascii="Times New Roman" w:hAnsi="Times New Roman"/>
                <w:b w:val="false"/>
                <w:i w:val="false"/>
                <w:caps w:val="false"/>
                <w:smallCaps w:val="false"/>
                <w:color w:val="000000"/>
                <w:spacing w:val="0"/>
                <w:sz w:val="20"/>
              </w:rPr>
              <w:t>Forfeited prior to vesting</w:t>
            </w:r>
          </w:p>
        </w:tc>
        <w:tc>
          <w:tcPr>
            <w:tcW w:w="144" w:type="dxa"/>
            <w:tcBorders/>
            <w:shd w:fill="CCEEFF" w:val="clear"/>
            <w:vAlign w:val="center"/>
          </w:tcPr>
          <w:p>
            <w:pPr>
              <w:pStyle w:val="TableContents"/>
              <w:bidi w:val="0"/>
              <w:spacing w:before="0" w:after="283"/>
              <w:jc w:val="left"/>
              <w:rPr/>
            </w:pPr>
            <w:r>
              <w:rPr/>
            </w:r>
          </w:p>
        </w:tc>
        <w:tc>
          <w:tcPr>
            <w:tcW w:w="290" w:type="dxa"/>
            <w:tcBorders/>
            <w:shd w:fill="CCEEFF" w:val="clear"/>
            <w:vAlign w:val="center"/>
          </w:tcPr>
          <w:p>
            <w:pPr>
              <w:pStyle w:val="TableContents"/>
              <w:bidi w:val="0"/>
              <w:spacing w:before="0" w:after="283"/>
              <w:ind w:left="0" w:right="0" w:hanging="0"/>
              <w:jc w:val="left"/>
              <w:rPr/>
            </w:pPr>
            <w:r>
              <w:rPr/>
            </w:r>
          </w:p>
        </w:tc>
        <w:tc>
          <w:tcPr>
            <w:tcW w:w="1572" w:type="dxa"/>
            <w:tcBorders/>
            <w:shd w:fill="CCEEFF" w:val="clear"/>
            <w:vAlign w:val="center"/>
          </w:tcPr>
          <w:p>
            <w:pPr>
              <w:pStyle w:val="TableContents"/>
              <w:bidi w:val="0"/>
              <w:spacing w:before="0" w:after="0"/>
              <w:ind w:left="0" w:right="0" w:hanging="0"/>
              <w:jc w:val="right"/>
              <w:rPr/>
            </w:pPr>
            <w:r>
              <w:rPr/>
              <w:t>—</w:t>
            </w:r>
          </w:p>
        </w:tc>
        <w:tc>
          <w:tcPr>
            <w:tcW w:w="145" w:type="dxa"/>
            <w:tcBorders/>
            <w:shd w:fill="CCEEFF" w:val="clear"/>
            <w:vAlign w:val="center"/>
          </w:tcPr>
          <w:p>
            <w:pPr>
              <w:pStyle w:val="TableContents"/>
              <w:bidi w:val="0"/>
              <w:spacing w:before="0" w:after="283"/>
              <w:ind w:left="0" w:right="0" w:hanging="0"/>
              <w:jc w:val="left"/>
              <w:rPr/>
            </w:pPr>
            <w:r>
              <w:rPr/>
            </w:r>
          </w:p>
        </w:tc>
        <w:tc>
          <w:tcPr>
            <w:tcW w:w="144" w:type="dxa"/>
            <w:tcBorders/>
            <w:shd w:fill="CCEEFF" w:val="clear"/>
            <w:vAlign w:val="center"/>
          </w:tcPr>
          <w:p>
            <w:pPr>
              <w:pStyle w:val="TableContents"/>
              <w:bidi w:val="0"/>
              <w:spacing w:before="0" w:after="283"/>
              <w:ind w:left="0" w:right="0" w:hanging="0"/>
              <w:jc w:val="left"/>
              <w:rPr/>
            </w:pPr>
            <w:r>
              <w:rPr/>
            </w:r>
          </w:p>
        </w:tc>
        <w:tc>
          <w:tcPr>
            <w:tcW w:w="695" w:type="dxa"/>
            <w:tcBorders/>
            <w:shd w:fill="CCEEFF" w:val="clear"/>
            <w:vAlign w:val="center"/>
          </w:tcPr>
          <w:p>
            <w:pPr>
              <w:pStyle w:val="TableContents"/>
              <w:bidi w:val="0"/>
              <w:spacing w:before="0" w:after="283"/>
              <w:ind w:left="0" w:right="0" w:hanging="0"/>
              <w:jc w:val="left"/>
              <w:rPr/>
            </w:pPr>
            <w:r>
              <w:rPr/>
            </w:r>
          </w:p>
        </w:tc>
        <w:tc>
          <w:tcPr>
            <w:tcW w:w="2700" w:type="dxa"/>
            <w:tcBorders/>
            <w:shd w:fill="CCEEFF" w:val="clear"/>
            <w:vAlign w:val="center"/>
          </w:tcPr>
          <w:p>
            <w:pPr>
              <w:pStyle w:val="TableContents"/>
              <w:bidi w:val="0"/>
              <w:spacing w:before="0" w:after="0"/>
              <w:ind w:left="0" w:right="0" w:hanging="0"/>
              <w:jc w:val="right"/>
              <w:rPr/>
            </w:pPr>
            <w:r>
              <w:rPr/>
              <w:t>—</w:t>
            </w:r>
          </w:p>
        </w:tc>
        <w:tc>
          <w:tcPr>
            <w:tcW w:w="163" w:type="dxa"/>
            <w:tcBorders/>
            <w:shd w:fill="CCEEFF" w:val="clear"/>
            <w:vAlign w:val="center"/>
          </w:tcPr>
          <w:p>
            <w:pPr>
              <w:pStyle w:val="TableContents"/>
              <w:bidi w:val="0"/>
              <w:spacing w:before="0" w:after="283"/>
              <w:jc w:val="left"/>
              <w:rPr/>
            </w:pPr>
            <w:r>
              <w:rPr/>
            </w:r>
          </w:p>
        </w:tc>
      </w:tr>
      <w:tr>
        <w:trPr/>
        <w:tc>
          <w:tcPr>
            <w:tcW w:w="4352"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Canceled or expired </w:t>
            </w:r>
          </w:p>
        </w:tc>
        <w:tc>
          <w:tcPr>
            <w:tcW w:w="144" w:type="dxa"/>
            <w:tcBorders/>
            <w:vAlign w:val="bottom"/>
          </w:tcPr>
          <w:p>
            <w:pPr>
              <w:pStyle w:val="TableContents"/>
              <w:pBdr/>
              <w:bidi w:val="0"/>
              <w:spacing w:before="0" w:after="0"/>
              <w:ind w:left="0" w:right="0" w:hanging="0"/>
              <w:jc w:val="left"/>
              <w:rPr/>
            </w:pPr>
            <w:r>
              <w:rPr/>
              <w:t xml:space="preserve">  </w:t>
            </w:r>
          </w:p>
        </w:tc>
        <w:tc>
          <w:tcPr>
            <w:tcW w:w="290" w:type="dxa"/>
            <w:tcBorders/>
            <w:vAlign w:val="bottom"/>
          </w:tcPr>
          <w:p>
            <w:pPr>
              <w:pStyle w:val="TableContents"/>
              <w:bidi w:val="0"/>
              <w:spacing w:before="0" w:after="0"/>
              <w:ind w:left="0" w:right="0" w:hanging="0"/>
              <w:jc w:val="left"/>
              <w:rPr/>
            </w:pPr>
            <w:r>
              <w:rPr/>
              <w:t xml:space="preserve">  </w:t>
            </w:r>
          </w:p>
        </w:tc>
        <w:tc>
          <w:tcPr>
            <w:tcW w:w="1572"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(14,215</w:t>
            </w:r>
          </w:p>
        </w:tc>
        <w:tc>
          <w:tcPr>
            <w:tcW w:w="145" w:type="dxa"/>
            <w:tcBorders/>
            <w:vAlign w:val="bottom"/>
          </w:tcPr>
          <w:p>
            <w:pPr>
              <w:pStyle w:val="TableContents"/>
              <w:bidi w:val="0"/>
              <w:spacing w:before="0" w:after="0"/>
              <w:ind w:left="0" w:right="0" w:hanging="0"/>
              <w:jc w:val="left"/>
              <w:rPr/>
            </w:pPr>
            <w:r>
              <w:rPr/>
              <w:t>)</w:t>
            </w:r>
          </w:p>
        </w:tc>
        <w:tc>
          <w:tcPr>
            <w:tcW w:w="144" w:type="dxa"/>
            <w:tcBorders/>
            <w:vAlign w:val="bottom"/>
          </w:tcPr>
          <w:p>
            <w:pPr>
              <w:pStyle w:val="TableContents"/>
              <w:pBdr/>
              <w:bidi w:val="0"/>
              <w:spacing w:before="0" w:after="0"/>
              <w:ind w:left="0" w:right="0" w:hanging="0"/>
              <w:jc w:val="left"/>
              <w:rPr/>
            </w:pPr>
            <w:r>
              <w:rPr/>
              <w:t xml:space="preserve">  </w:t>
            </w:r>
          </w:p>
        </w:tc>
        <w:tc>
          <w:tcPr>
            <w:tcW w:w="695" w:type="dxa"/>
            <w:tcBorders/>
            <w:vAlign w:val="bottom"/>
          </w:tcPr>
          <w:p>
            <w:pPr>
              <w:pStyle w:val="TableContents"/>
              <w:pBdr/>
              <w:bidi w:val="0"/>
              <w:spacing w:before="0" w:after="0"/>
              <w:ind w:left="0" w:right="0" w:hanging="0"/>
              <w:jc w:val="left"/>
              <w:rPr/>
            </w:pPr>
            <w:r>
              <w:rPr/>
              <w:t xml:space="preserve">  </w:t>
            </w:r>
          </w:p>
        </w:tc>
        <w:tc>
          <w:tcPr>
            <w:tcW w:w="2700"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12.58 </w:t>
            </w:r>
          </w:p>
        </w:tc>
        <w:tc>
          <w:tcPr>
            <w:tcW w:w="163" w:type="dxa"/>
            <w:tcBorders/>
            <w:vAlign w:val="bottom"/>
          </w:tcPr>
          <w:p>
            <w:pPr>
              <w:pStyle w:val="TableContents"/>
              <w:pBdr/>
              <w:bidi w:val="0"/>
              <w:spacing w:before="0" w:after="0"/>
              <w:ind w:left="0" w:right="0" w:hanging="0"/>
              <w:jc w:val="left"/>
              <w:rPr/>
            </w:pPr>
            <w:r>
              <w:rPr/>
              <w:t xml:space="preserve">  </w:t>
            </w:r>
          </w:p>
        </w:tc>
      </w:tr>
      <w:tr>
        <w:trPr/>
        <w:tc>
          <w:tcPr>
            <w:tcW w:w="4352" w:type="dxa"/>
            <w:tcBorders/>
            <w:shd w:fill="CCEEFF" w:val="clear"/>
            <w:vAlign w:val="bottom"/>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Options outstanding at </w:t>
            </w:r>
            <w:bookmarkStart w:id="209" w:name="fs_IAE5M66CHS00000000000000000000FM"/>
            <w:bookmarkEnd w:id="209"/>
            <w:r>
              <w:rPr>
                <w:rFonts w:ascii="Times New Roman" w:hAnsi="Times New Roman"/>
                <w:b/>
                <w:sz w:val="20"/>
              </w:rPr>
              <w:t xml:space="preserve">June 30, 2026 </w:t>
            </w:r>
          </w:p>
        </w:tc>
        <w:tc>
          <w:tcPr>
            <w:tcW w:w="144" w:type="dxa"/>
            <w:tcBorders/>
            <w:shd w:fill="CCEEFF" w:val="clear"/>
            <w:vAlign w:val="bottom"/>
          </w:tcPr>
          <w:p>
            <w:pPr>
              <w:pStyle w:val="TableContents"/>
              <w:pBdr/>
              <w:bidi w:val="0"/>
              <w:spacing w:before="0" w:after="0"/>
              <w:ind w:left="0" w:right="0" w:hanging="0"/>
              <w:jc w:val="left"/>
              <w:rPr/>
            </w:pPr>
            <w:r>
              <w:rPr/>
              <w:t xml:space="preserve">  </w:t>
            </w:r>
          </w:p>
        </w:tc>
        <w:tc>
          <w:tcPr>
            <w:tcW w:w="290" w:type="dxa"/>
            <w:tcBorders/>
            <w:shd w:fill="CCEEFF" w:val="clear"/>
            <w:vAlign w:val="bottom"/>
          </w:tcPr>
          <w:p>
            <w:pPr>
              <w:pStyle w:val="TableContents"/>
              <w:bidi w:val="0"/>
              <w:spacing w:before="0" w:after="0"/>
              <w:ind w:left="0" w:right="0" w:hanging="0"/>
              <w:jc w:val="left"/>
              <w:rPr/>
            </w:pPr>
            <w:r>
              <w:rPr/>
              <w:t xml:space="preserve">  </w:t>
            </w:r>
          </w:p>
        </w:tc>
        <w:tc>
          <w:tcPr>
            <w:tcW w:w="1572"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5,501 </w:t>
            </w:r>
          </w:p>
        </w:tc>
        <w:tc>
          <w:tcPr>
            <w:tcW w:w="145" w:type="dxa"/>
            <w:tcBorders/>
            <w:shd w:fill="CCEEFF" w:val="clear"/>
            <w:vAlign w:val="bottom"/>
          </w:tcPr>
          <w:p>
            <w:pPr>
              <w:pStyle w:val="TableContents"/>
              <w:pBdr/>
              <w:bidi w:val="0"/>
              <w:spacing w:before="0" w:after="0"/>
              <w:ind w:left="0" w:right="0" w:hanging="0"/>
              <w:jc w:val="left"/>
              <w:rPr/>
            </w:pPr>
            <w:r>
              <w:rPr/>
              <w:t xml:space="preserve">  </w:t>
            </w:r>
          </w:p>
        </w:tc>
        <w:tc>
          <w:tcPr>
            <w:tcW w:w="144" w:type="dxa"/>
            <w:tcBorders/>
            <w:shd w:fill="CCEEFF" w:val="clear"/>
            <w:vAlign w:val="bottom"/>
          </w:tcPr>
          <w:p>
            <w:pPr>
              <w:pStyle w:val="TableContents"/>
              <w:pBdr/>
              <w:bidi w:val="0"/>
              <w:spacing w:before="0" w:after="0"/>
              <w:ind w:left="0" w:right="0" w:hanging="0"/>
              <w:jc w:val="left"/>
              <w:rPr/>
            </w:pPr>
            <w:r>
              <w:rPr/>
              <w:t xml:space="preserve">  </w:t>
            </w:r>
          </w:p>
        </w:tc>
        <w:tc>
          <w:tcPr>
            <w:tcW w:w="695" w:type="dxa"/>
            <w:tcBorders/>
            <w:shd w:fill="CCEEFF" w:val="clear"/>
            <w:vAlign w:val="bottom"/>
          </w:tcPr>
          <w:p>
            <w:pPr>
              <w:pStyle w:val="TableContents"/>
              <w:pBdr/>
              <w:bidi w:val="0"/>
              <w:spacing w:before="0" w:after="0"/>
              <w:ind w:left="0" w:right="0" w:hanging="0"/>
              <w:jc w:val="left"/>
              <w:rPr/>
            </w:pPr>
            <w:r>
              <w:rPr/>
              <w:t xml:space="preserve">  </w:t>
            </w:r>
          </w:p>
        </w:tc>
        <w:tc>
          <w:tcPr>
            <w:tcW w:w="2700"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96.60 </w:t>
            </w:r>
          </w:p>
        </w:tc>
        <w:tc>
          <w:tcPr>
            <w:tcW w:w="163" w:type="dxa"/>
            <w:tcBorders/>
            <w:shd w:fill="CCEEFF" w:val="clear"/>
            <w:vAlign w:val="bottom"/>
          </w:tcPr>
          <w:p>
            <w:pPr>
              <w:pStyle w:val="TableContents"/>
              <w:pBdr/>
              <w:bidi w:val="0"/>
              <w:spacing w:before="0" w:after="0"/>
              <w:ind w:left="0" w:right="0" w:hanging="0"/>
              <w:jc w:val="left"/>
              <w:rPr/>
            </w:pPr>
            <w:r>
              <w:rPr/>
              <w:t xml:space="preserve">  </w:t>
            </w:r>
          </w:p>
        </w:tc>
      </w:tr>
      <w:tr>
        <w:trPr/>
        <w:tc>
          <w:tcPr>
            <w:tcW w:w="4352" w:type="dxa"/>
            <w:tcBorders/>
            <w:vAlign w:val="bottom"/>
          </w:tcPr>
          <w:p>
            <w:pPr>
              <w:pStyle w:val="TableContents"/>
              <w:bidi w:val="0"/>
              <w:spacing w:before="0" w:after="0"/>
              <w:ind w:left="0" w:right="0" w:hanging="0"/>
              <w:jc w:val="left"/>
              <w:rPr>
                <w:rFonts w:ascii="Times New Roman" w:hAnsi="Times New Roman"/>
                <w:sz w:val="20"/>
              </w:rPr>
            </w:pPr>
            <w:r>
              <w:rPr>
                <w:rFonts w:ascii="Times New Roman" w:hAnsi="Times New Roman"/>
                <w:sz w:val="20"/>
              </w:rPr>
              <w:t>Options exercisable at end of </w:t>
            </w:r>
            <w:bookmarkStart w:id="210" w:name="fs_KP15R479VK00000000000000000000FM"/>
            <w:bookmarkEnd w:id="210"/>
            <w:r>
              <w:rPr>
                <w:rFonts w:ascii="Times New Roman" w:hAnsi="Times New Roman"/>
                <w:sz w:val="20"/>
              </w:rPr>
              <w:t xml:space="preserve">June 30, 2026 </w:t>
            </w:r>
          </w:p>
        </w:tc>
        <w:tc>
          <w:tcPr>
            <w:tcW w:w="144" w:type="dxa"/>
            <w:tcBorders/>
            <w:vAlign w:val="bottom"/>
          </w:tcPr>
          <w:p>
            <w:pPr>
              <w:pStyle w:val="TableContents"/>
              <w:pBdr/>
              <w:bidi w:val="0"/>
              <w:spacing w:before="0" w:after="0"/>
              <w:ind w:left="0" w:right="0" w:hanging="0"/>
              <w:jc w:val="left"/>
              <w:rPr/>
            </w:pPr>
            <w:r>
              <w:rPr/>
              <w:t xml:space="preserve">  </w:t>
            </w:r>
          </w:p>
        </w:tc>
        <w:tc>
          <w:tcPr>
            <w:tcW w:w="290" w:type="dxa"/>
            <w:tcBorders/>
            <w:vAlign w:val="bottom"/>
          </w:tcPr>
          <w:p>
            <w:pPr>
              <w:pStyle w:val="TableContents"/>
              <w:bidi w:val="0"/>
              <w:spacing w:before="0" w:after="0"/>
              <w:ind w:left="0" w:right="0" w:hanging="0"/>
              <w:jc w:val="left"/>
              <w:rPr/>
            </w:pPr>
            <w:r>
              <w:rPr/>
              <w:t xml:space="preserve">  </w:t>
            </w:r>
          </w:p>
        </w:tc>
        <w:tc>
          <w:tcPr>
            <w:tcW w:w="1572"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5,501</w:t>
            </w:r>
          </w:p>
        </w:tc>
        <w:tc>
          <w:tcPr>
            <w:tcW w:w="145" w:type="dxa"/>
            <w:tcBorders/>
            <w:vAlign w:val="bottom"/>
          </w:tcPr>
          <w:p>
            <w:pPr>
              <w:pStyle w:val="TableContents"/>
              <w:bidi w:val="0"/>
              <w:spacing w:before="0" w:after="283"/>
              <w:ind w:left="0" w:right="0" w:hanging="0"/>
              <w:jc w:val="left"/>
              <w:rPr>
                <w:sz w:val="4"/>
                <w:szCs w:val="4"/>
              </w:rPr>
            </w:pPr>
            <w:r>
              <w:rPr>
                <w:sz w:val="4"/>
                <w:szCs w:val="4"/>
              </w:rPr>
            </w:r>
          </w:p>
        </w:tc>
        <w:tc>
          <w:tcPr>
            <w:tcW w:w="144" w:type="dxa"/>
            <w:tcBorders/>
            <w:vAlign w:val="bottom"/>
          </w:tcPr>
          <w:p>
            <w:pPr>
              <w:pStyle w:val="TableContents"/>
              <w:pBdr/>
              <w:bidi w:val="0"/>
              <w:spacing w:before="0" w:after="0"/>
              <w:ind w:left="0" w:right="0" w:hanging="0"/>
              <w:jc w:val="left"/>
              <w:rPr/>
            </w:pPr>
            <w:r>
              <w:rPr/>
              <w:t xml:space="preserve">  </w:t>
            </w:r>
          </w:p>
        </w:tc>
        <w:tc>
          <w:tcPr>
            <w:tcW w:w="695"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2700"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96.60 </w:t>
            </w:r>
          </w:p>
        </w:tc>
        <w:tc>
          <w:tcPr>
            <w:tcW w:w="163" w:type="dxa"/>
            <w:tcBorders/>
            <w:vAlign w:val="bottom"/>
          </w:tcPr>
          <w:p>
            <w:pPr>
              <w:pStyle w:val="TableContents"/>
              <w:pBdr/>
              <w:bidi w:val="0"/>
              <w:spacing w:before="0" w:after="0"/>
              <w:ind w:left="0" w:right="0" w:hanging="0"/>
              <w:jc w:val="left"/>
              <w:rPr/>
            </w:pPr>
            <w:r>
              <w:rPr/>
              <w:t xml:space="preserve">  </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serif" w:hAnsi="Times New Roman;serif"/>
          <w:sz w:val="20"/>
        </w:rPr>
        <w:t xml:space="preserve">All outstanding options were fully vested and exercisable as of June 30, 2026, and had no aggregate intrinsic value as the exercise price exceeded the market price of the Company's common stock. </w:t>
      </w:r>
      <w:r>
        <w:rPr>
          <w:rFonts w:ascii="times new roman;times" w:hAnsi="times new roman;times"/>
          <w:sz w:val="20"/>
        </w:rPr>
        <w:t xml:space="preserve">As of </w:t>
      </w:r>
      <w:bookmarkStart w:id="211" w:name="fs_WFRRH67BLC00000000000000000000FM"/>
      <w:bookmarkEnd w:id="211"/>
      <w:r>
        <w:rPr>
          <w:rFonts w:ascii="times new roman;times" w:hAnsi="times new roman;times"/>
          <w:sz w:val="20"/>
        </w:rPr>
        <w:t xml:space="preserve">June 30, 2026, </w:t>
      </w:r>
      <w:r>
        <w:rPr>
          <w:rFonts w:ascii="Times New Roman" w:hAnsi="Times New Roman"/>
          <w:sz w:val="20"/>
        </w:rPr>
        <w:t>total remaining unrecognized compensation cost related to non-vested stock options, net of forfeitures, was $0.</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Share based compensation expense has been recorded as follows: </w:t>
      </w:r>
    </w:p>
    <w:p>
      <w:pPr>
        <w:pStyle w:val="TextBody"/>
        <w:bidi w:val="0"/>
        <w:spacing w:lineRule="auto" w:line="288" w:before="0" w:after="0"/>
        <w:ind w:left="0" w:right="0" w:hanging="0"/>
        <w:jc w:val="both"/>
        <w:rPr/>
      </w:pPr>
      <w:r>
        <w:rPr/>
        <w:t> </w:t>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756"/>
        <w:gridCol w:w="153"/>
        <w:gridCol w:w="465"/>
        <w:gridCol w:w="877"/>
        <w:gridCol w:w="327"/>
        <w:gridCol w:w="328"/>
        <w:gridCol w:w="465"/>
        <w:gridCol w:w="753"/>
        <w:gridCol w:w="153"/>
        <w:gridCol w:w="29"/>
        <w:gridCol w:w="428"/>
        <w:gridCol w:w="893"/>
        <w:gridCol w:w="78"/>
        <w:gridCol w:w="78"/>
        <w:gridCol w:w="480"/>
        <w:gridCol w:w="893"/>
        <w:gridCol w:w="49"/>
      </w:tblGrid>
      <w:tr>
        <w:trPr/>
        <w:tc>
          <w:tcPr>
            <w:tcW w:w="3756" w:type="dxa"/>
            <w:tcBorders/>
            <w:vAlign w:val="bottom"/>
          </w:tcPr>
          <w:p>
            <w:pPr>
              <w:pStyle w:val="TableContents"/>
              <w:pBdr/>
              <w:bidi w:val="0"/>
              <w:spacing w:before="0" w:after="0"/>
              <w:ind w:left="0" w:right="0" w:hanging="0"/>
              <w:jc w:val="left"/>
              <w:rPr/>
            </w:pPr>
            <w:r>
              <w:rPr/>
              <w:t xml:space="preserve">  </w:t>
            </w:r>
          </w:p>
        </w:tc>
        <w:tc>
          <w:tcPr>
            <w:tcW w:w="153" w:type="dxa"/>
            <w:tcBorders/>
            <w:vAlign w:val="bottom"/>
          </w:tcPr>
          <w:p>
            <w:pPr>
              <w:pStyle w:val="TableContents"/>
              <w:pBdr/>
              <w:bidi w:val="0"/>
              <w:spacing w:before="0" w:after="0"/>
              <w:ind w:left="0" w:right="0" w:hanging="0"/>
              <w:jc w:val="left"/>
              <w:rPr/>
            </w:pPr>
            <w:r>
              <w:rPr/>
              <w:t xml:space="preserve">  </w:t>
            </w:r>
          </w:p>
        </w:tc>
        <w:tc>
          <w:tcPr>
            <w:tcW w:w="3215" w:type="dxa"/>
            <w:gridSpan w:val="6"/>
            <w:tcBorders/>
            <w:vAlign w:val="bottom"/>
          </w:tcPr>
          <w:p>
            <w:pPr>
              <w:pStyle w:val="TableContents"/>
              <w:pBdr/>
              <w:bidi w:val="0"/>
              <w:spacing w:before="0" w:after="0"/>
              <w:ind w:left="0" w:right="0" w:hanging="0"/>
              <w:jc w:val="center"/>
              <w:rPr>
                <w:rFonts w:ascii="Times New Roman" w:hAnsi="Times New Roman"/>
                <w:b/>
                <w:sz w:val="20"/>
              </w:rPr>
            </w:pPr>
            <w:bookmarkStart w:id="212" w:name="fs_TFYKBO3QIO00000000000000000000FM"/>
            <w:bookmarkEnd w:id="212"/>
            <w:r>
              <w:rPr>
                <w:rFonts w:ascii="Times New Roman" w:hAnsi="Times New Roman"/>
                <w:b/>
                <w:sz w:val="20"/>
              </w:rPr>
              <w:t xml:space="preserve">Three months ended June 30, </w:t>
            </w:r>
          </w:p>
        </w:tc>
        <w:tc>
          <w:tcPr>
            <w:tcW w:w="153" w:type="dxa"/>
            <w:tcBorders/>
            <w:vAlign w:val="bottom"/>
          </w:tcPr>
          <w:p>
            <w:pPr>
              <w:pStyle w:val="TableContents"/>
              <w:pBdr/>
              <w:bidi w:val="0"/>
              <w:spacing w:before="0" w:after="0"/>
              <w:ind w:left="0" w:right="0" w:hanging="0"/>
              <w:jc w:val="left"/>
              <w:rPr/>
            </w:pPr>
            <w:r>
              <w:rPr/>
              <w:t xml:space="preserve">  </w:t>
            </w:r>
          </w:p>
        </w:tc>
        <w:tc>
          <w:tcPr>
            <w:tcW w:w="29" w:type="dxa"/>
            <w:tcBorders/>
            <w:vAlign w:val="center"/>
          </w:tcPr>
          <w:p>
            <w:pPr>
              <w:pStyle w:val="TableContents"/>
              <w:bidi w:val="0"/>
              <w:spacing w:before="0" w:after="283"/>
              <w:ind w:left="0" w:right="0" w:hanging="0"/>
              <w:jc w:val="left"/>
              <w:rPr/>
            </w:pPr>
            <w:r>
              <w:rPr/>
            </w:r>
          </w:p>
        </w:tc>
        <w:tc>
          <w:tcPr>
            <w:tcW w:w="2850" w:type="dxa"/>
            <w:gridSpan w:val="6"/>
            <w:tcBorders/>
            <w:vAlign w:val="bottom"/>
          </w:tcPr>
          <w:p>
            <w:pPr>
              <w:pStyle w:val="TableContents"/>
              <w:widowControl/>
              <w:bidi w:val="0"/>
              <w:spacing w:before="0" w:after="0"/>
              <w:ind w:left="0" w:right="0" w:hanging="0"/>
              <w:jc w:val="center"/>
              <w:rPr>
                <w:rFonts w:ascii="Times New Roman" w:hAnsi="Times New Roman"/>
                <w:b/>
                <w:color w:val="000000"/>
                <w:spacing w:val="0"/>
                <w:sz w:val="20"/>
              </w:rPr>
            </w:pPr>
            <w:bookmarkStart w:id="213" w:name="fs_XJSJ9KTZZK00000000000000000000FM"/>
            <w:bookmarkEnd w:id="213"/>
            <w:r>
              <w:rPr>
                <w:rFonts w:ascii="Times New Roman" w:hAnsi="Times New Roman"/>
                <w:b/>
                <w:color w:val="000000"/>
                <w:spacing w:val="0"/>
                <w:sz w:val="20"/>
              </w:rPr>
              <w:t>Six months ended June 30,</w:t>
            </w:r>
          </w:p>
        </w:tc>
        <w:tc>
          <w:tcPr>
            <w:tcW w:w="49" w:type="dxa"/>
            <w:tcBorders/>
            <w:vAlign w:val="bottom"/>
          </w:tcPr>
          <w:p>
            <w:pPr>
              <w:pStyle w:val="TableContents"/>
              <w:bidi w:val="0"/>
              <w:spacing w:before="0" w:after="283"/>
              <w:ind w:left="0" w:right="0" w:hanging="0"/>
              <w:jc w:val="left"/>
              <w:rPr/>
            </w:pPr>
            <w:r>
              <w:rPr/>
            </w:r>
          </w:p>
        </w:tc>
      </w:tr>
      <w:tr>
        <w:trPr/>
        <w:tc>
          <w:tcPr>
            <w:tcW w:w="3756" w:type="dxa"/>
            <w:tcBorders/>
            <w:vAlign w:val="bottom"/>
          </w:tcPr>
          <w:p>
            <w:pPr>
              <w:pStyle w:val="TableContents"/>
              <w:pBdr/>
              <w:bidi w:val="0"/>
              <w:spacing w:before="0" w:after="0"/>
              <w:ind w:left="0" w:right="0" w:hanging="0"/>
              <w:jc w:val="left"/>
              <w:rPr/>
            </w:pPr>
            <w:r>
              <w:rPr/>
              <w:t xml:space="preserve">  </w:t>
            </w:r>
          </w:p>
        </w:tc>
        <w:tc>
          <w:tcPr>
            <w:tcW w:w="153" w:type="dxa"/>
            <w:tcBorders/>
            <w:vAlign w:val="bottom"/>
          </w:tcPr>
          <w:p>
            <w:pPr>
              <w:pStyle w:val="TableContents"/>
              <w:pBdr/>
              <w:bidi w:val="0"/>
              <w:spacing w:before="0" w:after="0"/>
              <w:ind w:left="0" w:right="0" w:hanging="0"/>
              <w:jc w:val="left"/>
              <w:rPr/>
            </w:pPr>
            <w:r>
              <w:rPr/>
              <w:t xml:space="preserve">  </w:t>
            </w:r>
          </w:p>
        </w:tc>
        <w:tc>
          <w:tcPr>
            <w:tcW w:w="1342" w:type="dxa"/>
            <w:gridSpan w:val="2"/>
            <w:tcBorders/>
            <w:vAlign w:val="bottom"/>
          </w:tcPr>
          <w:p>
            <w:pPr>
              <w:pStyle w:val="TableContents"/>
              <w:pBdr/>
              <w:bidi w:val="0"/>
              <w:spacing w:before="0" w:after="0"/>
              <w:ind w:left="0" w:right="0" w:hanging="0"/>
              <w:jc w:val="center"/>
              <w:rPr>
                <w:rFonts w:ascii="Times New Roman" w:hAnsi="Times New Roman"/>
                <w:b/>
                <w:sz w:val="20"/>
              </w:rPr>
            </w:pPr>
            <w:bookmarkStart w:id="214" w:name="fs_VKWCKGDRKW00000000000000000000fs"/>
            <w:bookmarkEnd w:id="214"/>
            <w:r>
              <w:rPr>
                <w:rFonts w:ascii="Times New Roman" w:hAnsi="Times New Roman"/>
                <w:b/>
                <w:sz w:val="20"/>
              </w:rPr>
              <w:t xml:space="preserve">2026 </w:t>
            </w:r>
          </w:p>
        </w:tc>
        <w:tc>
          <w:tcPr>
            <w:tcW w:w="327" w:type="dxa"/>
            <w:tcBorders/>
            <w:vAlign w:val="bottom"/>
          </w:tcPr>
          <w:p>
            <w:pPr>
              <w:pStyle w:val="TableContents"/>
              <w:pBdr/>
              <w:bidi w:val="0"/>
              <w:spacing w:before="0" w:after="0"/>
              <w:ind w:left="0" w:right="0" w:hanging="0"/>
              <w:jc w:val="left"/>
              <w:rPr/>
            </w:pPr>
            <w:r>
              <w:rPr/>
              <w:t xml:space="preserve">  </w:t>
            </w:r>
          </w:p>
        </w:tc>
        <w:tc>
          <w:tcPr>
            <w:tcW w:w="328" w:type="dxa"/>
            <w:tcBorders/>
            <w:vAlign w:val="bottom"/>
          </w:tcPr>
          <w:p>
            <w:pPr>
              <w:pStyle w:val="TableContents"/>
              <w:pBdr/>
              <w:bidi w:val="0"/>
              <w:spacing w:before="0" w:after="0"/>
              <w:ind w:left="0" w:right="0" w:hanging="0"/>
              <w:jc w:val="left"/>
              <w:rPr/>
            </w:pPr>
            <w:r>
              <w:rPr/>
              <w:t xml:space="preserve">  </w:t>
            </w:r>
          </w:p>
        </w:tc>
        <w:tc>
          <w:tcPr>
            <w:tcW w:w="1218" w:type="dxa"/>
            <w:gridSpan w:val="2"/>
            <w:tcBorders/>
            <w:vAlign w:val="bottom"/>
          </w:tcPr>
          <w:p>
            <w:pPr>
              <w:pStyle w:val="TableContents"/>
              <w:pBdr/>
              <w:bidi w:val="0"/>
              <w:spacing w:before="0" w:after="0"/>
              <w:ind w:left="0" w:right="0" w:hanging="0"/>
              <w:jc w:val="center"/>
              <w:rPr>
                <w:rFonts w:ascii="Times New Roman" w:hAnsi="Times New Roman"/>
                <w:b/>
                <w:sz w:val="20"/>
              </w:rPr>
            </w:pPr>
            <w:bookmarkStart w:id="215" w:name="fs_V6FSZIKM0G00000000000000000000fs"/>
            <w:bookmarkEnd w:id="215"/>
            <w:r>
              <w:rPr>
                <w:rFonts w:ascii="Times New Roman" w:hAnsi="Times New Roman"/>
                <w:b/>
                <w:sz w:val="20"/>
              </w:rPr>
              <w:t xml:space="preserve">2025 </w:t>
            </w:r>
          </w:p>
        </w:tc>
        <w:tc>
          <w:tcPr>
            <w:tcW w:w="153" w:type="dxa"/>
            <w:tcBorders/>
            <w:vAlign w:val="bottom"/>
          </w:tcPr>
          <w:p>
            <w:pPr>
              <w:pStyle w:val="TableContents"/>
              <w:pBdr/>
              <w:bidi w:val="0"/>
              <w:spacing w:before="0" w:after="0"/>
              <w:ind w:left="0" w:right="0" w:hanging="0"/>
              <w:jc w:val="left"/>
              <w:rPr/>
            </w:pPr>
            <w:r>
              <w:rPr/>
              <w:t xml:space="preserve">  </w:t>
            </w:r>
          </w:p>
        </w:tc>
        <w:tc>
          <w:tcPr>
            <w:tcW w:w="29" w:type="dxa"/>
            <w:tcBorders/>
            <w:vAlign w:val="center"/>
          </w:tcPr>
          <w:p>
            <w:pPr>
              <w:pStyle w:val="TableContents"/>
              <w:bidi w:val="0"/>
              <w:spacing w:before="0" w:after="283"/>
              <w:ind w:left="0" w:right="0" w:hanging="0"/>
              <w:jc w:val="left"/>
              <w:rPr/>
            </w:pPr>
            <w:r>
              <w:rPr/>
            </w:r>
          </w:p>
        </w:tc>
        <w:tc>
          <w:tcPr>
            <w:tcW w:w="1321" w:type="dxa"/>
            <w:gridSpan w:val="2"/>
            <w:tcBorders/>
            <w:vAlign w:val="bottom"/>
          </w:tcPr>
          <w:p>
            <w:pPr>
              <w:pStyle w:val="TableContents"/>
              <w:bidi w:val="0"/>
              <w:spacing w:before="0" w:after="0"/>
              <w:ind w:left="0" w:right="0" w:hanging="0"/>
              <w:jc w:val="center"/>
              <w:rPr>
                <w:b/>
              </w:rPr>
            </w:pPr>
            <w:bookmarkStart w:id="216" w:name="fs_KD3XH7G24G00000000000000000000fs"/>
            <w:bookmarkEnd w:id="216"/>
            <w:r>
              <w:rPr>
                <w:b/>
              </w:rPr>
              <w:t>2026</w:t>
            </w:r>
          </w:p>
        </w:tc>
        <w:tc>
          <w:tcPr>
            <w:tcW w:w="78" w:type="dxa"/>
            <w:tcBorders/>
            <w:vAlign w:val="bottom"/>
          </w:tcPr>
          <w:p>
            <w:pPr>
              <w:pStyle w:val="TableContents"/>
              <w:bidi w:val="0"/>
              <w:spacing w:before="0" w:after="283"/>
              <w:ind w:left="0" w:right="0" w:hanging="0"/>
              <w:jc w:val="left"/>
              <w:rPr/>
            </w:pPr>
            <w:r>
              <w:rPr/>
            </w:r>
          </w:p>
        </w:tc>
        <w:tc>
          <w:tcPr>
            <w:tcW w:w="78" w:type="dxa"/>
            <w:tcBorders/>
            <w:vAlign w:val="bottom"/>
          </w:tcPr>
          <w:p>
            <w:pPr>
              <w:pStyle w:val="TableContents"/>
              <w:bidi w:val="0"/>
              <w:spacing w:before="0" w:after="283"/>
              <w:ind w:left="0" w:right="0" w:hanging="0"/>
              <w:jc w:val="left"/>
              <w:rPr/>
            </w:pPr>
            <w:r>
              <w:rPr/>
            </w:r>
          </w:p>
        </w:tc>
        <w:tc>
          <w:tcPr>
            <w:tcW w:w="1373" w:type="dxa"/>
            <w:gridSpan w:val="2"/>
            <w:tcBorders/>
            <w:vAlign w:val="bottom"/>
          </w:tcPr>
          <w:p>
            <w:pPr>
              <w:pStyle w:val="TableContents"/>
              <w:bidi w:val="0"/>
              <w:spacing w:before="0" w:after="0"/>
              <w:ind w:left="0" w:right="0" w:hanging="0"/>
              <w:jc w:val="center"/>
              <w:rPr>
                <w:b/>
              </w:rPr>
            </w:pPr>
            <w:bookmarkStart w:id="217" w:name="fs_02HQ8E5SOW00000000000000000000fs"/>
            <w:bookmarkEnd w:id="217"/>
            <w:r>
              <w:rPr>
                <w:b/>
              </w:rPr>
              <w:t>2025</w:t>
            </w:r>
          </w:p>
        </w:tc>
        <w:tc>
          <w:tcPr>
            <w:tcW w:w="49" w:type="dxa"/>
            <w:tcBorders/>
            <w:vAlign w:val="bottom"/>
          </w:tcPr>
          <w:p>
            <w:pPr>
              <w:pStyle w:val="TableContents"/>
              <w:bidi w:val="0"/>
              <w:spacing w:before="0" w:after="283"/>
              <w:jc w:val="left"/>
              <w:rPr/>
            </w:pPr>
            <w:r>
              <w:rPr/>
            </w:r>
          </w:p>
        </w:tc>
      </w:tr>
      <w:tr>
        <w:trPr/>
        <w:tc>
          <w:tcPr>
            <w:tcW w:w="3756" w:type="dxa"/>
            <w:tcBorders/>
            <w:shd w:fill="CCEEFF" w:val="clear"/>
            <w:vAlign w:val="bottom"/>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 xml:space="preserve">Cost of goods sold </w:t>
            </w:r>
          </w:p>
        </w:tc>
        <w:tc>
          <w:tcPr>
            <w:tcW w:w="153" w:type="dxa"/>
            <w:tcBorders/>
            <w:shd w:fill="CCEEFF" w:val="clear"/>
            <w:vAlign w:val="bottom"/>
          </w:tcPr>
          <w:p>
            <w:pPr>
              <w:pStyle w:val="TableContents"/>
              <w:pBdr/>
              <w:bidi w:val="0"/>
              <w:spacing w:before="0" w:after="0"/>
              <w:ind w:left="0" w:right="0" w:hanging="0"/>
              <w:jc w:val="left"/>
              <w:rPr/>
            </w:pPr>
            <w:r>
              <w:rPr/>
              <w:t xml:space="preserve">  </w:t>
            </w:r>
          </w:p>
        </w:tc>
        <w:tc>
          <w:tcPr>
            <w:tcW w:w="46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77" w:type="dxa"/>
            <w:tcBorders/>
            <w:shd w:fill="CCEEFF" w:val="clear"/>
            <w:vAlign w:val="bottom"/>
          </w:tcPr>
          <w:p>
            <w:pPr>
              <w:pStyle w:val="TableContents"/>
              <w:pBdr/>
              <w:bidi w:val="0"/>
              <w:spacing w:before="0" w:after="0"/>
              <w:ind w:left="0" w:right="0" w:hanging="0"/>
              <w:jc w:val="right"/>
              <w:rPr/>
            </w:pPr>
            <w:r>
              <w:rPr/>
              <w:t xml:space="preserve">— </w:t>
            </w:r>
          </w:p>
        </w:tc>
        <w:tc>
          <w:tcPr>
            <w:tcW w:w="327" w:type="dxa"/>
            <w:tcBorders/>
            <w:shd w:fill="CCEEFF" w:val="clear"/>
            <w:vAlign w:val="bottom"/>
          </w:tcPr>
          <w:p>
            <w:pPr>
              <w:pStyle w:val="TableContents"/>
              <w:pBdr/>
              <w:bidi w:val="0"/>
              <w:spacing w:before="0" w:after="0"/>
              <w:ind w:left="0" w:right="0" w:hanging="0"/>
              <w:jc w:val="left"/>
              <w:rPr/>
            </w:pPr>
            <w:r>
              <w:rPr/>
              <w:t xml:space="preserve">  </w:t>
            </w:r>
          </w:p>
        </w:tc>
        <w:tc>
          <w:tcPr>
            <w:tcW w:w="328" w:type="dxa"/>
            <w:tcBorders/>
            <w:shd w:fill="CCEEFF" w:val="clear"/>
            <w:vAlign w:val="bottom"/>
          </w:tcPr>
          <w:p>
            <w:pPr>
              <w:pStyle w:val="TableContents"/>
              <w:pBdr/>
              <w:bidi w:val="0"/>
              <w:spacing w:before="0" w:after="0"/>
              <w:ind w:left="0" w:right="0" w:hanging="0"/>
              <w:jc w:val="left"/>
              <w:rPr/>
            </w:pPr>
            <w:r>
              <w:rPr/>
              <w:t xml:space="preserve">  </w:t>
            </w:r>
          </w:p>
        </w:tc>
        <w:tc>
          <w:tcPr>
            <w:tcW w:w="46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 </w:t>
            </w:r>
          </w:p>
        </w:tc>
        <w:tc>
          <w:tcPr>
            <w:tcW w:w="153" w:type="dxa"/>
            <w:tcBorders/>
            <w:shd w:fill="CCEEFF" w:val="clear"/>
            <w:vAlign w:val="bottom"/>
          </w:tcPr>
          <w:p>
            <w:pPr>
              <w:pStyle w:val="TableContents"/>
              <w:pBdr/>
              <w:bidi w:val="0"/>
              <w:spacing w:before="0" w:after="0"/>
              <w:ind w:left="0" w:right="0" w:hanging="0"/>
              <w:jc w:val="left"/>
              <w:rPr/>
            </w:pPr>
            <w:r>
              <w:rPr/>
              <w:t xml:space="preserve">  </w:t>
            </w:r>
          </w:p>
        </w:tc>
        <w:tc>
          <w:tcPr>
            <w:tcW w:w="29" w:type="dxa"/>
            <w:tcBorders/>
            <w:shd w:fill="CCEEFF" w:val="clear"/>
            <w:vAlign w:val="center"/>
          </w:tcPr>
          <w:p>
            <w:pPr>
              <w:pStyle w:val="TableContents"/>
              <w:bidi w:val="0"/>
              <w:spacing w:before="0" w:after="283"/>
              <w:ind w:left="0" w:right="0" w:hanging="0"/>
              <w:jc w:val="left"/>
              <w:rPr/>
            </w:pPr>
            <w:r>
              <w:rPr/>
            </w:r>
          </w:p>
        </w:tc>
        <w:tc>
          <w:tcPr>
            <w:tcW w:w="428" w:type="dxa"/>
            <w:tcBorders/>
            <w:shd w:fill="CCEEFF" w:val="clear"/>
            <w:vAlign w:val="bottom"/>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93" w:type="dxa"/>
            <w:tcBorders/>
            <w:shd w:fill="CCEEFF" w:val="clear"/>
            <w:vAlign w:val="bottom"/>
          </w:tcPr>
          <w:p>
            <w:pPr>
              <w:pStyle w:val="TableContents"/>
              <w:bidi w:val="0"/>
              <w:spacing w:before="0" w:after="0"/>
              <w:ind w:left="0" w:right="0" w:hanging="0"/>
              <w:jc w:val="right"/>
              <w:rPr/>
            </w:pPr>
            <w:r>
              <w:rPr/>
              <w:t>—</w:t>
            </w:r>
          </w:p>
        </w:tc>
        <w:tc>
          <w:tcPr>
            <w:tcW w:w="78" w:type="dxa"/>
            <w:tcBorders/>
            <w:shd w:fill="CCEEFF" w:val="clear"/>
            <w:vAlign w:val="bottom"/>
          </w:tcPr>
          <w:p>
            <w:pPr>
              <w:pStyle w:val="TableContents"/>
              <w:bidi w:val="0"/>
              <w:spacing w:before="0" w:after="283"/>
              <w:ind w:left="0" w:right="0" w:hanging="0"/>
              <w:jc w:val="left"/>
              <w:rPr/>
            </w:pPr>
            <w:r>
              <w:rPr/>
            </w:r>
          </w:p>
        </w:tc>
        <w:tc>
          <w:tcPr>
            <w:tcW w:w="78" w:type="dxa"/>
            <w:tcBorders/>
            <w:shd w:fill="CCEEFF" w:val="clear"/>
            <w:vAlign w:val="bottom"/>
          </w:tcPr>
          <w:p>
            <w:pPr>
              <w:pStyle w:val="TableContents"/>
              <w:bidi w:val="0"/>
              <w:spacing w:before="0" w:after="283"/>
              <w:ind w:left="0" w:right="0" w:hanging="0"/>
              <w:jc w:val="left"/>
              <w:rPr/>
            </w:pPr>
            <w:r>
              <w:rPr/>
            </w:r>
          </w:p>
        </w:tc>
        <w:tc>
          <w:tcPr>
            <w:tcW w:w="480" w:type="dxa"/>
            <w:tcBorders/>
            <w:shd w:fill="CCEEFF" w:val="clear"/>
            <w:vAlign w:val="bottom"/>
          </w:tcPr>
          <w:p>
            <w:pPr>
              <w:pStyle w:val="TableContents"/>
              <w:bidi w:val="0"/>
              <w:spacing w:before="0" w:after="0"/>
              <w:ind w:left="0" w:right="0" w:hanging="0"/>
              <w:jc w:val="left"/>
              <w:rPr>
                <w:shd w:fill="CCEEFF" w:val="clear"/>
              </w:rPr>
            </w:pPr>
            <w:r>
              <w:rPr>
                <w:shd w:fill="CCEEFF" w:val="clear"/>
              </w:rPr>
              <w:t>$</w:t>
            </w:r>
          </w:p>
        </w:tc>
        <w:tc>
          <w:tcPr>
            <w:tcW w:w="893" w:type="dxa"/>
            <w:tcBorders/>
            <w:shd w:fill="CCEEFF" w:val="clear"/>
            <w:vAlign w:val="bottom"/>
          </w:tcPr>
          <w:p>
            <w:pPr>
              <w:pStyle w:val="TableContents"/>
              <w:bidi w:val="0"/>
              <w:spacing w:before="0" w:after="0"/>
              <w:ind w:left="0" w:right="0" w:hanging="0"/>
              <w:jc w:val="right"/>
              <w:rPr/>
            </w:pPr>
            <w:r>
              <w:rPr/>
              <w:t>1</w:t>
            </w:r>
          </w:p>
        </w:tc>
        <w:tc>
          <w:tcPr>
            <w:tcW w:w="49" w:type="dxa"/>
            <w:tcBorders/>
            <w:shd w:fill="CCEEFF" w:val="clear"/>
            <w:vAlign w:val="bottom"/>
          </w:tcPr>
          <w:p>
            <w:pPr>
              <w:pStyle w:val="TableContents"/>
              <w:bidi w:val="0"/>
              <w:spacing w:before="0" w:after="283"/>
              <w:ind w:left="0" w:right="0" w:hanging="0"/>
              <w:jc w:val="left"/>
              <w:rPr/>
            </w:pPr>
            <w:r>
              <w:rPr/>
            </w:r>
          </w:p>
        </w:tc>
      </w:tr>
      <w:tr>
        <w:trPr/>
        <w:tc>
          <w:tcPr>
            <w:tcW w:w="3756"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Sales and marketing </w:t>
            </w:r>
          </w:p>
        </w:tc>
        <w:tc>
          <w:tcPr>
            <w:tcW w:w="153" w:type="dxa"/>
            <w:tcBorders/>
            <w:vAlign w:val="bottom"/>
          </w:tcPr>
          <w:p>
            <w:pPr>
              <w:pStyle w:val="TableContents"/>
              <w:pBdr/>
              <w:bidi w:val="0"/>
              <w:spacing w:before="0" w:after="0"/>
              <w:ind w:left="0" w:right="0" w:hanging="0"/>
              <w:jc w:val="left"/>
              <w:rPr/>
            </w:pPr>
            <w:r>
              <w:rPr/>
              <w:t xml:space="preserve">  </w:t>
            </w:r>
          </w:p>
        </w:tc>
        <w:tc>
          <w:tcPr>
            <w:tcW w:w="465" w:type="dxa"/>
            <w:tcBorders/>
            <w:vAlign w:val="bottom"/>
          </w:tcPr>
          <w:p>
            <w:pPr>
              <w:pStyle w:val="TableContents"/>
              <w:pBdr/>
              <w:bidi w:val="0"/>
              <w:spacing w:before="0" w:after="0"/>
              <w:ind w:left="0" w:right="0" w:hanging="0"/>
              <w:jc w:val="left"/>
              <w:rPr/>
            </w:pPr>
            <w:r>
              <w:rPr/>
              <w:t xml:space="preserve">  </w:t>
            </w:r>
          </w:p>
        </w:tc>
        <w:tc>
          <w:tcPr>
            <w:tcW w:w="877" w:type="dxa"/>
            <w:tcBorders/>
            <w:vAlign w:val="bottom"/>
          </w:tcPr>
          <w:p>
            <w:pPr>
              <w:pStyle w:val="TableContents"/>
              <w:pBdr/>
              <w:bidi w:val="0"/>
              <w:spacing w:before="0" w:after="0"/>
              <w:ind w:left="0" w:right="0" w:hanging="0"/>
              <w:jc w:val="right"/>
              <w:rPr/>
            </w:pPr>
            <w:r>
              <w:rPr/>
              <w:t>—</w:t>
            </w:r>
          </w:p>
        </w:tc>
        <w:tc>
          <w:tcPr>
            <w:tcW w:w="327" w:type="dxa"/>
            <w:tcBorders/>
            <w:vAlign w:val="bottom"/>
          </w:tcPr>
          <w:p>
            <w:pPr>
              <w:pStyle w:val="TableContents"/>
              <w:bidi w:val="0"/>
              <w:spacing w:before="0" w:after="283"/>
              <w:ind w:left="0" w:right="0" w:hanging="0"/>
              <w:jc w:val="left"/>
              <w:rPr>
                <w:sz w:val="4"/>
                <w:szCs w:val="4"/>
              </w:rPr>
            </w:pPr>
            <w:r>
              <w:rPr>
                <w:sz w:val="4"/>
                <w:szCs w:val="4"/>
              </w:rPr>
            </w:r>
          </w:p>
        </w:tc>
        <w:tc>
          <w:tcPr>
            <w:tcW w:w="328" w:type="dxa"/>
            <w:tcBorders/>
            <w:vAlign w:val="bottom"/>
          </w:tcPr>
          <w:p>
            <w:pPr>
              <w:pStyle w:val="TableContents"/>
              <w:pBdr/>
              <w:bidi w:val="0"/>
              <w:spacing w:before="0" w:after="0"/>
              <w:ind w:left="0" w:right="0" w:hanging="0"/>
              <w:jc w:val="left"/>
              <w:rPr/>
            </w:pPr>
            <w:r>
              <w:rPr/>
              <w:t xml:space="preserve">  </w:t>
            </w:r>
          </w:p>
        </w:tc>
        <w:tc>
          <w:tcPr>
            <w:tcW w:w="465" w:type="dxa"/>
            <w:tcBorders/>
            <w:vAlign w:val="bottom"/>
          </w:tcPr>
          <w:p>
            <w:pPr>
              <w:pStyle w:val="TableContents"/>
              <w:pBdr/>
              <w:bidi w:val="0"/>
              <w:spacing w:before="0" w:after="0"/>
              <w:ind w:left="0" w:right="0" w:hanging="0"/>
              <w:jc w:val="left"/>
              <w:rPr/>
            </w:pPr>
            <w:r>
              <w:rPr/>
              <w:t xml:space="preserve">  </w:t>
            </w:r>
          </w:p>
        </w:tc>
        <w:tc>
          <w:tcPr>
            <w:tcW w:w="753"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(1</w:t>
            </w:r>
          </w:p>
        </w:tc>
        <w:tc>
          <w:tcPr>
            <w:tcW w:w="153" w:type="dxa"/>
            <w:tcBorders/>
            <w:vAlign w:val="bottom"/>
          </w:tcPr>
          <w:p>
            <w:pPr>
              <w:pStyle w:val="TableContents"/>
              <w:bidi w:val="0"/>
              <w:spacing w:before="0" w:after="0"/>
              <w:ind w:left="0" w:right="0" w:hanging="0"/>
              <w:jc w:val="left"/>
              <w:rPr/>
            </w:pPr>
            <w:r>
              <w:rPr/>
              <w:t>)</w:t>
            </w:r>
          </w:p>
        </w:tc>
        <w:tc>
          <w:tcPr>
            <w:tcW w:w="29" w:type="dxa"/>
            <w:tcBorders/>
            <w:vAlign w:val="center"/>
          </w:tcPr>
          <w:p>
            <w:pPr>
              <w:pStyle w:val="TableContents"/>
              <w:bidi w:val="0"/>
              <w:spacing w:before="0" w:after="283"/>
              <w:ind w:left="0" w:right="0" w:hanging="0"/>
              <w:jc w:val="left"/>
              <w:rPr/>
            </w:pPr>
            <w:r>
              <w:rPr/>
            </w:r>
          </w:p>
        </w:tc>
        <w:tc>
          <w:tcPr>
            <w:tcW w:w="428" w:type="dxa"/>
            <w:tcBorders/>
            <w:vAlign w:val="bottom"/>
          </w:tcPr>
          <w:p>
            <w:pPr>
              <w:pStyle w:val="TableContents"/>
              <w:bidi w:val="0"/>
              <w:spacing w:before="0" w:after="283"/>
              <w:ind w:left="0" w:right="0" w:hanging="0"/>
              <w:jc w:val="left"/>
              <w:rPr/>
            </w:pPr>
            <w:r>
              <w:rPr/>
            </w:r>
          </w:p>
        </w:tc>
        <w:tc>
          <w:tcPr>
            <w:tcW w:w="893" w:type="dxa"/>
            <w:tcBorders/>
            <w:vAlign w:val="bottom"/>
          </w:tcPr>
          <w:p>
            <w:pPr>
              <w:pStyle w:val="TableContents"/>
              <w:bidi w:val="0"/>
              <w:spacing w:before="0" w:after="0"/>
              <w:ind w:left="0" w:right="0" w:hanging="0"/>
              <w:jc w:val="right"/>
              <w:rPr/>
            </w:pPr>
            <w:r>
              <w:rPr/>
              <w:t>—</w:t>
            </w:r>
          </w:p>
        </w:tc>
        <w:tc>
          <w:tcPr>
            <w:tcW w:w="78" w:type="dxa"/>
            <w:tcBorders/>
            <w:vAlign w:val="bottom"/>
          </w:tcPr>
          <w:p>
            <w:pPr>
              <w:pStyle w:val="TableContents"/>
              <w:bidi w:val="0"/>
              <w:spacing w:before="0" w:after="283"/>
              <w:ind w:left="0" w:right="0" w:hanging="0"/>
              <w:jc w:val="left"/>
              <w:rPr/>
            </w:pPr>
            <w:r>
              <w:rPr/>
            </w:r>
          </w:p>
        </w:tc>
        <w:tc>
          <w:tcPr>
            <w:tcW w:w="78" w:type="dxa"/>
            <w:tcBorders/>
            <w:vAlign w:val="bottom"/>
          </w:tcPr>
          <w:p>
            <w:pPr>
              <w:pStyle w:val="TableContents"/>
              <w:bidi w:val="0"/>
              <w:spacing w:before="0" w:after="283"/>
              <w:ind w:left="0" w:right="0" w:hanging="0"/>
              <w:jc w:val="left"/>
              <w:rPr/>
            </w:pPr>
            <w:r>
              <w:rPr/>
            </w:r>
          </w:p>
        </w:tc>
        <w:tc>
          <w:tcPr>
            <w:tcW w:w="480" w:type="dxa"/>
            <w:tcBorders/>
            <w:vAlign w:val="bottom"/>
          </w:tcPr>
          <w:p>
            <w:pPr>
              <w:pStyle w:val="TableContents"/>
              <w:bidi w:val="0"/>
              <w:spacing w:before="0" w:after="283"/>
              <w:ind w:left="0" w:right="0" w:hanging="0"/>
              <w:jc w:val="left"/>
              <w:rPr/>
            </w:pPr>
            <w:r>
              <w:rPr/>
            </w:r>
          </w:p>
        </w:tc>
        <w:tc>
          <w:tcPr>
            <w:tcW w:w="893" w:type="dxa"/>
            <w:tcBorders/>
            <w:vAlign w:val="bottom"/>
          </w:tcPr>
          <w:p>
            <w:pPr>
              <w:pStyle w:val="TableContents"/>
              <w:bidi w:val="0"/>
              <w:spacing w:before="0" w:after="0"/>
              <w:ind w:left="0" w:right="0" w:hanging="0"/>
              <w:jc w:val="right"/>
              <w:rPr/>
            </w:pPr>
            <w:r>
              <w:rPr/>
              <w:t>—</w:t>
            </w:r>
          </w:p>
        </w:tc>
        <w:tc>
          <w:tcPr>
            <w:tcW w:w="49" w:type="dxa"/>
            <w:tcBorders/>
            <w:vAlign w:val="bottom"/>
          </w:tcPr>
          <w:p>
            <w:pPr>
              <w:pStyle w:val="TableContents"/>
              <w:bidi w:val="0"/>
              <w:spacing w:before="0" w:after="283"/>
              <w:ind w:left="0" w:right="0" w:hanging="0"/>
              <w:jc w:val="left"/>
              <w:rPr/>
            </w:pPr>
            <w:r>
              <w:rPr/>
            </w:r>
          </w:p>
        </w:tc>
      </w:tr>
      <w:tr>
        <w:trPr/>
        <w:tc>
          <w:tcPr>
            <w:tcW w:w="3756"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Research and product development </w:t>
            </w:r>
          </w:p>
        </w:tc>
        <w:tc>
          <w:tcPr>
            <w:tcW w:w="153" w:type="dxa"/>
            <w:tcBorders/>
            <w:shd w:fill="CCEEFF" w:val="clear"/>
            <w:vAlign w:val="bottom"/>
          </w:tcPr>
          <w:p>
            <w:pPr>
              <w:pStyle w:val="TableContents"/>
              <w:pBdr/>
              <w:bidi w:val="0"/>
              <w:spacing w:before="0" w:after="0"/>
              <w:ind w:left="0" w:right="0" w:hanging="0"/>
              <w:jc w:val="left"/>
              <w:rPr/>
            </w:pPr>
            <w:r>
              <w:rPr/>
              <w:t xml:space="preserve">  </w:t>
            </w:r>
          </w:p>
        </w:tc>
        <w:tc>
          <w:tcPr>
            <w:tcW w:w="465" w:type="dxa"/>
            <w:tcBorders/>
            <w:shd w:fill="CCEEFF" w:val="clear"/>
            <w:vAlign w:val="bottom"/>
          </w:tcPr>
          <w:p>
            <w:pPr>
              <w:pStyle w:val="TableContents"/>
              <w:pBdr/>
              <w:bidi w:val="0"/>
              <w:spacing w:before="0" w:after="0"/>
              <w:ind w:left="0" w:right="0" w:hanging="0"/>
              <w:jc w:val="left"/>
              <w:rPr/>
            </w:pPr>
            <w:r>
              <w:rPr/>
              <w:t xml:space="preserve">  </w:t>
            </w:r>
          </w:p>
        </w:tc>
        <w:tc>
          <w:tcPr>
            <w:tcW w:w="877" w:type="dxa"/>
            <w:tcBorders/>
            <w:shd w:fill="CCEEFF" w:val="clear"/>
            <w:vAlign w:val="bottom"/>
          </w:tcPr>
          <w:p>
            <w:pPr>
              <w:pStyle w:val="TableContents"/>
              <w:pBdr/>
              <w:bidi w:val="0"/>
              <w:spacing w:before="0" w:after="0"/>
              <w:ind w:left="0" w:right="0" w:hanging="0"/>
              <w:jc w:val="right"/>
              <w:rPr/>
            </w:pPr>
            <w:r>
              <w:rPr/>
              <w:t xml:space="preserve">— </w:t>
            </w:r>
          </w:p>
        </w:tc>
        <w:tc>
          <w:tcPr>
            <w:tcW w:w="327" w:type="dxa"/>
            <w:tcBorders/>
            <w:shd w:fill="CCEEFF" w:val="clear"/>
            <w:vAlign w:val="bottom"/>
          </w:tcPr>
          <w:p>
            <w:pPr>
              <w:pStyle w:val="TableContents"/>
              <w:pBdr/>
              <w:bidi w:val="0"/>
              <w:spacing w:before="0" w:after="0"/>
              <w:ind w:left="0" w:right="0" w:hanging="0"/>
              <w:jc w:val="left"/>
              <w:rPr/>
            </w:pPr>
            <w:r>
              <w:rPr/>
              <w:t xml:space="preserve">  </w:t>
            </w:r>
          </w:p>
        </w:tc>
        <w:tc>
          <w:tcPr>
            <w:tcW w:w="328" w:type="dxa"/>
            <w:tcBorders/>
            <w:shd w:fill="CCEEFF" w:val="clear"/>
            <w:vAlign w:val="bottom"/>
          </w:tcPr>
          <w:p>
            <w:pPr>
              <w:pStyle w:val="TableContents"/>
              <w:pBdr/>
              <w:bidi w:val="0"/>
              <w:spacing w:before="0" w:after="0"/>
              <w:ind w:left="0" w:right="0" w:hanging="0"/>
              <w:jc w:val="left"/>
              <w:rPr/>
            </w:pPr>
            <w:r>
              <w:rPr/>
              <w:t xml:space="preserve">  </w:t>
            </w:r>
          </w:p>
        </w:tc>
        <w:tc>
          <w:tcPr>
            <w:tcW w:w="465" w:type="dxa"/>
            <w:tcBorders/>
            <w:shd w:fill="CCEEFF" w:val="clear"/>
            <w:vAlign w:val="bottom"/>
          </w:tcPr>
          <w:p>
            <w:pPr>
              <w:pStyle w:val="TableContents"/>
              <w:pBdr/>
              <w:bidi w:val="0"/>
              <w:spacing w:before="0" w:after="0"/>
              <w:ind w:left="0" w:right="0" w:hanging="0"/>
              <w:jc w:val="left"/>
              <w:rPr/>
            </w:pPr>
            <w:r>
              <w:rPr/>
              <w:t xml:space="preserve">  </w:t>
            </w:r>
          </w:p>
        </w:tc>
        <w:tc>
          <w:tcPr>
            <w:tcW w:w="75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3 </w:t>
            </w:r>
          </w:p>
        </w:tc>
        <w:tc>
          <w:tcPr>
            <w:tcW w:w="153" w:type="dxa"/>
            <w:tcBorders/>
            <w:shd w:fill="CCEEFF" w:val="clear"/>
            <w:vAlign w:val="bottom"/>
          </w:tcPr>
          <w:p>
            <w:pPr>
              <w:pStyle w:val="TableContents"/>
              <w:pBdr/>
              <w:bidi w:val="0"/>
              <w:spacing w:before="0" w:after="0"/>
              <w:ind w:left="0" w:right="0" w:hanging="0"/>
              <w:jc w:val="left"/>
              <w:rPr/>
            </w:pPr>
            <w:r>
              <w:rPr/>
              <w:t xml:space="preserve">  </w:t>
            </w:r>
          </w:p>
        </w:tc>
        <w:tc>
          <w:tcPr>
            <w:tcW w:w="29" w:type="dxa"/>
            <w:tcBorders/>
            <w:shd w:fill="CCEEFF" w:val="clear"/>
            <w:vAlign w:val="center"/>
          </w:tcPr>
          <w:p>
            <w:pPr>
              <w:pStyle w:val="TableContents"/>
              <w:bidi w:val="0"/>
              <w:spacing w:before="0" w:after="283"/>
              <w:ind w:left="0" w:right="0" w:hanging="0"/>
              <w:jc w:val="left"/>
              <w:rPr/>
            </w:pPr>
            <w:r>
              <w:rPr/>
            </w:r>
          </w:p>
        </w:tc>
        <w:tc>
          <w:tcPr>
            <w:tcW w:w="428" w:type="dxa"/>
            <w:tcBorders/>
            <w:shd w:fill="CCEEFF" w:val="clear"/>
            <w:vAlign w:val="bottom"/>
          </w:tcPr>
          <w:p>
            <w:pPr>
              <w:pStyle w:val="TableContents"/>
              <w:bidi w:val="0"/>
              <w:spacing w:before="0" w:after="283"/>
              <w:ind w:left="0" w:right="0" w:hanging="0"/>
              <w:jc w:val="left"/>
              <w:rPr/>
            </w:pPr>
            <w:r>
              <w:rPr/>
            </w:r>
          </w:p>
        </w:tc>
        <w:tc>
          <w:tcPr>
            <w:tcW w:w="893" w:type="dxa"/>
            <w:tcBorders/>
            <w:shd w:fill="CCEEFF" w:val="clear"/>
            <w:vAlign w:val="bottom"/>
          </w:tcPr>
          <w:p>
            <w:pPr>
              <w:pStyle w:val="TableContents"/>
              <w:bidi w:val="0"/>
              <w:spacing w:before="0" w:after="0"/>
              <w:ind w:left="0" w:right="0" w:hanging="0"/>
              <w:jc w:val="right"/>
              <w:rPr/>
            </w:pPr>
            <w:r>
              <w:rPr/>
              <w:t>—</w:t>
            </w:r>
          </w:p>
        </w:tc>
        <w:tc>
          <w:tcPr>
            <w:tcW w:w="78" w:type="dxa"/>
            <w:tcBorders/>
            <w:shd w:fill="CCEEFF" w:val="clear"/>
            <w:vAlign w:val="bottom"/>
          </w:tcPr>
          <w:p>
            <w:pPr>
              <w:pStyle w:val="TableContents"/>
              <w:bidi w:val="0"/>
              <w:spacing w:before="0" w:after="283"/>
              <w:ind w:left="0" w:right="0" w:hanging="0"/>
              <w:jc w:val="left"/>
              <w:rPr/>
            </w:pPr>
            <w:r>
              <w:rPr/>
            </w:r>
          </w:p>
        </w:tc>
        <w:tc>
          <w:tcPr>
            <w:tcW w:w="78" w:type="dxa"/>
            <w:tcBorders/>
            <w:shd w:fill="CCEEFF" w:val="clear"/>
            <w:vAlign w:val="bottom"/>
          </w:tcPr>
          <w:p>
            <w:pPr>
              <w:pStyle w:val="TableContents"/>
              <w:bidi w:val="0"/>
              <w:spacing w:before="0" w:after="283"/>
              <w:ind w:left="0" w:right="0" w:hanging="0"/>
              <w:jc w:val="left"/>
              <w:rPr/>
            </w:pPr>
            <w:r>
              <w:rPr/>
            </w:r>
          </w:p>
        </w:tc>
        <w:tc>
          <w:tcPr>
            <w:tcW w:w="480" w:type="dxa"/>
            <w:tcBorders/>
            <w:shd w:fill="CCEEFF" w:val="clear"/>
            <w:vAlign w:val="bottom"/>
          </w:tcPr>
          <w:p>
            <w:pPr>
              <w:pStyle w:val="TableContents"/>
              <w:bidi w:val="0"/>
              <w:spacing w:before="0" w:after="283"/>
              <w:ind w:left="0" w:right="0" w:hanging="0"/>
              <w:jc w:val="left"/>
              <w:rPr/>
            </w:pPr>
            <w:r>
              <w:rPr/>
            </w:r>
          </w:p>
        </w:tc>
        <w:tc>
          <w:tcPr>
            <w:tcW w:w="893" w:type="dxa"/>
            <w:tcBorders/>
            <w:shd w:fill="CCEEFF" w:val="clear"/>
            <w:vAlign w:val="bottom"/>
          </w:tcPr>
          <w:p>
            <w:pPr>
              <w:pStyle w:val="TableContents"/>
              <w:bidi w:val="0"/>
              <w:spacing w:before="0" w:after="0"/>
              <w:ind w:left="0" w:right="0" w:hanging="0"/>
              <w:jc w:val="right"/>
              <w:rPr/>
            </w:pPr>
            <w:r>
              <w:rPr/>
              <w:t>7</w:t>
            </w:r>
          </w:p>
        </w:tc>
        <w:tc>
          <w:tcPr>
            <w:tcW w:w="49" w:type="dxa"/>
            <w:tcBorders/>
            <w:shd w:fill="CCEEFF" w:val="clear"/>
            <w:vAlign w:val="bottom"/>
          </w:tcPr>
          <w:p>
            <w:pPr>
              <w:pStyle w:val="TableContents"/>
              <w:bidi w:val="0"/>
              <w:spacing w:before="0" w:after="283"/>
              <w:ind w:left="0" w:right="0" w:hanging="0"/>
              <w:jc w:val="left"/>
              <w:rPr/>
            </w:pPr>
            <w:r>
              <w:rPr/>
            </w:r>
          </w:p>
        </w:tc>
      </w:tr>
      <w:tr>
        <w:trPr/>
        <w:tc>
          <w:tcPr>
            <w:tcW w:w="3756" w:type="dxa"/>
            <w:tcBorders/>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General and administrative </w:t>
            </w:r>
          </w:p>
        </w:tc>
        <w:tc>
          <w:tcPr>
            <w:tcW w:w="153" w:type="dxa"/>
            <w:tcBorders/>
            <w:vAlign w:val="bottom"/>
          </w:tcPr>
          <w:p>
            <w:pPr>
              <w:pStyle w:val="TableContents"/>
              <w:pBdr/>
              <w:bidi w:val="0"/>
              <w:spacing w:before="0" w:after="0"/>
              <w:ind w:left="0" w:right="0" w:hanging="0"/>
              <w:jc w:val="left"/>
              <w:rPr/>
            </w:pPr>
            <w:r>
              <w:rPr/>
              <w:t xml:space="preserve">  </w:t>
            </w:r>
          </w:p>
        </w:tc>
        <w:tc>
          <w:tcPr>
            <w:tcW w:w="465" w:type="dxa"/>
            <w:tcBorders/>
            <w:vAlign w:val="bottom"/>
          </w:tcPr>
          <w:p>
            <w:pPr>
              <w:pStyle w:val="TableContents"/>
              <w:pBdr/>
              <w:bidi w:val="0"/>
              <w:spacing w:before="0" w:after="0"/>
              <w:ind w:left="0" w:right="0" w:hanging="0"/>
              <w:jc w:val="left"/>
              <w:rPr/>
            </w:pPr>
            <w:r>
              <w:rPr/>
              <w:t xml:space="preserve">  </w:t>
            </w:r>
          </w:p>
        </w:tc>
        <w:tc>
          <w:tcPr>
            <w:tcW w:w="877" w:type="dxa"/>
            <w:tcBorders/>
            <w:vAlign w:val="bottom"/>
          </w:tcPr>
          <w:p>
            <w:pPr>
              <w:pStyle w:val="TableContents"/>
              <w:pBdr/>
              <w:bidi w:val="0"/>
              <w:spacing w:before="0" w:after="0"/>
              <w:ind w:left="0" w:right="0" w:hanging="0"/>
              <w:jc w:val="right"/>
              <w:rPr/>
            </w:pPr>
            <w:r>
              <w:rPr/>
              <w:t xml:space="preserve">— </w:t>
            </w:r>
          </w:p>
        </w:tc>
        <w:tc>
          <w:tcPr>
            <w:tcW w:w="327" w:type="dxa"/>
            <w:tcBorders/>
            <w:vAlign w:val="bottom"/>
          </w:tcPr>
          <w:p>
            <w:pPr>
              <w:pStyle w:val="TableContents"/>
              <w:pBdr/>
              <w:bidi w:val="0"/>
              <w:spacing w:before="0" w:after="0"/>
              <w:ind w:left="0" w:right="0" w:hanging="0"/>
              <w:jc w:val="left"/>
              <w:rPr/>
            </w:pPr>
            <w:r>
              <w:rPr/>
              <w:t xml:space="preserve">  </w:t>
            </w:r>
          </w:p>
        </w:tc>
        <w:tc>
          <w:tcPr>
            <w:tcW w:w="328" w:type="dxa"/>
            <w:tcBorders/>
            <w:vAlign w:val="bottom"/>
          </w:tcPr>
          <w:p>
            <w:pPr>
              <w:pStyle w:val="TableContents"/>
              <w:pBdr/>
              <w:bidi w:val="0"/>
              <w:spacing w:before="0" w:after="0"/>
              <w:ind w:left="0" w:right="0" w:hanging="0"/>
              <w:jc w:val="left"/>
              <w:rPr/>
            </w:pPr>
            <w:r>
              <w:rPr/>
              <w:t xml:space="preserve">  </w:t>
            </w:r>
          </w:p>
        </w:tc>
        <w:tc>
          <w:tcPr>
            <w:tcW w:w="465" w:type="dxa"/>
            <w:tcBorders/>
            <w:vAlign w:val="bottom"/>
          </w:tcPr>
          <w:p>
            <w:pPr>
              <w:pStyle w:val="TableContents"/>
              <w:pBdr/>
              <w:bidi w:val="0"/>
              <w:spacing w:before="0" w:after="0"/>
              <w:ind w:left="0" w:right="0" w:hanging="0"/>
              <w:jc w:val="left"/>
              <w:rPr/>
            </w:pPr>
            <w:r>
              <w:rPr/>
              <w:t xml:space="preserve">  </w:t>
            </w:r>
          </w:p>
        </w:tc>
        <w:tc>
          <w:tcPr>
            <w:tcW w:w="753" w:type="dxa"/>
            <w:tcBorders/>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18 </w:t>
            </w:r>
          </w:p>
        </w:tc>
        <w:tc>
          <w:tcPr>
            <w:tcW w:w="153" w:type="dxa"/>
            <w:tcBorders/>
            <w:vAlign w:val="bottom"/>
          </w:tcPr>
          <w:p>
            <w:pPr>
              <w:pStyle w:val="TableContents"/>
              <w:pBdr/>
              <w:bidi w:val="0"/>
              <w:spacing w:before="0" w:after="0"/>
              <w:ind w:left="0" w:right="0" w:hanging="0"/>
              <w:jc w:val="left"/>
              <w:rPr/>
            </w:pPr>
            <w:r>
              <w:rPr/>
              <w:t xml:space="preserve">  </w:t>
            </w:r>
          </w:p>
        </w:tc>
        <w:tc>
          <w:tcPr>
            <w:tcW w:w="29" w:type="dxa"/>
            <w:tcBorders/>
            <w:vAlign w:val="center"/>
          </w:tcPr>
          <w:p>
            <w:pPr>
              <w:pStyle w:val="TableContents"/>
              <w:bidi w:val="0"/>
              <w:spacing w:before="0" w:after="283"/>
              <w:ind w:left="0" w:right="0" w:hanging="0"/>
              <w:jc w:val="left"/>
              <w:rPr/>
            </w:pPr>
            <w:r>
              <w:rPr/>
            </w:r>
          </w:p>
        </w:tc>
        <w:tc>
          <w:tcPr>
            <w:tcW w:w="428" w:type="dxa"/>
            <w:tcBorders/>
            <w:vAlign w:val="bottom"/>
          </w:tcPr>
          <w:p>
            <w:pPr>
              <w:pStyle w:val="TableContents"/>
              <w:bidi w:val="0"/>
              <w:spacing w:before="0" w:after="283"/>
              <w:ind w:left="0" w:right="0" w:hanging="0"/>
              <w:jc w:val="left"/>
              <w:rPr/>
            </w:pPr>
            <w:r>
              <w:rPr/>
            </w:r>
          </w:p>
        </w:tc>
        <w:tc>
          <w:tcPr>
            <w:tcW w:w="893" w:type="dxa"/>
            <w:tcBorders/>
            <w:vAlign w:val="bottom"/>
          </w:tcPr>
          <w:p>
            <w:pPr>
              <w:pStyle w:val="TableContents"/>
              <w:bidi w:val="0"/>
              <w:spacing w:before="0" w:after="0"/>
              <w:ind w:left="0" w:right="0" w:hanging="0"/>
              <w:jc w:val="right"/>
              <w:rPr/>
            </w:pPr>
            <w:r>
              <w:rPr/>
              <w:t>—</w:t>
            </w:r>
          </w:p>
        </w:tc>
        <w:tc>
          <w:tcPr>
            <w:tcW w:w="78" w:type="dxa"/>
            <w:tcBorders/>
            <w:vAlign w:val="bottom"/>
          </w:tcPr>
          <w:p>
            <w:pPr>
              <w:pStyle w:val="TableContents"/>
              <w:bidi w:val="0"/>
              <w:spacing w:before="0" w:after="283"/>
              <w:ind w:left="0" w:right="0" w:hanging="0"/>
              <w:jc w:val="left"/>
              <w:rPr/>
            </w:pPr>
            <w:r>
              <w:rPr/>
            </w:r>
          </w:p>
        </w:tc>
        <w:tc>
          <w:tcPr>
            <w:tcW w:w="78" w:type="dxa"/>
            <w:tcBorders/>
            <w:vAlign w:val="bottom"/>
          </w:tcPr>
          <w:p>
            <w:pPr>
              <w:pStyle w:val="TableContents"/>
              <w:bidi w:val="0"/>
              <w:spacing w:before="0" w:after="283"/>
              <w:ind w:left="0" w:right="0" w:hanging="0"/>
              <w:jc w:val="left"/>
              <w:rPr/>
            </w:pPr>
            <w:r>
              <w:rPr/>
            </w:r>
          </w:p>
        </w:tc>
        <w:tc>
          <w:tcPr>
            <w:tcW w:w="480" w:type="dxa"/>
            <w:tcBorders/>
            <w:vAlign w:val="bottom"/>
          </w:tcPr>
          <w:p>
            <w:pPr>
              <w:pStyle w:val="TableContents"/>
              <w:bidi w:val="0"/>
              <w:spacing w:before="0" w:after="283"/>
              <w:ind w:left="0" w:right="0" w:hanging="0"/>
              <w:jc w:val="left"/>
              <w:rPr/>
            </w:pPr>
            <w:r>
              <w:rPr/>
            </w:r>
          </w:p>
        </w:tc>
        <w:tc>
          <w:tcPr>
            <w:tcW w:w="893" w:type="dxa"/>
            <w:tcBorders/>
            <w:vAlign w:val="bottom"/>
          </w:tcPr>
          <w:p>
            <w:pPr>
              <w:pStyle w:val="TableContents"/>
              <w:bidi w:val="0"/>
              <w:spacing w:before="0" w:after="0"/>
              <w:ind w:left="0" w:right="0" w:hanging="0"/>
              <w:jc w:val="right"/>
              <w:rPr/>
            </w:pPr>
            <w:r>
              <w:rPr/>
              <w:t>36</w:t>
            </w:r>
          </w:p>
        </w:tc>
        <w:tc>
          <w:tcPr>
            <w:tcW w:w="49" w:type="dxa"/>
            <w:tcBorders/>
            <w:vAlign w:val="bottom"/>
          </w:tcPr>
          <w:p>
            <w:pPr>
              <w:pStyle w:val="TableContents"/>
              <w:bidi w:val="0"/>
              <w:spacing w:before="0" w:after="283"/>
              <w:ind w:left="0" w:right="0" w:hanging="0"/>
              <w:jc w:val="left"/>
              <w:rPr/>
            </w:pPr>
            <w:r>
              <w:rPr/>
            </w:r>
          </w:p>
        </w:tc>
      </w:tr>
      <w:tr>
        <w:trPr/>
        <w:tc>
          <w:tcPr>
            <w:tcW w:w="3756" w:type="dxa"/>
            <w:tcBorders/>
            <w:shd w:fill="CCEEFF" w:val="clear"/>
            <w:vAlign w:val="bottom"/>
          </w:tcPr>
          <w:p>
            <w:pPr>
              <w:pStyle w:val="TableContents"/>
              <w:pBdr/>
              <w:bidi w:val="0"/>
              <w:spacing w:before="0" w:after="0"/>
              <w:ind w:left="0" w:right="0" w:hanging="0"/>
              <w:jc w:val="left"/>
              <w:rPr/>
            </w:pPr>
            <w:r>
              <w:rPr/>
              <w:t xml:space="preserve">  </w:t>
            </w:r>
          </w:p>
        </w:tc>
        <w:tc>
          <w:tcPr>
            <w:tcW w:w="153" w:type="dxa"/>
            <w:tcBorders/>
            <w:shd w:fill="CCEEFF" w:val="clear"/>
            <w:vAlign w:val="bottom"/>
          </w:tcPr>
          <w:p>
            <w:pPr>
              <w:pStyle w:val="TableContents"/>
              <w:pBdr/>
              <w:bidi w:val="0"/>
              <w:spacing w:before="0" w:after="0"/>
              <w:ind w:left="0" w:right="0" w:hanging="0"/>
              <w:jc w:val="left"/>
              <w:rPr/>
            </w:pPr>
            <w:r>
              <w:rPr/>
              <w:t xml:space="preserve">  </w:t>
            </w:r>
          </w:p>
        </w:tc>
        <w:tc>
          <w:tcPr>
            <w:tcW w:w="46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877" w:type="dxa"/>
            <w:tcBorders/>
            <w:shd w:fill="CCEEFF" w:val="clear"/>
            <w:vAlign w:val="bottom"/>
          </w:tcPr>
          <w:p>
            <w:pPr>
              <w:pStyle w:val="TableContents"/>
              <w:pBdr/>
              <w:bidi w:val="0"/>
              <w:spacing w:before="0" w:after="0"/>
              <w:ind w:left="0" w:right="0" w:hanging="0"/>
              <w:jc w:val="right"/>
              <w:rPr/>
            </w:pPr>
            <w:r>
              <w:rPr/>
              <w:t xml:space="preserve">— </w:t>
            </w:r>
          </w:p>
        </w:tc>
        <w:tc>
          <w:tcPr>
            <w:tcW w:w="327" w:type="dxa"/>
            <w:tcBorders/>
            <w:shd w:fill="CCEEFF" w:val="clear"/>
            <w:vAlign w:val="bottom"/>
          </w:tcPr>
          <w:p>
            <w:pPr>
              <w:pStyle w:val="TableContents"/>
              <w:pBdr/>
              <w:bidi w:val="0"/>
              <w:spacing w:before="0" w:after="0"/>
              <w:ind w:left="0" w:right="0" w:hanging="0"/>
              <w:jc w:val="left"/>
              <w:rPr/>
            </w:pPr>
            <w:r>
              <w:rPr/>
              <w:t xml:space="preserve">  </w:t>
            </w:r>
          </w:p>
        </w:tc>
        <w:tc>
          <w:tcPr>
            <w:tcW w:w="328" w:type="dxa"/>
            <w:tcBorders/>
            <w:shd w:fill="CCEEFF" w:val="clear"/>
            <w:vAlign w:val="bottom"/>
          </w:tcPr>
          <w:p>
            <w:pPr>
              <w:pStyle w:val="TableContents"/>
              <w:pBdr/>
              <w:bidi w:val="0"/>
              <w:spacing w:before="0" w:after="0"/>
              <w:ind w:left="0" w:right="0" w:hanging="0"/>
              <w:jc w:val="left"/>
              <w:rPr/>
            </w:pPr>
            <w:r>
              <w:rPr/>
              <w:t xml:space="preserve">  </w:t>
            </w:r>
          </w:p>
        </w:tc>
        <w:tc>
          <w:tcPr>
            <w:tcW w:w="465" w:type="dxa"/>
            <w:tcBorders/>
            <w:shd w:fill="CCEEFF" w:val="clear"/>
            <w:vAlign w:val="bottom"/>
          </w:tcPr>
          <w:p>
            <w:pPr>
              <w:pStyle w:val="TableContents"/>
              <w:pBdr/>
              <w:bidi w:val="0"/>
              <w:spacing w:before="0" w:after="0"/>
              <w:ind w:left="0" w:right="0" w:hanging="0"/>
              <w:jc w:val="left"/>
              <w:rPr>
                <w:rFonts w:ascii="Times New Roman" w:hAnsi="Times New Roman"/>
                <w:sz w:val="20"/>
              </w:rPr>
            </w:pPr>
            <w:r>
              <w:rPr>
                <w:rFonts w:ascii="Times New Roman" w:hAnsi="Times New Roman"/>
                <w:sz w:val="20"/>
              </w:rPr>
              <w:t xml:space="preserve">$ </w:t>
            </w:r>
          </w:p>
        </w:tc>
        <w:tc>
          <w:tcPr>
            <w:tcW w:w="753" w:type="dxa"/>
            <w:tcBorders/>
            <w:shd w:fill="CCEEFF" w:val="clear"/>
            <w:vAlign w:val="bottom"/>
          </w:tcPr>
          <w:p>
            <w:pPr>
              <w:pStyle w:val="TableContents"/>
              <w:pBdr/>
              <w:bidi w:val="0"/>
              <w:spacing w:before="0" w:after="0"/>
              <w:ind w:left="0" w:right="0" w:hanging="0"/>
              <w:jc w:val="right"/>
              <w:rPr>
                <w:rFonts w:ascii="Times New Roman" w:hAnsi="Times New Roman"/>
                <w:sz w:val="20"/>
              </w:rPr>
            </w:pPr>
            <w:r>
              <w:rPr>
                <w:rFonts w:ascii="Times New Roman" w:hAnsi="Times New Roman"/>
                <w:sz w:val="20"/>
              </w:rPr>
              <w:t xml:space="preserve">21 </w:t>
            </w:r>
          </w:p>
        </w:tc>
        <w:tc>
          <w:tcPr>
            <w:tcW w:w="153" w:type="dxa"/>
            <w:tcBorders/>
            <w:shd w:fill="CCEEFF" w:val="clear"/>
            <w:vAlign w:val="bottom"/>
          </w:tcPr>
          <w:p>
            <w:pPr>
              <w:pStyle w:val="TableContents"/>
              <w:pBdr/>
              <w:bidi w:val="0"/>
              <w:spacing w:before="0" w:after="0"/>
              <w:ind w:left="0" w:right="0" w:hanging="0"/>
              <w:jc w:val="left"/>
              <w:rPr/>
            </w:pPr>
            <w:r>
              <w:rPr/>
              <w:t xml:space="preserve">  </w:t>
            </w:r>
          </w:p>
        </w:tc>
        <w:tc>
          <w:tcPr>
            <w:tcW w:w="29" w:type="dxa"/>
            <w:tcBorders/>
            <w:shd w:fill="CCEEFF" w:val="clear"/>
            <w:vAlign w:val="center"/>
          </w:tcPr>
          <w:p>
            <w:pPr>
              <w:pStyle w:val="TableContents"/>
              <w:bidi w:val="0"/>
              <w:spacing w:before="0" w:after="283"/>
              <w:ind w:left="0" w:right="0" w:hanging="0"/>
              <w:jc w:val="left"/>
              <w:rPr/>
            </w:pPr>
            <w:r>
              <w:rPr/>
            </w:r>
          </w:p>
        </w:tc>
        <w:tc>
          <w:tcPr>
            <w:tcW w:w="428" w:type="dxa"/>
            <w:tcBorders/>
            <w:shd w:fill="CCEEFF" w:val="clear"/>
            <w:vAlign w:val="bottom"/>
          </w:tcPr>
          <w:p>
            <w:pPr>
              <w:pStyle w:val="TableContents"/>
              <w:widowControl/>
              <w:bidi w:val="0"/>
              <w:spacing w:before="0" w:after="0"/>
              <w:ind w:left="0" w:right="0" w:hanging="0"/>
              <w:jc w:val="left"/>
              <w:rPr>
                <w:rFonts w:ascii="Times New Roman" w:hAnsi="Times New Roman"/>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w:t>
            </w:r>
          </w:p>
        </w:tc>
        <w:tc>
          <w:tcPr>
            <w:tcW w:w="893" w:type="dxa"/>
            <w:tcBorders/>
            <w:shd w:fill="CCEEFF" w:val="clear"/>
            <w:vAlign w:val="bottom"/>
          </w:tcPr>
          <w:p>
            <w:pPr>
              <w:pStyle w:val="TableContents"/>
              <w:bidi w:val="0"/>
              <w:spacing w:before="0" w:after="0"/>
              <w:ind w:left="0" w:right="0" w:hanging="0"/>
              <w:jc w:val="right"/>
              <w:rPr/>
            </w:pPr>
            <w:r>
              <w:rPr/>
              <w:t>—</w:t>
            </w:r>
          </w:p>
        </w:tc>
        <w:tc>
          <w:tcPr>
            <w:tcW w:w="78" w:type="dxa"/>
            <w:tcBorders/>
            <w:shd w:fill="CCEEFF" w:val="clear"/>
            <w:vAlign w:val="bottom"/>
          </w:tcPr>
          <w:p>
            <w:pPr>
              <w:pStyle w:val="TableContents"/>
              <w:bidi w:val="0"/>
              <w:spacing w:before="0" w:after="283"/>
              <w:ind w:left="0" w:right="0" w:hanging="0"/>
              <w:jc w:val="left"/>
              <w:rPr/>
            </w:pPr>
            <w:r>
              <w:rPr/>
            </w:r>
          </w:p>
        </w:tc>
        <w:tc>
          <w:tcPr>
            <w:tcW w:w="78" w:type="dxa"/>
            <w:tcBorders/>
            <w:shd w:fill="CCEEFF" w:val="clear"/>
            <w:vAlign w:val="bottom"/>
          </w:tcPr>
          <w:p>
            <w:pPr>
              <w:pStyle w:val="TableContents"/>
              <w:bidi w:val="0"/>
              <w:spacing w:before="0" w:after="283"/>
              <w:ind w:left="0" w:right="0" w:hanging="0"/>
              <w:jc w:val="left"/>
              <w:rPr/>
            </w:pPr>
            <w:r>
              <w:rPr/>
            </w:r>
          </w:p>
        </w:tc>
        <w:tc>
          <w:tcPr>
            <w:tcW w:w="480" w:type="dxa"/>
            <w:tcBorders/>
            <w:shd w:fill="CCEEFF" w:val="clear"/>
            <w:vAlign w:val="bottom"/>
          </w:tcPr>
          <w:p>
            <w:pPr>
              <w:pStyle w:val="TableContents"/>
              <w:bidi w:val="0"/>
              <w:spacing w:before="0" w:after="0"/>
              <w:ind w:left="0" w:right="0" w:hanging="0"/>
              <w:jc w:val="left"/>
              <w:rPr>
                <w:shd w:fill="CCEEFF" w:val="clear"/>
              </w:rPr>
            </w:pPr>
            <w:r>
              <w:rPr>
                <w:shd w:fill="CCEEFF" w:val="clear"/>
              </w:rPr>
              <w:t>$</w:t>
            </w:r>
          </w:p>
        </w:tc>
        <w:tc>
          <w:tcPr>
            <w:tcW w:w="893" w:type="dxa"/>
            <w:tcBorders/>
            <w:shd w:fill="CCEEFF" w:val="clear"/>
            <w:vAlign w:val="bottom"/>
          </w:tcPr>
          <w:p>
            <w:pPr>
              <w:pStyle w:val="TableContents"/>
              <w:bidi w:val="0"/>
              <w:spacing w:before="0" w:after="0"/>
              <w:ind w:left="0" w:right="0" w:hanging="0"/>
              <w:jc w:val="right"/>
              <w:rPr/>
            </w:pPr>
            <w:r>
              <w:rPr/>
              <w:t>44</w:t>
            </w:r>
          </w:p>
        </w:tc>
        <w:tc>
          <w:tcPr>
            <w:tcW w:w="49" w:type="dxa"/>
            <w:tcBorders/>
            <w:shd w:fill="CCEEFF" w:val="clear"/>
            <w:vAlign w:val="bottom"/>
          </w:tcPr>
          <w:p>
            <w:pPr>
              <w:pStyle w:val="TableContents"/>
              <w:bidi w:val="0"/>
              <w:spacing w:before="0" w:after="283"/>
              <w:jc w:val="left"/>
              <w:rPr/>
            </w:pPr>
            <w:r>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arial;helvetica;sans-serif" w:hAnsi="arial;helvetica;sans-serif"/>
          <w:sz w:val="20"/>
        </w:rPr>
      </w:pPr>
      <w:r>
        <w:rPr>
          <w:rFonts w:ascii="Times New Roman;serif" w:hAnsi="Times New Roman;serif"/>
          <w:sz w:val="20"/>
        </w:rPr>
        <w:t>On July 17, 2026, the Board of Directors adopted the Company's 2026 Omnibus Incentive Plan. No awards had been granted under the plan as of the date of this report. See Note 14 — Subsequent Events.</w:t>
      </w:r>
      <w:r>
        <w:rPr>
          <w:rFonts w:ascii="arial;helvetica;sans-serif" w:hAnsi="arial;helvetica;sans-serif"/>
          <w:sz w:val="2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18" w:name="PageBreakNo20"/>
            <w:bookmarkEnd w:id="218"/>
            <w:r>
              <w:rPr>
                <w:sz w:val="20"/>
              </w:rPr>
              <w:t>20</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color w:val="0000FF"/>
            <w:sz w:val="20"/>
          </w:rPr>
          <w:t>Table of Contents</w:t>
        </w:r>
      </w:hyperlink>
    </w:p>
    <w:p>
      <w:pPr>
        <w:pStyle w:val="TextBody"/>
        <w:bidi w:val="0"/>
        <w:spacing w:lineRule="auto" w:line="288" w:before="0" w:after="0"/>
        <w:ind w:left="0" w:right="0" w:hanging="0"/>
        <w:jc w:val="both"/>
        <w:rPr/>
      </w:pPr>
      <w:r>
        <w:rPr/>
      </w:r>
    </w:p>
    <w:p>
      <w:pPr>
        <w:pStyle w:val="TextBody"/>
        <w:widowControl/>
        <w:bidi w:val="0"/>
        <w:spacing w:lineRule="auto" w:line="288" w:before="0" w:after="0"/>
        <w:ind w:left="0" w:right="0"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0" w:right="0"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12</w:t>
      </w:r>
      <w:r>
        <w:rPr>
          <w:rFonts w:ascii="times new roman;times" w:hAnsi="times new roman;times"/>
          <w:b/>
          <w:sz w:val="20"/>
        </w:rPr>
        <w:t>. Income Taxes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Company maintains a full valuation allowance against its U.S. federal and state deferred tax assets. Management concluded that it is more likely than not that these deferred tax assets will not be realized based on the Company's cumulative pre-tax losses and other sources of negative evidence. Accordingly, no income tax benefit is recognized for losses in those jurisdictions.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Tax positions are recognized when it is more likely than not that the position will be sustained on examination, and are measured at the largest amount of benefit that is greater than 50 percent likely of being realized. Uncertain tax positions are reviewed at each balance sheet date. Liabilities recorded as a result of this analysis are recorded separately from current and deferred income tax accounts. The Company accounts for interest and penalties related to unrecognized tax benefits as a component of its income tax provision. </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total amount of unrecognized tax benefits as of </w:t>
      </w:r>
      <w:bookmarkStart w:id="219" w:name="fs_0EBNJNW0IO00000000000000000000FM"/>
      <w:bookmarkEnd w:id="219"/>
      <w:r>
        <w:rPr>
          <w:rFonts w:ascii="times new roman;times" w:hAnsi="times new roman;times"/>
          <w:sz w:val="20"/>
        </w:rPr>
        <w:t>June 30, 2026, that would favorably impact the effective tax rate if recognized was $417. As of </w:t>
      </w:r>
      <w:bookmarkStart w:id="220" w:name="fs_P2PIQRQC7400000000000000000000FM"/>
      <w:bookmarkEnd w:id="220"/>
      <w:r>
        <w:rPr>
          <w:rFonts w:ascii="times new roman;times" w:hAnsi="times new roman;times"/>
          <w:sz w:val="20"/>
        </w:rPr>
        <w:t>June 30, 2026,  the Company had accrued $80 in interest and penalties related to unrecognized tax benefits.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 reconciliation of the beginning and ending amount of liabilities associated with uncertain tax positions is as follows: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6833"/>
        <w:gridCol w:w="845"/>
        <w:gridCol w:w="2411"/>
        <w:gridCol w:w="116"/>
      </w:tblGrid>
      <w:tr>
        <w:trPr/>
        <w:tc>
          <w:tcPr>
            <w:tcW w:w="6833"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3256" w:type="dxa"/>
            <w:gridSpan w:val="2"/>
            <w:tcBorders/>
            <w:vAlign w:val="bottom"/>
          </w:tcPr>
          <w:p>
            <w:pPr>
              <w:pStyle w:val="TableContents"/>
              <w:bidi w:val="0"/>
              <w:spacing w:before="0" w:after="283"/>
              <w:jc w:val="center"/>
              <w:rPr>
                <w:rFonts w:ascii="times new roman;times" w:hAnsi="times new roman;times"/>
                <w:b/>
                <w:strike w:val="false"/>
                <w:dstrike w:val="false"/>
                <w:color w:val="000000"/>
                <w:sz w:val="20"/>
                <w:u w:val="none"/>
                <w:effect w:val="none"/>
              </w:rPr>
            </w:pPr>
            <w:r>
              <w:rPr>
                <w:rFonts w:ascii="times new roman;times" w:hAnsi="times new roman;times"/>
                <w:b/>
                <w:strike w:val="false"/>
                <w:dstrike w:val="false"/>
                <w:color w:val="000000"/>
                <w:sz w:val="20"/>
                <w:u w:val="none"/>
                <w:effect w:val="none"/>
              </w:rPr>
              <w:t>Six Months ended June 30,</w:t>
            </w:r>
          </w:p>
        </w:tc>
        <w:tc>
          <w:tcPr>
            <w:tcW w:w="116" w:type="dxa"/>
            <w:tcBorders/>
            <w:vAlign w:val="center"/>
          </w:tcPr>
          <w:p>
            <w:pPr>
              <w:pStyle w:val="TableContents"/>
              <w:bidi w:val="0"/>
              <w:spacing w:before="0" w:after="283"/>
              <w:jc w:val="left"/>
              <w:rPr/>
            </w:pPr>
            <w:r>
              <w:rPr/>
            </w:r>
          </w:p>
        </w:tc>
      </w:tr>
      <w:tr>
        <w:trPr/>
        <w:tc>
          <w:tcPr>
            <w:tcW w:w="6833" w:type="dxa"/>
            <w:tcBorders/>
            <w:vAlign w:val="bottom"/>
          </w:tcPr>
          <w:p>
            <w:pPr>
              <w:pStyle w:val="TableContents"/>
              <w:bidi w:val="0"/>
              <w:spacing w:before="0" w:after="283"/>
              <w:jc w:val="left"/>
              <w:rPr>
                <w:strike w:val="false"/>
                <w:dstrike w:val="false"/>
                <w:color w:val="000000"/>
                <w:u w:val="none"/>
                <w:effect w:val="none"/>
              </w:rPr>
            </w:pPr>
            <w:r>
              <w:rPr>
                <w:strike w:val="false"/>
                <w:dstrike w:val="false"/>
                <w:color w:val="000000"/>
                <w:u w:val="none"/>
                <w:effect w:val="none"/>
              </w:rPr>
              <w:t> </w:t>
            </w:r>
          </w:p>
        </w:tc>
        <w:tc>
          <w:tcPr>
            <w:tcW w:w="3256" w:type="dxa"/>
            <w:gridSpan w:val="2"/>
            <w:tcBorders/>
            <w:vAlign w:val="bottom"/>
          </w:tcPr>
          <w:p>
            <w:pPr>
              <w:pStyle w:val="TableContents"/>
              <w:bidi w:val="0"/>
              <w:spacing w:before="0" w:after="283"/>
              <w:jc w:val="center"/>
              <w:rPr>
                <w:rFonts w:ascii="times new roman;times" w:hAnsi="times new roman;times"/>
                <w:b/>
                <w:strike w:val="false"/>
                <w:dstrike w:val="false"/>
                <w:color w:val="000000"/>
                <w:sz w:val="20"/>
                <w:u w:val="none"/>
                <w:effect w:val="none"/>
              </w:rPr>
            </w:pPr>
            <w:bookmarkStart w:id="221" w:name="fs_PG3S3U090W00000000000000000000fs"/>
            <w:bookmarkEnd w:id="221"/>
            <w:r>
              <w:rPr>
                <w:rFonts w:ascii="times new roman;times" w:hAnsi="times new roman;times"/>
                <w:b/>
                <w:strike w:val="false"/>
                <w:dstrike w:val="false"/>
                <w:color w:val="000000"/>
                <w:sz w:val="20"/>
                <w:u w:val="none"/>
                <w:effect w:val="none"/>
              </w:rPr>
              <w:t>2026</w:t>
            </w:r>
          </w:p>
        </w:tc>
        <w:tc>
          <w:tcPr>
            <w:tcW w:w="116" w:type="dxa"/>
            <w:tcBorders/>
            <w:vAlign w:val="center"/>
          </w:tcPr>
          <w:p>
            <w:pPr>
              <w:pStyle w:val="TableContents"/>
              <w:bidi w:val="0"/>
              <w:spacing w:before="0" w:after="283"/>
              <w:jc w:val="left"/>
              <w:rPr/>
            </w:pPr>
            <w:r>
              <w:rPr/>
            </w:r>
          </w:p>
        </w:tc>
      </w:tr>
      <w:tr>
        <w:trPr/>
        <w:tc>
          <w:tcPr>
            <w:tcW w:w="6833" w:type="dxa"/>
            <w:tcBorders/>
            <w:shd w:fill="CCEEFF" w:val="clear"/>
            <w:vAlign w:val="bottom"/>
          </w:tcPr>
          <w:p>
            <w:pPr>
              <w:pStyle w:val="TableContents"/>
              <w:widowControl/>
              <w:bidi w:val="0"/>
              <w:spacing w:before="0" w:after="283"/>
              <w:ind w:left="0" w:right="0" w:hanging="0"/>
              <w:jc w:val="both"/>
              <w:rPr>
                <w:rFonts w:ascii="times new roman;times" w:hAnsi="times new roman;times"/>
                <w:b w:val="false"/>
                <w:i w:val="false"/>
                <w:caps w:val="false"/>
                <w:smallCaps w:val="false"/>
                <w:strike w:val="false"/>
                <w:dstrike w:val="false"/>
                <w:color w:val="000000"/>
                <w:spacing w:val="0"/>
                <w:sz w:val="20"/>
                <w:u w:val="none"/>
                <w:effect w:val="none"/>
              </w:rPr>
            </w:pPr>
            <w:r>
              <w:rPr>
                <w:rFonts w:ascii="times new roman;times" w:hAnsi="times new roman;times"/>
                <w:b w:val="false"/>
                <w:i w:val="false"/>
                <w:caps w:val="false"/>
                <w:smallCaps w:val="false"/>
                <w:strike w:val="false"/>
                <w:dstrike w:val="false"/>
                <w:color w:val="000000"/>
                <w:spacing w:val="0"/>
                <w:sz w:val="20"/>
                <w:u w:val="none"/>
                <w:effect w:val="none"/>
              </w:rPr>
              <w:t>Balance – beginning of year</w:t>
            </w:r>
          </w:p>
        </w:tc>
        <w:tc>
          <w:tcPr>
            <w:tcW w:w="845" w:type="dxa"/>
            <w:tcBorders/>
            <w:shd w:fill="CCEEFF" w:val="clear"/>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w:t>
            </w:r>
          </w:p>
        </w:tc>
        <w:tc>
          <w:tcPr>
            <w:tcW w:w="2411"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1,030</w:t>
            </w:r>
          </w:p>
        </w:tc>
        <w:tc>
          <w:tcPr>
            <w:tcW w:w="116" w:type="dxa"/>
            <w:tcBorders/>
            <w:shd w:fill="CCEEFF" w:val="clear"/>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r>
      <w:tr>
        <w:trPr/>
        <w:tc>
          <w:tcPr>
            <w:tcW w:w="6833" w:type="dxa"/>
            <w:tcBorders/>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Additions based on tax positions related to current quarter</w:t>
            </w:r>
          </w:p>
        </w:tc>
        <w:tc>
          <w:tcPr>
            <w:tcW w:w="845"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2411" w:type="dxa"/>
            <w:tcBorders/>
            <w:vAlign w:val="bottom"/>
          </w:tcPr>
          <w:p>
            <w:pPr>
              <w:pStyle w:val="TableContents"/>
              <w:bidi w:val="0"/>
              <w:spacing w:before="0" w:after="283"/>
              <w:jc w:val="right"/>
              <w:rPr>
                <w:strike w:val="false"/>
                <w:dstrike w:val="false"/>
                <w:color w:val="000000"/>
                <w:u w:val="none"/>
                <w:effect w:val="none"/>
              </w:rPr>
            </w:pPr>
            <w:r>
              <w:rPr>
                <w:strike w:val="false"/>
                <w:dstrike w:val="false"/>
                <w:color w:val="000000"/>
                <w:u w:val="none"/>
                <w:effect w:val="none"/>
              </w:rPr>
              <w:t>—</w:t>
            </w:r>
          </w:p>
        </w:tc>
        <w:tc>
          <w:tcPr>
            <w:tcW w:w="116"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r>
      <w:tr>
        <w:trPr/>
        <w:tc>
          <w:tcPr>
            <w:tcW w:w="6833" w:type="dxa"/>
            <w:tcBorders/>
            <w:shd w:fill="CCEEFF" w:val="clear"/>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Reductions for tax positions of prior years</w:t>
            </w:r>
          </w:p>
        </w:tc>
        <w:tc>
          <w:tcPr>
            <w:tcW w:w="845" w:type="dxa"/>
            <w:tcBorders/>
            <w:shd w:fill="CCEEFF" w:val="clear"/>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2411"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(61</w:t>
            </w:r>
          </w:p>
        </w:tc>
        <w:tc>
          <w:tcPr>
            <w:tcW w:w="116" w:type="dxa"/>
            <w:tcBorders/>
            <w:shd w:fill="CCEEFF" w:val="clear"/>
            <w:vAlign w:val="bottom"/>
          </w:tcPr>
          <w:p>
            <w:pPr>
              <w:pStyle w:val="TableContents"/>
              <w:bidi w:val="0"/>
              <w:spacing w:before="0" w:after="283"/>
              <w:jc w:val="lef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w:t>
            </w:r>
          </w:p>
        </w:tc>
      </w:tr>
      <w:tr>
        <w:trPr/>
        <w:tc>
          <w:tcPr>
            <w:tcW w:w="6833" w:type="dxa"/>
            <w:tcBorders/>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Lapse in statues of limitations</w:t>
            </w:r>
          </w:p>
        </w:tc>
        <w:tc>
          <w:tcPr>
            <w:tcW w:w="845" w:type="dxa"/>
            <w:tcBorders/>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c>
          <w:tcPr>
            <w:tcW w:w="2411" w:type="dxa"/>
            <w:tcBorders/>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(595</w:t>
            </w:r>
          </w:p>
        </w:tc>
        <w:tc>
          <w:tcPr>
            <w:tcW w:w="116" w:type="dxa"/>
            <w:tcBorders/>
            <w:vAlign w:val="bottom"/>
          </w:tcPr>
          <w:p>
            <w:pPr>
              <w:pStyle w:val="TableContents"/>
              <w:bidi w:val="0"/>
              <w:spacing w:before="0" w:after="283"/>
              <w:jc w:val="left"/>
              <w:rPr>
                <w:rFonts w:ascii="Times New Roman;serif" w:hAnsi="Times New Roman;serif"/>
                <w:b w:val="false"/>
                <w:strike w:val="false"/>
                <w:dstrike w:val="false"/>
                <w:color w:val="000000"/>
                <w:sz w:val="20"/>
                <w:u w:val="none"/>
                <w:effect w:val="none"/>
              </w:rPr>
            </w:pPr>
            <w:r>
              <w:rPr>
                <w:rFonts w:ascii="Times New Roman;serif" w:hAnsi="Times New Roman;serif"/>
                <w:b w:val="false"/>
                <w:strike w:val="false"/>
                <w:dstrike w:val="false"/>
                <w:color w:val="000000"/>
                <w:sz w:val="20"/>
                <w:u w:val="none"/>
                <w:effect w:val="none"/>
              </w:rPr>
              <w:t>)</w:t>
            </w:r>
          </w:p>
        </w:tc>
      </w:tr>
      <w:tr>
        <w:trPr/>
        <w:tc>
          <w:tcPr>
            <w:tcW w:w="6833" w:type="dxa"/>
            <w:tcBorders/>
            <w:shd w:fill="CCEEFF" w:val="clear"/>
            <w:vAlign w:val="bottom"/>
          </w:tcPr>
          <w:p>
            <w:pPr>
              <w:pStyle w:val="TableContents"/>
              <w:bidi w:val="0"/>
              <w:spacing w:before="0" w:after="283"/>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Uncertain tax positions, ending balance</w:t>
            </w:r>
          </w:p>
        </w:tc>
        <w:tc>
          <w:tcPr>
            <w:tcW w:w="845" w:type="dxa"/>
            <w:tcBorders/>
            <w:shd w:fill="CCEEFF" w:val="clear"/>
            <w:vAlign w:val="bottom"/>
          </w:tcPr>
          <w:p>
            <w:pPr>
              <w:pStyle w:val="TableContents"/>
              <w:widowControl/>
              <w:bidi w:val="0"/>
              <w:spacing w:before="0" w:after="283"/>
              <w:ind w:left="0" w:right="0" w:hanging="0"/>
              <w:jc w:val="both"/>
              <w:rPr>
                <w:rFonts w:ascii="times new roman;times" w:hAnsi="times new roman;times"/>
                <w:b w:val="false"/>
                <w:strike w:val="false"/>
                <w:dstrike w:val="false"/>
                <w:color w:val="000000"/>
                <w:sz w:val="20"/>
                <w:u w:val="none"/>
                <w:effect w:val="none"/>
              </w:rPr>
            </w:pPr>
            <w:r>
              <w:rPr>
                <w:rFonts w:ascii="times new roman;times" w:hAnsi="times new roman;times"/>
                <w:b w:val="false"/>
                <w:i w:val="false"/>
                <w:caps w:val="false"/>
                <w:smallCaps w:val="false"/>
                <w:strike w:val="false"/>
                <w:dstrike w:val="false"/>
                <w:color w:val="000000"/>
                <w:spacing w:val="0"/>
                <w:sz w:val="20"/>
                <w:u w:val="none"/>
                <w:effect w:val="none"/>
              </w:rPr>
              <w:t>$</w:t>
            </w:r>
            <w:r>
              <w:rPr>
                <w:rFonts w:ascii="times new roman;times" w:hAnsi="times new roman;times"/>
                <w:b w:val="false"/>
                <w:strike w:val="false"/>
                <w:dstrike w:val="false"/>
                <w:color w:val="000000"/>
                <w:sz w:val="20"/>
                <w:u w:val="none"/>
                <w:effect w:val="none"/>
              </w:rPr>
              <w:t> </w:t>
            </w:r>
          </w:p>
        </w:tc>
        <w:tc>
          <w:tcPr>
            <w:tcW w:w="2411" w:type="dxa"/>
            <w:tcBorders/>
            <w:shd w:fill="CCEEFF" w:val="clear"/>
            <w:vAlign w:val="bottom"/>
          </w:tcPr>
          <w:p>
            <w:pPr>
              <w:pStyle w:val="TableContents"/>
              <w:bidi w:val="0"/>
              <w:spacing w:before="0" w:after="283"/>
              <w:jc w:val="right"/>
              <w:rPr>
                <w:rFonts w:ascii="times new roman;times" w:hAnsi="times new roman;times"/>
                <w:b w:val="false"/>
                <w:strike w:val="false"/>
                <w:dstrike w:val="false"/>
                <w:color w:val="000000"/>
                <w:sz w:val="20"/>
                <w:u w:val="none"/>
                <w:effect w:val="none"/>
              </w:rPr>
            </w:pPr>
            <w:r>
              <w:rPr>
                <w:rFonts w:ascii="times new roman;times" w:hAnsi="times new roman;times"/>
                <w:b w:val="false"/>
                <w:strike w:val="false"/>
                <w:dstrike w:val="false"/>
                <w:color w:val="000000"/>
                <w:sz w:val="20"/>
                <w:u w:val="none"/>
                <w:effect w:val="none"/>
              </w:rPr>
              <w:t>374</w:t>
            </w:r>
          </w:p>
        </w:tc>
        <w:tc>
          <w:tcPr>
            <w:tcW w:w="116" w:type="dxa"/>
            <w:tcBorders/>
            <w:shd w:fill="CCEEFF" w:val="clear"/>
            <w:vAlign w:val="bottom"/>
          </w:tcPr>
          <w:p>
            <w:pPr>
              <w:pStyle w:val="TableContents"/>
              <w:bidi w:val="0"/>
              <w:spacing w:before="0" w:after="283"/>
              <w:jc w:val="both"/>
              <w:rPr>
                <w:strike w:val="false"/>
                <w:dstrike w:val="false"/>
                <w:color w:val="000000"/>
                <w:u w:val="none"/>
                <w:effect w:val="none"/>
              </w:rPr>
            </w:pPr>
            <w:r>
              <w:rPr>
                <w:strike w:val="false"/>
                <w:dstrike w:val="false"/>
                <w:color w:val="000000"/>
                <w:u w:val="none"/>
                <w:effect w:val="none"/>
              </w:rPr>
              <w:t> </w:t>
            </w:r>
          </w:p>
        </w:tc>
      </w:tr>
    </w:tbl>
    <w:p>
      <w:pPr>
        <w:pStyle w:val="TextBody"/>
        <w:bidi w:val="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Although the Company believes its estimates are reasonable, no assurance can be given that the final tax outcome of these matters will not differ from the amounts reflected in its historical income tax provisions and accruals. Such differences could have a material impact on the Company's income tax provision and operating results in the period in which such determination is made.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Company's U.S. federal income tax returns for 2022 through 2025 are subject to examination. The Company also files in various state and foreign jurisdictions. With few exceptions, the Company is no longer subject to federal, state, or non-U.S. income tax examinations by tax authorities for years prior to 2022.</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serif" w:hAnsi="Times New Roman;serif"/>
          <w:sz w:val="20"/>
        </w:rPr>
      </w:pPr>
      <w:r>
        <w:rPr>
          <w:rFonts w:ascii="times new roman;times" w:hAnsi="times new roman;times"/>
          <w:sz w:val="20"/>
        </w:rPr>
        <w:t>The Merger described in Note 14 — Subsequent Events, together with prior issuances of common stock, is expected to result in an ownership change under Section 382 of the Internal Revenue Code, which would substantially limit the Company's ability to utilize its net operating loss carryforwards and other tax attributes. Because the Company maintains a full valuation allowance against its deferred tax assets, any such limitation is not expected to have a material effect on the Company's financial position or results of operations.</w:t>
      </w:r>
      <w:r>
        <w:rPr>
          <w:rFonts w:ascii="Times New Roman;serif" w:hAnsi="Times New Roman;serif"/>
          <w:sz w:val="20"/>
        </w:rPr>
        <w:t xml:space="preserv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240"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22" w:name="PageBreakNo21"/>
            <w:bookmarkEnd w:id="222"/>
            <w:r>
              <w:rPr>
                <w:sz w:val="20"/>
              </w:rPr>
              <w:t>21</w:t>
            </w:r>
          </w:p>
        </w:tc>
      </w:tr>
    </w:tbl>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left"/>
        <w:rPr/>
      </w:pPr>
      <w:r>
        <w:rPr/>
      </w:r>
    </w:p>
    <w:p>
      <w:pPr>
        <w:pStyle w:val="TextBody"/>
        <w:widowControl/>
        <w:bidi w:val="0"/>
        <w:spacing w:lineRule="auto" w:line="288" w:before="0" w:after="0"/>
        <w:ind w:left="144" w:right="144" w:hanging="0"/>
        <w:jc w:val="center"/>
        <w:rPr>
          <w:rFonts w:ascii="Times New Roman" w:hAnsi="Times New Roman"/>
          <w:b/>
          <w:sz w:val="20"/>
        </w:rPr>
      </w:pPr>
      <w:r>
        <w:rPr>
          <w:rFonts w:ascii="Times New Roman" w:hAnsi="Times New Roman"/>
          <w:b/>
          <w:i w:val="false"/>
          <w:caps w:val="false"/>
          <w:smallCaps w:val="false"/>
          <w:color w:val="000000"/>
          <w:spacing w:val="0"/>
          <w:sz w:val="20"/>
        </w:rPr>
        <w:t>UNAUDITED </w:t>
      </w:r>
      <w:r>
        <w:rPr>
          <w:rFonts w:ascii="Times New Roman" w:hAnsi="Times New Roman"/>
          <w:b/>
          <w:sz w:val="20"/>
        </w:rPr>
        <w:t>NOTES TO CONDENSED CONSOLIDATED FINANCIAL STATEMENTS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t>(Dollars in thousands, except per share amounts)</w:t>
      </w:r>
    </w:p>
    <w:p>
      <w:pPr>
        <w:pStyle w:val="TextBody"/>
        <w:bidi w:val="0"/>
        <w:spacing w:lineRule="auto" w:line="288" w:before="0" w:after="0"/>
        <w:ind w:left="144" w:right="144" w:hanging="0"/>
        <w:jc w:val="center"/>
        <w:rPr>
          <w:rFonts w:ascii="Times New Roman" w:hAnsi="Times New Roman"/>
          <w:sz w:val="20"/>
        </w:rPr>
      </w:pPr>
      <w:r>
        <w:rPr>
          <w:rFonts w:ascii="Times New Roman" w:hAnsi="Times New Roman"/>
          <w:sz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b/>
          <w:sz w:val="20"/>
        </w:rPr>
      </w:pPr>
      <w:r>
        <w:rPr>
          <w:rFonts w:ascii="times new roman;times" w:hAnsi="times new roman;times"/>
          <w:b/>
          <w:sz w:val="20"/>
        </w:rPr>
        <w:t xml:space="preserve">13. Operating Segment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Company operates as a single operating and reportable segment. Operating segments are defined as components of an entity for which separate financial information is regularly evaluated by the chief operating decision maker ("CODM") ") in deciding how to allocate resources and assess performance. The Company's CODM is its Chief Executive Officer.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CODM evaluates financial information and assesses performance on a consolidated basis. The measure of segment profit or loss used by the CODM is consolidated net loss, together with functional expenses, as reported in the accompanying condensed consolidated statements of operations and comprehensive loss. The CODM uses that measure to monitor the Company's remaining obligations and cash requirements and to allocate resources among the Company's remaining warranty support, residual collection, and public-company compliance activities.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There are no significant segment expenses, other segment items, or asset information regularly provided to the CODM that are supplemental to the amounts disclosed in the condensed consolidated financial statements. Accordingly, segment expense information is the same as the corresponding consolidated amounts, and segment assets are equal to total assets as presented in the accompanying condensed consolidated balance sheets.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Following the Asset Sale completed on October 24, 2025, the Company recognized no revenue from continuing operations in any period presented. Revenue of the disposed product business, disaggregated by primary product group and major geographic region, is presented in Note 2 — Discontinued Operations and Assets Held for Sale. All of the Company's remaining assets are located in the United States.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14. Subsequent Events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 has evaluated events and transactions occurring after June 30, 2026 through August 14, 2026, the date these condensed consolidated financial statements were available to be issued.</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Related Party Loan — Additional Advance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As described in Note </w:t>
      </w:r>
      <w:bookmarkStart w:id="223" w:name="fs_OAF448PIKG00000000000000000000fs"/>
      <w:bookmarkEnd w:id="223"/>
      <w:r>
        <w:rPr>
          <w:rFonts w:ascii="times new roman;times" w:hAnsi="times new roman;times"/>
          <w:sz w:val="20"/>
        </w:rPr>
        <w:t xml:space="preserve">4 — Notes Payable, on June 30, 2026 the Company entered into a Loan Agreement with First Finance, the Company's largest stockholder, providing for advances of up to $1,000 in the aggregate. The Company received the initial tranche of $500 on June 29, 2026, in anticipation of execution of the Loan Agreement on June 30, 2026, which is reflected as a note payable to a related party in the accompanying condensed consolidated balance sheet as of June 30, 2026. On July 16, 2026, the Company received </w:t>
      </w:r>
      <w:bookmarkStart w:id="224" w:name="fs_ZVPA702YGW00000000000000000000fs"/>
      <w:bookmarkEnd w:id="224"/>
      <w:r>
        <w:rPr>
          <w:rFonts w:ascii="times new roman;times" w:hAnsi="times new roman;times"/>
          <w:sz w:val="20"/>
        </w:rPr>
        <w:t>two additional tranches of $250 each, totaling $500, and as of the date of this report the full $1,000 available under the Loan Agreement has been advanced. Amounts outstanding bear interest at 11% per annum and mature on the earlier of December 30, 2026 or such other date as the parties may mutually agree in writing.</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Agreement and Plan of Merger</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On July 1, 2026, the Company entered into an Agreement and Plan of Merger (the "Merger Agreement") by and among the Company, CLRO Merger Sub, Inc., a wholly owned subsidiary of the Company ("Merger Sub"), Cortigent, Inc. ("Cortigent"), and Vivani Medical, Inc. ("Vivani"), pursuant to which, subject to satisfaction or waiver of certain conditions, Merger Sub will merge with and into Cortigent, with Cortigent surviving as a wholly owned subsidiary of the Company (the "Merger"). Following the Merger, the Company is expected to be renamed "Cortigent Holdings, Inc." and to trade on The Nasdaq Capital Market under the symbol "CRGT."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As consideration for all issued and outstanding shares of Cortigent common stock, Vivani will receive 12,500,000 shares of the Company's common stock (the "Consideration Shares"). No fractional shares will be issued. </w:t>
      </w:r>
      <w:bookmarkStart w:id="225" w:name="fs_WIPXIB9UPC00000000000000000000fs"/>
      <w:bookmarkEnd w:id="225"/>
      <w:r>
        <w:rPr>
          <w:rFonts w:ascii="times new roman;times" w:hAnsi="times new roman;times"/>
          <w:sz w:val="20"/>
        </w:rPr>
        <w:t xml:space="preserve">Fifty percent of the Consideration Shares are subject to a </w:t>
      </w:r>
      <w:bookmarkStart w:id="226" w:name="fs_MQWNW3H7BK00000000000000000000fs"/>
      <w:bookmarkEnd w:id="226"/>
      <w:r>
        <w:rPr>
          <w:rFonts w:ascii="times new roman;times" w:hAnsi="times new roman;times"/>
          <w:sz w:val="20"/>
        </w:rPr>
        <w:t xml:space="preserve">one-year lock-up and the remaining </w:t>
      </w:r>
      <w:bookmarkStart w:id="227" w:name="fs_8A32A6X7UO00000000000000000000fs"/>
      <w:bookmarkEnd w:id="227"/>
      <w:r>
        <w:rPr>
          <w:rFonts w:ascii="times new roman;times" w:hAnsi="times new roman;times"/>
          <w:sz w:val="20"/>
        </w:rPr>
        <w:t xml:space="preserve">fifty percent to a </w:t>
      </w:r>
      <w:bookmarkStart w:id="228" w:name="fs_ZGM9S07NV400000000000000000000fs"/>
      <w:bookmarkEnd w:id="228"/>
      <w:r>
        <w:rPr>
          <w:rFonts w:ascii="times new roman;times" w:hAnsi="times new roman;times"/>
          <w:sz w:val="20"/>
        </w:rPr>
        <w:t>two-year lock-up following closing, together with registration rights as set forth in the Merger Agreement. Based on 2,675,412 shares of common stock outstanding, the Consideration Shares and up to 855,000 shares of the Company’s common stock issuable pursuant to agreements with the Company in connection with past advisory services provided to the Company and to be provided on an ongoing basis would represent approximately 82% of the Company's common stock on a pro forma basis, excluding any shares issued in the Financing described below.</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bookmarkStart w:id="229" w:name="PageBreakNo22"/>
            <w:bookmarkEnd w:id="229"/>
            <w:r>
              <w:rPr>
                <w:rFonts w:ascii="times new roman;times" w:hAnsi="times new roman;times"/>
                <w:sz w:val="20"/>
              </w:rPr>
              <w:t>22</w:t>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144" w:right="144" w:hanging="0"/>
        <w:jc w:val="center"/>
        <w:rPr/>
      </w:pPr>
      <w:r>
        <w:rPr/>
      </w:r>
    </w:p>
    <w:p>
      <w:pPr>
        <w:pStyle w:val="TextBody"/>
        <w:widowControl/>
        <w:bidi w:val="0"/>
        <w:spacing w:lineRule="auto" w:line="288" w:before="0" w:after="0"/>
        <w:ind w:left="144" w:right="144" w:hanging="0"/>
        <w:jc w:val="center"/>
        <w:rPr>
          <w:rFonts w:ascii="times new roman;times" w:hAnsi="times new roman;times"/>
          <w:b/>
          <w:sz w:val="20"/>
        </w:rPr>
      </w:pPr>
      <w:r>
        <w:rPr>
          <w:rFonts w:ascii="times new roman;times" w:hAnsi="times new roman;times"/>
          <w:b/>
          <w:color w:val="000000"/>
          <w:spacing w:val="0"/>
          <w:sz w:val="20"/>
        </w:rPr>
        <w:t>UNAUDITED </w:t>
      </w:r>
      <w:r>
        <w:rPr>
          <w:rFonts w:ascii="times new roman;times" w:hAnsi="times new roman;times"/>
          <w:b/>
          <w:sz w:val="20"/>
        </w:rPr>
        <w:t>NOTES TO CONDENSED CONSOLIDATED FINANCIAL STATEMENTS</w:t>
      </w:r>
    </w:p>
    <w:p>
      <w:pPr>
        <w:pStyle w:val="TextBody"/>
        <w:bidi w:val="0"/>
        <w:spacing w:lineRule="auto" w:line="288" w:before="0" w:after="0"/>
        <w:ind w:left="144" w:right="144" w:hanging="0"/>
        <w:jc w:val="center"/>
        <w:rPr>
          <w:rFonts w:ascii="times new roman;times" w:hAnsi="times new roman;times"/>
          <w:sz w:val="20"/>
        </w:rPr>
      </w:pPr>
      <w:r>
        <w:rPr>
          <w:rFonts w:ascii="times new roman;times" w:hAnsi="times new roman;times"/>
          <w:sz w:val="20"/>
        </w:rPr>
        <w:t>(Dollars in thousands, except per share amounts)</w:t>
      </w:r>
    </w:p>
    <w:p>
      <w:pPr>
        <w:pStyle w:val="TextBody"/>
        <w:bidi w:val="0"/>
        <w:spacing w:lineRule="atLeast" w:line="240"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connection with the Merger, the Company filed a registration statement on Form S-</w:t>
      </w:r>
      <w:bookmarkStart w:id="230" w:name="fs_4W2Y7HBTF400000000000000000000fs"/>
      <w:bookmarkEnd w:id="230"/>
      <w:r>
        <w:rPr>
          <w:rFonts w:ascii="times new roman;times" w:hAnsi="times new roman;times"/>
          <w:sz w:val="20"/>
        </w:rPr>
        <w:t xml:space="preserve">1 on August 10, 2026 for a best-efforts offering of a minimum of 2,857,142 units and a maximum of 4,285,714 units (“Units”) at $3.50 per Unit, to raise a minimum aggregate gross proceeds of $10,000 and maximum aggregate gross proceeds of $15,000 (the "Financing"). Each Unit is comprised of </w:t>
      </w:r>
      <w:bookmarkStart w:id="231" w:name="fs_YMF953XUBK00000000000000000000fs"/>
      <w:bookmarkEnd w:id="231"/>
      <w:r>
        <w:rPr>
          <w:rFonts w:ascii="times new roman;times" w:hAnsi="times new roman;times"/>
          <w:sz w:val="20"/>
        </w:rPr>
        <w:t xml:space="preserve">one share of the Company’s common stock and </w:t>
      </w:r>
      <w:bookmarkStart w:id="232" w:name="fs_WIH2UVTW0000000000000000000000fs"/>
      <w:bookmarkEnd w:id="232"/>
      <w:r>
        <w:rPr>
          <w:rFonts w:ascii="times new roman;times" w:hAnsi="times new roman;times"/>
          <w:sz w:val="20"/>
        </w:rPr>
        <w:t xml:space="preserve">one warrant to purchase </w:t>
      </w:r>
      <w:bookmarkStart w:id="233" w:name="fs_9HIWW7IQPS00000000000000000000fs"/>
      <w:bookmarkEnd w:id="233"/>
      <w:r>
        <w:rPr>
          <w:rFonts w:ascii="times new roman;times" w:hAnsi="times new roman;times"/>
          <w:sz w:val="20"/>
        </w:rPr>
        <w:t xml:space="preserve">one share of common stock. The warrants will initially have an exercise price of $10.00 per share of common stock, will be exercisable immediately, and will expire </w:t>
      </w:r>
      <w:r>
        <w:rPr>
          <w:rFonts w:ascii="times new roman;times" w:hAnsi="times new roman;times"/>
          <w:sz w:val="20"/>
        </w:rPr>
        <w:t>six</w:t>
      </w:r>
      <w:r>
        <w:rPr>
          <w:rFonts w:ascii="times new roman;times" w:hAnsi="times new roman;times"/>
          <w:sz w:val="20"/>
        </w:rPr>
        <w:t xml:space="preserve"> months from the date of issuance. The Company has also agreed to grant at closing up to 1,400,000 stock options to certain individuals affiliated with Cortigent, and will be subject to a </w:t>
      </w:r>
      <w:bookmarkStart w:id="234" w:name="fs_1MGTI2EBTC00000000000000000000fs"/>
      <w:bookmarkEnd w:id="234"/>
      <w:r>
        <w:rPr>
          <w:rFonts w:ascii="times new roman;times" w:hAnsi="times new roman;times"/>
          <w:sz w:val="20"/>
        </w:rPr>
        <w:t>12-month equity issuance moratorium following closing, subject to certain permitted exceptions.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At the effective time, the board of directors of the combined company will consist of </w:t>
      </w:r>
      <w:bookmarkStart w:id="235" w:name="fs_WBSH6SF79S00000000000000000000fs"/>
      <w:bookmarkEnd w:id="235"/>
      <w:r>
        <w:rPr>
          <w:rFonts w:ascii="times new roman;times" w:hAnsi="times new roman;times"/>
          <w:sz w:val="20"/>
        </w:rPr>
        <w:t xml:space="preserve">five members, and the officers will be Jonathan Adams (President and Chief Executive Officer), Simon Brewer (Chief Financial Officer and Principal Accounting Officer), and Rachel Evans (Corporate Secretary). Stockholders collectively holding at least </w:t>
      </w:r>
      <w:r>
        <w:rPr>
          <w:rFonts w:ascii="times new roman;times" w:hAnsi="times new roman;times"/>
          <w:sz w:val="20"/>
        </w:rPr>
        <w:t>50.1</w:t>
      </w:r>
      <w:r>
        <w:rPr>
          <w:rFonts w:ascii="times new roman;times" w:hAnsi="times new roman;times"/>
          <w:sz w:val="20"/>
        </w:rPr>
        <w:t>% of the Company's outstanding common stock have entered into voting support agreements, and Vivani has entered into a corresponding voting support agreement.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Consummation of the Merger is subject to customary closing conditions, including (i) approval by the stockholders of the Company and of Vivani, (ii) completion of the Financing, (iii) the Company's continued listing on The Nasdaq Capital Market, (iv) effectiveness of the Form S-</w:t>
      </w:r>
      <w:bookmarkStart w:id="236" w:name="fs_NOA3TBSA8W00000000000000000000fs"/>
      <w:bookmarkEnd w:id="236"/>
      <w:r>
        <w:rPr>
          <w:rFonts w:ascii="times new roman;times" w:hAnsi="times new roman;times"/>
          <w:sz w:val="20"/>
        </w:rPr>
        <w:t xml:space="preserve">1, and (v) other customary conditions, including forgiveness of Cortigent's intercompany balance owed to Vivani immediately prior to the effective time. The Merger Agreement may be terminated by either party if the transaction has not been consummated within </w:t>
      </w:r>
      <w:bookmarkStart w:id="237" w:name="fs_E3ESUR788G00000000000000000000fs"/>
      <w:bookmarkEnd w:id="237"/>
      <w:r>
        <w:rPr>
          <w:rFonts w:ascii="times new roman;times" w:hAnsi="times new roman;times"/>
          <w:sz w:val="20"/>
        </w:rPr>
        <w:t>180 days of July 1, 2026, subject to extension in certain circumstances, and contains a break-up fee provision. ThinkEquity LLC acted as sole financial advisor to the Company and is entitled to a fee of $1,875 upon closing. On July 2, 2026, the Company issued a press release announcing execution of the Merger Agreement.</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Because the former owner of Cortigent will obtain a majority voting interest in the combined company, the Merger is expected to be accounted for as a reverse recapitalization, with Cortigent treated as the accounting acquirer and the Company treated as the accounting acquiree, notwithstanding that the Company is the surviving legal registrant. No goodwill is expected to be recognized. The Merger has not closed as of the date these financial statements were available to be issued, and no assets, liabilities, results of operations, or equity of Cortigent are reflected in the accompanying condensed consolidated financial statements.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Nasdaq Change of Control Determination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On July 8, 2026, the Company received a letter from the Nasdaq Listing Qualifications Staff determining that the proposed transaction with Vivani constitutes a business combination resulting in a "Change of Control" under Nasdaq Listing Rule </w:t>
      </w:r>
      <w:bookmarkStart w:id="238" w:name="fs_0QT17G2S7400000000000000000000fs"/>
      <w:bookmarkEnd w:id="238"/>
      <w:r>
        <w:rPr>
          <w:rFonts w:ascii="times new roman;times" w:hAnsi="times new roman;times"/>
          <w:sz w:val="20"/>
        </w:rPr>
        <w:t xml:space="preserve">5110(a). Staff's determination was based on the combined company's management, board composition, ownership and voting power resting with Vivani — specifically, that the Chief Executive Officer, Chief Financial Officer and </w:t>
      </w:r>
      <w:bookmarkStart w:id="239" w:name="fs_738FK5UQCG00000000000000000000fs"/>
      <w:bookmarkEnd w:id="239"/>
      <w:r>
        <w:rPr>
          <w:rFonts w:ascii="times new roman;times" w:hAnsi="times new roman;times"/>
          <w:sz w:val="20"/>
        </w:rPr>
        <w:t xml:space="preserve">four of </w:t>
      </w:r>
      <w:bookmarkStart w:id="240" w:name="fs_KI1BYI6LUO00000000000000000000fs"/>
      <w:bookmarkEnd w:id="240"/>
      <w:r>
        <w:rPr>
          <w:rFonts w:ascii="times new roman;times" w:hAnsi="times new roman;times"/>
          <w:sz w:val="20"/>
        </w:rPr>
        <w:t xml:space="preserve">five directors will be appointed by Vivani, and that Vivani will hold between approximately 59.4% and 67.5% of the combined company's shares and voting power. As a result, the post-transaction entity will be required to satisfy all of Nasdaq's initial listing criteria and to complete Nasdaq's initial listing process, including payment of all applicable fees, prior to consummation of the Merger. If the Merger is consummated and the post-transaction company fails to qualify for listing or to timely complete the initial listing process, Nasdaq Listing Qualifications Staff will issue a Staff Determination Letter, trading in the Company's securities will be suspended, and a Form </w:t>
      </w:r>
      <w:bookmarkStart w:id="241" w:name="fs_7D0AMD1L1C00000000000000000000fs"/>
      <w:bookmarkEnd w:id="241"/>
      <w:r>
        <w:rPr>
          <w:rFonts w:ascii="times new roman;times" w:hAnsi="times new roman;times"/>
          <w:sz w:val="20"/>
        </w:rPr>
        <w:t>25-NSE will be filed to remove the Company's securities from listing and registration. The Company submitted an initial listing application on July 22, 2026. There can be no assurance that the post-transaction entity will satisfy Nasdaq's initial listing requirements.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This determination is in addition to the continued listing deficiency described in Part II, Item 1A. On May 22, 2026, the Company submitted a compliance plan to Nasdaq.</w:t>
      </w:r>
    </w:p>
    <w:p>
      <w:pPr>
        <w:pStyle w:val="TextBody"/>
        <w:bidi w:val="0"/>
        <w:spacing w:lineRule="auto" w:line="288"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242" w:name="PageBreakNo23"/>
            <w:bookmarkEnd w:id="242"/>
            <w:r>
              <w:rPr>
                <w:sz w:val="20"/>
              </w:rPr>
              <w:t>23</w:t>
            </w:r>
          </w:p>
        </w:tc>
      </w:tr>
    </w:tbl>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center"/>
        <w:rPr>
          <w:rFonts w:ascii="times new roman;times" w:hAnsi="times new roman;times"/>
          <w:sz w:val="20"/>
        </w:rPr>
      </w:pPr>
      <w:r>
        <w:rPr>
          <w:rFonts w:ascii="times new roman;times" w:hAnsi="times new roman;times"/>
          <w:b/>
          <w:sz w:val="20"/>
        </w:rPr>
        <w:t>UNAUDITED NOTES TO CONDENSED CONSOLIDATED FINANCIAL STATEMENTS</w:t>
      </w:r>
      <w:r>
        <w:rPr>
          <w:rFonts w:ascii="times new roman;times" w:hAnsi="times new roman;times"/>
          <w:sz w:val="20"/>
        </w:rPr>
        <w:br/>
        <w:t>(Dollars in thousands, except per share amounts)</w:t>
      </w:r>
    </w:p>
    <w:p>
      <w:pPr>
        <w:pStyle w:val="TextBody"/>
        <w:bidi w:val="0"/>
        <w:spacing w:lineRule="auto" w:line="288" w:before="0" w:after="0"/>
        <w:ind w:left="0" w:right="0" w:hanging="0"/>
        <w:jc w:val="left"/>
        <w:rPr/>
      </w:pPr>
      <w:r>
        <w:rPr/>
      </w:r>
    </w:p>
    <w:p>
      <w:pPr>
        <w:pStyle w:val="TextBody"/>
        <w:bidi w:val="0"/>
        <w:spacing w:lineRule="auto" w:line="288"/>
        <w:jc w:val="both"/>
        <w:rPr>
          <w:rFonts w:ascii="Times New Roman" w:hAnsi="Times New Roman"/>
          <w:i/>
          <w:sz w:val="20"/>
        </w:rPr>
      </w:pPr>
      <w:r>
        <w:rPr>
          <w:rFonts w:ascii="Times New Roman" w:hAnsi="Times New Roman"/>
          <w:i/>
          <w:sz w:val="20"/>
        </w:rPr>
        <w:t xml:space="preserve">Stockholder Written Consent, </w:t>
      </w:r>
      <w:bookmarkStart w:id="243" w:name="fs_7KB1C0TQ0000000000000000000000fs"/>
      <w:bookmarkEnd w:id="243"/>
      <w:r>
        <w:rPr>
          <w:rFonts w:ascii="Times New Roman" w:hAnsi="Times New Roman"/>
          <w:i/>
          <w:sz w:val="20"/>
        </w:rPr>
        <w:t xml:space="preserve">2026 Omnibus Incentive Plan, and Schedule </w:t>
      </w:r>
      <w:bookmarkStart w:id="244" w:name="fs_SGZWF78TZ400000000000000000000fs"/>
      <w:bookmarkEnd w:id="244"/>
      <w:r>
        <w:rPr>
          <w:rFonts w:ascii="Times New Roman" w:hAnsi="Times New Roman"/>
          <w:i/>
          <w:sz w:val="20"/>
        </w:rPr>
        <w:t>14C</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On July 17, 2026, the Company's Board of Directors adopted resolutions approving the Company's </w:t>
      </w:r>
      <w:bookmarkStart w:id="245" w:name="fs_OOS1UV3D2800000000000000000000fs"/>
      <w:bookmarkEnd w:id="245"/>
      <w:r>
        <w:rPr>
          <w:rFonts w:ascii="times new roman;times" w:hAnsi="times new roman;times"/>
          <w:sz w:val="20"/>
        </w:rPr>
        <w:t xml:space="preserve">2026 Omnibus Incentive Plan, which permits the grant of stock options, stock appreciation rights, restricted stock units, restricted stock awards, cash-based awards and dividend equivalent rights, and authorizing the preparation and filing of an information statement on Schedule </w:t>
      </w:r>
      <w:bookmarkStart w:id="246" w:name="fs_076Z1PS5TS00000000000000000000fs"/>
      <w:bookmarkEnd w:id="246"/>
      <w:r>
        <w:rPr>
          <w:rFonts w:ascii="times new roman;times" w:hAnsi="times new roman;times"/>
          <w:sz w:val="20"/>
        </w:rPr>
        <w:t>14C.</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On August 11, 2026, the Company filed a definitive information statement on Schedule </w:t>
      </w:r>
      <w:bookmarkStart w:id="247" w:name="fs_WJK5RFX8ZK00000000000000000000fs"/>
      <w:bookmarkEnd w:id="247"/>
      <w:r>
        <w:rPr>
          <w:rFonts w:ascii="times new roman;times" w:hAnsi="times new roman;times"/>
          <w:sz w:val="20"/>
        </w:rPr>
        <w:t xml:space="preserve">14C disclosing that holders representing approximately </w:t>
      </w:r>
      <w:bookmarkStart w:id="248" w:name="fs_HGMUDEYKS000000000000000000000fs"/>
      <w:bookmarkEnd w:id="248"/>
      <w:r>
        <w:rPr>
          <w:rFonts w:ascii="times new roman;times" w:hAnsi="times new roman;times"/>
          <w:sz w:val="20"/>
        </w:rPr>
        <w:t xml:space="preserve">61.3% of the Company's voting capital stock, together with the Board of Directors, approved by written consent in lieu of a meeting (i) the issuance of the Consideration Shares, which will represent more than </w:t>
      </w:r>
      <w:bookmarkStart w:id="249" w:name="fs_5ZUOP2MMU800000000000000000000fs"/>
      <w:bookmarkEnd w:id="249"/>
      <w:r>
        <w:rPr>
          <w:rFonts w:ascii="times new roman;times" w:hAnsi="times new roman;times"/>
          <w:sz w:val="20"/>
        </w:rPr>
        <w:t xml:space="preserve">20% of the outstanding common stock and result in a change of control under Nasdaq Listing Rules </w:t>
      </w:r>
      <w:bookmarkStart w:id="250" w:name="fs_392BF3L48G00000000000000000000fs"/>
      <w:bookmarkEnd w:id="250"/>
      <w:r>
        <w:rPr>
          <w:rFonts w:ascii="times new roman;times" w:hAnsi="times new roman;times"/>
          <w:sz w:val="20"/>
        </w:rPr>
        <w:t xml:space="preserve">5635(a) and </w:t>
      </w:r>
      <w:bookmarkStart w:id="251" w:name="fs_SBRUP2ALOG00000000000000000000fs"/>
      <w:bookmarkEnd w:id="251"/>
      <w:r>
        <w:rPr>
          <w:rFonts w:ascii="times new roman;times" w:hAnsi="times new roman;times"/>
          <w:sz w:val="20"/>
        </w:rPr>
        <w:t xml:space="preserve">5635(b), and (ii) the adoption of the Company’s </w:t>
      </w:r>
      <w:bookmarkStart w:id="252" w:name="fs_LS3PV07NJ400000000000000000000fs"/>
      <w:bookmarkEnd w:id="252"/>
      <w:r>
        <w:rPr>
          <w:rFonts w:ascii="times new roman;times" w:hAnsi="times new roman;times"/>
          <w:sz w:val="20"/>
        </w:rPr>
        <w:t xml:space="preserve">2026 Omnibus Incentive Plan under Nasdaq Listing Rule </w:t>
      </w:r>
      <w:bookmarkStart w:id="253" w:name="fs_F6UG0YHB1C00000000000000000000fs"/>
      <w:bookmarkEnd w:id="253"/>
      <w:r>
        <w:rPr>
          <w:rFonts w:ascii="times new roman;times" w:hAnsi="times new roman;times"/>
          <w:sz w:val="20"/>
        </w:rPr>
        <w:t xml:space="preserve">5635(c). Pursuant to Rule </w:t>
      </w:r>
      <w:bookmarkStart w:id="254" w:name="fs_D2Z1KB4K3K00000000000000000000fs"/>
      <w:bookmarkEnd w:id="254"/>
      <w:r>
        <w:rPr>
          <w:rFonts w:ascii="times new roman;times" w:hAnsi="times new roman;times"/>
          <w:sz w:val="20"/>
        </w:rPr>
        <w:t>14c-</w:t>
      </w:r>
      <w:bookmarkStart w:id="255" w:name="fs_1PKBO1QJOG00000000000000000000fs"/>
      <w:bookmarkEnd w:id="255"/>
      <w:r>
        <w:rPr>
          <w:rFonts w:ascii="times new roman;times" w:hAnsi="times new roman;times"/>
          <w:sz w:val="20"/>
        </w:rPr>
        <w:t xml:space="preserve">2 under the Exchange Act, these actions may not be effected until at least </w:t>
      </w:r>
      <w:bookmarkStart w:id="256" w:name="fs_X29ZVA4PB400000000000000000000fs"/>
      <w:bookmarkEnd w:id="256"/>
      <w:r>
        <w:rPr>
          <w:rFonts w:ascii="times new roman;times" w:hAnsi="times new roman;times"/>
          <w:sz w:val="20"/>
        </w:rPr>
        <w:t xml:space="preserve">20 calendar days after the information statement is mailed to stockholders. The stockholders did not approve the Merger itself, only the share issuance and the adoption of the plan. No awards had been granted under the </w:t>
      </w:r>
      <w:bookmarkStart w:id="257" w:name="fs_XSUY5FWT6800000000000000000000fs"/>
      <w:bookmarkEnd w:id="257"/>
      <w:r>
        <w:rPr>
          <w:rFonts w:ascii="times new roman;times" w:hAnsi="times new roman;times"/>
          <w:sz w:val="20"/>
        </w:rPr>
        <w:t>2026 Omnibus Incentive Plan as of date of this Form 10-Q was filed.</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Employment Agreement</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On July 31, 2026, the Company entered into an employment agreement with Simon Brewer (the “Employment Agreement”), the Chief Financial Officer of the Company, whereby the Company has retained Mr. Brewer as the Chief Financial Officer of the Company to be effective upon completion of the acquisition of Cortigent for an indefinite period, provided that either party may terminate the Employment Agreement upon providing the other party with </w:t>
      </w:r>
      <w:bookmarkStart w:id="258" w:name="fs_OR1S66W8WW00000000000000000000fs"/>
      <w:bookmarkEnd w:id="258"/>
      <w:r>
        <w:rPr>
          <w:rFonts w:ascii="times new roman;times" w:hAnsi="times new roman;times"/>
          <w:sz w:val="20"/>
        </w:rPr>
        <w:t xml:space="preserve">30 days’ prior written notice. Mr. Brewer is to be paid an annual base salary of $300,000 and is eligible for an annual discretionary performance bonus. The Company has agreed to grant to Mr. Brewer stock options to purchase up to 200,000 shares of common stock at an exercise price equal to the price of the financing to be completed in connection with the acquisition of Cortigent, which options will vest as to 25% on each anniversary of the Employment Agreement. Mr. Brewer is eligible to participate in any benefit plans offered by the Company. The Company may terminate the Employment Agreement with cause at any time by paying any unpaid salary and expenses/benefits. The Company may terminate the Employment Agreement without cause, or Mr. Brewer may resign for good reason (as defined in the Employment Agreement), on </w:t>
      </w:r>
      <w:bookmarkStart w:id="259" w:name="fs_1ZPQWDX3C000000000000000000000fs"/>
      <w:bookmarkEnd w:id="259"/>
      <w:r>
        <w:rPr>
          <w:rFonts w:ascii="times new roman;times" w:hAnsi="times new roman;times"/>
          <w:sz w:val="20"/>
        </w:rPr>
        <w:t xml:space="preserve">30 days prior written notice, by paying any unpaid salary and expenses/benefits plus a severance payment of </w:t>
      </w:r>
      <w:bookmarkStart w:id="260" w:name="fs_XT9R9BRYJ400000000000000000000fs"/>
      <w:bookmarkEnd w:id="260"/>
      <w:r>
        <w:rPr>
          <w:rFonts w:ascii="times new roman;times" w:hAnsi="times new roman;times"/>
          <w:sz w:val="20"/>
        </w:rPr>
        <w:t xml:space="preserve">six months of the annual salary and continuing any COBRA benefits for such </w:t>
      </w:r>
      <w:bookmarkStart w:id="261" w:name="fs_OSRRNVTNTS00000000000000000000fs"/>
      <w:bookmarkEnd w:id="261"/>
      <w:r>
        <w:rPr>
          <w:rFonts w:ascii="times new roman;times" w:hAnsi="times new roman;times"/>
          <w:sz w:val="20"/>
        </w:rPr>
        <w:t xml:space="preserve">six month period. Mr. Brewer has agreed to not solicit employees or customers for a period of </w:t>
      </w:r>
      <w:bookmarkStart w:id="262" w:name="fs_N6BVS3D06800000000000000000000fs"/>
      <w:bookmarkEnd w:id="262"/>
      <w:r>
        <w:rPr>
          <w:rFonts w:ascii="times new roman;times" w:hAnsi="times new roman;times"/>
          <w:sz w:val="20"/>
        </w:rPr>
        <w:t>12 months following any termination of the Employment Agreement and not to disparage the Company or its past or present officers, directors, managers, employees, products, services or business.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Warrant Cancellation Agreement</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On August 4, 2026, the Company entered into a warrant cancellation agreement (the “Warrant Cancellation Agreement”) with First Finance, whereby the Company and First Finance agreed that warrants to purchase up to 437,500 shares of the Company’s common stock at an exercise price of $5.00 per share for a period of two years following issuance are cancelled and extinguished as of August 4, 2026. The Warrant Cancellation Agreement was entered into in connection with the Merger Agreement.</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Advisor Agreements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On August 7, 2026, the Company entered into advisor agreements (the “Advisor Agreements”) with each of First Finance, Betelgeuse Capital Advisors Inc., Gang</w:t>
      </w:r>
      <w:bookmarkStart w:id="263" w:name="fs_OX4FLX8Q9S00000000000000000000fs"/>
      <w:bookmarkEnd w:id="263"/>
      <w:r>
        <w:rPr>
          <w:rFonts w:ascii="times new roman;times" w:hAnsi="times new roman;times"/>
          <w:sz w:val="20"/>
        </w:rPr>
        <w:t>3 Capital Ltd. and JJK Holdings Ltd. (the “Advisors”) in connection with past advisory services provided to the Company and to be provided on an ongoing basis. As compensation for each of the Advisors’ services, the Company agreed to issue (i) 25,000 shares of its common stock, par value $0.001 to First Finance, (ii) 90,000 shares of its common stock to Betelgeuse Capital Advisors Inc., (iii) 140,000 shares of its common stock to Gang</w:t>
      </w:r>
      <w:bookmarkStart w:id="264" w:name="fs_MTD4ETQK6O00000000000000000000fs"/>
      <w:bookmarkEnd w:id="264"/>
      <w:r>
        <w:rPr>
          <w:rFonts w:ascii="times new roman;times" w:hAnsi="times new roman;times"/>
          <w:sz w:val="20"/>
        </w:rPr>
        <w:t xml:space="preserve">3 Capital Ltd. and (iv) 600,000 shares of its common stock to JJK Holdings Ltd. Each Advisor Agreement is effective as of June 1, 2026 and will continue until the earlier of (i) final completion of the services set out in each Advisor Agreement, or (ii) the Advisor providing </w:t>
      </w:r>
      <w:bookmarkStart w:id="265" w:name="fs_DWFRIA3JNK00000000000000000000fs"/>
      <w:bookmarkEnd w:id="265"/>
      <w:r>
        <w:rPr>
          <w:rFonts w:ascii="times new roman;times" w:hAnsi="times new roman;times"/>
          <w:sz w:val="20"/>
        </w:rPr>
        <w:t>ten business days’ prior written notice to the Company, which period may be waived in whole or in part at the Company’s sole discretion. The Advisor Agreements were entered into in connection with the Merger Agreement.</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left"/>
        <w:rPr>
          <w:rFonts w:ascii="times new roman;times" w:hAnsi="times new roman;times" w:eastAsia="times new roman;times" w:cs="times new roman;times"/>
          <w:sz w:val="20"/>
          <w:szCs w:val="20"/>
        </w:rPr>
      </w:pPr>
      <w:r>
        <w:rPr>
          <w:rFonts w:eastAsia="times new roman;times" w:cs="times new roman;times" w:ascii="times new roman;times" w:hAnsi="times new roman;times"/>
          <w:sz w:val="20"/>
          <w:szCs w:val="20"/>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bookmarkStart w:id="266" w:name="PageBreakNo24"/>
            <w:bookmarkEnd w:id="266"/>
            <w:r>
              <w:rPr>
                <w:rFonts w:ascii="times new roman;times" w:hAnsi="times new roman;times"/>
                <w:sz w:val="20"/>
              </w:rPr>
              <w:t>24</w:t>
            </w:r>
          </w:p>
        </w:tc>
      </w:tr>
    </w:tbl>
    <w:p>
      <w:pPr>
        <w:pStyle w:val="TextBody"/>
        <w:bidi w:val="0"/>
        <w:spacing w:lineRule="auto" w:line="288"/>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jc w:val="left"/>
        <w:rPr/>
      </w:pPr>
      <w:r>
        <w:rPr/>
      </w:r>
    </w:p>
    <w:p>
      <w:pPr>
        <w:pStyle w:val="TextBody"/>
        <w:bidi w:val="0"/>
        <w:spacing w:lineRule="auto" w:line="288"/>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pPr>
      <w:hyperlink r:id="rId10">
        <w:bookmarkStart w:id="267" w:name="BG_ZROYRYR1OG00000000000000000000"/>
        <w:bookmarkEnd w:id="267"/>
        <w:r>
          <w:rPr>
            <w:rStyle w:val="InternetLink"/>
            <w:rFonts w:ascii="times new roman;times" w:hAnsi="times new roman;times"/>
            <w:b/>
            <w:strike w:val="false"/>
            <w:dstrike w:val="false"/>
            <w:color w:val="000000"/>
            <w:sz w:val="20"/>
            <w:u w:val="none"/>
            <w:effect w:val="none"/>
          </w:rPr>
          <w:t xml:space="preserve">Item </w:t>
        </w:r>
      </w:hyperlink>
      <w:hyperlink r:id="rId11">
        <w:bookmarkStart w:id="268" w:name="fs_BMFT3MDC7400000000000000000000fs"/>
        <w:bookmarkEnd w:id="268"/>
        <w:r>
          <w:rPr>
            <w:rStyle w:val="InternetLink"/>
            <w:rFonts w:ascii="times new roman;times" w:hAnsi="times new roman;times"/>
            <w:b/>
            <w:strike w:val="false"/>
            <w:dstrike w:val="false"/>
            <w:color w:val="000000"/>
            <w:sz w:val="20"/>
            <w:u w:val="none"/>
            <w:effect w:val="none"/>
          </w:rPr>
          <w:t>2</w:t>
        </w:r>
      </w:hyperlink>
      <w:hyperlink r:id="rId12">
        <w:r>
          <w:rPr>
            <w:rStyle w:val="InternetLink"/>
            <w:rFonts w:ascii="times new roman;times" w:hAnsi="times new roman;times"/>
            <w:b/>
            <w:strike w:val="false"/>
            <w:dstrike w:val="false"/>
            <w:color w:val="000000"/>
            <w:sz w:val="20"/>
            <w:u w:val="none"/>
            <w:effect w:val="none"/>
          </w:rPr>
          <w:t>. MANAGEMENT’S DISCUSSION AND ANALYSIS OF FINANCIAL CONDITION AND RESULTS OF OPERATIONS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This report on Form 10-Q includes “forward-looking statements” within the meaning of Section 27A of the Securities Act of 1933, as amended, and Section 21E of the Securities Exchange Act of 1934, as amended (the “Exchange Act”). All statements in this report, other than statements of historical fact, are forward-looking statements for purposes of these provisions, including any projections of earnings, revenues or other financial items, any statements of the plans and objectives of management for future operations, any statements concerning proposed new products or services, any statements regarding future economic conditions or performance, and any statements of assumptions underlying any of the foregoing. All forward-looking statements included in this report are made as of the date hereof and are based on information available to us as of such date. We assume no obligation to update any forward-looking statement. In some cases, forward-looking statements can be identified by the use of terminology such as “may,” “will,” “expects,” “plans,” “anticipates,” “intends,” “believes,” “estimates,” “potential,” or “continue,” or the negative thereof or other comparable terminology. Although we believe that the expectations reflected in the forward-looking statements contained herein are based upon reasonable assumptions at the time made, there can be no assurance that any such expectations or any forward-looking statement will prove to be correct. Our actual results will vary, and may vary materially, from those projected or assumed in the forward-looking statements. Future financial condition and results of operations, as well as any forward-looking statements, are subject to inherent risks and uncertainties, many of which we cannot predict with accuracy and some of which we might not anticipate, including, without limitation, statements regarding the Merger and the Financing described below, including the timing and likelihood of their completion; the effectiveness of a registration statement on Form S-1; the Company's ability to satisfy Nasdaq's initial listing requirements in connection with the change of control resulting from the Merger and to maintain compliance with Nasdaq's continued listing standards; the receipt of required stockholder approvals; the possibility that the Merger Agreement may be terminated; substantial doubt about the Company's ability to continue as a going concern; the Company's liquidity and its sources of and need for future financing; the fulfillment of legacy product warranty obligations and collection of remaining receivables; and other factors referred to in our reports filed with the SEC, including our Annual Report on Form 10-K for the year ended </w:t>
      </w:r>
      <w:bookmarkStart w:id="269" w:name="fs_8JRYLUD8Z400000000000000000000FM"/>
      <w:bookmarkEnd w:id="269"/>
      <w:r>
        <w:rPr>
          <w:rFonts w:ascii="times new roman;times" w:hAnsi="times new roman;times"/>
          <w:sz w:val="20"/>
        </w:rPr>
        <w:t xml:space="preserve">December 31, 2025. All subsequent forward-looking statements attributable to us or persons acting on our behalf are expressly qualified in their entirety by these cautionary statements. Additional factors that may have a direct bearing on our operating results are discussed in Part I, Item 1A “Risk Factors” in our Annual Report on Form 10-K for the year ended </w:t>
      </w:r>
      <w:bookmarkStart w:id="270" w:name="fs_RMX3V3IWY800000000000000000000FM"/>
      <w:bookmarkEnd w:id="270"/>
      <w:r>
        <w:rPr>
          <w:rFonts w:ascii="times new roman;times" w:hAnsi="times new roman;times"/>
          <w:sz w:val="20"/>
        </w:rPr>
        <w:t xml:space="preserve">December 31, 2025. Beginning September 30, 2025, we classified substantially all operating assets related to our product business as held for sale and began presenting the results of that component as discontinued operations. Accordingly, the discussion below focuses on continuing operations unless otherwise indicated. See Note 2.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BUSINESS OVERVIEW</w:t>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ClearOne, Inc. (the “Company,” “we,” “us,” or “our”) was historically a global provider of conferencing, collaboration, and AV streaming solutions for voice and visual communications. Following the October 24, 2025 disposition of substantially all operating assets and intellectual property to Biamp Systems, LLC (the “Asset Sale”), the Company no longer manufactures or sells products. Our continuing operations are now limited to (i) fulfilling warranty and technical support obligations for legacy products, (ii) maintaining public-company compliance and governance, (iii) collecting accounts receivable and recovering prepaid assets and (iv) evaluating and pursuing strategic alternatives to maximize stockholder value, which resulted in the Agreement and Plan of Merger Agreement described below.</w:t>
      </w:r>
    </w:p>
    <w:p>
      <w:pPr>
        <w:pStyle w:val="TextBody"/>
        <w:bidi w:val="0"/>
        <w:spacing w:lineRule="auto" w:line="288" w:before="0" w:after="0"/>
        <w:ind w:left="0" w:right="0" w:hanging="0"/>
        <w:jc w:val="left"/>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On July 1, 2026, the Company entered into an Agreement and Plan of Merger (the "Merger Agreement") by and among the Company, CLRO Merger Sub, Inc., a wholly owned subsidiary of the Company ("Merger Sub"), Cortigent, Inc. ("Cortigent"), and Vivani Medical, Inc. ("Vivani"), pursuant to which, subject to satisfaction or waiver of certain conditions, Merger Sub will merge with and into Cortigent, with Cortigent surviving as a wholly owned subsidiary of the Company (the "Merger"). The transaction is expected to be accounted for as a reverse recapitalization, with Cortigent treated as the accounting acquirer. Consummation is subject to the Financing as described, effectiveness of a registration statement on Form S-1, Nasdaq approval of an initial listing application resulting from the change-of-control determination described below, stockholder approvals, and other customary conditions. See Note 14 — Subsequent Events. The following discussion of the Company's historical results of operations should be read in that context, as the Company's continuing operations are expected to change substantially upon completion of the Merger.</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bookmarkStart w:id="271" w:name="PageBreakNo25"/>
            <w:bookmarkEnd w:id="271"/>
            <w:r>
              <w:rPr>
                <w:rFonts w:ascii="times new roman;times" w:hAnsi="times new roman;times"/>
                <w:sz w:val="20"/>
              </w:rPr>
              <w:t>25</w:t>
            </w:r>
          </w:p>
        </w:tc>
      </w:tr>
    </w:tbl>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before="0" w:after="200"/>
        <w:ind w:left="0" w:right="0" w:hanging="0"/>
        <w:jc w:val="both"/>
        <w:rPr>
          <w:rFonts w:ascii="times new roman;times" w:hAnsi="times new roman;times"/>
          <w:b/>
          <w:sz w:val="20"/>
        </w:rPr>
      </w:pPr>
      <w:r>
        <w:rPr>
          <w:rFonts w:ascii="times new roman;times" w:hAnsi="times new roman;times"/>
          <w:b/>
          <w:sz w:val="20"/>
        </w:rPr>
        <w:t>MANAGEMENT’S DISCUSSION AND ANALYSIS OF FINANCIAL CONDITION AND RESULTS OF OPERATIONS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In September 2025, the Company’s Board of Directors approved a plan (the “Strategic Plan”) to seek the sale of a significant portion of the Company’s operating assets related to its product business, reduce the Company’s continuing operations to warranty and product support, and position the Company as a reverse merger vehicle for a possible strategic transaction (a “Strategic Transaction”). Accordingly, as of September 30, 2025, we classified the related disposal group of assets as held for sale and measured it at the lower of carrying amount or fair value less costs to sell; the assets held for sale were sold in October 2025 and certain assets and liabilities related to discontinued operations remained after the October 2025 sale (see Note </w:t>
      </w:r>
      <w:bookmarkStart w:id="272" w:name="fs_ZZXMUVT2YO00000000000000000000fs"/>
      <w:bookmarkEnd w:id="272"/>
      <w:r>
        <w:rPr>
          <w:rFonts w:ascii="times new roman;times" w:hAnsi="times new roman;times"/>
          <w:sz w:val="20"/>
        </w:rPr>
        <w:t>2 — Discontinued Operations and Assets Held for Sale). Because the planned disposal represents a strategic shift that will have a significant effect on our operations and financial results, we present the results of that component as discontinued operations for all periods shown. Accordingly, this MD&amp;A discusses continuing operations separately from discontinued operations where relevant.</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Strategic actions during </w:t>
      </w:r>
      <w:bookmarkStart w:id="273" w:name="fs_VVJNAS2F2800000000000000000000fs"/>
      <w:bookmarkEnd w:id="273"/>
      <w:r>
        <w:rPr>
          <w:rFonts w:ascii="times new roman;times" w:hAnsi="times new roman;times"/>
          <w:sz w:val="20"/>
        </w:rPr>
        <w:t xml:space="preserve">2025 and </w:t>
      </w:r>
      <w:bookmarkStart w:id="274" w:name="fs_MDTRJD04IO00000000000000000000fs"/>
      <w:bookmarkEnd w:id="274"/>
      <w:r>
        <w:rPr>
          <w:rFonts w:ascii="times new roman;times" w:hAnsi="times new roman;times"/>
          <w:sz w:val="20"/>
        </w:rPr>
        <w:t>2026</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July 2025</w:t>
      </w:r>
      <w:r>
        <w:rPr>
          <w:rFonts w:ascii="times new roman;times" w:hAnsi="times new roman;times"/>
          <w:sz w:val="20"/>
        </w:rPr>
        <w:t xml:space="preserve"> – Issuance of Class A Redeemable Preferred Stock as a special stock dividend and automatic conversion of the $</w:t>
      </w:r>
      <w:bookmarkStart w:id="275" w:name="fs_YYMCGVXMIO00000000000000000000fs"/>
      <w:bookmarkEnd w:id="275"/>
      <w:r>
        <w:rPr>
          <w:rFonts w:ascii="times new roman;times" w:hAnsi="times new roman;times"/>
          <w:sz w:val="20"/>
        </w:rPr>
        <w:t xml:space="preserve">3.0 million convertible note into Class B Convertible Preferred Stock (see Notes </w:t>
      </w:r>
      <w:bookmarkStart w:id="276" w:name="fs_FSTPVQOSWG00000000000000000000fs"/>
      <w:bookmarkEnd w:id="276"/>
      <w:r>
        <w:rPr>
          <w:rFonts w:ascii="times new roman;times" w:hAnsi="times new roman;times"/>
          <w:sz w:val="20"/>
        </w:rPr>
        <w:t xml:space="preserve">3 and </w:t>
      </w:r>
      <w:bookmarkStart w:id="277" w:name="fs_GJV64RGQV400000000000000000000fs"/>
      <w:bookmarkEnd w:id="277"/>
      <w:r>
        <w:rPr>
          <w:rFonts w:ascii="times new roman;times" w:hAnsi="times new roman;times"/>
          <w:sz w:val="20"/>
        </w:rPr>
        <w:t>4).</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September 2025</w:t>
      </w:r>
      <w:r>
        <w:rPr>
          <w:rFonts w:ascii="times new roman;times" w:hAnsi="times new roman;times"/>
          <w:sz w:val="20"/>
        </w:rPr>
        <w:t xml:space="preserve"> – Repurchase and cancellation of certain then-outstanding warrants (see Note </w:t>
      </w:r>
      <w:bookmarkStart w:id="278" w:name="fs_NLVNUAIHNK00000000000000000000fs"/>
      <w:bookmarkEnd w:id="278"/>
      <w:r>
        <w:rPr>
          <w:rFonts w:ascii="times new roman;times" w:hAnsi="times new roman;times"/>
          <w:sz w:val="20"/>
        </w:rPr>
        <w:t>5).</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October 24, 2025</w:t>
      </w:r>
      <w:r>
        <w:rPr>
          <w:rFonts w:ascii="times new roman;times" w:hAnsi="times new roman;times"/>
          <w:sz w:val="20"/>
        </w:rPr>
        <w:t xml:space="preserve"> – Completion of the Asset Sale to Biamp Systems, LLC for $</w:t>
      </w:r>
      <w:bookmarkStart w:id="279" w:name="fs_X760YGA5RK00000000000000000000fs"/>
      <w:bookmarkEnd w:id="279"/>
      <w:r>
        <w:rPr>
          <w:rFonts w:ascii="times new roman;times" w:hAnsi="times new roman;times"/>
          <w:sz w:val="20"/>
        </w:rPr>
        <w:t xml:space="preserve">3.0 million in cash. The transaction represented a strategic shift that had a major effect on the Company’s operations and financial results. The results of the disposed component are presented as discontinued operations for all periods presented (see Note </w:t>
      </w:r>
      <w:bookmarkStart w:id="280" w:name="fs_502BIDYH0W00000000000000000000fs"/>
      <w:bookmarkEnd w:id="280"/>
      <w:r>
        <w:rPr>
          <w:rFonts w:ascii="times new roman;times" w:hAnsi="times new roman;times"/>
          <w:sz w:val="20"/>
        </w:rPr>
        <w:t>2).</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March 2, 2026</w:t>
      </w:r>
      <w:r>
        <w:rPr>
          <w:rFonts w:ascii="times new roman;times" w:hAnsi="times new roman;times"/>
          <w:sz w:val="20"/>
        </w:rPr>
        <w:t xml:space="preserve"> – Private placement with First Finance Ltd. (“First Finance”), the Company's largest stockholder, for </w:t>
      </w:r>
      <w:bookmarkStart w:id="281" w:name="fs_4HQXPNCDHC00000000000000000000fs"/>
      <w:bookmarkEnd w:id="281"/>
      <w:r>
        <w:rPr>
          <w:rFonts w:ascii="times new roman;times" w:hAnsi="times new roman;times"/>
          <w:sz w:val="20"/>
        </w:rPr>
        <w:t xml:space="preserve">437,500 shares and a warrant to purchase </w:t>
      </w:r>
      <w:bookmarkStart w:id="282" w:name="fs_7MI4LEJ91S00000000000000000000fs"/>
      <w:bookmarkEnd w:id="282"/>
      <w:r>
        <w:rPr>
          <w:rFonts w:ascii="times new roman;times" w:hAnsi="times new roman;times"/>
          <w:sz w:val="20"/>
        </w:rPr>
        <w:t xml:space="preserve">437,500 additional shares (see Note </w:t>
      </w:r>
      <w:r>
        <w:rPr>
          <w:rFonts w:ascii="times new roman;times" w:hAnsi="times new roman;times"/>
          <w:sz w:val="20"/>
        </w:rPr>
        <w:t>10</w:t>
      </w:r>
      <w:r>
        <w:rPr>
          <w:rFonts w:ascii="times new roman;times" w:hAnsi="times new roman;times"/>
          <w:sz w:val="20"/>
        </w:rPr>
        <w:t>).</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March 9, 2026</w:t>
      </w:r>
      <w:r>
        <w:rPr>
          <w:rFonts w:ascii="times new roman;times" w:hAnsi="times new roman;times"/>
          <w:sz w:val="20"/>
        </w:rPr>
        <w:t xml:space="preserve"> – Repurchase of </w:t>
      </w:r>
      <w:bookmarkStart w:id="283" w:name="fs_ZV6RE1K2SG00000000000000000000fs"/>
      <w:bookmarkEnd w:id="283"/>
      <w:r>
        <w:rPr>
          <w:rFonts w:ascii="times new roman;times" w:hAnsi="times new roman;times"/>
          <w:sz w:val="20"/>
        </w:rPr>
        <w:t xml:space="preserve">24,155 warrants from CVI Investments, Inc. (see Note </w:t>
      </w:r>
      <w:bookmarkStart w:id="284" w:name="fs_KKDK9I9CB400000000000000000000fs"/>
      <w:bookmarkEnd w:id="284"/>
      <w:r>
        <w:rPr>
          <w:rFonts w:ascii="times new roman;times" w:hAnsi="times new roman;times"/>
          <w:sz w:val="20"/>
        </w:rPr>
        <w:t>5).</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April 1, 2026</w:t>
      </w:r>
      <w:r>
        <w:rPr>
          <w:rFonts w:ascii="times new roman;times" w:hAnsi="times new roman;times"/>
          <w:sz w:val="20"/>
        </w:rPr>
        <w:t xml:space="preserve"> – Transition of CEO Derek Graham to a consulting arrangement (as reported on our Current Report on Form 8-K filed April 3, 2026).</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April 7, 2026</w:t>
      </w:r>
      <w:r>
        <w:rPr>
          <w:rFonts w:ascii="times new roman;times" w:hAnsi="times new roman;times"/>
          <w:sz w:val="20"/>
        </w:rPr>
        <w:t xml:space="preserve"> – Termination of the Edgewater Corporate Park lease and receipt of Nasdaq continued listing deficiency notice (see Note 9 and Part II, Item 1A).</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April 10, 2026</w:t>
      </w:r>
      <w:r>
        <w:rPr>
          <w:rFonts w:ascii="times new roman;times" w:hAnsi="times new roman;times"/>
          <w:sz w:val="20"/>
        </w:rPr>
        <w:t xml:space="preserve"> – Board of Directors' approval of Class A Preferred Stock redemption at par (April 21, 2026) (see Note </w:t>
      </w:r>
      <w:bookmarkStart w:id="285" w:name="fs_7LKVMYPB0G00000000000000000000fs"/>
      <w:bookmarkEnd w:id="285"/>
      <w:r>
        <w:rPr>
          <w:rFonts w:ascii="times new roman;times" w:hAnsi="times new roman;times"/>
          <w:sz w:val="20"/>
        </w:rPr>
        <w:t>3).</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April 22, 2026</w:t>
      </w:r>
      <w:r>
        <w:rPr>
          <w:rFonts w:ascii="times new roman;times" w:hAnsi="times new roman;times"/>
          <w:sz w:val="20"/>
        </w:rPr>
        <w:t xml:space="preserve"> – Completion of reincorporation from Delaware to Nevada (see Note </w:t>
      </w:r>
      <w:bookmarkStart w:id="286" w:name="fs_EKYYXV11WG00000000000000000000fs"/>
      <w:bookmarkEnd w:id="286"/>
      <w:r>
        <w:rPr>
          <w:rFonts w:ascii="times new roman;times" w:hAnsi="times new roman;times"/>
          <w:sz w:val="20"/>
        </w:rPr>
        <w:t>1).</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June 30, 2026</w:t>
      </w:r>
      <w:r>
        <w:rPr>
          <w:rFonts w:ascii="times new roman;times" w:hAnsi="times new roman;times"/>
          <w:sz w:val="20"/>
        </w:rPr>
        <w:t xml:space="preserve"> – Entry into a $1.0 million related party loan facility with First Finance (see Note 4).</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July 1, 2026</w:t>
      </w:r>
      <w:r>
        <w:rPr>
          <w:rFonts w:ascii="times new roman;times" w:hAnsi="times new roman;times"/>
          <w:sz w:val="20"/>
        </w:rPr>
        <w:t xml:space="preserve"> – Entry into Merger Agreement (see Note 14).</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July 8, 2026</w:t>
      </w:r>
      <w:r>
        <w:rPr>
          <w:rFonts w:ascii="times new roman;times" w:hAnsi="times new roman;times"/>
          <w:sz w:val="20"/>
        </w:rPr>
        <w:t xml:space="preserve"> – Receipt of Nasdaq determination that the Merger constitutes a change of control under Listing Rule 5110(a) (see Note 14).</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July 17, 2026</w:t>
      </w:r>
      <w:r>
        <w:rPr>
          <w:rFonts w:ascii="times new roman;times" w:hAnsi="times new roman;times"/>
          <w:sz w:val="20"/>
        </w:rPr>
        <w:t xml:space="preserve"> – Adoption of the 2026 Omnibus Incentive Plan and filing of a preliminary information statement on Schedule 14C (see Note 14).</w:t>
      </w:r>
      <w:r>
        <w:rPr>
          <w:sz w:val="20"/>
        </w:rPr>
        <w:t xml:space="preserve"> </w:t>
      </w:r>
    </w:p>
    <w:p>
      <w:pPr>
        <w:pStyle w:val="TextBody"/>
        <w:numPr>
          <w:ilvl w:val="0"/>
          <w:numId w:val="3"/>
        </w:numPr>
        <w:tabs>
          <w:tab w:val="clear" w:pos="1134"/>
          <w:tab w:val="left" w:pos="709" w:leader="none"/>
        </w:tabs>
        <w:bidi w:val="0"/>
        <w:spacing w:lineRule="atLeast" w:line="240" w:before="0" w:after="200"/>
        <w:ind w:left="709" w:right="0" w:hanging="475"/>
        <w:jc w:val="both"/>
        <w:rPr>
          <w:sz w:val="20"/>
        </w:rPr>
      </w:pPr>
      <w:r>
        <w:rPr>
          <w:rFonts w:ascii="times new roman;times" w:hAnsi="times new roman;times"/>
          <w:b/>
          <w:sz w:val="20"/>
        </w:rPr>
        <w:t>July 31, 2026</w:t>
      </w:r>
      <w:r>
        <w:rPr>
          <w:rFonts w:ascii="times new roman;times" w:hAnsi="times new roman;times"/>
          <w:sz w:val="20"/>
        </w:rPr>
        <w:t xml:space="preserve"> – Entry into an employment agreement with the Company's Chief Financial Officer, effective upon completion of the Merger (see Note 14).</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August 3, 2026</w:t>
      </w:r>
      <w:r>
        <w:rPr>
          <w:rFonts w:ascii="times new roman;times" w:hAnsi="times new roman;times"/>
          <w:sz w:val="20"/>
        </w:rPr>
        <w:t xml:space="preserve"> – Approval by written consent of holders of approximately 61.3% of the voting power of the issuance of the Consideration Shares and the adoption of the 2026 Omnibus Incentive Plan (see Note 14).</w:t>
      </w:r>
      <w:r>
        <w:rPr>
          <w:sz w:val="20"/>
        </w:rPr>
        <w:t xml:space="preserve"> </w:t>
      </w:r>
    </w:p>
    <w:p>
      <w:pPr>
        <w:pStyle w:val="TextBody"/>
        <w:numPr>
          <w:ilvl w:val="0"/>
          <w:numId w:val="3"/>
        </w:numPr>
        <w:tabs>
          <w:tab w:val="clear" w:pos="1134"/>
          <w:tab w:val="left" w:pos="709" w:leader="none"/>
        </w:tabs>
        <w:bidi w:val="0"/>
        <w:spacing w:lineRule="atLeast" w:line="240" w:before="0" w:after="200"/>
        <w:ind w:left="709" w:hanging="283"/>
        <w:jc w:val="both"/>
        <w:rPr>
          <w:sz w:val="20"/>
        </w:rPr>
      </w:pPr>
      <w:r>
        <w:rPr>
          <w:rFonts w:ascii="times new roman;times" w:hAnsi="times new roman;times"/>
          <w:b/>
          <w:sz w:val="20"/>
        </w:rPr>
        <w:t>August 4, 2026</w:t>
      </w:r>
      <w:r>
        <w:rPr>
          <w:rFonts w:ascii="times new roman;times" w:hAnsi="times new roman;times"/>
          <w:sz w:val="20"/>
        </w:rPr>
        <w:t xml:space="preserve"> – Cancellation of the March 2, 2026 warrant to purchase 437,500 shares in connection with the Merger (see Notes 5 and 14).</w:t>
      </w:r>
      <w:r>
        <w:rPr>
          <w:sz w:val="20"/>
        </w:rPr>
        <w:t xml:space="preserve"> </w:t>
      </w:r>
    </w:p>
    <w:p>
      <w:pPr>
        <w:pStyle w:val="TextBody"/>
        <w:numPr>
          <w:ilvl w:val="0"/>
          <w:numId w:val="3"/>
        </w:numPr>
        <w:tabs>
          <w:tab w:val="clear" w:pos="1134"/>
          <w:tab w:val="left" w:pos="709" w:leader="none"/>
        </w:tabs>
        <w:bidi w:val="0"/>
        <w:spacing w:before="0" w:after="283"/>
        <w:ind w:left="709" w:hanging="283"/>
        <w:jc w:val="both"/>
        <w:rPr>
          <w:sz w:val="20"/>
        </w:rPr>
      </w:pPr>
      <w:r>
        <w:rPr>
          <w:rFonts w:ascii="times new roman;times" w:hAnsi="times new roman;times"/>
          <w:b/>
          <w:sz w:val="20"/>
        </w:rPr>
        <w:t>August 10, 2026</w:t>
      </w:r>
      <w:r>
        <w:rPr>
          <w:rFonts w:ascii="times new roman;times" w:hAnsi="times new roman;times"/>
          <w:sz w:val="20"/>
        </w:rPr>
        <w:t xml:space="preserve"> – Filing of a registration statement on Form S-1 for the concurrent Merger financing of between $10.0 million and $15.0 million (see Note 14).</w:t>
      </w:r>
      <w:r>
        <w:rPr>
          <w:sz w:val="20"/>
        </w:rPr>
        <w:t xml:space="preserve">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bookmarkStart w:id="287" w:name="PageBreakNo26"/>
            <w:bookmarkEnd w:id="287"/>
            <w:r>
              <w:rPr>
                <w:rFonts w:ascii="times new roman;times" w:hAnsi="times new roman;times"/>
                <w:sz w:val="20"/>
              </w:rPr>
              <w:t>26</w:t>
            </w:r>
          </w:p>
        </w:tc>
      </w:tr>
    </w:tbl>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left"/>
        <w:rPr/>
      </w:pPr>
      <w:r>
        <w:rPr/>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Operating context</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Following the Asset Sale, our continuing operations generate no revenue and consist primarily of warranty support, collecting accounts receivable and recovering prepaid assets, public-company compliance costs, and restructuring activities. Management's primary focus is preserving liquidity and completing the Merger described above and in Note 14 — Subsequent Events. The Company has incurred net losses and used cash in operations, and substantial doubt exists about its ability to continue as a going concern (see Note 1 – Going Concern).</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Continuing operations and post-disposition plan</w:t>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Following the Asset Sale on October 24, 2025, our continuing operations are limited to (i) fulfilling warranty and technical support obligations for legacy products, (ii) maintaining public-company compliance and governance, (iii) collecting accounts receivable and recovering prepaid assets and (iv) and pursuing strategic alternatives to maximize stockholder value, which resulted in the Merger Agreement described above and in Note 14 — Subsequent Events. We do not expect to generate revenue from continuing operations in the foreseeable future.</w:t>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Warranty support activities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retained responsibility for legacy product support and warranty obligations. The Company maintains a small technical support function and limited service inventory to honor these obligations. No service or parts revenue was recognized, in continuing operations during the periods presented. We evaluate warranty accruals each period and adjust estimates based on observed claim rates and resolution costs.</w:t>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Corporate infrastructure and compliance</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maintain a lean corporate staff, including accounting/finance, IT, and senior management (CEO/CFO). Ongoing costs include audit and tax services, legal and advisory fees, SEC reporting, D&amp;O insurance, IT/licensing, and Board of Directors' and compliance expenses.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Monetization of residual assets and settlement of obligations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Management's near-term priorities include completing the Merger and the Financing described in Note 14, monetizing any remaining assets, collecting receivables, and settling liabilities. The Class A Redeemable Preferred Stock was redeemed at par on April 21, 2026 (see Note 3), and all three facility leases had been terminated by April 7, 2026 (see Note 9).</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Presentation and comparability</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Results of the disposed product business are presented as discontinued operations for all periods shown. Continuing operations primarily comprise warranty support, corporate and restructuring costs. The balance sheet reflects assets and liabilities related to discontinued operations. The statement of operations presents (loss) from continuing operations separately from gain (loss) from discontinued operations, net of tax, and basic/diluted income (loss) per share is shown for continuing operations, discontinued operations, and total (see Note </w:t>
      </w:r>
      <w:bookmarkStart w:id="288" w:name="fs_86XRE2IRM800000000000000000000fs"/>
      <w:bookmarkEnd w:id="288"/>
      <w:r>
        <w:rPr>
          <w:rFonts w:ascii="times new roman;times" w:hAnsi="times new roman;times"/>
          <w:sz w:val="20"/>
        </w:rPr>
        <w:t>7</w:t>
      </w:r>
      <w:r>
        <w:rPr>
          <w:rFonts w:ascii="times new roman;times" w:hAnsi="times new roman;times"/>
          <w:sz w:val="20"/>
        </w:rPr>
        <w:t xml:space="preserve"> — Income (Loss) Per Share).</w:t>
      </w:r>
    </w:p>
    <w:p>
      <w:pPr>
        <w:pStyle w:val="TextBody"/>
        <w:bidi w:val="0"/>
        <w:spacing w:lineRule="auto" w:line="288" w:before="0" w:after="0"/>
        <w:ind w:left="0" w:right="0" w:hanging="0"/>
        <w:jc w:val="both"/>
        <w:rPr/>
      </w:pPr>
      <w:r>
        <w:rPr/>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Critical accounting estimates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classification of the disposal group of assets as held for sale and presentation as discontinued operations required management to make significant estimates, including the measurement of fair value less the costs to sell, of the disposal group (ASC </w:t>
      </w:r>
      <w:bookmarkStart w:id="289" w:name="fs_AYUC7M1XZ400000000000000000000fs"/>
      <w:bookmarkEnd w:id="289"/>
      <w:r>
        <w:rPr>
          <w:rFonts w:ascii="times new roman;times" w:hAnsi="times new roman;times"/>
          <w:sz w:val="20"/>
        </w:rPr>
        <w:t xml:space="preserve">360) and the warranty obligation retained by the Company (ASC </w:t>
      </w:r>
      <w:bookmarkStart w:id="290" w:name="fs_XWFHEWX3RK00000000000000000000fs"/>
      <w:bookmarkEnd w:id="290"/>
      <w:r>
        <w:rPr>
          <w:rFonts w:ascii="times new roman;times" w:hAnsi="times new roman;times"/>
          <w:sz w:val="20"/>
        </w:rPr>
        <w:t>460). These estimates use assumptions regarding market participant pricing, transaction costs, expected claim rates and unit repair costs. Actual results could differ materially from these estimates.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bookmarkStart w:id="291" w:name="PageBreakNo27"/>
            <w:bookmarkEnd w:id="291"/>
            <w:r>
              <w:rPr>
                <w:rFonts w:ascii="times new roman;times" w:hAnsi="times new roman;times"/>
                <w:sz w:val="20"/>
              </w:rPr>
              <w:t>27</w:t>
            </w:r>
          </w:p>
        </w:tc>
      </w:tr>
    </w:tbl>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Liquidity and going-concern considerations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have incurred net losses and used cash in operations for the periods presented. Our ability to meet obligations as they come due depends on the $1.0 million related party loan facility with First Finance (see Note 4) and on completion of the Merger and the concurrent registered financing of between $10.0 million and $15.0 million pursuant to the Company’s registration statement on Form S-1 filed on August 10, 2026 for a best-efforts offering of a minimum of 2,857,142 units and a maximum of 4,285,714 units (the “Units) at $3.50 per Unit, to raise minimum aggregate gross proceeds of $10.0 million and maximum aggregate gross proceeds of $15.0 million (the "Financing"). Each Unit is comprised of one share of common stock and one warrant. The Warrants will initially have an exercise price of $10.00 per share of common stock, will be exercisable immediately, and will expire six months from the date of issuance. Completion of the Merger and the Financing is subject to conditions outside our control, including effectiveness of a registration statement on Form S-1, Nasdaq approval of an initial listing application, and stockholder approvals. These conditions raise substantial doubt about our ability to continue as a going concern within one year after the date these financial statements are issued, and management has concluded that its plans do not alleviate that doubt. See Note 1 — Going Concern for additional information.</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Key risks and uncertainties</w:t>
      </w:r>
    </w:p>
    <w:p>
      <w:pPr>
        <w:pStyle w:val="TextBody"/>
        <w:bidi w:val="0"/>
        <w:spacing w:lineRule="auto" w:line="288" w:before="0" w:after="0"/>
        <w:ind w:left="0" w:right="0" w:hanging="0"/>
        <w:jc w:val="both"/>
        <w:rPr/>
      </w:pPr>
      <w:r>
        <w:rPr/>
        <w:t>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Execution of the Merger involves risks, including the possibility that the Merger or the Financing is not completed, that the post-transaction entity does not satisfy Nasdaq's initial listing requirements, warranty claim variability, and the cost and availability of essential public-company services. Actual outcomes may differ materially from current expectations.</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Off-balance sheet arrangements</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 xml:space="preserve">We had no off-balance sheet arrangements as of </w:t>
      </w:r>
      <w:bookmarkStart w:id="292" w:name="fs_39MHTKLM3K00000000000000000000FM"/>
      <w:bookmarkEnd w:id="292"/>
      <w:r>
        <w:rPr>
          <w:rFonts w:ascii="times new roman;times" w:hAnsi="times new roman;times"/>
          <w:sz w:val="20"/>
        </w:rPr>
        <w:t>June 30, 2026.</w:t>
      </w:r>
    </w:p>
    <w:p>
      <w:pPr>
        <w:pStyle w:val="TextBody"/>
        <w:bidi w:val="0"/>
        <w:spacing w:lineRule="auto" w:line="288" w:before="0" w:after="0"/>
        <w:ind w:left="0" w:right="0" w:hanging="0"/>
        <w:jc w:val="left"/>
        <w:rPr>
          <w:rFonts w:ascii="times new roman;times" w:hAnsi="times new roman;times"/>
          <w:i/>
          <w:sz w:val="20"/>
        </w:rPr>
      </w:pPr>
      <w:r>
        <w:rPr>
          <w:rFonts w:ascii="times new roman;times" w:hAnsi="times new roman;times"/>
          <w:i/>
          <w:sz w:val="20"/>
        </w:rPr>
        <w:t>Deferred Product Revenue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Deferred product revenue decreased to $</w:t>
      </w:r>
      <w:bookmarkStart w:id="293" w:name="fs_VL8J9MERG000000000000000000000fs"/>
      <w:bookmarkEnd w:id="293"/>
      <w:r>
        <w:rPr>
          <w:rFonts w:ascii="times new roman;times" w:hAnsi="times new roman;times"/>
          <w:sz w:val="20"/>
        </w:rPr>
        <w:t>0 at both </w:t>
      </w:r>
      <w:bookmarkStart w:id="294" w:name="fs_UVVM2XQLEO00000000000000000000FM"/>
      <w:bookmarkEnd w:id="294"/>
      <w:r>
        <w:rPr>
          <w:rFonts w:ascii="times new roman;times" w:hAnsi="times new roman;times"/>
          <w:sz w:val="20"/>
        </w:rPr>
        <w:t>June 30, 2026 and </w:t>
      </w:r>
      <w:bookmarkStart w:id="295" w:name="fs_EA4CJENKCG00000000000000000000FM"/>
      <w:bookmarkEnd w:id="295"/>
      <w:r>
        <w:rPr>
          <w:rFonts w:ascii="times new roman;times" w:hAnsi="times new roman;times"/>
          <w:sz w:val="20"/>
        </w:rPr>
        <w:t>December 31, 2025.</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A detailed discussion of our results of operations follows below.</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MANAGEMENT’S DISCUSSION AND ANALYSIS OF FINANCIAL CONDITION AND RESULTS OF OPERATIONS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color w:val="000000"/>
          <w:sz w:val="20"/>
        </w:rPr>
      </w:pPr>
      <w:r>
        <w:rPr>
          <w:rFonts w:ascii="times new roman;times" w:hAnsi="times new roman;times"/>
          <w:b/>
          <w:i/>
          <w:color w:val="000000"/>
          <w:sz w:val="20"/>
        </w:rPr>
        <w:t>Results of Operations for the </w:t>
      </w:r>
      <w:bookmarkStart w:id="296" w:name="fs_9RJOGEN3BK00000000000000000000FM"/>
      <w:bookmarkEnd w:id="296"/>
      <w:r>
        <w:rPr>
          <w:rFonts w:ascii="times new roman;times" w:hAnsi="times new roman;times"/>
          <w:b/>
          <w:i/>
          <w:color w:val="000000"/>
          <w:sz w:val="20"/>
        </w:rPr>
        <w:t xml:space="preserve">three and six months ended </w:t>
      </w:r>
      <w:bookmarkStart w:id="297" w:name="fs_NMCNPWLKAO00000000000000000000FM"/>
      <w:bookmarkEnd w:id="297"/>
      <w:r>
        <w:rPr>
          <w:rFonts w:ascii="times new roman;times" w:hAnsi="times new roman;times"/>
          <w:b/>
          <w:i/>
          <w:color w:val="000000"/>
          <w:sz w:val="20"/>
        </w:rPr>
        <w:t>June 30, 2026</w:t>
      </w:r>
    </w:p>
    <w:p>
      <w:pPr>
        <w:pStyle w:val="TextBody"/>
        <w:bidi w:val="0"/>
        <w:spacing w:lineRule="auto" w:line="288" w:before="0" w:after="0"/>
        <w:ind w:left="0" w:right="0" w:hanging="0"/>
        <w:jc w:val="both"/>
        <w:rPr/>
      </w:pPr>
      <w:r>
        <w:rPr/>
        <w:t> </w:t>
      </w:r>
    </w:p>
    <w:p>
      <w:pPr>
        <w:pStyle w:val="TextBody"/>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Following the Asset Sale on October 24, 2025, the Company’s continuing operations generate no revenue and consist primarily of warranty support, public-company compliance, and restructuring costs. The majority of the Company’s historical operations are now presented as discontinued operations (see Note </w:t>
      </w:r>
      <w:bookmarkStart w:id="298" w:name="fs_AVNP6W4LTC00000000000000000000fs"/>
      <w:bookmarkEnd w:id="298"/>
      <w:r>
        <w:rPr>
          <w:rFonts w:ascii="times new roman;times" w:hAnsi="times new roman;times"/>
          <w:b w:val="false"/>
          <w:i w:val="false"/>
          <w:caps w:val="false"/>
          <w:smallCaps w:val="false"/>
          <w:color w:val="000000"/>
          <w:spacing w:val="0"/>
          <w:sz w:val="20"/>
        </w:rPr>
        <w:t>2):</w:t>
      </w:r>
    </w:p>
    <w:p>
      <w:pPr>
        <w:pStyle w:val="TextBody"/>
        <w:widowControl/>
        <w:bidi w:val="0"/>
        <w:spacing w:before="0" w:after="0"/>
        <w:ind w:left="0" w:right="0" w:hanging="0"/>
        <w:jc w:val="left"/>
        <w:rPr/>
      </w:pPr>
      <w:r>
        <w:rPr/>
      </w:r>
    </w:p>
    <w:p>
      <w:pPr>
        <w:pStyle w:val="TextBody"/>
        <w:widowControl/>
        <w:bidi w:val="0"/>
        <w:spacing w:before="0" w:after="0"/>
        <w:ind w:left="0" w:right="0" w:hanging="0"/>
        <w:jc w:val="both"/>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Continuing Operations</w:t>
      </w:r>
    </w:p>
    <w:p>
      <w:pPr>
        <w:pStyle w:val="TextBody"/>
        <w:widowControl/>
        <w:bidi w:val="0"/>
        <w:spacing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2233"/>
        <w:gridCol w:w="60"/>
        <w:gridCol w:w="146"/>
        <w:gridCol w:w="461"/>
        <w:gridCol w:w="93"/>
        <w:gridCol w:w="69"/>
        <w:gridCol w:w="146"/>
        <w:gridCol w:w="636"/>
        <w:gridCol w:w="93"/>
        <w:gridCol w:w="69"/>
        <w:gridCol w:w="291"/>
        <w:gridCol w:w="1934"/>
        <w:gridCol w:w="80"/>
        <w:gridCol w:w="23"/>
        <w:gridCol w:w="134"/>
        <w:gridCol w:w="589"/>
        <w:gridCol w:w="86"/>
        <w:gridCol w:w="24"/>
        <w:gridCol w:w="134"/>
        <w:gridCol w:w="589"/>
        <w:gridCol w:w="86"/>
        <w:gridCol w:w="24"/>
        <w:gridCol w:w="116"/>
        <w:gridCol w:w="1997"/>
        <w:gridCol w:w="92"/>
      </w:tblGrid>
      <w:tr>
        <w:trPr/>
        <w:tc>
          <w:tcPr>
            <w:tcW w:w="223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ind w:left="0" w:right="0" w:hanging="0"/>
              <w:jc w:val="left"/>
              <w:rPr/>
            </w:pPr>
            <w:r>
              <w:rPr/>
              <w:t> </w:t>
            </w:r>
          </w:p>
        </w:tc>
        <w:tc>
          <w:tcPr>
            <w:tcW w:w="3938" w:type="dxa"/>
            <w:gridSpan w:val="10"/>
            <w:tcBorders/>
            <w:vAlign w:val="bottom"/>
          </w:tcPr>
          <w:p>
            <w:pPr>
              <w:pStyle w:val="TableContents"/>
              <w:bidi w:val="0"/>
              <w:spacing w:before="0" w:after="0"/>
              <w:ind w:left="0" w:right="0" w:hanging="0"/>
              <w:jc w:val="center"/>
              <w:rPr>
                <w:rFonts w:ascii="times new roman;times" w:hAnsi="times new roman;times"/>
                <w:b/>
                <w:sz w:val="20"/>
              </w:rPr>
            </w:pPr>
            <w:bookmarkStart w:id="299" w:name="fs_EBJHDF8DS000000000000000000000FM"/>
            <w:bookmarkEnd w:id="299"/>
            <w:r>
              <w:rPr>
                <w:rFonts w:ascii="times new roman;times" w:hAnsi="times new roman;times"/>
                <w:b/>
                <w:sz w:val="20"/>
              </w:rPr>
              <w:t>Three months ended June 30,</w:t>
            </w:r>
          </w:p>
        </w:tc>
        <w:tc>
          <w:tcPr>
            <w:tcW w:w="80" w:type="dxa"/>
            <w:tcBorders/>
            <w:vAlign w:val="bottom"/>
          </w:tcPr>
          <w:p>
            <w:pPr>
              <w:pStyle w:val="TableContents"/>
              <w:bidi w:val="0"/>
              <w:spacing w:before="0" w:after="283"/>
              <w:ind w:left="0" w:right="0" w:hanging="0"/>
              <w:jc w:val="left"/>
              <w:rPr>
                <w:sz w:val="4"/>
                <w:szCs w:val="4"/>
              </w:rPr>
            </w:pPr>
            <w:r>
              <w:rPr>
                <w:sz w:val="4"/>
                <w:szCs w:val="4"/>
              </w:rPr>
            </w:r>
          </w:p>
        </w:tc>
        <w:tc>
          <w:tcPr>
            <w:tcW w:w="23" w:type="dxa"/>
            <w:tcBorders/>
            <w:vAlign w:val="bottom"/>
          </w:tcPr>
          <w:p>
            <w:pPr>
              <w:pStyle w:val="TableContents"/>
              <w:bidi w:val="0"/>
              <w:spacing w:before="0" w:after="283"/>
              <w:ind w:left="0" w:right="0" w:hanging="0"/>
              <w:jc w:val="left"/>
              <w:rPr/>
            </w:pPr>
            <w:r>
              <w:rPr/>
            </w:r>
          </w:p>
        </w:tc>
        <w:tc>
          <w:tcPr>
            <w:tcW w:w="3779" w:type="dxa"/>
            <w:gridSpan w:val="10"/>
            <w:tcBorders/>
            <w:vAlign w:val="bottom"/>
          </w:tcPr>
          <w:p>
            <w:pPr>
              <w:pStyle w:val="TableContents"/>
              <w:bidi w:val="0"/>
              <w:spacing w:before="0" w:after="283"/>
              <w:ind w:left="0" w:right="0" w:hanging="0"/>
              <w:jc w:val="center"/>
              <w:rPr>
                <w:rFonts w:ascii="times new roman;times" w:hAnsi="times new roman;times"/>
                <w:b/>
                <w:sz w:val="20"/>
              </w:rPr>
            </w:pPr>
            <w:r>
              <w:rPr>
                <w:rFonts w:ascii="times new roman;times" w:hAnsi="times new roman;times"/>
                <w:b/>
                <w:sz w:val="20"/>
              </w:rPr>
              <w:t>Six months ended June 30,</w:t>
            </w:r>
          </w:p>
        </w:tc>
        <w:tc>
          <w:tcPr>
            <w:tcW w:w="92" w:type="dxa"/>
            <w:tcBorders/>
            <w:vAlign w:val="bottom"/>
          </w:tcPr>
          <w:p>
            <w:pPr>
              <w:pStyle w:val="TableContents"/>
              <w:bidi w:val="0"/>
              <w:spacing w:before="0" w:after="283"/>
              <w:ind w:left="0" w:right="0" w:hanging="0"/>
              <w:jc w:val="left"/>
              <w:rPr/>
            </w:pPr>
            <w:r>
              <w:rPr/>
            </w:r>
          </w:p>
        </w:tc>
      </w:tr>
      <w:tr>
        <w:trPr/>
        <w:tc>
          <w:tcPr>
            <w:tcW w:w="2233" w:type="dxa"/>
            <w:tcBorders/>
            <w:vAlign w:val="bottom"/>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(dollars in thousands)</w:t>
            </w:r>
          </w:p>
        </w:tc>
        <w:tc>
          <w:tcPr>
            <w:tcW w:w="60" w:type="dxa"/>
            <w:tcBorders/>
            <w:vAlign w:val="bottom"/>
          </w:tcPr>
          <w:p>
            <w:pPr>
              <w:pStyle w:val="TableContents"/>
              <w:bidi w:val="0"/>
              <w:spacing w:before="0" w:after="283"/>
              <w:ind w:left="0" w:right="0" w:hanging="0"/>
              <w:jc w:val="left"/>
              <w:rPr>
                <w:sz w:val="4"/>
                <w:szCs w:val="4"/>
              </w:rPr>
            </w:pPr>
            <w:r>
              <w:rPr>
                <w:sz w:val="4"/>
                <w:szCs w:val="4"/>
              </w:rPr>
            </w:r>
          </w:p>
        </w:tc>
        <w:tc>
          <w:tcPr>
            <w:tcW w:w="607" w:type="dxa"/>
            <w:gridSpan w:val="2"/>
            <w:tcBorders/>
            <w:vAlign w:val="bottom"/>
          </w:tcPr>
          <w:p>
            <w:pPr>
              <w:pStyle w:val="TableContents"/>
              <w:pBdr/>
              <w:bidi w:val="0"/>
              <w:spacing w:before="0" w:after="0"/>
              <w:ind w:left="0" w:right="0" w:hanging="0"/>
              <w:jc w:val="center"/>
              <w:rPr>
                <w:rFonts w:ascii="times new roman;times" w:hAnsi="times new roman;times"/>
                <w:b/>
                <w:sz w:val="20"/>
              </w:rPr>
            </w:pPr>
            <w:bookmarkStart w:id="300" w:name="fs_FY52SH4UDC00000000000000000000fs"/>
            <w:bookmarkEnd w:id="300"/>
            <w:r>
              <w:rPr>
                <w:rFonts w:ascii="times new roman;times" w:hAnsi="times new roman;times"/>
                <w:b/>
                <w:sz w:val="20"/>
              </w:rPr>
              <w:t xml:space="preserve">2026 </w:t>
            </w:r>
          </w:p>
        </w:tc>
        <w:tc>
          <w:tcPr>
            <w:tcW w:w="93" w:type="dxa"/>
            <w:tcBorders/>
            <w:vAlign w:val="bottom"/>
          </w:tcPr>
          <w:p>
            <w:pPr>
              <w:pStyle w:val="TableContents"/>
              <w:bidi w:val="0"/>
              <w:spacing w:before="0" w:after="0"/>
              <w:ind w:left="0" w:right="0" w:hanging="0"/>
              <w:jc w:val="left"/>
              <w:rPr/>
            </w:pPr>
            <w:r>
              <w:rPr/>
              <w:t> </w:t>
            </w:r>
          </w:p>
        </w:tc>
        <w:tc>
          <w:tcPr>
            <w:tcW w:w="69" w:type="dxa"/>
            <w:tcBorders/>
            <w:vAlign w:val="bottom"/>
          </w:tcPr>
          <w:p>
            <w:pPr>
              <w:pStyle w:val="TableContents"/>
              <w:bidi w:val="0"/>
              <w:spacing w:before="0" w:after="0"/>
              <w:ind w:left="0" w:right="0" w:hanging="0"/>
              <w:jc w:val="left"/>
              <w:rPr/>
            </w:pPr>
            <w:r>
              <w:rPr/>
              <w:t> </w:t>
            </w:r>
          </w:p>
        </w:tc>
        <w:tc>
          <w:tcPr>
            <w:tcW w:w="782" w:type="dxa"/>
            <w:gridSpan w:val="2"/>
            <w:tcBorders/>
            <w:vAlign w:val="bottom"/>
          </w:tcPr>
          <w:p>
            <w:pPr>
              <w:pStyle w:val="TableContents"/>
              <w:pBdr/>
              <w:bidi w:val="0"/>
              <w:spacing w:before="0" w:after="0"/>
              <w:ind w:left="0" w:right="0" w:hanging="0"/>
              <w:jc w:val="center"/>
              <w:rPr>
                <w:rFonts w:ascii="times new roman;times" w:hAnsi="times new roman;times"/>
                <w:b/>
                <w:sz w:val="20"/>
              </w:rPr>
            </w:pPr>
            <w:bookmarkStart w:id="301" w:name="fs_7HVQN68G7400000000000000000000fs"/>
            <w:bookmarkEnd w:id="301"/>
            <w:r>
              <w:rPr>
                <w:rFonts w:ascii="times new roman;times" w:hAnsi="times new roman;times"/>
                <w:b/>
                <w:sz w:val="20"/>
              </w:rPr>
              <w:t xml:space="preserve">2025 </w:t>
            </w:r>
          </w:p>
        </w:tc>
        <w:tc>
          <w:tcPr>
            <w:tcW w:w="93" w:type="dxa"/>
            <w:tcBorders/>
            <w:vAlign w:val="bottom"/>
          </w:tcPr>
          <w:p>
            <w:pPr>
              <w:pStyle w:val="TableContents"/>
              <w:bidi w:val="0"/>
              <w:spacing w:before="0" w:after="0"/>
              <w:ind w:left="0" w:right="0" w:hanging="0"/>
              <w:jc w:val="left"/>
              <w:rPr/>
            </w:pPr>
            <w:r>
              <w:rPr/>
              <w:t> </w:t>
            </w:r>
          </w:p>
        </w:tc>
        <w:tc>
          <w:tcPr>
            <w:tcW w:w="69" w:type="dxa"/>
            <w:tcBorders/>
            <w:vAlign w:val="bottom"/>
          </w:tcPr>
          <w:p>
            <w:pPr>
              <w:pStyle w:val="TableContents"/>
              <w:bidi w:val="0"/>
              <w:spacing w:before="0" w:after="0"/>
              <w:ind w:left="0" w:right="0" w:hanging="0"/>
              <w:jc w:val="left"/>
              <w:rPr/>
            </w:pPr>
            <w:r>
              <w:rPr/>
              <w:t> </w:t>
            </w:r>
          </w:p>
        </w:tc>
        <w:tc>
          <w:tcPr>
            <w:tcW w:w="2225" w:type="dxa"/>
            <w:gridSpan w:val="2"/>
            <w:tcBorders/>
            <w:vAlign w:val="bottom"/>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Change Favorable (Adverse) in %</w:t>
            </w:r>
          </w:p>
        </w:tc>
        <w:tc>
          <w:tcPr>
            <w:tcW w:w="80" w:type="dxa"/>
            <w:tcBorders/>
            <w:vAlign w:val="bottom"/>
          </w:tcPr>
          <w:p>
            <w:pPr>
              <w:pStyle w:val="TableContents"/>
              <w:bidi w:val="0"/>
              <w:spacing w:before="0" w:after="283"/>
              <w:ind w:left="0" w:right="0" w:hanging="0"/>
              <w:jc w:val="left"/>
              <w:rPr>
                <w:sz w:val="4"/>
                <w:szCs w:val="4"/>
              </w:rPr>
            </w:pPr>
            <w:r>
              <w:rPr>
                <w:sz w:val="4"/>
                <w:szCs w:val="4"/>
              </w:rPr>
            </w:r>
          </w:p>
        </w:tc>
        <w:tc>
          <w:tcPr>
            <w:tcW w:w="23" w:type="dxa"/>
            <w:tcBorders/>
            <w:vAlign w:val="bottom"/>
          </w:tcPr>
          <w:p>
            <w:pPr>
              <w:pStyle w:val="TableContents"/>
              <w:bidi w:val="0"/>
              <w:spacing w:before="0" w:after="283"/>
              <w:ind w:left="0" w:right="0" w:hanging="0"/>
              <w:jc w:val="left"/>
              <w:rPr/>
            </w:pPr>
            <w:r>
              <w:rPr/>
            </w:r>
          </w:p>
        </w:tc>
        <w:tc>
          <w:tcPr>
            <w:tcW w:w="723" w:type="dxa"/>
            <w:gridSpan w:val="2"/>
            <w:tcBorders/>
            <w:vAlign w:val="bottom"/>
          </w:tcPr>
          <w:p>
            <w:pPr>
              <w:pStyle w:val="TableContents"/>
              <w:bidi w:val="0"/>
              <w:spacing w:before="0" w:after="0"/>
              <w:ind w:left="0" w:right="0" w:hanging="0"/>
              <w:jc w:val="center"/>
              <w:rPr>
                <w:rFonts w:ascii="times new roman;times" w:hAnsi="times new roman;times"/>
                <w:b/>
                <w:sz w:val="20"/>
              </w:rPr>
            </w:pPr>
            <w:bookmarkStart w:id="302" w:name="fs_U41WW4MCIO00000000000000000000fs"/>
            <w:bookmarkEnd w:id="302"/>
            <w:r>
              <w:rPr>
                <w:rFonts w:ascii="times new roman;times" w:hAnsi="times new roman;times"/>
                <w:b/>
                <w:sz w:val="20"/>
              </w:rPr>
              <w:t>2026</w:t>
            </w:r>
          </w:p>
        </w:tc>
        <w:tc>
          <w:tcPr>
            <w:tcW w:w="86" w:type="dxa"/>
            <w:tcBorders/>
            <w:vAlign w:val="bottom"/>
          </w:tcPr>
          <w:p>
            <w:pPr>
              <w:pStyle w:val="TableContents"/>
              <w:bidi w:val="0"/>
              <w:spacing w:before="0" w:after="283"/>
              <w:ind w:left="0" w:right="0" w:hanging="0"/>
              <w:jc w:val="left"/>
              <w:rPr/>
            </w:pPr>
            <w:r>
              <w:rPr/>
            </w:r>
          </w:p>
        </w:tc>
        <w:tc>
          <w:tcPr>
            <w:tcW w:w="24" w:type="dxa"/>
            <w:tcBorders/>
            <w:vAlign w:val="bottom"/>
          </w:tcPr>
          <w:p>
            <w:pPr>
              <w:pStyle w:val="TableContents"/>
              <w:bidi w:val="0"/>
              <w:spacing w:before="0" w:after="283"/>
              <w:ind w:left="0" w:right="0" w:hanging="0"/>
              <w:jc w:val="left"/>
              <w:rPr/>
            </w:pPr>
            <w:r>
              <w:rPr/>
            </w:r>
          </w:p>
        </w:tc>
        <w:tc>
          <w:tcPr>
            <w:tcW w:w="723" w:type="dxa"/>
            <w:gridSpan w:val="2"/>
            <w:tcBorders/>
            <w:vAlign w:val="bottom"/>
          </w:tcPr>
          <w:p>
            <w:pPr>
              <w:pStyle w:val="TableContents"/>
              <w:bidi w:val="0"/>
              <w:spacing w:before="0" w:after="0"/>
              <w:ind w:left="0" w:right="0" w:hanging="0"/>
              <w:jc w:val="center"/>
              <w:rPr>
                <w:rFonts w:ascii="times new roman;times" w:hAnsi="times new roman;times"/>
                <w:b/>
                <w:sz w:val="20"/>
              </w:rPr>
            </w:pPr>
            <w:bookmarkStart w:id="303" w:name="fs_GQFZ891PPS00000000000000000000fs"/>
            <w:bookmarkEnd w:id="303"/>
            <w:r>
              <w:rPr>
                <w:rFonts w:ascii="times new roman;times" w:hAnsi="times new roman;times"/>
                <w:b/>
                <w:sz w:val="20"/>
              </w:rPr>
              <w:t>2025</w:t>
            </w:r>
          </w:p>
        </w:tc>
        <w:tc>
          <w:tcPr>
            <w:tcW w:w="86" w:type="dxa"/>
            <w:tcBorders/>
            <w:vAlign w:val="bottom"/>
          </w:tcPr>
          <w:p>
            <w:pPr>
              <w:pStyle w:val="TableContents"/>
              <w:bidi w:val="0"/>
              <w:spacing w:before="0" w:after="283"/>
              <w:ind w:left="0" w:right="0" w:hanging="0"/>
              <w:jc w:val="left"/>
              <w:rPr/>
            </w:pPr>
            <w:r>
              <w:rPr/>
            </w:r>
          </w:p>
        </w:tc>
        <w:tc>
          <w:tcPr>
            <w:tcW w:w="24" w:type="dxa"/>
            <w:tcBorders/>
            <w:vAlign w:val="bottom"/>
          </w:tcPr>
          <w:p>
            <w:pPr>
              <w:pStyle w:val="TableContents"/>
              <w:bidi w:val="0"/>
              <w:spacing w:before="0" w:after="283"/>
              <w:ind w:left="0" w:right="0" w:hanging="0"/>
              <w:jc w:val="left"/>
              <w:rPr/>
            </w:pPr>
            <w:r>
              <w:rPr/>
            </w:r>
          </w:p>
        </w:tc>
        <w:tc>
          <w:tcPr>
            <w:tcW w:w="2113" w:type="dxa"/>
            <w:gridSpan w:val="2"/>
            <w:tcBorders/>
            <w:vAlign w:val="bottom"/>
          </w:tcPr>
          <w:p>
            <w:pPr>
              <w:pStyle w:val="TableContents"/>
              <w:widowControl/>
              <w:bidi w:val="0"/>
              <w:spacing w:before="0" w:after="0"/>
              <w:ind w:left="0" w:right="0" w:hanging="0"/>
              <w:jc w:val="center"/>
              <w:rPr>
                <w:rFonts w:ascii="times new roman;times" w:hAnsi="times new roman;times"/>
                <w:b w:val="false"/>
                <w:color w:val="000000"/>
                <w:spacing w:val="0"/>
                <w:sz w:val="20"/>
              </w:rPr>
            </w:pPr>
            <w:r>
              <w:rPr>
                <w:rFonts w:ascii="times new roman;times" w:hAnsi="times new roman;times"/>
                <w:b w:val="false"/>
                <w:color w:val="000000"/>
                <w:spacing w:val="0"/>
                <w:sz w:val="20"/>
              </w:rPr>
              <w:t>Change Favorable (Adverse) in %</w:t>
            </w:r>
          </w:p>
        </w:tc>
        <w:tc>
          <w:tcPr>
            <w:tcW w:w="92" w:type="dxa"/>
            <w:tcBorders/>
            <w:vAlign w:val="bottom"/>
          </w:tcPr>
          <w:p>
            <w:pPr>
              <w:pStyle w:val="TableContents"/>
              <w:bidi w:val="0"/>
              <w:spacing w:before="0" w:after="283"/>
              <w:ind w:left="0" w:right="0" w:hanging="0"/>
              <w:jc w:val="left"/>
              <w:rPr/>
            </w:pPr>
            <w:r>
              <w:rPr/>
            </w:r>
          </w:p>
        </w:tc>
      </w:tr>
      <w:tr>
        <w:trPr/>
        <w:tc>
          <w:tcPr>
            <w:tcW w:w="2233"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Revenue </w:t>
            </w:r>
          </w:p>
        </w:tc>
        <w:tc>
          <w:tcPr>
            <w:tcW w:w="60" w:type="dxa"/>
            <w:tcBorders/>
            <w:shd w:fill="CCEEFF" w:val="clear"/>
            <w:vAlign w:val="bottom"/>
          </w:tcPr>
          <w:p>
            <w:pPr>
              <w:pStyle w:val="TableContents"/>
              <w:bidi w:val="0"/>
              <w:spacing w:before="0" w:after="0"/>
              <w:ind w:left="0" w:right="0" w:hanging="0"/>
              <w:jc w:val="left"/>
              <w:rPr/>
            </w:pPr>
            <w:r>
              <w:rPr/>
              <w:t> </w:t>
            </w:r>
          </w:p>
        </w:tc>
        <w:tc>
          <w:tcPr>
            <w:tcW w:w="146"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461" w:type="dxa"/>
            <w:tcBorders/>
            <w:shd w:fill="CCEEFF" w:val="clear"/>
            <w:vAlign w:val="bottom"/>
          </w:tcPr>
          <w:p>
            <w:pPr>
              <w:pStyle w:val="TableContents"/>
              <w:bidi w:val="0"/>
              <w:spacing w:before="0" w:after="0"/>
              <w:ind w:left="0" w:right="0" w:hanging="0"/>
              <w:jc w:val="right"/>
              <w:rPr/>
            </w:pPr>
            <w:bookmarkStart w:id="304" w:name="fs_KE908MHS6800000000000000000000fs"/>
            <w:bookmarkEnd w:id="304"/>
            <w:r>
              <w:rPr/>
              <w:t>—</w:t>
            </w:r>
          </w:p>
        </w:tc>
        <w:tc>
          <w:tcPr>
            <w:tcW w:w="93" w:type="dxa"/>
            <w:tcBorders/>
            <w:shd w:fill="CCEEFF" w:val="clear"/>
            <w:vAlign w:val="bottom"/>
          </w:tcPr>
          <w:p>
            <w:pPr>
              <w:pStyle w:val="TableContents"/>
              <w:bidi w:val="0"/>
              <w:spacing w:before="0" w:after="0"/>
              <w:ind w:left="0" w:right="0" w:hanging="0"/>
              <w:jc w:val="left"/>
              <w:rPr/>
            </w:pPr>
            <w:r>
              <w:rPr/>
              <w:t> </w:t>
            </w:r>
          </w:p>
        </w:tc>
        <w:tc>
          <w:tcPr>
            <w:tcW w:w="69" w:type="dxa"/>
            <w:tcBorders/>
            <w:shd w:fill="CCEEFF" w:val="clear"/>
            <w:vAlign w:val="bottom"/>
          </w:tcPr>
          <w:p>
            <w:pPr>
              <w:pStyle w:val="TableContents"/>
              <w:bidi w:val="0"/>
              <w:spacing w:before="0" w:after="0"/>
              <w:ind w:left="0" w:right="0" w:hanging="0"/>
              <w:jc w:val="left"/>
              <w:rPr/>
            </w:pPr>
            <w:r>
              <w:rPr/>
              <w:t> </w:t>
            </w:r>
          </w:p>
        </w:tc>
        <w:tc>
          <w:tcPr>
            <w:tcW w:w="146"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36" w:type="dxa"/>
            <w:tcBorders/>
            <w:shd w:fill="CCEEFF" w:val="clear"/>
            <w:vAlign w:val="bottom"/>
          </w:tcPr>
          <w:p>
            <w:pPr>
              <w:pStyle w:val="TableContents"/>
              <w:bidi w:val="0"/>
              <w:spacing w:before="0" w:after="0"/>
              <w:ind w:left="0" w:right="0" w:hanging="0"/>
              <w:jc w:val="right"/>
              <w:rPr/>
            </w:pPr>
            <w:bookmarkStart w:id="305" w:name="fs_FWNQ2B31UO00000000000000000000fs"/>
            <w:bookmarkEnd w:id="305"/>
            <w:r>
              <w:rPr/>
              <w:t>—</w:t>
            </w:r>
          </w:p>
        </w:tc>
        <w:tc>
          <w:tcPr>
            <w:tcW w:w="93" w:type="dxa"/>
            <w:tcBorders/>
            <w:shd w:fill="CCEEFF" w:val="clear"/>
            <w:vAlign w:val="bottom"/>
          </w:tcPr>
          <w:p>
            <w:pPr>
              <w:pStyle w:val="TableContents"/>
              <w:bidi w:val="0"/>
              <w:spacing w:before="0" w:after="0"/>
              <w:ind w:left="0" w:right="0" w:hanging="0"/>
              <w:jc w:val="left"/>
              <w:rPr/>
            </w:pPr>
            <w:r>
              <w:rPr/>
              <w:t> </w:t>
            </w:r>
          </w:p>
        </w:tc>
        <w:tc>
          <w:tcPr>
            <w:tcW w:w="69" w:type="dxa"/>
            <w:tcBorders/>
            <w:shd w:fill="CCEEFF" w:val="clear"/>
            <w:vAlign w:val="bottom"/>
          </w:tcPr>
          <w:p>
            <w:pPr>
              <w:pStyle w:val="TableContents"/>
              <w:bidi w:val="0"/>
              <w:spacing w:before="0" w:after="0"/>
              <w:ind w:left="0" w:right="0" w:hanging="0"/>
              <w:jc w:val="left"/>
              <w:rPr/>
            </w:pPr>
            <w:r>
              <w:rPr/>
              <w:t> </w:t>
            </w:r>
          </w:p>
        </w:tc>
        <w:tc>
          <w:tcPr>
            <w:tcW w:w="291" w:type="dxa"/>
            <w:tcBorders/>
            <w:shd w:fill="CCEEFF" w:val="clear"/>
            <w:vAlign w:val="bottom"/>
          </w:tcPr>
          <w:p>
            <w:pPr>
              <w:pStyle w:val="TableContents"/>
              <w:bidi w:val="0"/>
              <w:spacing w:before="0" w:after="0"/>
              <w:ind w:left="0" w:right="0" w:hanging="0"/>
              <w:jc w:val="left"/>
              <w:rPr/>
            </w:pPr>
            <w:r>
              <w:rPr/>
              <w:t> </w:t>
            </w:r>
          </w:p>
        </w:tc>
        <w:tc>
          <w:tcPr>
            <w:tcW w:w="1934"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306" w:name="fs_35A5Q9KDNK00000000000000000000fs"/>
            <w:bookmarkEnd w:id="306"/>
            <w:r>
              <w:rPr>
                <w:rFonts w:ascii="times new roman;times" w:hAnsi="times new roman;times"/>
                <w:sz w:val="20"/>
              </w:rPr>
              <w:t>-</w:t>
            </w:r>
          </w:p>
        </w:tc>
        <w:tc>
          <w:tcPr>
            <w:tcW w:w="80"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bottom"/>
          </w:tcPr>
          <w:p>
            <w:pPr>
              <w:pStyle w:val="TableContents"/>
              <w:bidi w:val="0"/>
              <w:spacing w:before="0" w:after="283"/>
              <w:ind w:left="0" w:right="0" w:hanging="0"/>
              <w:jc w:val="left"/>
              <w:rPr/>
            </w:pPr>
            <w:r>
              <w:rPr/>
            </w:r>
          </w:p>
        </w:tc>
        <w:tc>
          <w:tcPr>
            <w:tcW w:w="134" w:type="dxa"/>
            <w:tcBorders/>
            <w:shd w:fill="CCEEFF" w:val="clear"/>
            <w:vAlign w:val="bottom"/>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589" w:type="dxa"/>
            <w:tcBorders/>
            <w:shd w:fill="CCEEFF" w:val="clear"/>
            <w:vAlign w:val="bottom"/>
          </w:tcPr>
          <w:p>
            <w:pPr>
              <w:pStyle w:val="TableContents"/>
              <w:bidi w:val="0"/>
              <w:spacing w:before="0" w:after="0"/>
              <w:ind w:left="0" w:right="0" w:hanging="0"/>
              <w:jc w:val="right"/>
              <w:rPr/>
            </w:pPr>
            <w:bookmarkStart w:id="307" w:name="fs_80GT3J20V400000000000000000000FM"/>
            <w:bookmarkEnd w:id="307"/>
            <w:r>
              <w:rPr/>
              <w:t>—</w:t>
            </w:r>
          </w:p>
        </w:tc>
        <w:tc>
          <w:tcPr>
            <w:tcW w:w="86" w:type="dxa"/>
            <w:tcBorders/>
            <w:shd w:fill="CCEEFF" w:val="clear"/>
            <w:vAlign w:val="bottom"/>
          </w:tcPr>
          <w:p>
            <w:pPr>
              <w:pStyle w:val="TableContents"/>
              <w:bidi w:val="0"/>
              <w:spacing w:before="0" w:after="283"/>
              <w:ind w:left="0" w:right="0" w:hanging="0"/>
              <w:jc w:val="left"/>
              <w:rPr/>
            </w:pPr>
            <w:r>
              <w:rPr/>
            </w:r>
          </w:p>
        </w:tc>
        <w:tc>
          <w:tcPr>
            <w:tcW w:w="24" w:type="dxa"/>
            <w:tcBorders/>
            <w:shd w:fill="CCEEFF" w:val="clear"/>
            <w:vAlign w:val="bottom"/>
          </w:tcPr>
          <w:p>
            <w:pPr>
              <w:pStyle w:val="TableContents"/>
              <w:bidi w:val="0"/>
              <w:spacing w:before="0" w:after="283"/>
              <w:ind w:left="0" w:right="0" w:hanging="0"/>
              <w:jc w:val="left"/>
              <w:rPr/>
            </w:pPr>
            <w:r>
              <w:rPr/>
            </w:r>
          </w:p>
        </w:tc>
        <w:tc>
          <w:tcPr>
            <w:tcW w:w="134" w:type="dxa"/>
            <w:tcBorders/>
            <w:shd w:fill="CCEEFF" w:val="clear"/>
            <w:vAlign w:val="bottom"/>
          </w:tcPr>
          <w:p>
            <w:pPr>
              <w:pStyle w:val="TableContents"/>
              <w:bidi w:val="0"/>
              <w:spacing w:before="0" w:after="0"/>
              <w:ind w:left="0" w:right="0" w:hanging="0"/>
              <w:jc w:val="left"/>
              <w:rPr>
                <w:rFonts w:ascii="times new roman;times" w:hAnsi="times new roman;times"/>
                <w:sz w:val="20"/>
                <w:shd w:fill="CCEEFF" w:val="clear"/>
              </w:rPr>
            </w:pPr>
            <w:r>
              <w:rPr>
                <w:rFonts w:ascii="times new roman;times" w:hAnsi="times new roman;times"/>
                <w:sz w:val="20"/>
                <w:shd w:fill="CCEEFF" w:val="clear"/>
              </w:rPr>
              <w:t>$</w:t>
            </w:r>
          </w:p>
        </w:tc>
        <w:tc>
          <w:tcPr>
            <w:tcW w:w="589" w:type="dxa"/>
            <w:tcBorders/>
            <w:shd w:fill="CCEEFF" w:val="clear"/>
            <w:vAlign w:val="bottom"/>
          </w:tcPr>
          <w:p>
            <w:pPr>
              <w:pStyle w:val="TableContents"/>
              <w:bidi w:val="0"/>
              <w:spacing w:before="0" w:after="0"/>
              <w:ind w:left="0" w:right="0" w:hanging="0"/>
              <w:jc w:val="right"/>
              <w:rPr/>
            </w:pPr>
            <w:bookmarkStart w:id="308" w:name="fs_TV2BSJFC4G00000000000000000000fs"/>
            <w:bookmarkEnd w:id="308"/>
            <w:r>
              <w:rPr/>
              <w:t>—</w:t>
            </w:r>
          </w:p>
        </w:tc>
        <w:tc>
          <w:tcPr>
            <w:tcW w:w="86" w:type="dxa"/>
            <w:tcBorders/>
            <w:shd w:fill="CCEEFF" w:val="clear"/>
            <w:vAlign w:val="bottom"/>
          </w:tcPr>
          <w:p>
            <w:pPr>
              <w:pStyle w:val="TableContents"/>
              <w:bidi w:val="0"/>
              <w:spacing w:before="0" w:after="283"/>
              <w:ind w:left="0" w:right="0" w:hanging="0"/>
              <w:jc w:val="left"/>
              <w:rPr/>
            </w:pPr>
            <w:r>
              <w:rPr/>
            </w:r>
          </w:p>
        </w:tc>
        <w:tc>
          <w:tcPr>
            <w:tcW w:w="24" w:type="dxa"/>
            <w:tcBorders/>
            <w:shd w:fill="CCEEFF" w:val="clear"/>
            <w:vAlign w:val="bottom"/>
          </w:tcPr>
          <w:p>
            <w:pPr>
              <w:pStyle w:val="TableContents"/>
              <w:bidi w:val="0"/>
              <w:spacing w:before="0" w:after="283"/>
              <w:ind w:left="0" w:right="0" w:hanging="0"/>
              <w:jc w:val="left"/>
              <w:rPr/>
            </w:pPr>
            <w:r>
              <w:rPr/>
            </w:r>
          </w:p>
        </w:tc>
        <w:tc>
          <w:tcPr>
            <w:tcW w:w="116" w:type="dxa"/>
            <w:tcBorders/>
            <w:shd w:fill="CCEEFF" w:val="clear"/>
            <w:vAlign w:val="bottom"/>
          </w:tcPr>
          <w:p>
            <w:pPr>
              <w:pStyle w:val="TableContents"/>
              <w:bidi w:val="0"/>
              <w:spacing w:before="0" w:after="283"/>
              <w:ind w:left="0" w:right="0" w:hanging="0"/>
              <w:jc w:val="left"/>
              <w:rPr/>
            </w:pPr>
            <w:r>
              <w:rPr/>
            </w:r>
          </w:p>
        </w:tc>
        <w:tc>
          <w:tcPr>
            <w:tcW w:w="1997"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309" w:name="fs_D4RBCML2TS00000000000000000000fs"/>
            <w:bookmarkEnd w:id="309"/>
            <w:r>
              <w:rPr>
                <w:rFonts w:ascii="times new roman;times" w:hAnsi="times new roman;times"/>
                <w:sz w:val="20"/>
              </w:rPr>
              <w:t>-</w:t>
            </w:r>
          </w:p>
        </w:tc>
        <w:tc>
          <w:tcPr>
            <w:tcW w:w="92" w:type="dxa"/>
            <w:tcBorders/>
            <w:shd w:fill="CCEEFF" w:val="clear"/>
            <w:vAlign w:val="bottom"/>
          </w:tcPr>
          <w:p>
            <w:pPr>
              <w:pStyle w:val="TableContents"/>
              <w:bidi w:val="0"/>
              <w:spacing w:before="0" w:after="283"/>
              <w:ind w:left="0" w:right="0" w:hanging="0"/>
              <w:jc w:val="left"/>
              <w:rPr/>
            </w:pPr>
            <w:r>
              <w:rPr/>
            </w:r>
          </w:p>
        </w:tc>
      </w:tr>
      <w:tr>
        <w:trPr/>
        <w:tc>
          <w:tcPr>
            <w:tcW w:w="2233" w:type="dxa"/>
            <w:tcBorders/>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Cost of goods sold </w:t>
            </w:r>
          </w:p>
        </w:tc>
        <w:tc>
          <w:tcPr>
            <w:tcW w:w="60" w:type="dxa"/>
            <w:tcBorders/>
            <w:vAlign w:val="bottom"/>
          </w:tcPr>
          <w:p>
            <w:pPr>
              <w:pStyle w:val="TableContents"/>
              <w:bidi w:val="0"/>
              <w:spacing w:before="0" w:after="0"/>
              <w:ind w:left="0" w:right="0" w:hanging="0"/>
              <w:jc w:val="left"/>
              <w:rPr/>
            </w:pPr>
            <w:r>
              <w:rPr/>
              <w:t> </w:t>
            </w:r>
          </w:p>
        </w:tc>
        <w:tc>
          <w:tcPr>
            <w:tcW w:w="146" w:type="dxa"/>
            <w:tcBorders/>
            <w:vAlign w:val="bottom"/>
          </w:tcPr>
          <w:p>
            <w:pPr>
              <w:pStyle w:val="TableContents"/>
              <w:bidi w:val="0"/>
              <w:spacing w:before="0" w:after="0"/>
              <w:ind w:left="0" w:right="0" w:hanging="0"/>
              <w:jc w:val="left"/>
              <w:rPr/>
            </w:pPr>
            <w:r>
              <w:rPr/>
              <w:t> </w:t>
            </w:r>
          </w:p>
        </w:tc>
        <w:tc>
          <w:tcPr>
            <w:tcW w:w="461" w:type="dxa"/>
            <w:tcBorders/>
            <w:vAlign w:val="bottom"/>
          </w:tcPr>
          <w:p>
            <w:pPr>
              <w:pStyle w:val="TableContents"/>
              <w:bidi w:val="0"/>
              <w:spacing w:before="0" w:after="0"/>
              <w:ind w:left="0" w:right="0" w:hanging="0"/>
              <w:jc w:val="right"/>
              <w:rPr>
                <w:rFonts w:ascii="times new roman;times" w:hAnsi="times new roman;times"/>
                <w:sz w:val="20"/>
              </w:rPr>
            </w:pPr>
            <w:bookmarkStart w:id="310" w:name="fs_4KGAGNLCCG00000000000000000000fs"/>
            <w:bookmarkEnd w:id="310"/>
            <w:r>
              <w:rPr>
                <w:rFonts w:ascii="times new roman;times" w:hAnsi="times new roman;times"/>
                <w:sz w:val="20"/>
              </w:rPr>
              <w:t>70</w:t>
            </w:r>
          </w:p>
        </w:tc>
        <w:tc>
          <w:tcPr>
            <w:tcW w:w="93" w:type="dxa"/>
            <w:tcBorders/>
            <w:vAlign w:val="bottom"/>
          </w:tcPr>
          <w:p>
            <w:pPr>
              <w:pStyle w:val="TableContents"/>
              <w:bidi w:val="0"/>
              <w:spacing w:before="0" w:after="0"/>
              <w:ind w:left="0" w:right="0" w:hanging="0"/>
              <w:jc w:val="left"/>
              <w:rPr/>
            </w:pPr>
            <w:r>
              <w:rPr/>
              <w:t> </w:t>
            </w:r>
          </w:p>
        </w:tc>
        <w:tc>
          <w:tcPr>
            <w:tcW w:w="69" w:type="dxa"/>
            <w:tcBorders/>
            <w:vAlign w:val="bottom"/>
          </w:tcPr>
          <w:p>
            <w:pPr>
              <w:pStyle w:val="TableContents"/>
              <w:bidi w:val="0"/>
              <w:spacing w:before="0" w:after="0"/>
              <w:ind w:left="0" w:right="0" w:hanging="0"/>
              <w:jc w:val="left"/>
              <w:rPr/>
            </w:pPr>
            <w:r>
              <w:rPr/>
              <w:t> </w:t>
            </w:r>
          </w:p>
        </w:tc>
        <w:tc>
          <w:tcPr>
            <w:tcW w:w="146" w:type="dxa"/>
            <w:tcBorders/>
            <w:vAlign w:val="bottom"/>
          </w:tcPr>
          <w:p>
            <w:pPr>
              <w:pStyle w:val="TableContents"/>
              <w:bidi w:val="0"/>
              <w:spacing w:before="0" w:after="0"/>
              <w:ind w:left="0" w:right="0" w:hanging="0"/>
              <w:jc w:val="left"/>
              <w:rPr/>
            </w:pPr>
            <w:r>
              <w:rPr/>
              <w:t> </w:t>
            </w:r>
          </w:p>
        </w:tc>
        <w:tc>
          <w:tcPr>
            <w:tcW w:w="636" w:type="dxa"/>
            <w:tcBorders/>
            <w:vAlign w:val="bottom"/>
          </w:tcPr>
          <w:p>
            <w:pPr>
              <w:pStyle w:val="TableContents"/>
              <w:bidi w:val="0"/>
              <w:spacing w:before="0" w:after="0"/>
              <w:ind w:left="0" w:right="0" w:hanging="0"/>
              <w:jc w:val="right"/>
              <w:rPr>
                <w:rFonts w:ascii="times new roman;times" w:hAnsi="times new roman;times"/>
                <w:sz w:val="20"/>
              </w:rPr>
            </w:pPr>
            <w:bookmarkStart w:id="311" w:name="fs_BQLK5F4TGG00000000000000000000fs"/>
            <w:bookmarkEnd w:id="311"/>
            <w:r>
              <w:rPr>
                <w:rFonts w:ascii="times new roman;times" w:hAnsi="times new roman;times"/>
                <w:sz w:val="20"/>
              </w:rPr>
              <w:t>100</w:t>
            </w:r>
          </w:p>
        </w:tc>
        <w:tc>
          <w:tcPr>
            <w:tcW w:w="93" w:type="dxa"/>
            <w:tcBorders/>
            <w:vAlign w:val="bottom"/>
          </w:tcPr>
          <w:p>
            <w:pPr>
              <w:pStyle w:val="TableContents"/>
              <w:bidi w:val="0"/>
              <w:spacing w:before="0" w:after="0"/>
              <w:ind w:left="0" w:right="0" w:hanging="0"/>
              <w:jc w:val="left"/>
              <w:rPr/>
            </w:pPr>
            <w:r>
              <w:rPr/>
              <w:t> </w:t>
            </w:r>
          </w:p>
        </w:tc>
        <w:tc>
          <w:tcPr>
            <w:tcW w:w="69" w:type="dxa"/>
            <w:tcBorders/>
            <w:vAlign w:val="bottom"/>
          </w:tcPr>
          <w:p>
            <w:pPr>
              <w:pStyle w:val="TableContents"/>
              <w:bidi w:val="0"/>
              <w:spacing w:before="0" w:after="0"/>
              <w:ind w:left="0" w:right="0" w:hanging="0"/>
              <w:jc w:val="left"/>
              <w:rPr/>
            </w:pPr>
            <w:r>
              <w:rPr/>
              <w:t> </w:t>
            </w:r>
          </w:p>
        </w:tc>
        <w:tc>
          <w:tcPr>
            <w:tcW w:w="291" w:type="dxa"/>
            <w:tcBorders/>
            <w:vAlign w:val="bottom"/>
          </w:tcPr>
          <w:p>
            <w:pPr>
              <w:pStyle w:val="TableContents"/>
              <w:bidi w:val="0"/>
              <w:spacing w:before="0" w:after="0"/>
              <w:ind w:left="0" w:right="0" w:hanging="0"/>
              <w:jc w:val="left"/>
              <w:rPr/>
            </w:pPr>
            <w:r>
              <w:rPr/>
              <w:t> </w:t>
            </w:r>
          </w:p>
        </w:tc>
        <w:tc>
          <w:tcPr>
            <w:tcW w:w="1934" w:type="dxa"/>
            <w:tcBorders/>
            <w:vAlign w:val="bottom"/>
          </w:tcPr>
          <w:p>
            <w:pPr>
              <w:pStyle w:val="TableContents"/>
              <w:bidi w:val="0"/>
              <w:spacing w:before="0" w:after="0"/>
              <w:ind w:left="0" w:right="0" w:hanging="0"/>
              <w:jc w:val="right"/>
              <w:rPr>
                <w:rFonts w:ascii="times new roman;times" w:hAnsi="times new roman;times"/>
                <w:sz w:val="20"/>
              </w:rPr>
            </w:pPr>
            <w:bookmarkStart w:id="312" w:name="fs_VYSQH0OKTS00000000000000000000FM"/>
            <w:bookmarkEnd w:id="312"/>
            <w:r>
              <w:rPr>
                <w:rFonts w:ascii="times new roman;times" w:hAnsi="times new roman;times"/>
                <w:sz w:val="20"/>
              </w:rPr>
              <w:t>30</w:t>
            </w:r>
          </w:p>
        </w:tc>
        <w:tc>
          <w:tcPr>
            <w:tcW w:w="80" w:type="dxa"/>
            <w:tcBorders/>
            <w:vAlign w:val="bottom"/>
          </w:tcPr>
          <w:p>
            <w:pPr>
              <w:pStyle w:val="TableContents"/>
              <w:bidi w:val="0"/>
              <w:spacing w:before="0" w:after="283"/>
              <w:ind w:left="0" w:right="0" w:hanging="0"/>
              <w:jc w:val="left"/>
              <w:rPr>
                <w:sz w:val="4"/>
                <w:szCs w:val="4"/>
              </w:rPr>
            </w:pPr>
            <w:r>
              <w:rPr>
                <w:sz w:val="4"/>
                <w:szCs w:val="4"/>
              </w:rPr>
            </w:r>
          </w:p>
        </w:tc>
        <w:tc>
          <w:tcPr>
            <w:tcW w:w="23" w:type="dxa"/>
            <w:tcBorders/>
            <w:vAlign w:val="bottom"/>
          </w:tcPr>
          <w:p>
            <w:pPr>
              <w:pStyle w:val="TableContents"/>
              <w:bidi w:val="0"/>
              <w:spacing w:before="0" w:after="283"/>
              <w:ind w:left="0" w:right="0" w:hanging="0"/>
              <w:jc w:val="left"/>
              <w:rPr/>
            </w:pPr>
            <w:r>
              <w:rPr/>
            </w:r>
          </w:p>
        </w:tc>
        <w:tc>
          <w:tcPr>
            <w:tcW w:w="134" w:type="dxa"/>
            <w:tcBorders/>
            <w:vAlign w:val="bottom"/>
          </w:tcPr>
          <w:p>
            <w:pPr>
              <w:pStyle w:val="TableContents"/>
              <w:bidi w:val="0"/>
              <w:spacing w:before="0" w:after="283"/>
              <w:ind w:left="0" w:right="0" w:hanging="0"/>
              <w:jc w:val="left"/>
              <w:rPr/>
            </w:pPr>
            <w:r>
              <w:rPr/>
            </w:r>
          </w:p>
        </w:tc>
        <w:tc>
          <w:tcPr>
            <w:tcW w:w="589" w:type="dxa"/>
            <w:tcBorders/>
            <w:vAlign w:val="bottom"/>
          </w:tcPr>
          <w:p>
            <w:pPr>
              <w:pStyle w:val="TableContents"/>
              <w:bidi w:val="0"/>
              <w:spacing w:before="0" w:after="0"/>
              <w:ind w:left="0" w:right="0" w:hanging="0"/>
              <w:jc w:val="right"/>
              <w:rPr>
                <w:rFonts w:ascii="times new roman;times" w:hAnsi="times new roman;times"/>
                <w:sz w:val="20"/>
              </w:rPr>
            </w:pPr>
            <w:bookmarkStart w:id="313" w:name="fs_D57YGVCMHS00000000000000000000FM"/>
            <w:bookmarkEnd w:id="313"/>
            <w:r>
              <w:rPr>
                <w:rFonts w:ascii="times new roman;times" w:hAnsi="times new roman;times"/>
                <w:sz w:val="20"/>
              </w:rPr>
              <w:t>140</w:t>
            </w:r>
          </w:p>
        </w:tc>
        <w:tc>
          <w:tcPr>
            <w:tcW w:w="86" w:type="dxa"/>
            <w:tcBorders/>
            <w:vAlign w:val="bottom"/>
          </w:tcPr>
          <w:p>
            <w:pPr>
              <w:pStyle w:val="TableContents"/>
              <w:bidi w:val="0"/>
              <w:spacing w:before="0" w:after="283"/>
              <w:ind w:left="0" w:right="0" w:hanging="0"/>
              <w:jc w:val="left"/>
              <w:rPr/>
            </w:pPr>
            <w:r>
              <w:rPr/>
            </w:r>
          </w:p>
        </w:tc>
        <w:tc>
          <w:tcPr>
            <w:tcW w:w="24" w:type="dxa"/>
            <w:tcBorders/>
            <w:vAlign w:val="bottom"/>
          </w:tcPr>
          <w:p>
            <w:pPr>
              <w:pStyle w:val="TableContents"/>
              <w:bidi w:val="0"/>
              <w:spacing w:before="0" w:after="283"/>
              <w:ind w:left="0" w:right="0" w:hanging="0"/>
              <w:jc w:val="left"/>
              <w:rPr/>
            </w:pPr>
            <w:r>
              <w:rPr/>
            </w:r>
          </w:p>
        </w:tc>
        <w:tc>
          <w:tcPr>
            <w:tcW w:w="134" w:type="dxa"/>
            <w:tcBorders/>
            <w:vAlign w:val="bottom"/>
          </w:tcPr>
          <w:p>
            <w:pPr>
              <w:pStyle w:val="TableContents"/>
              <w:bidi w:val="0"/>
              <w:spacing w:before="0" w:after="283"/>
              <w:ind w:left="0" w:right="0" w:hanging="0"/>
              <w:jc w:val="left"/>
              <w:rPr/>
            </w:pPr>
            <w:r>
              <w:rPr/>
            </w:r>
          </w:p>
        </w:tc>
        <w:tc>
          <w:tcPr>
            <w:tcW w:w="589" w:type="dxa"/>
            <w:tcBorders/>
            <w:vAlign w:val="bottom"/>
          </w:tcPr>
          <w:p>
            <w:pPr>
              <w:pStyle w:val="TableContents"/>
              <w:bidi w:val="0"/>
              <w:spacing w:before="0" w:after="0"/>
              <w:ind w:left="0" w:right="0" w:hanging="0"/>
              <w:jc w:val="right"/>
              <w:rPr>
                <w:rFonts w:ascii="times new roman;times" w:hAnsi="times new roman;times"/>
                <w:sz w:val="20"/>
              </w:rPr>
            </w:pPr>
            <w:bookmarkStart w:id="314" w:name="fs_B66CE1XK5C00000000000000000000fs"/>
            <w:bookmarkEnd w:id="314"/>
            <w:r>
              <w:rPr>
                <w:rFonts w:ascii="times new roman;times" w:hAnsi="times new roman;times"/>
                <w:sz w:val="20"/>
              </w:rPr>
              <w:t>127</w:t>
            </w:r>
          </w:p>
        </w:tc>
        <w:tc>
          <w:tcPr>
            <w:tcW w:w="86" w:type="dxa"/>
            <w:tcBorders/>
            <w:vAlign w:val="bottom"/>
          </w:tcPr>
          <w:p>
            <w:pPr>
              <w:pStyle w:val="TableContents"/>
              <w:bidi w:val="0"/>
              <w:spacing w:before="0" w:after="283"/>
              <w:ind w:left="0" w:right="0" w:hanging="0"/>
              <w:jc w:val="left"/>
              <w:rPr/>
            </w:pPr>
            <w:r>
              <w:rPr/>
            </w:r>
          </w:p>
        </w:tc>
        <w:tc>
          <w:tcPr>
            <w:tcW w:w="24" w:type="dxa"/>
            <w:tcBorders/>
            <w:vAlign w:val="bottom"/>
          </w:tcPr>
          <w:p>
            <w:pPr>
              <w:pStyle w:val="TableContents"/>
              <w:bidi w:val="0"/>
              <w:spacing w:before="0" w:after="283"/>
              <w:ind w:left="0" w:right="0" w:hanging="0"/>
              <w:jc w:val="left"/>
              <w:rPr/>
            </w:pPr>
            <w:r>
              <w:rPr/>
            </w:r>
          </w:p>
        </w:tc>
        <w:tc>
          <w:tcPr>
            <w:tcW w:w="116" w:type="dxa"/>
            <w:tcBorders/>
            <w:vAlign w:val="bottom"/>
          </w:tcPr>
          <w:p>
            <w:pPr>
              <w:pStyle w:val="TableContents"/>
              <w:bidi w:val="0"/>
              <w:spacing w:before="0" w:after="283"/>
              <w:ind w:left="0" w:right="0" w:hanging="0"/>
              <w:jc w:val="left"/>
              <w:rPr/>
            </w:pPr>
            <w:r>
              <w:rPr/>
            </w:r>
          </w:p>
        </w:tc>
        <w:tc>
          <w:tcPr>
            <w:tcW w:w="1997"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15" w:name="fs_RCG4PSZK4000000000000000000000fs"/>
            <w:bookmarkEnd w:id="315"/>
            <w:r>
              <w:rPr>
                <w:rFonts w:ascii="times new roman;times" w:hAnsi="times new roman;times"/>
                <w:sz w:val="20"/>
              </w:rPr>
              <w:t>10</w:t>
            </w:r>
          </w:p>
        </w:tc>
        <w:tc>
          <w:tcPr>
            <w:tcW w:w="92"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2233"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Gross profit (loss) </w:t>
            </w:r>
          </w:p>
        </w:tc>
        <w:tc>
          <w:tcPr>
            <w:tcW w:w="60" w:type="dxa"/>
            <w:tcBorders/>
            <w:shd w:fill="CCEEFF" w:val="clear"/>
            <w:vAlign w:val="bottom"/>
          </w:tcPr>
          <w:p>
            <w:pPr>
              <w:pStyle w:val="TableContents"/>
              <w:bidi w:val="0"/>
              <w:spacing w:before="0" w:after="0"/>
              <w:ind w:left="0" w:right="0" w:hanging="0"/>
              <w:jc w:val="left"/>
              <w:rPr/>
            </w:pPr>
            <w:r>
              <w:rPr/>
              <w:t> </w:t>
            </w:r>
          </w:p>
        </w:tc>
        <w:tc>
          <w:tcPr>
            <w:tcW w:w="146" w:type="dxa"/>
            <w:tcBorders/>
            <w:shd w:fill="CCEEFF" w:val="clear"/>
            <w:vAlign w:val="bottom"/>
          </w:tcPr>
          <w:p>
            <w:pPr>
              <w:pStyle w:val="TableContents"/>
              <w:bidi w:val="0"/>
              <w:spacing w:before="0" w:after="0"/>
              <w:ind w:left="0" w:right="0" w:hanging="0"/>
              <w:jc w:val="left"/>
              <w:rPr/>
            </w:pPr>
            <w:r>
              <w:rPr/>
              <w:t> </w:t>
            </w:r>
          </w:p>
        </w:tc>
        <w:tc>
          <w:tcPr>
            <w:tcW w:w="461"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16" w:name="fs_FBQNDNWXMO00000000000000000000fs"/>
            <w:bookmarkEnd w:id="316"/>
            <w:r>
              <w:rPr>
                <w:rFonts w:ascii="times new roman;times" w:hAnsi="times new roman;times"/>
                <w:sz w:val="20"/>
              </w:rPr>
              <w:t>70</w:t>
            </w:r>
          </w:p>
        </w:tc>
        <w:tc>
          <w:tcPr>
            <w:tcW w:w="93"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 w:type="dxa"/>
            <w:tcBorders/>
            <w:shd w:fill="CCEEFF" w:val="clear"/>
            <w:vAlign w:val="bottom"/>
          </w:tcPr>
          <w:p>
            <w:pPr>
              <w:pStyle w:val="TableContents"/>
              <w:bidi w:val="0"/>
              <w:spacing w:before="0" w:after="0"/>
              <w:ind w:left="0" w:right="0" w:hanging="0"/>
              <w:jc w:val="left"/>
              <w:rPr/>
            </w:pPr>
            <w:r>
              <w:rPr/>
              <w:t> </w:t>
            </w:r>
          </w:p>
        </w:tc>
        <w:tc>
          <w:tcPr>
            <w:tcW w:w="146"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36"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17" w:name="fs_Q2GK5506JK00000000000000000000fs"/>
            <w:bookmarkEnd w:id="317"/>
            <w:r>
              <w:rPr>
                <w:rFonts w:ascii="times new roman;times" w:hAnsi="times new roman;times"/>
                <w:sz w:val="20"/>
              </w:rPr>
              <w:t>100</w:t>
            </w:r>
          </w:p>
        </w:tc>
        <w:tc>
          <w:tcPr>
            <w:tcW w:w="93"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 w:type="dxa"/>
            <w:tcBorders/>
            <w:shd w:fill="CCEEFF" w:val="clear"/>
            <w:vAlign w:val="bottom"/>
          </w:tcPr>
          <w:p>
            <w:pPr>
              <w:pStyle w:val="TableContents"/>
              <w:bidi w:val="0"/>
              <w:spacing w:before="0" w:after="0"/>
              <w:ind w:left="0" w:right="0" w:hanging="0"/>
              <w:jc w:val="left"/>
              <w:rPr/>
            </w:pPr>
            <w:r>
              <w:rPr/>
              <w:t> </w:t>
            </w:r>
          </w:p>
        </w:tc>
        <w:tc>
          <w:tcPr>
            <w:tcW w:w="291" w:type="dxa"/>
            <w:tcBorders/>
            <w:shd w:fill="CCEEFF" w:val="clear"/>
            <w:vAlign w:val="bottom"/>
          </w:tcPr>
          <w:p>
            <w:pPr>
              <w:pStyle w:val="TableContents"/>
              <w:bidi w:val="0"/>
              <w:spacing w:before="0" w:after="0"/>
              <w:ind w:left="0" w:right="0" w:hanging="0"/>
              <w:jc w:val="left"/>
              <w:rPr/>
            </w:pPr>
            <w:r>
              <w:rPr/>
              <w:t> </w:t>
            </w:r>
          </w:p>
        </w:tc>
        <w:tc>
          <w:tcPr>
            <w:tcW w:w="1934"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318" w:name="fs_B0PH9UIMF400000000000000000000fs"/>
            <w:bookmarkEnd w:id="318"/>
            <w:r>
              <w:rPr>
                <w:rFonts w:ascii="times new roman;times" w:hAnsi="times new roman;times"/>
                <w:sz w:val="20"/>
              </w:rPr>
              <w:t>30</w:t>
            </w:r>
          </w:p>
        </w:tc>
        <w:tc>
          <w:tcPr>
            <w:tcW w:w="80"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bottom"/>
          </w:tcPr>
          <w:p>
            <w:pPr>
              <w:pStyle w:val="TableContents"/>
              <w:bidi w:val="0"/>
              <w:spacing w:before="0" w:after="283"/>
              <w:ind w:left="0" w:right="0" w:hanging="0"/>
              <w:jc w:val="left"/>
              <w:rPr/>
            </w:pPr>
            <w:r>
              <w:rPr/>
            </w:r>
          </w:p>
        </w:tc>
        <w:tc>
          <w:tcPr>
            <w:tcW w:w="134" w:type="dxa"/>
            <w:tcBorders/>
            <w:shd w:fill="CCEEFF" w:val="clear"/>
            <w:vAlign w:val="bottom"/>
          </w:tcPr>
          <w:p>
            <w:pPr>
              <w:pStyle w:val="TableContents"/>
              <w:bidi w:val="0"/>
              <w:spacing w:before="0" w:after="283"/>
              <w:ind w:left="0" w:right="0" w:hanging="0"/>
              <w:jc w:val="left"/>
              <w:rPr/>
            </w:pPr>
            <w:r>
              <w:rPr/>
            </w:r>
          </w:p>
        </w:tc>
        <w:tc>
          <w:tcPr>
            <w:tcW w:w="589"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19" w:name="fs_JU2HD70TBK00000000000000000000FM"/>
            <w:bookmarkEnd w:id="319"/>
            <w:r>
              <w:rPr>
                <w:rFonts w:ascii="times new roman;times" w:hAnsi="times new roman;times"/>
                <w:sz w:val="20"/>
              </w:rPr>
              <w:t>140</w:t>
            </w:r>
          </w:p>
        </w:tc>
        <w:tc>
          <w:tcPr>
            <w:tcW w:w="86"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4" w:type="dxa"/>
            <w:tcBorders/>
            <w:shd w:fill="CCEEFF" w:val="clear"/>
            <w:vAlign w:val="bottom"/>
          </w:tcPr>
          <w:p>
            <w:pPr>
              <w:pStyle w:val="TableContents"/>
              <w:bidi w:val="0"/>
              <w:spacing w:before="0" w:after="283"/>
              <w:ind w:left="0" w:right="0" w:hanging="0"/>
              <w:jc w:val="left"/>
              <w:rPr/>
            </w:pPr>
            <w:r>
              <w:rPr/>
            </w:r>
          </w:p>
        </w:tc>
        <w:tc>
          <w:tcPr>
            <w:tcW w:w="134" w:type="dxa"/>
            <w:tcBorders/>
            <w:shd w:fill="CCEEFF" w:val="clear"/>
            <w:vAlign w:val="bottom"/>
          </w:tcPr>
          <w:p>
            <w:pPr>
              <w:pStyle w:val="TableContents"/>
              <w:bidi w:val="0"/>
              <w:spacing w:before="0" w:after="283"/>
              <w:ind w:left="0" w:right="0" w:hanging="0"/>
              <w:jc w:val="left"/>
              <w:rPr/>
            </w:pPr>
            <w:r>
              <w:rPr/>
            </w:r>
          </w:p>
        </w:tc>
        <w:tc>
          <w:tcPr>
            <w:tcW w:w="589"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20" w:name="fs_A6BD7T9QF400000000000000000000fs"/>
            <w:bookmarkEnd w:id="320"/>
            <w:r>
              <w:rPr>
                <w:rFonts w:ascii="times new roman;times" w:hAnsi="times new roman;times"/>
                <w:sz w:val="20"/>
              </w:rPr>
              <w:t>127</w:t>
            </w:r>
          </w:p>
        </w:tc>
        <w:tc>
          <w:tcPr>
            <w:tcW w:w="86"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4" w:type="dxa"/>
            <w:tcBorders/>
            <w:shd w:fill="CCEEFF" w:val="clear"/>
            <w:vAlign w:val="bottom"/>
          </w:tcPr>
          <w:p>
            <w:pPr>
              <w:pStyle w:val="TableContents"/>
              <w:bidi w:val="0"/>
              <w:spacing w:before="0" w:after="283"/>
              <w:ind w:left="0" w:right="0" w:hanging="0"/>
              <w:jc w:val="left"/>
              <w:rPr/>
            </w:pPr>
            <w:r>
              <w:rPr/>
            </w:r>
          </w:p>
        </w:tc>
        <w:tc>
          <w:tcPr>
            <w:tcW w:w="116" w:type="dxa"/>
            <w:tcBorders/>
            <w:shd w:fill="CCEEFF" w:val="clear"/>
            <w:vAlign w:val="bottom"/>
          </w:tcPr>
          <w:p>
            <w:pPr>
              <w:pStyle w:val="TableContents"/>
              <w:bidi w:val="0"/>
              <w:spacing w:before="0" w:after="283"/>
              <w:ind w:left="0" w:right="0" w:hanging="0"/>
              <w:jc w:val="left"/>
              <w:rPr/>
            </w:pPr>
            <w:r>
              <w:rPr/>
            </w:r>
          </w:p>
        </w:tc>
        <w:tc>
          <w:tcPr>
            <w:tcW w:w="1997"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21" w:name="fs_L8EHUY337K00000000000000000000fs"/>
            <w:bookmarkEnd w:id="321"/>
            <w:r>
              <w:rPr>
                <w:rFonts w:ascii="times new roman;times" w:hAnsi="times new roman;times"/>
                <w:sz w:val="20"/>
              </w:rPr>
              <w:t>10</w:t>
            </w:r>
          </w:p>
        </w:tc>
        <w:tc>
          <w:tcPr>
            <w:tcW w:w="92"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2233" w:type="dxa"/>
            <w:tcBorders/>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Sales and marketing  </w:t>
            </w:r>
          </w:p>
        </w:tc>
        <w:tc>
          <w:tcPr>
            <w:tcW w:w="60" w:type="dxa"/>
            <w:tcBorders/>
            <w:vAlign w:val="bottom"/>
          </w:tcPr>
          <w:p>
            <w:pPr>
              <w:pStyle w:val="TableContents"/>
              <w:bidi w:val="0"/>
              <w:spacing w:before="0" w:after="0"/>
              <w:ind w:left="0" w:right="0" w:hanging="0"/>
              <w:jc w:val="left"/>
              <w:rPr/>
            </w:pPr>
            <w:r>
              <w:rPr/>
              <w:t> </w:t>
            </w:r>
          </w:p>
        </w:tc>
        <w:tc>
          <w:tcPr>
            <w:tcW w:w="146" w:type="dxa"/>
            <w:tcBorders/>
            <w:vAlign w:val="bottom"/>
          </w:tcPr>
          <w:p>
            <w:pPr>
              <w:pStyle w:val="TableContents"/>
              <w:bidi w:val="0"/>
              <w:spacing w:before="0" w:after="0"/>
              <w:ind w:left="0" w:right="0" w:hanging="0"/>
              <w:jc w:val="left"/>
              <w:rPr/>
            </w:pPr>
            <w:r>
              <w:rPr/>
              <w:t> </w:t>
            </w:r>
          </w:p>
        </w:tc>
        <w:tc>
          <w:tcPr>
            <w:tcW w:w="461" w:type="dxa"/>
            <w:tcBorders/>
            <w:vAlign w:val="bottom"/>
          </w:tcPr>
          <w:p>
            <w:pPr>
              <w:pStyle w:val="TableContents"/>
              <w:bidi w:val="0"/>
              <w:spacing w:before="0" w:after="0"/>
              <w:ind w:left="0" w:right="0" w:hanging="0"/>
              <w:jc w:val="right"/>
              <w:rPr/>
            </w:pPr>
            <w:bookmarkStart w:id="322" w:name="fs_IHADJZ19QO00000000000000000000FM"/>
            <w:bookmarkEnd w:id="322"/>
            <w:r>
              <w:rPr/>
              <w:t>—</w:t>
            </w:r>
          </w:p>
        </w:tc>
        <w:tc>
          <w:tcPr>
            <w:tcW w:w="93" w:type="dxa"/>
            <w:tcBorders/>
            <w:vAlign w:val="bottom"/>
          </w:tcPr>
          <w:p>
            <w:pPr>
              <w:pStyle w:val="TableContents"/>
              <w:bidi w:val="0"/>
              <w:spacing w:before="0" w:after="0"/>
              <w:ind w:left="0" w:right="0" w:hanging="0"/>
              <w:jc w:val="left"/>
              <w:rPr/>
            </w:pPr>
            <w:r>
              <w:rPr/>
              <w:t> </w:t>
            </w:r>
          </w:p>
        </w:tc>
        <w:tc>
          <w:tcPr>
            <w:tcW w:w="69" w:type="dxa"/>
            <w:tcBorders/>
            <w:vAlign w:val="bottom"/>
          </w:tcPr>
          <w:p>
            <w:pPr>
              <w:pStyle w:val="TableContents"/>
              <w:bidi w:val="0"/>
              <w:spacing w:before="0" w:after="0"/>
              <w:ind w:left="0" w:right="0" w:hanging="0"/>
              <w:jc w:val="left"/>
              <w:rPr/>
            </w:pPr>
            <w:r>
              <w:rPr/>
              <w:t> </w:t>
            </w:r>
          </w:p>
        </w:tc>
        <w:tc>
          <w:tcPr>
            <w:tcW w:w="146" w:type="dxa"/>
            <w:tcBorders/>
            <w:vAlign w:val="bottom"/>
          </w:tcPr>
          <w:p>
            <w:pPr>
              <w:pStyle w:val="TableContents"/>
              <w:bidi w:val="0"/>
              <w:spacing w:before="0" w:after="0"/>
              <w:ind w:left="0" w:right="0" w:hanging="0"/>
              <w:jc w:val="left"/>
              <w:rPr/>
            </w:pPr>
            <w:r>
              <w:rPr/>
              <w:t> </w:t>
            </w:r>
          </w:p>
        </w:tc>
        <w:tc>
          <w:tcPr>
            <w:tcW w:w="636" w:type="dxa"/>
            <w:tcBorders/>
            <w:vAlign w:val="bottom"/>
          </w:tcPr>
          <w:p>
            <w:pPr>
              <w:pStyle w:val="TableContents"/>
              <w:bidi w:val="0"/>
              <w:spacing w:before="0" w:after="0"/>
              <w:ind w:left="0" w:right="0" w:hanging="0"/>
              <w:jc w:val="right"/>
              <w:rPr/>
            </w:pPr>
            <w:bookmarkStart w:id="323" w:name="fs_NZPZ0QOAU800000000000000000000FM"/>
            <w:bookmarkEnd w:id="323"/>
            <w:r>
              <w:rPr/>
              <w:t>—</w:t>
            </w:r>
          </w:p>
        </w:tc>
        <w:tc>
          <w:tcPr>
            <w:tcW w:w="93" w:type="dxa"/>
            <w:tcBorders/>
            <w:vAlign w:val="bottom"/>
          </w:tcPr>
          <w:p>
            <w:pPr>
              <w:pStyle w:val="TableContents"/>
              <w:bidi w:val="0"/>
              <w:spacing w:before="0" w:after="0"/>
              <w:ind w:left="0" w:right="0" w:hanging="0"/>
              <w:jc w:val="left"/>
              <w:rPr/>
            </w:pPr>
            <w:r>
              <w:rPr/>
              <w:t> </w:t>
            </w:r>
          </w:p>
        </w:tc>
        <w:tc>
          <w:tcPr>
            <w:tcW w:w="69" w:type="dxa"/>
            <w:tcBorders/>
            <w:vAlign w:val="bottom"/>
          </w:tcPr>
          <w:p>
            <w:pPr>
              <w:pStyle w:val="TableContents"/>
              <w:bidi w:val="0"/>
              <w:spacing w:before="0" w:after="0"/>
              <w:ind w:left="0" w:right="0" w:hanging="0"/>
              <w:jc w:val="left"/>
              <w:rPr/>
            </w:pPr>
            <w:r>
              <w:rPr/>
              <w:t> </w:t>
            </w:r>
          </w:p>
        </w:tc>
        <w:tc>
          <w:tcPr>
            <w:tcW w:w="291" w:type="dxa"/>
            <w:tcBorders/>
            <w:vAlign w:val="bottom"/>
          </w:tcPr>
          <w:p>
            <w:pPr>
              <w:pStyle w:val="TableContents"/>
              <w:bidi w:val="0"/>
              <w:spacing w:before="0" w:after="0"/>
              <w:ind w:left="0" w:right="0" w:hanging="0"/>
              <w:jc w:val="left"/>
              <w:rPr/>
            </w:pPr>
            <w:r>
              <w:rPr/>
              <w:t> </w:t>
            </w:r>
          </w:p>
        </w:tc>
        <w:tc>
          <w:tcPr>
            <w:tcW w:w="1934" w:type="dxa"/>
            <w:tcBorders/>
            <w:vAlign w:val="bottom"/>
          </w:tcPr>
          <w:p>
            <w:pPr>
              <w:pStyle w:val="TableContents"/>
              <w:bidi w:val="0"/>
              <w:spacing w:before="0" w:after="0"/>
              <w:ind w:left="0" w:right="0" w:hanging="0"/>
              <w:jc w:val="right"/>
              <w:rPr>
                <w:rFonts w:ascii="times new roman;times" w:hAnsi="times new roman;times"/>
                <w:sz w:val="20"/>
              </w:rPr>
            </w:pPr>
            <w:bookmarkStart w:id="324" w:name="fs_3UXQFS8F3K00000000000000000000FM"/>
            <w:bookmarkEnd w:id="324"/>
            <w:r>
              <w:rPr>
                <w:rFonts w:ascii="times new roman;times" w:hAnsi="times new roman;times"/>
                <w:sz w:val="20"/>
              </w:rPr>
              <w:t>-</w:t>
            </w:r>
          </w:p>
        </w:tc>
        <w:tc>
          <w:tcPr>
            <w:tcW w:w="80" w:type="dxa"/>
            <w:tcBorders/>
            <w:vAlign w:val="bottom"/>
          </w:tcPr>
          <w:p>
            <w:pPr>
              <w:pStyle w:val="TableContents"/>
              <w:bidi w:val="0"/>
              <w:spacing w:before="0" w:after="283"/>
              <w:ind w:left="0" w:right="0" w:hanging="0"/>
              <w:jc w:val="left"/>
              <w:rPr>
                <w:sz w:val="4"/>
                <w:szCs w:val="4"/>
              </w:rPr>
            </w:pPr>
            <w:r>
              <w:rPr>
                <w:sz w:val="4"/>
                <w:szCs w:val="4"/>
              </w:rPr>
            </w:r>
          </w:p>
        </w:tc>
        <w:tc>
          <w:tcPr>
            <w:tcW w:w="23" w:type="dxa"/>
            <w:tcBorders/>
            <w:vAlign w:val="bottom"/>
          </w:tcPr>
          <w:p>
            <w:pPr>
              <w:pStyle w:val="TableContents"/>
              <w:bidi w:val="0"/>
              <w:spacing w:before="0" w:after="283"/>
              <w:ind w:left="0" w:right="0" w:hanging="0"/>
              <w:jc w:val="left"/>
              <w:rPr/>
            </w:pPr>
            <w:r>
              <w:rPr/>
            </w:r>
          </w:p>
        </w:tc>
        <w:tc>
          <w:tcPr>
            <w:tcW w:w="134" w:type="dxa"/>
            <w:tcBorders/>
            <w:vAlign w:val="bottom"/>
          </w:tcPr>
          <w:p>
            <w:pPr>
              <w:pStyle w:val="TableContents"/>
              <w:bidi w:val="0"/>
              <w:spacing w:before="0" w:after="283"/>
              <w:ind w:left="0" w:right="0" w:hanging="0"/>
              <w:jc w:val="left"/>
              <w:rPr/>
            </w:pPr>
            <w:r>
              <w:rPr/>
            </w:r>
          </w:p>
        </w:tc>
        <w:tc>
          <w:tcPr>
            <w:tcW w:w="589" w:type="dxa"/>
            <w:tcBorders/>
            <w:vAlign w:val="bottom"/>
          </w:tcPr>
          <w:p>
            <w:pPr>
              <w:pStyle w:val="TableContents"/>
              <w:bidi w:val="0"/>
              <w:spacing w:before="0" w:after="0"/>
              <w:ind w:left="0" w:right="0" w:hanging="0"/>
              <w:jc w:val="right"/>
              <w:rPr/>
            </w:pPr>
            <w:bookmarkStart w:id="325" w:name="fs_EUHC3KNRA800000000000000000000FM"/>
            <w:bookmarkEnd w:id="325"/>
            <w:r>
              <w:rPr/>
              <w:t>—</w:t>
            </w:r>
          </w:p>
        </w:tc>
        <w:tc>
          <w:tcPr>
            <w:tcW w:w="86" w:type="dxa"/>
            <w:tcBorders/>
            <w:vAlign w:val="bottom"/>
          </w:tcPr>
          <w:p>
            <w:pPr>
              <w:pStyle w:val="TableContents"/>
              <w:bidi w:val="0"/>
              <w:spacing w:before="0" w:after="283"/>
              <w:ind w:left="0" w:right="0" w:hanging="0"/>
              <w:jc w:val="left"/>
              <w:rPr/>
            </w:pPr>
            <w:r>
              <w:rPr/>
            </w:r>
          </w:p>
        </w:tc>
        <w:tc>
          <w:tcPr>
            <w:tcW w:w="24" w:type="dxa"/>
            <w:tcBorders/>
            <w:vAlign w:val="bottom"/>
          </w:tcPr>
          <w:p>
            <w:pPr>
              <w:pStyle w:val="TableContents"/>
              <w:bidi w:val="0"/>
              <w:spacing w:before="0" w:after="283"/>
              <w:ind w:left="0" w:right="0" w:hanging="0"/>
              <w:jc w:val="left"/>
              <w:rPr/>
            </w:pPr>
            <w:r>
              <w:rPr/>
            </w:r>
          </w:p>
        </w:tc>
        <w:tc>
          <w:tcPr>
            <w:tcW w:w="134" w:type="dxa"/>
            <w:tcBorders/>
            <w:vAlign w:val="bottom"/>
          </w:tcPr>
          <w:p>
            <w:pPr>
              <w:pStyle w:val="TableContents"/>
              <w:bidi w:val="0"/>
              <w:spacing w:before="0" w:after="283"/>
              <w:ind w:left="0" w:right="0" w:hanging="0"/>
              <w:jc w:val="left"/>
              <w:rPr/>
            </w:pPr>
            <w:r>
              <w:rPr/>
            </w:r>
          </w:p>
        </w:tc>
        <w:tc>
          <w:tcPr>
            <w:tcW w:w="589" w:type="dxa"/>
            <w:tcBorders/>
            <w:vAlign w:val="bottom"/>
          </w:tcPr>
          <w:p>
            <w:pPr>
              <w:pStyle w:val="TableContents"/>
              <w:bidi w:val="0"/>
              <w:spacing w:before="0" w:after="0"/>
              <w:ind w:left="0" w:right="0" w:hanging="0"/>
              <w:jc w:val="right"/>
              <w:rPr/>
            </w:pPr>
            <w:bookmarkStart w:id="326" w:name="fs_JT7OVL29Y800000000000000000000fs"/>
            <w:bookmarkEnd w:id="326"/>
            <w:r>
              <w:rPr/>
              <w:t>—</w:t>
            </w:r>
          </w:p>
        </w:tc>
        <w:tc>
          <w:tcPr>
            <w:tcW w:w="86" w:type="dxa"/>
            <w:tcBorders/>
            <w:vAlign w:val="bottom"/>
          </w:tcPr>
          <w:p>
            <w:pPr>
              <w:pStyle w:val="TableContents"/>
              <w:bidi w:val="0"/>
              <w:spacing w:before="0" w:after="283"/>
              <w:ind w:left="0" w:right="0" w:hanging="0"/>
              <w:jc w:val="left"/>
              <w:rPr/>
            </w:pPr>
            <w:r>
              <w:rPr/>
            </w:r>
          </w:p>
        </w:tc>
        <w:tc>
          <w:tcPr>
            <w:tcW w:w="24" w:type="dxa"/>
            <w:tcBorders/>
            <w:vAlign w:val="bottom"/>
          </w:tcPr>
          <w:p>
            <w:pPr>
              <w:pStyle w:val="TableContents"/>
              <w:bidi w:val="0"/>
              <w:spacing w:before="0" w:after="283"/>
              <w:ind w:left="0" w:right="0" w:hanging="0"/>
              <w:jc w:val="left"/>
              <w:rPr/>
            </w:pPr>
            <w:r>
              <w:rPr/>
            </w:r>
          </w:p>
        </w:tc>
        <w:tc>
          <w:tcPr>
            <w:tcW w:w="116" w:type="dxa"/>
            <w:tcBorders/>
            <w:vAlign w:val="bottom"/>
          </w:tcPr>
          <w:p>
            <w:pPr>
              <w:pStyle w:val="TableContents"/>
              <w:bidi w:val="0"/>
              <w:spacing w:before="0" w:after="283"/>
              <w:ind w:left="0" w:right="0" w:hanging="0"/>
              <w:jc w:val="left"/>
              <w:rPr/>
            </w:pPr>
            <w:r>
              <w:rPr/>
            </w:r>
          </w:p>
        </w:tc>
        <w:tc>
          <w:tcPr>
            <w:tcW w:w="1997" w:type="dxa"/>
            <w:tcBorders/>
            <w:vAlign w:val="bottom"/>
          </w:tcPr>
          <w:p>
            <w:pPr>
              <w:pStyle w:val="TableContents"/>
              <w:bidi w:val="0"/>
              <w:spacing w:before="0" w:after="0"/>
              <w:ind w:left="0" w:right="0" w:hanging="0"/>
              <w:jc w:val="right"/>
              <w:rPr>
                <w:rFonts w:ascii="times new roman;times" w:hAnsi="times new roman;times"/>
                <w:sz w:val="20"/>
              </w:rPr>
            </w:pPr>
            <w:bookmarkStart w:id="327" w:name="fs_029DNPJ7WG00000000000000000000fs"/>
            <w:bookmarkEnd w:id="327"/>
            <w:r>
              <w:rPr>
                <w:rFonts w:ascii="times new roman;times" w:hAnsi="times new roman;times"/>
                <w:sz w:val="20"/>
              </w:rPr>
              <w:t>-</w:t>
            </w:r>
          </w:p>
        </w:tc>
        <w:tc>
          <w:tcPr>
            <w:tcW w:w="92" w:type="dxa"/>
            <w:tcBorders/>
            <w:vAlign w:val="bottom"/>
          </w:tcPr>
          <w:p>
            <w:pPr>
              <w:pStyle w:val="TableContents"/>
              <w:bidi w:val="0"/>
              <w:spacing w:before="0" w:after="283"/>
              <w:ind w:left="0" w:right="0" w:hanging="0"/>
              <w:jc w:val="left"/>
              <w:rPr/>
            </w:pPr>
            <w:r>
              <w:rPr/>
            </w:r>
          </w:p>
        </w:tc>
      </w:tr>
      <w:tr>
        <w:trPr/>
        <w:tc>
          <w:tcPr>
            <w:tcW w:w="2233"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Research and product development </w:t>
            </w:r>
          </w:p>
        </w:tc>
        <w:tc>
          <w:tcPr>
            <w:tcW w:w="60" w:type="dxa"/>
            <w:tcBorders/>
            <w:shd w:fill="CCEEFF" w:val="clear"/>
            <w:vAlign w:val="bottom"/>
          </w:tcPr>
          <w:p>
            <w:pPr>
              <w:pStyle w:val="TableContents"/>
              <w:bidi w:val="0"/>
              <w:spacing w:before="0" w:after="0"/>
              <w:ind w:left="0" w:right="0" w:hanging="0"/>
              <w:jc w:val="left"/>
              <w:rPr/>
            </w:pPr>
            <w:r>
              <w:rPr/>
              <w:t> </w:t>
            </w:r>
          </w:p>
        </w:tc>
        <w:tc>
          <w:tcPr>
            <w:tcW w:w="146" w:type="dxa"/>
            <w:tcBorders/>
            <w:shd w:fill="CCEEFF" w:val="clear"/>
            <w:vAlign w:val="bottom"/>
          </w:tcPr>
          <w:p>
            <w:pPr>
              <w:pStyle w:val="TableContents"/>
              <w:bidi w:val="0"/>
              <w:spacing w:before="0" w:after="0"/>
              <w:ind w:left="0" w:right="0" w:hanging="0"/>
              <w:jc w:val="left"/>
              <w:rPr/>
            </w:pPr>
            <w:r>
              <w:rPr/>
              <w:t> </w:t>
            </w:r>
          </w:p>
        </w:tc>
        <w:tc>
          <w:tcPr>
            <w:tcW w:w="461" w:type="dxa"/>
            <w:tcBorders/>
            <w:shd w:fill="CCEEFF" w:val="clear"/>
            <w:vAlign w:val="bottom"/>
          </w:tcPr>
          <w:p>
            <w:pPr>
              <w:pStyle w:val="TableContents"/>
              <w:bidi w:val="0"/>
              <w:spacing w:before="0" w:after="0"/>
              <w:ind w:left="0" w:right="0" w:hanging="0"/>
              <w:jc w:val="right"/>
              <w:rPr/>
            </w:pPr>
            <w:bookmarkStart w:id="328" w:name="fs_FB27VKKI2800000000000000000000FM"/>
            <w:bookmarkEnd w:id="328"/>
            <w:r>
              <w:rPr/>
              <w:t>—</w:t>
            </w:r>
          </w:p>
        </w:tc>
        <w:tc>
          <w:tcPr>
            <w:tcW w:w="93" w:type="dxa"/>
            <w:tcBorders/>
            <w:shd w:fill="CCEEFF" w:val="clear"/>
            <w:vAlign w:val="bottom"/>
          </w:tcPr>
          <w:p>
            <w:pPr>
              <w:pStyle w:val="TableContents"/>
              <w:bidi w:val="0"/>
              <w:spacing w:before="0" w:after="0"/>
              <w:ind w:left="0" w:right="0" w:hanging="0"/>
              <w:jc w:val="left"/>
              <w:rPr/>
            </w:pPr>
            <w:r>
              <w:rPr/>
              <w:t> </w:t>
            </w:r>
          </w:p>
        </w:tc>
        <w:tc>
          <w:tcPr>
            <w:tcW w:w="69" w:type="dxa"/>
            <w:tcBorders/>
            <w:shd w:fill="CCEEFF" w:val="clear"/>
            <w:vAlign w:val="bottom"/>
          </w:tcPr>
          <w:p>
            <w:pPr>
              <w:pStyle w:val="TableContents"/>
              <w:bidi w:val="0"/>
              <w:spacing w:before="0" w:after="0"/>
              <w:ind w:left="0" w:right="0" w:hanging="0"/>
              <w:jc w:val="left"/>
              <w:rPr/>
            </w:pPr>
            <w:r>
              <w:rPr/>
              <w:t> </w:t>
            </w:r>
          </w:p>
        </w:tc>
        <w:tc>
          <w:tcPr>
            <w:tcW w:w="146" w:type="dxa"/>
            <w:tcBorders/>
            <w:shd w:fill="CCEEFF" w:val="clear"/>
            <w:vAlign w:val="bottom"/>
          </w:tcPr>
          <w:p>
            <w:pPr>
              <w:pStyle w:val="TableContents"/>
              <w:bidi w:val="0"/>
              <w:spacing w:before="0" w:after="0"/>
              <w:ind w:left="0" w:right="0" w:hanging="0"/>
              <w:jc w:val="left"/>
              <w:rPr/>
            </w:pPr>
            <w:r>
              <w:rPr/>
              <w:t> </w:t>
            </w:r>
          </w:p>
        </w:tc>
        <w:tc>
          <w:tcPr>
            <w:tcW w:w="636" w:type="dxa"/>
            <w:tcBorders/>
            <w:shd w:fill="CCEEFF" w:val="clear"/>
            <w:vAlign w:val="bottom"/>
          </w:tcPr>
          <w:p>
            <w:pPr>
              <w:pStyle w:val="TableContents"/>
              <w:bidi w:val="0"/>
              <w:spacing w:before="0" w:after="0"/>
              <w:ind w:left="0" w:right="0" w:hanging="0"/>
              <w:jc w:val="right"/>
              <w:rPr/>
            </w:pPr>
            <w:bookmarkStart w:id="329" w:name="fs_FD6SK7043400000000000000000000FM"/>
            <w:bookmarkEnd w:id="329"/>
            <w:r>
              <w:rPr/>
              <w:t>—</w:t>
            </w:r>
          </w:p>
        </w:tc>
        <w:tc>
          <w:tcPr>
            <w:tcW w:w="93" w:type="dxa"/>
            <w:tcBorders/>
            <w:shd w:fill="CCEEFF" w:val="clear"/>
            <w:vAlign w:val="bottom"/>
          </w:tcPr>
          <w:p>
            <w:pPr>
              <w:pStyle w:val="TableContents"/>
              <w:bidi w:val="0"/>
              <w:spacing w:before="0" w:after="0"/>
              <w:ind w:left="0" w:right="0" w:hanging="0"/>
              <w:jc w:val="left"/>
              <w:rPr/>
            </w:pPr>
            <w:r>
              <w:rPr/>
              <w:t> </w:t>
            </w:r>
          </w:p>
        </w:tc>
        <w:tc>
          <w:tcPr>
            <w:tcW w:w="69" w:type="dxa"/>
            <w:tcBorders/>
            <w:shd w:fill="CCEEFF" w:val="clear"/>
            <w:vAlign w:val="bottom"/>
          </w:tcPr>
          <w:p>
            <w:pPr>
              <w:pStyle w:val="TableContents"/>
              <w:bidi w:val="0"/>
              <w:spacing w:before="0" w:after="0"/>
              <w:ind w:left="0" w:right="0" w:hanging="0"/>
              <w:jc w:val="left"/>
              <w:rPr/>
            </w:pPr>
            <w:r>
              <w:rPr/>
              <w:t> </w:t>
            </w:r>
          </w:p>
        </w:tc>
        <w:tc>
          <w:tcPr>
            <w:tcW w:w="291" w:type="dxa"/>
            <w:tcBorders/>
            <w:shd w:fill="CCEEFF" w:val="clear"/>
            <w:vAlign w:val="bottom"/>
          </w:tcPr>
          <w:p>
            <w:pPr>
              <w:pStyle w:val="TableContents"/>
              <w:bidi w:val="0"/>
              <w:spacing w:before="0" w:after="0"/>
              <w:ind w:left="0" w:right="0" w:hanging="0"/>
              <w:jc w:val="left"/>
              <w:rPr/>
            </w:pPr>
            <w:r>
              <w:rPr/>
              <w:t> </w:t>
            </w:r>
          </w:p>
        </w:tc>
        <w:tc>
          <w:tcPr>
            <w:tcW w:w="1934"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330" w:name="fs_IM67H85Y3K00000000000000000000FM"/>
            <w:bookmarkEnd w:id="330"/>
            <w:r>
              <w:rPr>
                <w:rFonts w:ascii="times new roman;times" w:hAnsi="times new roman;times"/>
                <w:sz w:val="20"/>
              </w:rPr>
              <w:t>-</w:t>
            </w:r>
          </w:p>
        </w:tc>
        <w:tc>
          <w:tcPr>
            <w:tcW w:w="80"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bottom"/>
          </w:tcPr>
          <w:p>
            <w:pPr>
              <w:pStyle w:val="TableContents"/>
              <w:bidi w:val="0"/>
              <w:spacing w:before="0" w:after="283"/>
              <w:ind w:left="0" w:right="0" w:hanging="0"/>
              <w:jc w:val="left"/>
              <w:rPr/>
            </w:pPr>
            <w:r>
              <w:rPr/>
            </w:r>
          </w:p>
        </w:tc>
        <w:tc>
          <w:tcPr>
            <w:tcW w:w="134" w:type="dxa"/>
            <w:tcBorders/>
            <w:shd w:fill="CCEEFF" w:val="clear"/>
            <w:vAlign w:val="bottom"/>
          </w:tcPr>
          <w:p>
            <w:pPr>
              <w:pStyle w:val="TableContents"/>
              <w:bidi w:val="0"/>
              <w:spacing w:before="0" w:after="283"/>
              <w:ind w:left="0" w:right="0" w:hanging="0"/>
              <w:jc w:val="left"/>
              <w:rPr/>
            </w:pPr>
            <w:r>
              <w:rPr/>
            </w:r>
          </w:p>
        </w:tc>
        <w:tc>
          <w:tcPr>
            <w:tcW w:w="589" w:type="dxa"/>
            <w:tcBorders/>
            <w:shd w:fill="CCEEFF" w:val="clear"/>
            <w:vAlign w:val="bottom"/>
          </w:tcPr>
          <w:p>
            <w:pPr>
              <w:pStyle w:val="TableContents"/>
              <w:bidi w:val="0"/>
              <w:spacing w:before="0" w:after="0"/>
              <w:ind w:left="0" w:right="0" w:hanging="0"/>
              <w:jc w:val="right"/>
              <w:rPr/>
            </w:pPr>
            <w:bookmarkStart w:id="331" w:name="fs_GP7F9PTPNK00000000000000000000FM"/>
            <w:bookmarkEnd w:id="331"/>
            <w:r>
              <w:rPr/>
              <w:t>—</w:t>
            </w:r>
          </w:p>
        </w:tc>
        <w:tc>
          <w:tcPr>
            <w:tcW w:w="86" w:type="dxa"/>
            <w:tcBorders/>
            <w:shd w:fill="CCEEFF" w:val="clear"/>
            <w:vAlign w:val="bottom"/>
          </w:tcPr>
          <w:p>
            <w:pPr>
              <w:pStyle w:val="TableContents"/>
              <w:bidi w:val="0"/>
              <w:spacing w:before="0" w:after="283"/>
              <w:ind w:left="0" w:right="0" w:hanging="0"/>
              <w:jc w:val="left"/>
              <w:rPr/>
            </w:pPr>
            <w:r>
              <w:rPr/>
            </w:r>
          </w:p>
        </w:tc>
        <w:tc>
          <w:tcPr>
            <w:tcW w:w="24" w:type="dxa"/>
            <w:tcBorders/>
            <w:shd w:fill="CCEEFF" w:val="clear"/>
            <w:vAlign w:val="bottom"/>
          </w:tcPr>
          <w:p>
            <w:pPr>
              <w:pStyle w:val="TableContents"/>
              <w:bidi w:val="0"/>
              <w:spacing w:before="0" w:after="283"/>
              <w:ind w:left="0" w:right="0" w:hanging="0"/>
              <w:jc w:val="left"/>
              <w:rPr/>
            </w:pPr>
            <w:r>
              <w:rPr/>
            </w:r>
          </w:p>
        </w:tc>
        <w:tc>
          <w:tcPr>
            <w:tcW w:w="134" w:type="dxa"/>
            <w:tcBorders/>
            <w:shd w:fill="CCEEFF" w:val="clear"/>
            <w:vAlign w:val="bottom"/>
          </w:tcPr>
          <w:p>
            <w:pPr>
              <w:pStyle w:val="TableContents"/>
              <w:bidi w:val="0"/>
              <w:spacing w:before="0" w:after="283"/>
              <w:ind w:left="0" w:right="0" w:hanging="0"/>
              <w:jc w:val="left"/>
              <w:rPr/>
            </w:pPr>
            <w:r>
              <w:rPr/>
            </w:r>
          </w:p>
        </w:tc>
        <w:tc>
          <w:tcPr>
            <w:tcW w:w="589" w:type="dxa"/>
            <w:tcBorders/>
            <w:shd w:fill="CCEEFF" w:val="clear"/>
            <w:vAlign w:val="bottom"/>
          </w:tcPr>
          <w:p>
            <w:pPr>
              <w:pStyle w:val="TableContents"/>
              <w:bidi w:val="0"/>
              <w:spacing w:before="0" w:after="0"/>
              <w:ind w:left="0" w:right="0" w:hanging="0"/>
              <w:jc w:val="right"/>
              <w:rPr/>
            </w:pPr>
            <w:bookmarkStart w:id="332" w:name="fs_6BBA5DJJ3K00000000000000000000fs"/>
            <w:bookmarkEnd w:id="332"/>
            <w:r>
              <w:rPr/>
              <w:t>—</w:t>
            </w:r>
          </w:p>
        </w:tc>
        <w:tc>
          <w:tcPr>
            <w:tcW w:w="86" w:type="dxa"/>
            <w:tcBorders/>
            <w:shd w:fill="CCEEFF" w:val="clear"/>
            <w:vAlign w:val="bottom"/>
          </w:tcPr>
          <w:p>
            <w:pPr>
              <w:pStyle w:val="TableContents"/>
              <w:bidi w:val="0"/>
              <w:spacing w:before="0" w:after="283"/>
              <w:ind w:left="0" w:right="0" w:hanging="0"/>
              <w:jc w:val="left"/>
              <w:rPr/>
            </w:pPr>
            <w:r>
              <w:rPr/>
            </w:r>
          </w:p>
        </w:tc>
        <w:tc>
          <w:tcPr>
            <w:tcW w:w="24" w:type="dxa"/>
            <w:tcBorders/>
            <w:shd w:fill="CCEEFF" w:val="clear"/>
            <w:vAlign w:val="bottom"/>
          </w:tcPr>
          <w:p>
            <w:pPr>
              <w:pStyle w:val="TableContents"/>
              <w:bidi w:val="0"/>
              <w:spacing w:before="0" w:after="283"/>
              <w:ind w:left="0" w:right="0" w:hanging="0"/>
              <w:jc w:val="left"/>
              <w:rPr/>
            </w:pPr>
            <w:r>
              <w:rPr/>
            </w:r>
          </w:p>
        </w:tc>
        <w:tc>
          <w:tcPr>
            <w:tcW w:w="116" w:type="dxa"/>
            <w:tcBorders/>
            <w:shd w:fill="CCEEFF" w:val="clear"/>
            <w:vAlign w:val="bottom"/>
          </w:tcPr>
          <w:p>
            <w:pPr>
              <w:pStyle w:val="TableContents"/>
              <w:bidi w:val="0"/>
              <w:spacing w:before="0" w:after="283"/>
              <w:ind w:left="0" w:right="0" w:hanging="0"/>
              <w:jc w:val="left"/>
              <w:rPr/>
            </w:pPr>
            <w:r>
              <w:rPr/>
            </w:r>
          </w:p>
        </w:tc>
        <w:tc>
          <w:tcPr>
            <w:tcW w:w="1997"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333" w:name="fs_WPLMZNHOF400000000000000000000fs"/>
            <w:bookmarkEnd w:id="333"/>
            <w:r>
              <w:rPr>
                <w:rFonts w:ascii="times new roman;times" w:hAnsi="times new roman;times"/>
                <w:sz w:val="20"/>
              </w:rPr>
              <w:t>-</w:t>
            </w:r>
          </w:p>
        </w:tc>
        <w:tc>
          <w:tcPr>
            <w:tcW w:w="92" w:type="dxa"/>
            <w:tcBorders/>
            <w:shd w:fill="CCEEFF" w:val="clear"/>
            <w:vAlign w:val="bottom"/>
          </w:tcPr>
          <w:p>
            <w:pPr>
              <w:pStyle w:val="TableContents"/>
              <w:bidi w:val="0"/>
              <w:spacing w:before="0" w:after="283"/>
              <w:ind w:left="0" w:right="0" w:hanging="0"/>
              <w:jc w:val="left"/>
              <w:rPr/>
            </w:pPr>
            <w:r>
              <w:rPr/>
            </w:r>
          </w:p>
        </w:tc>
      </w:tr>
      <w:tr>
        <w:trPr/>
        <w:tc>
          <w:tcPr>
            <w:tcW w:w="2233" w:type="dxa"/>
            <w:tcBorders/>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General and administrative </w:t>
            </w:r>
          </w:p>
        </w:tc>
        <w:tc>
          <w:tcPr>
            <w:tcW w:w="60" w:type="dxa"/>
            <w:tcBorders/>
            <w:vAlign w:val="bottom"/>
          </w:tcPr>
          <w:p>
            <w:pPr>
              <w:pStyle w:val="TableContents"/>
              <w:bidi w:val="0"/>
              <w:spacing w:before="0" w:after="0"/>
              <w:ind w:left="0" w:right="0" w:hanging="0"/>
              <w:jc w:val="left"/>
              <w:rPr/>
            </w:pPr>
            <w:r>
              <w:rPr/>
              <w:t> </w:t>
            </w:r>
          </w:p>
        </w:tc>
        <w:tc>
          <w:tcPr>
            <w:tcW w:w="146" w:type="dxa"/>
            <w:tcBorders/>
            <w:vAlign w:val="bottom"/>
          </w:tcPr>
          <w:p>
            <w:pPr>
              <w:pStyle w:val="TableContents"/>
              <w:bidi w:val="0"/>
              <w:spacing w:before="0" w:after="0"/>
              <w:ind w:left="0" w:right="0" w:hanging="0"/>
              <w:jc w:val="left"/>
              <w:rPr/>
            </w:pPr>
            <w:r>
              <w:rPr/>
              <w:t> </w:t>
            </w:r>
          </w:p>
        </w:tc>
        <w:tc>
          <w:tcPr>
            <w:tcW w:w="461" w:type="dxa"/>
            <w:tcBorders/>
            <w:vAlign w:val="bottom"/>
          </w:tcPr>
          <w:p>
            <w:pPr>
              <w:pStyle w:val="TableContents"/>
              <w:bidi w:val="0"/>
              <w:spacing w:before="0" w:after="0"/>
              <w:ind w:left="0" w:right="0" w:hanging="0"/>
              <w:jc w:val="right"/>
              <w:rPr>
                <w:rFonts w:ascii="times new roman;times" w:hAnsi="times new roman;times"/>
                <w:sz w:val="20"/>
              </w:rPr>
            </w:pPr>
            <w:bookmarkStart w:id="334" w:name="fs_MMXP11QSDC00000000000000000000fs"/>
            <w:bookmarkEnd w:id="334"/>
            <w:r>
              <w:rPr>
                <w:rFonts w:ascii="times new roman;times" w:hAnsi="times new roman;times"/>
                <w:sz w:val="20"/>
              </w:rPr>
              <w:t>849</w:t>
            </w:r>
          </w:p>
        </w:tc>
        <w:tc>
          <w:tcPr>
            <w:tcW w:w="93" w:type="dxa"/>
            <w:tcBorders/>
            <w:vAlign w:val="bottom"/>
          </w:tcPr>
          <w:p>
            <w:pPr>
              <w:pStyle w:val="TableContents"/>
              <w:bidi w:val="0"/>
              <w:spacing w:before="0" w:after="0"/>
              <w:ind w:left="0" w:right="0" w:hanging="0"/>
              <w:jc w:val="left"/>
              <w:rPr/>
            </w:pPr>
            <w:r>
              <w:rPr/>
              <w:t> </w:t>
            </w:r>
          </w:p>
        </w:tc>
        <w:tc>
          <w:tcPr>
            <w:tcW w:w="69" w:type="dxa"/>
            <w:tcBorders/>
            <w:vAlign w:val="bottom"/>
          </w:tcPr>
          <w:p>
            <w:pPr>
              <w:pStyle w:val="TableContents"/>
              <w:bidi w:val="0"/>
              <w:spacing w:before="0" w:after="0"/>
              <w:ind w:left="0" w:right="0" w:hanging="0"/>
              <w:jc w:val="left"/>
              <w:rPr/>
            </w:pPr>
            <w:r>
              <w:rPr/>
              <w:t> </w:t>
            </w:r>
          </w:p>
        </w:tc>
        <w:tc>
          <w:tcPr>
            <w:tcW w:w="146" w:type="dxa"/>
            <w:tcBorders/>
            <w:vAlign w:val="bottom"/>
          </w:tcPr>
          <w:p>
            <w:pPr>
              <w:pStyle w:val="TableContents"/>
              <w:bidi w:val="0"/>
              <w:spacing w:before="0" w:after="0"/>
              <w:ind w:left="0" w:right="0" w:hanging="0"/>
              <w:jc w:val="left"/>
              <w:rPr/>
            </w:pPr>
            <w:r>
              <w:rPr/>
              <w:t> </w:t>
            </w:r>
          </w:p>
        </w:tc>
        <w:tc>
          <w:tcPr>
            <w:tcW w:w="636" w:type="dxa"/>
            <w:tcBorders/>
            <w:vAlign w:val="bottom"/>
          </w:tcPr>
          <w:p>
            <w:pPr>
              <w:pStyle w:val="TableContents"/>
              <w:bidi w:val="0"/>
              <w:spacing w:before="0" w:after="0"/>
              <w:ind w:left="0" w:right="0" w:hanging="0"/>
              <w:jc w:val="right"/>
              <w:rPr>
                <w:rFonts w:ascii="times new roman;times" w:hAnsi="times new roman;times"/>
                <w:sz w:val="20"/>
              </w:rPr>
            </w:pPr>
            <w:bookmarkStart w:id="335" w:name="fs_642DUJQBEO00000000000000000000fs"/>
            <w:bookmarkEnd w:id="335"/>
            <w:r>
              <w:rPr>
                <w:rFonts w:ascii="times new roman;times" w:hAnsi="times new roman;times"/>
                <w:sz w:val="20"/>
              </w:rPr>
              <w:t>1,092</w:t>
            </w:r>
          </w:p>
        </w:tc>
        <w:tc>
          <w:tcPr>
            <w:tcW w:w="93" w:type="dxa"/>
            <w:tcBorders/>
            <w:vAlign w:val="bottom"/>
          </w:tcPr>
          <w:p>
            <w:pPr>
              <w:pStyle w:val="TableContents"/>
              <w:bidi w:val="0"/>
              <w:spacing w:before="0" w:after="0"/>
              <w:ind w:left="0" w:right="0" w:hanging="0"/>
              <w:jc w:val="left"/>
              <w:rPr/>
            </w:pPr>
            <w:r>
              <w:rPr/>
              <w:t> </w:t>
            </w:r>
          </w:p>
        </w:tc>
        <w:tc>
          <w:tcPr>
            <w:tcW w:w="69" w:type="dxa"/>
            <w:tcBorders/>
            <w:vAlign w:val="bottom"/>
          </w:tcPr>
          <w:p>
            <w:pPr>
              <w:pStyle w:val="TableContents"/>
              <w:bidi w:val="0"/>
              <w:spacing w:before="0" w:after="0"/>
              <w:ind w:left="0" w:right="0" w:hanging="0"/>
              <w:jc w:val="left"/>
              <w:rPr/>
            </w:pPr>
            <w:r>
              <w:rPr/>
              <w:t> </w:t>
            </w:r>
          </w:p>
        </w:tc>
        <w:tc>
          <w:tcPr>
            <w:tcW w:w="291" w:type="dxa"/>
            <w:tcBorders/>
            <w:vAlign w:val="bottom"/>
          </w:tcPr>
          <w:p>
            <w:pPr>
              <w:pStyle w:val="TableContents"/>
              <w:bidi w:val="0"/>
              <w:spacing w:before="0" w:after="0"/>
              <w:ind w:left="0" w:right="0" w:hanging="0"/>
              <w:jc w:val="left"/>
              <w:rPr/>
            </w:pPr>
            <w:r>
              <w:rPr/>
              <w:t> </w:t>
            </w:r>
          </w:p>
        </w:tc>
        <w:tc>
          <w:tcPr>
            <w:tcW w:w="1934" w:type="dxa"/>
            <w:tcBorders/>
            <w:vAlign w:val="bottom"/>
          </w:tcPr>
          <w:p>
            <w:pPr>
              <w:pStyle w:val="TableContents"/>
              <w:bidi w:val="0"/>
              <w:spacing w:before="0" w:after="0"/>
              <w:ind w:left="0" w:right="0" w:hanging="0"/>
              <w:jc w:val="right"/>
              <w:rPr>
                <w:rFonts w:ascii="times new roman;times" w:hAnsi="times new roman;times"/>
                <w:sz w:val="20"/>
              </w:rPr>
            </w:pPr>
            <w:bookmarkStart w:id="336" w:name="fs_0W65L77Z4W00000000000000000000fs"/>
            <w:bookmarkEnd w:id="336"/>
            <w:r>
              <w:rPr>
                <w:rFonts w:ascii="times new roman;times" w:hAnsi="times new roman;times"/>
                <w:sz w:val="20"/>
              </w:rPr>
              <w:t>22</w:t>
            </w:r>
          </w:p>
        </w:tc>
        <w:tc>
          <w:tcPr>
            <w:tcW w:w="80" w:type="dxa"/>
            <w:tcBorders/>
            <w:vAlign w:val="bottom"/>
          </w:tcPr>
          <w:p>
            <w:pPr>
              <w:pStyle w:val="TableContents"/>
              <w:bidi w:val="0"/>
              <w:spacing w:before="0" w:after="283"/>
              <w:ind w:left="0" w:right="0" w:hanging="0"/>
              <w:jc w:val="left"/>
              <w:rPr>
                <w:sz w:val="4"/>
                <w:szCs w:val="4"/>
              </w:rPr>
            </w:pPr>
            <w:r>
              <w:rPr>
                <w:sz w:val="4"/>
                <w:szCs w:val="4"/>
              </w:rPr>
            </w:r>
          </w:p>
        </w:tc>
        <w:tc>
          <w:tcPr>
            <w:tcW w:w="23" w:type="dxa"/>
            <w:tcBorders/>
            <w:vAlign w:val="bottom"/>
          </w:tcPr>
          <w:p>
            <w:pPr>
              <w:pStyle w:val="TableContents"/>
              <w:bidi w:val="0"/>
              <w:spacing w:before="0" w:after="283"/>
              <w:ind w:left="0" w:right="0" w:hanging="0"/>
              <w:jc w:val="left"/>
              <w:rPr/>
            </w:pPr>
            <w:r>
              <w:rPr/>
            </w:r>
          </w:p>
        </w:tc>
        <w:tc>
          <w:tcPr>
            <w:tcW w:w="134" w:type="dxa"/>
            <w:tcBorders/>
            <w:vAlign w:val="bottom"/>
          </w:tcPr>
          <w:p>
            <w:pPr>
              <w:pStyle w:val="TableContents"/>
              <w:bidi w:val="0"/>
              <w:spacing w:before="0" w:after="283"/>
              <w:ind w:left="0" w:right="0" w:hanging="0"/>
              <w:jc w:val="left"/>
              <w:rPr/>
            </w:pPr>
            <w:r>
              <w:rPr/>
            </w:r>
          </w:p>
        </w:tc>
        <w:tc>
          <w:tcPr>
            <w:tcW w:w="589" w:type="dxa"/>
            <w:tcBorders/>
            <w:vAlign w:val="bottom"/>
          </w:tcPr>
          <w:p>
            <w:pPr>
              <w:pStyle w:val="TableContents"/>
              <w:bidi w:val="0"/>
              <w:spacing w:before="0" w:after="0"/>
              <w:ind w:left="0" w:right="0" w:hanging="0"/>
              <w:jc w:val="right"/>
              <w:rPr>
                <w:rFonts w:ascii="times new roman;times" w:hAnsi="times new roman;times"/>
                <w:sz w:val="20"/>
              </w:rPr>
            </w:pPr>
            <w:bookmarkStart w:id="337" w:name="fs_7GEEBHDAQ800000000000000000000FM"/>
            <w:bookmarkEnd w:id="337"/>
            <w:r>
              <w:rPr>
                <w:rFonts w:ascii="times new roman;times" w:hAnsi="times new roman;times"/>
                <w:sz w:val="20"/>
              </w:rPr>
              <w:t>1,629</w:t>
            </w:r>
          </w:p>
        </w:tc>
        <w:tc>
          <w:tcPr>
            <w:tcW w:w="86" w:type="dxa"/>
            <w:tcBorders/>
            <w:vAlign w:val="bottom"/>
          </w:tcPr>
          <w:p>
            <w:pPr>
              <w:pStyle w:val="TableContents"/>
              <w:bidi w:val="0"/>
              <w:spacing w:before="0" w:after="283"/>
              <w:ind w:left="0" w:right="0" w:hanging="0"/>
              <w:jc w:val="left"/>
              <w:rPr/>
            </w:pPr>
            <w:r>
              <w:rPr/>
            </w:r>
          </w:p>
        </w:tc>
        <w:tc>
          <w:tcPr>
            <w:tcW w:w="24" w:type="dxa"/>
            <w:tcBorders/>
            <w:vAlign w:val="bottom"/>
          </w:tcPr>
          <w:p>
            <w:pPr>
              <w:pStyle w:val="TableContents"/>
              <w:bidi w:val="0"/>
              <w:spacing w:before="0" w:after="283"/>
              <w:ind w:left="0" w:right="0" w:hanging="0"/>
              <w:jc w:val="left"/>
              <w:rPr/>
            </w:pPr>
            <w:r>
              <w:rPr/>
            </w:r>
          </w:p>
        </w:tc>
        <w:tc>
          <w:tcPr>
            <w:tcW w:w="134" w:type="dxa"/>
            <w:tcBorders/>
            <w:vAlign w:val="bottom"/>
          </w:tcPr>
          <w:p>
            <w:pPr>
              <w:pStyle w:val="TableContents"/>
              <w:bidi w:val="0"/>
              <w:spacing w:before="0" w:after="283"/>
              <w:ind w:left="0" w:right="0" w:hanging="0"/>
              <w:jc w:val="left"/>
              <w:rPr/>
            </w:pPr>
            <w:r>
              <w:rPr/>
            </w:r>
          </w:p>
        </w:tc>
        <w:tc>
          <w:tcPr>
            <w:tcW w:w="589" w:type="dxa"/>
            <w:tcBorders/>
            <w:vAlign w:val="bottom"/>
          </w:tcPr>
          <w:p>
            <w:pPr>
              <w:pStyle w:val="TableContents"/>
              <w:bidi w:val="0"/>
              <w:spacing w:before="0" w:after="0"/>
              <w:ind w:left="0" w:right="0" w:hanging="0"/>
              <w:jc w:val="right"/>
              <w:rPr>
                <w:rFonts w:ascii="times new roman;times" w:hAnsi="times new roman;times"/>
                <w:sz w:val="20"/>
              </w:rPr>
            </w:pPr>
            <w:bookmarkStart w:id="338" w:name="fs_FOGV45SLGW00000000000000000000fs"/>
            <w:bookmarkEnd w:id="338"/>
            <w:r>
              <w:rPr>
                <w:rFonts w:ascii="times new roman;times" w:hAnsi="times new roman;times"/>
                <w:sz w:val="20"/>
              </w:rPr>
              <w:t>1,891</w:t>
            </w:r>
          </w:p>
        </w:tc>
        <w:tc>
          <w:tcPr>
            <w:tcW w:w="86" w:type="dxa"/>
            <w:tcBorders/>
            <w:vAlign w:val="bottom"/>
          </w:tcPr>
          <w:p>
            <w:pPr>
              <w:pStyle w:val="TableContents"/>
              <w:bidi w:val="0"/>
              <w:spacing w:before="0" w:after="283"/>
              <w:ind w:left="0" w:right="0" w:hanging="0"/>
              <w:jc w:val="left"/>
              <w:rPr/>
            </w:pPr>
            <w:r>
              <w:rPr/>
            </w:r>
          </w:p>
        </w:tc>
        <w:tc>
          <w:tcPr>
            <w:tcW w:w="24" w:type="dxa"/>
            <w:tcBorders/>
            <w:vAlign w:val="bottom"/>
          </w:tcPr>
          <w:p>
            <w:pPr>
              <w:pStyle w:val="TableContents"/>
              <w:bidi w:val="0"/>
              <w:spacing w:before="0" w:after="283"/>
              <w:ind w:left="0" w:right="0" w:hanging="0"/>
              <w:jc w:val="left"/>
              <w:rPr/>
            </w:pPr>
            <w:r>
              <w:rPr/>
            </w:r>
          </w:p>
        </w:tc>
        <w:tc>
          <w:tcPr>
            <w:tcW w:w="116" w:type="dxa"/>
            <w:tcBorders/>
            <w:vAlign w:val="bottom"/>
          </w:tcPr>
          <w:p>
            <w:pPr>
              <w:pStyle w:val="TableContents"/>
              <w:bidi w:val="0"/>
              <w:spacing w:before="0" w:after="283"/>
              <w:ind w:left="0" w:right="0" w:hanging="0"/>
              <w:jc w:val="left"/>
              <w:rPr/>
            </w:pPr>
            <w:r>
              <w:rPr/>
            </w:r>
          </w:p>
        </w:tc>
        <w:tc>
          <w:tcPr>
            <w:tcW w:w="1997" w:type="dxa"/>
            <w:tcBorders/>
            <w:vAlign w:val="bottom"/>
          </w:tcPr>
          <w:p>
            <w:pPr>
              <w:pStyle w:val="TableContents"/>
              <w:bidi w:val="0"/>
              <w:spacing w:before="0" w:after="0"/>
              <w:ind w:left="0" w:right="0" w:hanging="0"/>
              <w:jc w:val="right"/>
              <w:rPr>
                <w:rFonts w:ascii="times new roman;times" w:hAnsi="times new roman;times"/>
                <w:sz w:val="20"/>
              </w:rPr>
            </w:pPr>
            <w:bookmarkStart w:id="339" w:name="fs_IY7BZSG7K000000000000000000000fs"/>
            <w:bookmarkEnd w:id="339"/>
            <w:r>
              <w:rPr>
                <w:rFonts w:ascii="times new roman;times" w:hAnsi="times new roman;times"/>
                <w:sz w:val="20"/>
              </w:rPr>
              <w:t>14</w:t>
            </w:r>
          </w:p>
        </w:tc>
        <w:tc>
          <w:tcPr>
            <w:tcW w:w="92" w:type="dxa"/>
            <w:tcBorders/>
            <w:vAlign w:val="bottom"/>
          </w:tcPr>
          <w:p>
            <w:pPr>
              <w:pStyle w:val="TableContents"/>
              <w:bidi w:val="0"/>
              <w:spacing w:before="0" w:after="283"/>
              <w:ind w:left="0" w:right="0" w:hanging="0"/>
              <w:jc w:val="left"/>
              <w:rPr/>
            </w:pPr>
            <w:r>
              <w:rPr/>
            </w:r>
          </w:p>
        </w:tc>
      </w:tr>
      <w:tr>
        <w:trPr/>
        <w:tc>
          <w:tcPr>
            <w:tcW w:w="2233"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operating expenses  </w:t>
            </w:r>
          </w:p>
        </w:tc>
        <w:tc>
          <w:tcPr>
            <w:tcW w:w="60" w:type="dxa"/>
            <w:tcBorders/>
            <w:shd w:fill="CCEEFF" w:val="clear"/>
            <w:vAlign w:val="bottom"/>
          </w:tcPr>
          <w:p>
            <w:pPr>
              <w:pStyle w:val="TableContents"/>
              <w:bidi w:val="0"/>
              <w:spacing w:before="0" w:after="0"/>
              <w:ind w:left="0" w:right="0" w:hanging="0"/>
              <w:jc w:val="left"/>
              <w:rPr/>
            </w:pPr>
            <w:r>
              <w:rPr/>
              <w:t> </w:t>
            </w:r>
          </w:p>
        </w:tc>
        <w:tc>
          <w:tcPr>
            <w:tcW w:w="146" w:type="dxa"/>
            <w:tcBorders/>
            <w:shd w:fill="CCEEFF" w:val="clear"/>
            <w:vAlign w:val="bottom"/>
          </w:tcPr>
          <w:p>
            <w:pPr>
              <w:pStyle w:val="TableContents"/>
              <w:bidi w:val="0"/>
              <w:spacing w:before="0" w:after="0"/>
              <w:ind w:left="0" w:right="0" w:hanging="0"/>
              <w:jc w:val="left"/>
              <w:rPr/>
            </w:pPr>
            <w:r>
              <w:rPr/>
              <w:t> </w:t>
            </w:r>
          </w:p>
        </w:tc>
        <w:tc>
          <w:tcPr>
            <w:tcW w:w="461"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340" w:name="fs_ZR6EO75T4G00000000000000000000fs"/>
            <w:bookmarkEnd w:id="340"/>
            <w:r>
              <w:rPr>
                <w:rFonts w:ascii="times new roman;times" w:hAnsi="times new roman;times"/>
                <w:sz w:val="20"/>
              </w:rPr>
              <w:t>849</w:t>
            </w:r>
          </w:p>
        </w:tc>
        <w:tc>
          <w:tcPr>
            <w:tcW w:w="93" w:type="dxa"/>
            <w:tcBorders/>
            <w:shd w:fill="CCEEFF" w:val="clear"/>
            <w:vAlign w:val="bottom"/>
          </w:tcPr>
          <w:p>
            <w:pPr>
              <w:pStyle w:val="TableContents"/>
              <w:bidi w:val="0"/>
              <w:spacing w:before="0" w:after="0"/>
              <w:ind w:left="0" w:right="0" w:hanging="0"/>
              <w:jc w:val="left"/>
              <w:rPr/>
            </w:pPr>
            <w:r>
              <w:rPr/>
              <w:t> </w:t>
            </w:r>
          </w:p>
        </w:tc>
        <w:tc>
          <w:tcPr>
            <w:tcW w:w="69" w:type="dxa"/>
            <w:tcBorders/>
            <w:shd w:fill="CCEEFF" w:val="clear"/>
            <w:vAlign w:val="bottom"/>
          </w:tcPr>
          <w:p>
            <w:pPr>
              <w:pStyle w:val="TableContents"/>
              <w:bidi w:val="0"/>
              <w:spacing w:before="0" w:after="0"/>
              <w:ind w:left="0" w:right="0" w:hanging="0"/>
              <w:jc w:val="left"/>
              <w:rPr/>
            </w:pPr>
            <w:r>
              <w:rPr/>
              <w:t> </w:t>
            </w:r>
          </w:p>
        </w:tc>
        <w:tc>
          <w:tcPr>
            <w:tcW w:w="146" w:type="dxa"/>
            <w:tcBorders/>
            <w:shd w:fill="CCEEFF" w:val="clear"/>
            <w:vAlign w:val="bottom"/>
          </w:tcPr>
          <w:p>
            <w:pPr>
              <w:pStyle w:val="TableContents"/>
              <w:bidi w:val="0"/>
              <w:spacing w:before="0" w:after="0"/>
              <w:ind w:left="0" w:right="0" w:hanging="0"/>
              <w:jc w:val="left"/>
              <w:rPr/>
            </w:pPr>
            <w:r>
              <w:rPr/>
              <w:t> </w:t>
            </w:r>
          </w:p>
        </w:tc>
        <w:tc>
          <w:tcPr>
            <w:tcW w:w="636"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341" w:name="fs_VLV9DOT9CG00000000000000000000fs"/>
            <w:bookmarkEnd w:id="341"/>
            <w:r>
              <w:rPr>
                <w:rFonts w:ascii="times new roman;times" w:hAnsi="times new roman;times"/>
                <w:sz w:val="20"/>
              </w:rPr>
              <w:t>1,092</w:t>
            </w:r>
          </w:p>
        </w:tc>
        <w:tc>
          <w:tcPr>
            <w:tcW w:w="93" w:type="dxa"/>
            <w:tcBorders/>
            <w:shd w:fill="CCEEFF" w:val="clear"/>
            <w:vAlign w:val="bottom"/>
          </w:tcPr>
          <w:p>
            <w:pPr>
              <w:pStyle w:val="TableContents"/>
              <w:bidi w:val="0"/>
              <w:spacing w:before="0" w:after="0"/>
              <w:ind w:left="0" w:right="0" w:hanging="0"/>
              <w:jc w:val="left"/>
              <w:rPr/>
            </w:pPr>
            <w:r>
              <w:rPr/>
              <w:t> </w:t>
            </w:r>
          </w:p>
        </w:tc>
        <w:tc>
          <w:tcPr>
            <w:tcW w:w="69" w:type="dxa"/>
            <w:tcBorders/>
            <w:shd w:fill="CCEEFF" w:val="clear"/>
            <w:vAlign w:val="bottom"/>
          </w:tcPr>
          <w:p>
            <w:pPr>
              <w:pStyle w:val="TableContents"/>
              <w:bidi w:val="0"/>
              <w:spacing w:before="0" w:after="0"/>
              <w:ind w:left="0" w:right="0" w:hanging="0"/>
              <w:jc w:val="left"/>
              <w:rPr/>
            </w:pPr>
            <w:r>
              <w:rPr/>
              <w:t> </w:t>
            </w:r>
          </w:p>
        </w:tc>
        <w:tc>
          <w:tcPr>
            <w:tcW w:w="291"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1934"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342" w:name="fs_G4UNQEU8RK00000000000000000000fs"/>
            <w:bookmarkEnd w:id="342"/>
            <w:r>
              <w:rPr>
                <w:rFonts w:ascii="times new roman;times" w:hAnsi="times new roman;times"/>
                <w:sz w:val="20"/>
              </w:rPr>
              <w:t>22</w:t>
            </w:r>
          </w:p>
        </w:tc>
        <w:tc>
          <w:tcPr>
            <w:tcW w:w="80"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bottom"/>
          </w:tcPr>
          <w:p>
            <w:pPr>
              <w:pStyle w:val="TableContents"/>
              <w:bidi w:val="0"/>
              <w:spacing w:before="0" w:after="283"/>
              <w:ind w:left="0" w:right="0" w:hanging="0"/>
              <w:jc w:val="left"/>
              <w:rPr/>
            </w:pPr>
            <w:r>
              <w:rPr/>
            </w:r>
          </w:p>
        </w:tc>
        <w:tc>
          <w:tcPr>
            <w:tcW w:w="134" w:type="dxa"/>
            <w:tcBorders/>
            <w:shd w:fill="CCEEFF" w:val="clear"/>
            <w:vAlign w:val="bottom"/>
          </w:tcPr>
          <w:p>
            <w:pPr>
              <w:pStyle w:val="TableContents"/>
              <w:bidi w:val="0"/>
              <w:spacing w:before="0" w:after="283"/>
              <w:ind w:left="0" w:right="0" w:hanging="0"/>
              <w:jc w:val="left"/>
              <w:rPr/>
            </w:pPr>
            <w:r>
              <w:rPr/>
            </w:r>
          </w:p>
        </w:tc>
        <w:tc>
          <w:tcPr>
            <w:tcW w:w="589"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343" w:name="fs_U6HBB2VDYO00000000000000000000FM"/>
            <w:bookmarkEnd w:id="343"/>
            <w:r>
              <w:rPr>
                <w:rFonts w:ascii="times new roman;times" w:hAnsi="times new roman;times"/>
                <w:sz w:val="20"/>
              </w:rPr>
              <w:t>1,629</w:t>
            </w:r>
          </w:p>
        </w:tc>
        <w:tc>
          <w:tcPr>
            <w:tcW w:w="86" w:type="dxa"/>
            <w:tcBorders/>
            <w:shd w:fill="CCEEFF" w:val="clear"/>
            <w:vAlign w:val="bottom"/>
          </w:tcPr>
          <w:p>
            <w:pPr>
              <w:pStyle w:val="TableContents"/>
              <w:bidi w:val="0"/>
              <w:spacing w:before="0" w:after="283"/>
              <w:ind w:left="0" w:right="0" w:hanging="0"/>
              <w:jc w:val="left"/>
              <w:rPr/>
            </w:pPr>
            <w:r>
              <w:rPr/>
            </w:r>
          </w:p>
        </w:tc>
        <w:tc>
          <w:tcPr>
            <w:tcW w:w="24" w:type="dxa"/>
            <w:tcBorders/>
            <w:shd w:fill="CCEEFF" w:val="clear"/>
            <w:vAlign w:val="bottom"/>
          </w:tcPr>
          <w:p>
            <w:pPr>
              <w:pStyle w:val="TableContents"/>
              <w:bidi w:val="0"/>
              <w:spacing w:before="0" w:after="283"/>
              <w:ind w:left="0" w:right="0" w:hanging="0"/>
              <w:jc w:val="left"/>
              <w:rPr/>
            </w:pPr>
            <w:r>
              <w:rPr/>
            </w:r>
          </w:p>
        </w:tc>
        <w:tc>
          <w:tcPr>
            <w:tcW w:w="134" w:type="dxa"/>
            <w:tcBorders/>
            <w:shd w:fill="CCEEFF" w:val="clear"/>
            <w:vAlign w:val="bottom"/>
          </w:tcPr>
          <w:p>
            <w:pPr>
              <w:pStyle w:val="TableContents"/>
              <w:bidi w:val="0"/>
              <w:spacing w:before="0" w:after="283"/>
              <w:ind w:left="0" w:right="0" w:hanging="0"/>
              <w:jc w:val="left"/>
              <w:rPr/>
            </w:pPr>
            <w:r>
              <w:rPr/>
            </w:r>
          </w:p>
        </w:tc>
        <w:tc>
          <w:tcPr>
            <w:tcW w:w="589"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344" w:name="fs_25IFKIJW8W00000000000000000000fs"/>
            <w:bookmarkEnd w:id="344"/>
            <w:r>
              <w:rPr>
                <w:rFonts w:ascii="times new roman;times" w:hAnsi="times new roman;times"/>
                <w:sz w:val="20"/>
              </w:rPr>
              <w:t>1,891</w:t>
            </w:r>
          </w:p>
        </w:tc>
        <w:tc>
          <w:tcPr>
            <w:tcW w:w="86" w:type="dxa"/>
            <w:tcBorders/>
            <w:shd w:fill="CCEEFF" w:val="clear"/>
            <w:vAlign w:val="bottom"/>
          </w:tcPr>
          <w:p>
            <w:pPr>
              <w:pStyle w:val="TableContents"/>
              <w:bidi w:val="0"/>
              <w:spacing w:before="0" w:after="283"/>
              <w:ind w:left="0" w:right="0" w:hanging="0"/>
              <w:jc w:val="left"/>
              <w:rPr/>
            </w:pPr>
            <w:r>
              <w:rPr/>
            </w:r>
          </w:p>
        </w:tc>
        <w:tc>
          <w:tcPr>
            <w:tcW w:w="24" w:type="dxa"/>
            <w:tcBorders/>
            <w:shd w:fill="CCEEFF" w:val="clear"/>
            <w:vAlign w:val="bottom"/>
          </w:tcPr>
          <w:p>
            <w:pPr>
              <w:pStyle w:val="TableContents"/>
              <w:bidi w:val="0"/>
              <w:spacing w:before="0" w:after="283"/>
              <w:ind w:left="0" w:right="0" w:hanging="0"/>
              <w:jc w:val="left"/>
              <w:rPr/>
            </w:pPr>
            <w:r>
              <w:rPr/>
            </w:r>
          </w:p>
        </w:tc>
        <w:tc>
          <w:tcPr>
            <w:tcW w:w="116" w:type="dxa"/>
            <w:tcBorders/>
            <w:shd w:fill="CCEEFF" w:val="clear"/>
            <w:vAlign w:val="bottom"/>
          </w:tcPr>
          <w:p>
            <w:pPr>
              <w:pStyle w:val="TableContents"/>
              <w:bidi w:val="0"/>
              <w:spacing w:before="0" w:after="283"/>
              <w:ind w:left="0" w:right="0" w:hanging="0"/>
              <w:jc w:val="left"/>
              <w:rPr/>
            </w:pPr>
            <w:r>
              <w:rPr/>
            </w:r>
          </w:p>
        </w:tc>
        <w:tc>
          <w:tcPr>
            <w:tcW w:w="1997"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345" w:name="fs_HK5JFK4U9S00000000000000000000fs"/>
            <w:bookmarkEnd w:id="345"/>
            <w:r>
              <w:rPr>
                <w:rFonts w:ascii="times new roman;times" w:hAnsi="times new roman;times"/>
                <w:sz w:val="20"/>
              </w:rPr>
              <w:t>14</w:t>
            </w:r>
          </w:p>
        </w:tc>
        <w:tc>
          <w:tcPr>
            <w:tcW w:w="92" w:type="dxa"/>
            <w:tcBorders/>
            <w:shd w:fill="CCEEFF" w:val="clear"/>
            <w:vAlign w:val="bottom"/>
          </w:tcPr>
          <w:p>
            <w:pPr>
              <w:pStyle w:val="TableContents"/>
              <w:bidi w:val="0"/>
              <w:spacing w:before="0" w:after="283"/>
              <w:ind w:left="0" w:right="0" w:hanging="0"/>
              <w:jc w:val="left"/>
              <w:rPr/>
            </w:pPr>
            <w:r>
              <w:rPr/>
            </w:r>
          </w:p>
        </w:tc>
      </w:tr>
      <w:tr>
        <w:trPr/>
        <w:tc>
          <w:tcPr>
            <w:tcW w:w="2233" w:type="dxa"/>
            <w:tcBorders/>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loss </w:t>
            </w:r>
          </w:p>
        </w:tc>
        <w:tc>
          <w:tcPr>
            <w:tcW w:w="60" w:type="dxa"/>
            <w:tcBorders/>
            <w:vAlign w:val="bottom"/>
          </w:tcPr>
          <w:p>
            <w:pPr>
              <w:pStyle w:val="TableContents"/>
              <w:bidi w:val="0"/>
              <w:spacing w:before="0" w:after="0"/>
              <w:ind w:left="0" w:right="0" w:hanging="0"/>
              <w:jc w:val="left"/>
              <w:rPr/>
            </w:pPr>
            <w:r>
              <w:rPr/>
              <w:t> </w:t>
            </w:r>
          </w:p>
        </w:tc>
        <w:tc>
          <w:tcPr>
            <w:tcW w:w="146" w:type="dxa"/>
            <w:tcBorders/>
            <w:vAlign w:val="bottom"/>
          </w:tcPr>
          <w:p>
            <w:pPr>
              <w:pStyle w:val="TableContents"/>
              <w:bidi w:val="0"/>
              <w:spacing w:before="0" w:after="0"/>
              <w:ind w:left="0" w:right="0" w:hanging="0"/>
              <w:jc w:val="left"/>
              <w:rPr/>
            </w:pPr>
            <w:r>
              <w:rPr/>
              <w:t> </w:t>
            </w:r>
          </w:p>
        </w:tc>
        <w:tc>
          <w:tcPr>
            <w:tcW w:w="461"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46" w:name="fs_WLUJBQ9SJ400000000000000000000fs"/>
            <w:bookmarkEnd w:id="346"/>
            <w:r>
              <w:rPr>
                <w:rFonts w:ascii="times new roman;times" w:hAnsi="times new roman;times"/>
                <w:sz w:val="20"/>
              </w:rPr>
              <w:t>919</w:t>
            </w:r>
          </w:p>
        </w:tc>
        <w:tc>
          <w:tcPr>
            <w:tcW w:w="93"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 w:type="dxa"/>
            <w:tcBorders/>
            <w:vAlign w:val="bottom"/>
          </w:tcPr>
          <w:p>
            <w:pPr>
              <w:pStyle w:val="TableContents"/>
              <w:bidi w:val="0"/>
              <w:spacing w:before="0" w:after="0"/>
              <w:ind w:left="0" w:right="0" w:hanging="0"/>
              <w:jc w:val="left"/>
              <w:rPr/>
            </w:pPr>
            <w:r>
              <w:rPr/>
              <w:t> </w:t>
            </w:r>
          </w:p>
        </w:tc>
        <w:tc>
          <w:tcPr>
            <w:tcW w:w="146" w:type="dxa"/>
            <w:tcBorders/>
            <w:vAlign w:val="bottom"/>
          </w:tcPr>
          <w:p>
            <w:pPr>
              <w:pStyle w:val="TableContents"/>
              <w:bidi w:val="0"/>
              <w:spacing w:before="0" w:after="0"/>
              <w:ind w:left="0" w:right="0" w:hanging="0"/>
              <w:jc w:val="left"/>
              <w:rPr/>
            </w:pPr>
            <w:r>
              <w:rPr/>
              <w:t> </w:t>
            </w:r>
          </w:p>
        </w:tc>
        <w:tc>
          <w:tcPr>
            <w:tcW w:w="636"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47" w:name="fs_TUAD0NKIRK00000000000000000000fs"/>
            <w:bookmarkEnd w:id="347"/>
            <w:r>
              <w:rPr>
                <w:rFonts w:ascii="times new roman;times" w:hAnsi="times new roman;times"/>
                <w:sz w:val="20"/>
              </w:rPr>
              <w:t>1,192</w:t>
            </w:r>
          </w:p>
        </w:tc>
        <w:tc>
          <w:tcPr>
            <w:tcW w:w="93"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 w:type="dxa"/>
            <w:tcBorders/>
            <w:vAlign w:val="bottom"/>
          </w:tcPr>
          <w:p>
            <w:pPr>
              <w:pStyle w:val="TableContents"/>
              <w:bidi w:val="0"/>
              <w:spacing w:before="0" w:after="0"/>
              <w:ind w:left="0" w:right="0" w:hanging="0"/>
              <w:jc w:val="left"/>
              <w:rPr/>
            </w:pPr>
            <w:r>
              <w:rPr/>
              <w:t> </w:t>
            </w:r>
          </w:p>
        </w:tc>
        <w:tc>
          <w:tcPr>
            <w:tcW w:w="291" w:type="dxa"/>
            <w:tcBorders/>
            <w:vAlign w:val="bottom"/>
          </w:tcPr>
          <w:p>
            <w:pPr>
              <w:pStyle w:val="TableContents"/>
              <w:bidi w:val="0"/>
              <w:spacing w:before="0" w:after="0"/>
              <w:ind w:left="0" w:right="0" w:hanging="0"/>
              <w:jc w:val="left"/>
              <w:rPr/>
            </w:pPr>
            <w:r>
              <w:rPr/>
              <w:t> </w:t>
            </w:r>
          </w:p>
        </w:tc>
        <w:tc>
          <w:tcPr>
            <w:tcW w:w="1934" w:type="dxa"/>
            <w:tcBorders/>
            <w:vAlign w:val="bottom"/>
          </w:tcPr>
          <w:p>
            <w:pPr>
              <w:pStyle w:val="TableContents"/>
              <w:bidi w:val="0"/>
              <w:spacing w:before="0" w:after="0"/>
              <w:ind w:left="0" w:right="0" w:hanging="0"/>
              <w:jc w:val="right"/>
              <w:rPr>
                <w:rFonts w:ascii="times new roman;times" w:hAnsi="times new roman;times"/>
                <w:sz w:val="20"/>
              </w:rPr>
            </w:pPr>
            <w:bookmarkStart w:id="348" w:name="fs_FEIY95D3R400000000000000000000fs"/>
            <w:bookmarkEnd w:id="348"/>
            <w:r>
              <w:rPr>
                <w:rFonts w:ascii="times new roman;times" w:hAnsi="times new roman;times"/>
                <w:sz w:val="20"/>
              </w:rPr>
              <w:t>23</w:t>
            </w:r>
          </w:p>
        </w:tc>
        <w:tc>
          <w:tcPr>
            <w:tcW w:w="80" w:type="dxa"/>
            <w:tcBorders/>
            <w:vAlign w:val="bottom"/>
          </w:tcPr>
          <w:p>
            <w:pPr>
              <w:pStyle w:val="TableContents"/>
              <w:bidi w:val="0"/>
              <w:spacing w:before="0" w:after="283"/>
              <w:ind w:left="0" w:right="0" w:hanging="0"/>
              <w:jc w:val="left"/>
              <w:rPr>
                <w:sz w:val="4"/>
                <w:szCs w:val="4"/>
              </w:rPr>
            </w:pPr>
            <w:r>
              <w:rPr>
                <w:sz w:val="4"/>
                <w:szCs w:val="4"/>
              </w:rPr>
            </w:r>
          </w:p>
        </w:tc>
        <w:tc>
          <w:tcPr>
            <w:tcW w:w="23" w:type="dxa"/>
            <w:tcBorders/>
            <w:vAlign w:val="bottom"/>
          </w:tcPr>
          <w:p>
            <w:pPr>
              <w:pStyle w:val="TableContents"/>
              <w:bidi w:val="0"/>
              <w:spacing w:before="0" w:after="283"/>
              <w:ind w:left="0" w:right="0" w:hanging="0"/>
              <w:jc w:val="left"/>
              <w:rPr/>
            </w:pPr>
            <w:r>
              <w:rPr/>
            </w:r>
          </w:p>
        </w:tc>
        <w:tc>
          <w:tcPr>
            <w:tcW w:w="134" w:type="dxa"/>
            <w:tcBorders/>
            <w:vAlign w:val="bottom"/>
          </w:tcPr>
          <w:p>
            <w:pPr>
              <w:pStyle w:val="TableContents"/>
              <w:bidi w:val="0"/>
              <w:spacing w:before="0" w:after="283"/>
              <w:ind w:left="0" w:right="0" w:hanging="0"/>
              <w:jc w:val="left"/>
              <w:rPr/>
            </w:pPr>
            <w:r>
              <w:rPr/>
            </w:r>
          </w:p>
        </w:tc>
        <w:tc>
          <w:tcPr>
            <w:tcW w:w="589"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49" w:name="fs_I5S1GEHL0000000000000000000000FM"/>
            <w:bookmarkEnd w:id="349"/>
            <w:r>
              <w:rPr>
                <w:rFonts w:ascii="times new roman;times" w:hAnsi="times new roman;times"/>
                <w:sz w:val="20"/>
              </w:rPr>
              <w:t>1,769</w:t>
            </w:r>
          </w:p>
        </w:tc>
        <w:tc>
          <w:tcPr>
            <w:tcW w:w="86"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4" w:type="dxa"/>
            <w:tcBorders/>
            <w:vAlign w:val="bottom"/>
          </w:tcPr>
          <w:p>
            <w:pPr>
              <w:pStyle w:val="TableContents"/>
              <w:bidi w:val="0"/>
              <w:spacing w:before="0" w:after="283"/>
              <w:ind w:left="0" w:right="0" w:hanging="0"/>
              <w:jc w:val="left"/>
              <w:rPr/>
            </w:pPr>
            <w:r>
              <w:rPr/>
            </w:r>
          </w:p>
        </w:tc>
        <w:tc>
          <w:tcPr>
            <w:tcW w:w="134" w:type="dxa"/>
            <w:tcBorders/>
            <w:vAlign w:val="bottom"/>
          </w:tcPr>
          <w:p>
            <w:pPr>
              <w:pStyle w:val="TableContents"/>
              <w:bidi w:val="0"/>
              <w:spacing w:before="0" w:after="283"/>
              <w:ind w:left="0" w:right="0" w:hanging="0"/>
              <w:jc w:val="left"/>
              <w:rPr/>
            </w:pPr>
            <w:r>
              <w:rPr/>
            </w:r>
          </w:p>
        </w:tc>
        <w:tc>
          <w:tcPr>
            <w:tcW w:w="589"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50" w:name="fs_G3FHCOF7K000000000000000000000fs"/>
            <w:bookmarkEnd w:id="350"/>
            <w:r>
              <w:rPr>
                <w:rFonts w:ascii="times new roman;times" w:hAnsi="times new roman;times"/>
                <w:sz w:val="20"/>
              </w:rPr>
              <w:t>2,018</w:t>
            </w:r>
          </w:p>
        </w:tc>
        <w:tc>
          <w:tcPr>
            <w:tcW w:w="86"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4" w:type="dxa"/>
            <w:tcBorders/>
            <w:vAlign w:val="bottom"/>
          </w:tcPr>
          <w:p>
            <w:pPr>
              <w:pStyle w:val="TableContents"/>
              <w:bidi w:val="0"/>
              <w:spacing w:before="0" w:after="283"/>
              <w:ind w:left="0" w:right="0" w:hanging="0"/>
              <w:jc w:val="left"/>
              <w:rPr/>
            </w:pPr>
            <w:r>
              <w:rPr/>
            </w:r>
          </w:p>
        </w:tc>
        <w:tc>
          <w:tcPr>
            <w:tcW w:w="116" w:type="dxa"/>
            <w:tcBorders/>
            <w:vAlign w:val="bottom"/>
          </w:tcPr>
          <w:p>
            <w:pPr>
              <w:pStyle w:val="TableContents"/>
              <w:bidi w:val="0"/>
              <w:spacing w:before="0" w:after="283"/>
              <w:ind w:left="0" w:right="0" w:hanging="0"/>
              <w:jc w:val="left"/>
              <w:rPr/>
            </w:pPr>
            <w:r>
              <w:rPr/>
            </w:r>
          </w:p>
        </w:tc>
        <w:tc>
          <w:tcPr>
            <w:tcW w:w="1997" w:type="dxa"/>
            <w:tcBorders/>
            <w:vAlign w:val="bottom"/>
          </w:tcPr>
          <w:p>
            <w:pPr>
              <w:pStyle w:val="TableContents"/>
              <w:bidi w:val="0"/>
              <w:spacing w:before="0" w:after="0"/>
              <w:ind w:left="0" w:right="0" w:hanging="0"/>
              <w:jc w:val="right"/>
              <w:rPr>
                <w:rFonts w:ascii="times new roman;times" w:hAnsi="times new roman;times"/>
                <w:sz w:val="20"/>
              </w:rPr>
            </w:pPr>
            <w:bookmarkStart w:id="351" w:name="fs_MY7XW05KCW00000000000000000000fs"/>
            <w:bookmarkEnd w:id="351"/>
            <w:r>
              <w:rPr>
                <w:rFonts w:ascii="times new roman;times" w:hAnsi="times new roman;times"/>
                <w:sz w:val="20"/>
              </w:rPr>
              <w:t>12</w:t>
            </w:r>
          </w:p>
        </w:tc>
        <w:tc>
          <w:tcPr>
            <w:tcW w:w="92" w:type="dxa"/>
            <w:tcBorders/>
            <w:vAlign w:val="bottom"/>
          </w:tcPr>
          <w:p>
            <w:pPr>
              <w:pStyle w:val="TableContents"/>
              <w:bidi w:val="0"/>
              <w:spacing w:before="0" w:after="283"/>
              <w:ind w:left="0" w:right="0" w:hanging="0"/>
              <w:jc w:val="left"/>
              <w:rPr/>
            </w:pPr>
            <w:r>
              <w:rPr/>
            </w:r>
          </w:p>
        </w:tc>
      </w:tr>
      <w:tr>
        <w:trPr/>
        <w:tc>
          <w:tcPr>
            <w:tcW w:w="2233"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Other income (expense), net </w:t>
            </w:r>
          </w:p>
        </w:tc>
        <w:tc>
          <w:tcPr>
            <w:tcW w:w="60" w:type="dxa"/>
            <w:tcBorders/>
            <w:shd w:fill="CCEEFF" w:val="clear"/>
            <w:vAlign w:val="bottom"/>
          </w:tcPr>
          <w:p>
            <w:pPr>
              <w:pStyle w:val="TableContents"/>
              <w:bidi w:val="0"/>
              <w:spacing w:before="0" w:after="0"/>
              <w:ind w:left="0" w:right="0" w:hanging="0"/>
              <w:jc w:val="left"/>
              <w:rPr/>
            </w:pPr>
            <w:r>
              <w:rPr/>
              <w:t> </w:t>
            </w:r>
          </w:p>
        </w:tc>
        <w:tc>
          <w:tcPr>
            <w:tcW w:w="146" w:type="dxa"/>
            <w:tcBorders/>
            <w:shd w:fill="CCEEFF" w:val="clear"/>
            <w:vAlign w:val="bottom"/>
          </w:tcPr>
          <w:p>
            <w:pPr>
              <w:pStyle w:val="TableContents"/>
              <w:bidi w:val="0"/>
              <w:spacing w:before="0" w:after="0"/>
              <w:ind w:left="0" w:right="0" w:hanging="0"/>
              <w:jc w:val="left"/>
              <w:rPr/>
            </w:pPr>
            <w:r>
              <w:rPr/>
              <w:t> </w:t>
            </w:r>
          </w:p>
        </w:tc>
        <w:tc>
          <w:tcPr>
            <w:tcW w:w="461" w:type="dxa"/>
            <w:tcBorders/>
            <w:shd w:fill="CCEEFF" w:val="clear"/>
            <w:vAlign w:val="bottom"/>
          </w:tcPr>
          <w:p>
            <w:pPr>
              <w:pStyle w:val="TableContents"/>
              <w:bidi w:val="0"/>
              <w:spacing w:before="0" w:after="0"/>
              <w:ind w:left="0" w:right="0" w:hanging="0"/>
              <w:jc w:val="right"/>
              <w:rPr/>
            </w:pPr>
            <w:bookmarkStart w:id="352" w:name="fs_6XZER0X52800000000000000000000fs"/>
            <w:bookmarkEnd w:id="352"/>
            <w:r>
              <w:rPr/>
              <w:t>—</w:t>
            </w:r>
          </w:p>
        </w:tc>
        <w:tc>
          <w:tcPr>
            <w:tcW w:w="93"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9" w:type="dxa"/>
            <w:tcBorders/>
            <w:shd w:fill="CCEEFF" w:val="clear"/>
            <w:vAlign w:val="bottom"/>
          </w:tcPr>
          <w:p>
            <w:pPr>
              <w:pStyle w:val="TableContents"/>
              <w:bidi w:val="0"/>
              <w:spacing w:before="0" w:after="0"/>
              <w:ind w:left="0" w:right="0" w:hanging="0"/>
              <w:jc w:val="left"/>
              <w:rPr/>
            </w:pPr>
            <w:r>
              <w:rPr/>
              <w:t> </w:t>
            </w:r>
          </w:p>
        </w:tc>
        <w:tc>
          <w:tcPr>
            <w:tcW w:w="146" w:type="dxa"/>
            <w:tcBorders/>
            <w:shd w:fill="CCEEFF" w:val="clear"/>
            <w:vAlign w:val="bottom"/>
          </w:tcPr>
          <w:p>
            <w:pPr>
              <w:pStyle w:val="TableContents"/>
              <w:bidi w:val="0"/>
              <w:spacing w:before="0" w:after="0"/>
              <w:ind w:left="0" w:right="0" w:hanging="0"/>
              <w:jc w:val="left"/>
              <w:rPr/>
            </w:pPr>
            <w:r>
              <w:rPr/>
              <w:t> </w:t>
            </w:r>
          </w:p>
        </w:tc>
        <w:tc>
          <w:tcPr>
            <w:tcW w:w="636"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53" w:name="fs_X9ZZLXH0AO00000000000000000000fs"/>
            <w:bookmarkEnd w:id="353"/>
            <w:r>
              <w:rPr>
                <w:rFonts w:ascii="times new roman;times" w:hAnsi="times new roman;times"/>
                <w:sz w:val="20"/>
              </w:rPr>
              <w:t>5</w:t>
            </w:r>
          </w:p>
        </w:tc>
        <w:tc>
          <w:tcPr>
            <w:tcW w:w="93"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 w:type="dxa"/>
            <w:tcBorders/>
            <w:shd w:fill="CCEEFF" w:val="clear"/>
            <w:vAlign w:val="bottom"/>
          </w:tcPr>
          <w:p>
            <w:pPr>
              <w:pStyle w:val="TableContents"/>
              <w:bidi w:val="0"/>
              <w:spacing w:before="0" w:after="0"/>
              <w:ind w:left="0" w:right="0" w:hanging="0"/>
              <w:jc w:val="left"/>
              <w:rPr/>
            </w:pPr>
            <w:r>
              <w:rPr/>
              <w:t> </w:t>
            </w:r>
          </w:p>
        </w:tc>
        <w:tc>
          <w:tcPr>
            <w:tcW w:w="291" w:type="dxa"/>
            <w:tcBorders/>
            <w:shd w:fill="CCEEFF" w:val="clear"/>
            <w:vAlign w:val="bottom"/>
          </w:tcPr>
          <w:p>
            <w:pPr>
              <w:pStyle w:val="TableContents"/>
              <w:bidi w:val="0"/>
              <w:spacing w:before="0" w:after="0"/>
              <w:ind w:left="0" w:right="0" w:hanging="0"/>
              <w:jc w:val="left"/>
              <w:rPr/>
            </w:pPr>
            <w:r>
              <w:rPr/>
              <w:t> </w:t>
            </w:r>
          </w:p>
        </w:tc>
        <w:tc>
          <w:tcPr>
            <w:tcW w:w="1934"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54" w:name="fs_2OKMEP0N7400000000000000000000fs"/>
            <w:bookmarkEnd w:id="354"/>
            <w:r>
              <w:rPr>
                <w:rFonts w:ascii="times new roman;times" w:hAnsi="times new roman;times"/>
                <w:sz w:val="20"/>
              </w:rPr>
              <w:t>100</w:t>
            </w:r>
          </w:p>
        </w:tc>
        <w:tc>
          <w:tcPr>
            <w:tcW w:w="80"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bottom"/>
          </w:tcPr>
          <w:p>
            <w:pPr>
              <w:pStyle w:val="TableContents"/>
              <w:bidi w:val="0"/>
              <w:spacing w:before="0" w:after="283"/>
              <w:ind w:left="0" w:right="0" w:hanging="0"/>
              <w:jc w:val="left"/>
              <w:rPr/>
            </w:pPr>
            <w:r>
              <w:rPr/>
            </w:r>
          </w:p>
        </w:tc>
        <w:tc>
          <w:tcPr>
            <w:tcW w:w="134" w:type="dxa"/>
            <w:tcBorders/>
            <w:shd w:fill="CCEEFF" w:val="clear"/>
            <w:vAlign w:val="bottom"/>
          </w:tcPr>
          <w:p>
            <w:pPr>
              <w:pStyle w:val="TableContents"/>
              <w:bidi w:val="0"/>
              <w:spacing w:before="0" w:after="283"/>
              <w:ind w:left="0" w:right="0" w:hanging="0"/>
              <w:jc w:val="left"/>
              <w:rPr/>
            </w:pPr>
            <w:r>
              <w:rPr/>
            </w:r>
          </w:p>
        </w:tc>
        <w:tc>
          <w:tcPr>
            <w:tcW w:w="589" w:type="dxa"/>
            <w:tcBorders/>
            <w:shd w:fill="CCEEFF" w:val="clear"/>
            <w:vAlign w:val="bottom"/>
          </w:tcPr>
          <w:p>
            <w:pPr>
              <w:pStyle w:val="TableContents"/>
              <w:bidi w:val="0"/>
              <w:spacing w:before="0" w:after="0"/>
              <w:ind w:left="0" w:right="0" w:hanging="0"/>
              <w:jc w:val="right"/>
              <w:rPr/>
            </w:pPr>
            <w:bookmarkStart w:id="355" w:name="fs_ISS9L0AYPS00000000000000000000FM"/>
            <w:bookmarkEnd w:id="355"/>
            <w:r>
              <w:rPr/>
              <w:t>—</w:t>
            </w:r>
          </w:p>
        </w:tc>
        <w:tc>
          <w:tcPr>
            <w:tcW w:w="86" w:type="dxa"/>
            <w:tcBorders/>
            <w:shd w:fill="CCEEFF" w:val="clear"/>
            <w:vAlign w:val="bottom"/>
          </w:tcPr>
          <w:p>
            <w:pPr>
              <w:pStyle w:val="TableContents"/>
              <w:bidi w:val="0"/>
              <w:spacing w:before="0" w:after="283"/>
              <w:ind w:left="0" w:right="0" w:hanging="0"/>
              <w:jc w:val="left"/>
              <w:rPr/>
            </w:pPr>
            <w:r>
              <w:rPr/>
            </w:r>
          </w:p>
        </w:tc>
        <w:tc>
          <w:tcPr>
            <w:tcW w:w="24" w:type="dxa"/>
            <w:tcBorders/>
            <w:shd w:fill="CCEEFF" w:val="clear"/>
            <w:vAlign w:val="bottom"/>
          </w:tcPr>
          <w:p>
            <w:pPr>
              <w:pStyle w:val="TableContents"/>
              <w:bidi w:val="0"/>
              <w:spacing w:before="0" w:after="283"/>
              <w:ind w:left="0" w:right="0" w:hanging="0"/>
              <w:jc w:val="left"/>
              <w:rPr/>
            </w:pPr>
            <w:r>
              <w:rPr/>
            </w:r>
          </w:p>
        </w:tc>
        <w:tc>
          <w:tcPr>
            <w:tcW w:w="134" w:type="dxa"/>
            <w:tcBorders/>
            <w:shd w:fill="CCEEFF" w:val="clear"/>
            <w:vAlign w:val="bottom"/>
          </w:tcPr>
          <w:p>
            <w:pPr>
              <w:pStyle w:val="TableContents"/>
              <w:bidi w:val="0"/>
              <w:spacing w:before="0" w:after="283"/>
              <w:ind w:left="0" w:right="0" w:hanging="0"/>
              <w:jc w:val="left"/>
              <w:rPr/>
            </w:pPr>
            <w:r>
              <w:rPr/>
            </w:r>
          </w:p>
        </w:tc>
        <w:tc>
          <w:tcPr>
            <w:tcW w:w="589"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356" w:name="fs_4MZ9PMHYGW00000000000000000000fs"/>
            <w:bookmarkEnd w:id="356"/>
            <w:r>
              <w:rPr>
                <w:rFonts w:ascii="times new roman;times" w:hAnsi="times new roman;times"/>
                <w:sz w:val="20"/>
              </w:rPr>
              <w:t>7</w:t>
            </w:r>
          </w:p>
        </w:tc>
        <w:tc>
          <w:tcPr>
            <w:tcW w:w="86" w:type="dxa"/>
            <w:tcBorders/>
            <w:shd w:fill="CCEEFF" w:val="clear"/>
            <w:vAlign w:val="bottom"/>
          </w:tcPr>
          <w:p>
            <w:pPr>
              <w:pStyle w:val="TableContents"/>
              <w:bidi w:val="0"/>
              <w:spacing w:before="0" w:after="283"/>
              <w:ind w:left="0" w:right="0" w:hanging="0"/>
              <w:jc w:val="left"/>
              <w:rPr/>
            </w:pPr>
            <w:r>
              <w:rPr/>
            </w:r>
          </w:p>
        </w:tc>
        <w:tc>
          <w:tcPr>
            <w:tcW w:w="24" w:type="dxa"/>
            <w:tcBorders/>
            <w:shd w:fill="CCEEFF" w:val="clear"/>
            <w:vAlign w:val="bottom"/>
          </w:tcPr>
          <w:p>
            <w:pPr>
              <w:pStyle w:val="TableContents"/>
              <w:bidi w:val="0"/>
              <w:spacing w:before="0" w:after="283"/>
              <w:ind w:left="0" w:right="0" w:hanging="0"/>
              <w:jc w:val="left"/>
              <w:rPr/>
            </w:pPr>
            <w:r>
              <w:rPr/>
            </w:r>
          </w:p>
        </w:tc>
        <w:tc>
          <w:tcPr>
            <w:tcW w:w="116" w:type="dxa"/>
            <w:tcBorders/>
            <w:shd w:fill="CCEEFF" w:val="clear"/>
            <w:vAlign w:val="bottom"/>
          </w:tcPr>
          <w:p>
            <w:pPr>
              <w:pStyle w:val="TableContents"/>
              <w:bidi w:val="0"/>
              <w:spacing w:before="0" w:after="283"/>
              <w:ind w:left="0" w:right="0" w:hanging="0"/>
              <w:jc w:val="left"/>
              <w:rPr/>
            </w:pPr>
            <w:r>
              <w:rPr/>
            </w:r>
          </w:p>
        </w:tc>
        <w:tc>
          <w:tcPr>
            <w:tcW w:w="1997"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57" w:name="fs_GVY7NJ2G8G00000000000000000000fs"/>
            <w:bookmarkEnd w:id="357"/>
            <w:r>
              <w:rPr>
                <w:rFonts w:ascii="times new roman;times" w:hAnsi="times new roman;times"/>
                <w:sz w:val="20"/>
              </w:rPr>
              <w:t>100</w:t>
            </w:r>
          </w:p>
        </w:tc>
        <w:tc>
          <w:tcPr>
            <w:tcW w:w="92"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2233" w:type="dxa"/>
            <w:tcBorders/>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Loss before income taxes </w:t>
            </w:r>
          </w:p>
        </w:tc>
        <w:tc>
          <w:tcPr>
            <w:tcW w:w="60" w:type="dxa"/>
            <w:tcBorders/>
            <w:vAlign w:val="bottom"/>
          </w:tcPr>
          <w:p>
            <w:pPr>
              <w:pStyle w:val="TableContents"/>
              <w:bidi w:val="0"/>
              <w:spacing w:before="0" w:after="0"/>
              <w:ind w:left="0" w:right="0" w:hanging="0"/>
              <w:jc w:val="left"/>
              <w:rPr/>
            </w:pPr>
            <w:r>
              <w:rPr/>
              <w:t> </w:t>
            </w:r>
          </w:p>
        </w:tc>
        <w:tc>
          <w:tcPr>
            <w:tcW w:w="146" w:type="dxa"/>
            <w:tcBorders/>
            <w:vAlign w:val="bottom"/>
          </w:tcPr>
          <w:p>
            <w:pPr>
              <w:pStyle w:val="TableContents"/>
              <w:bidi w:val="0"/>
              <w:spacing w:before="0" w:after="0"/>
              <w:ind w:left="0" w:right="0" w:hanging="0"/>
              <w:jc w:val="left"/>
              <w:rPr/>
            </w:pPr>
            <w:r>
              <w:rPr/>
              <w:t> </w:t>
            </w:r>
          </w:p>
        </w:tc>
        <w:tc>
          <w:tcPr>
            <w:tcW w:w="461"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58" w:name="fs_Y35TIPFWV400000000000000000000fs"/>
            <w:bookmarkEnd w:id="358"/>
            <w:r>
              <w:rPr>
                <w:rFonts w:ascii="times new roman;times" w:hAnsi="times new roman;times"/>
                <w:sz w:val="20"/>
              </w:rPr>
              <w:t>919</w:t>
            </w:r>
          </w:p>
        </w:tc>
        <w:tc>
          <w:tcPr>
            <w:tcW w:w="93"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 w:type="dxa"/>
            <w:tcBorders/>
            <w:vAlign w:val="bottom"/>
          </w:tcPr>
          <w:p>
            <w:pPr>
              <w:pStyle w:val="TableContents"/>
              <w:bidi w:val="0"/>
              <w:spacing w:before="0" w:after="0"/>
              <w:ind w:left="0" w:right="0" w:hanging="0"/>
              <w:jc w:val="left"/>
              <w:rPr/>
            </w:pPr>
            <w:r>
              <w:rPr/>
              <w:t> </w:t>
            </w:r>
          </w:p>
        </w:tc>
        <w:tc>
          <w:tcPr>
            <w:tcW w:w="146" w:type="dxa"/>
            <w:tcBorders/>
            <w:vAlign w:val="bottom"/>
          </w:tcPr>
          <w:p>
            <w:pPr>
              <w:pStyle w:val="TableContents"/>
              <w:bidi w:val="0"/>
              <w:spacing w:before="0" w:after="0"/>
              <w:ind w:left="0" w:right="0" w:hanging="0"/>
              <w:jc w:val="left"/>
              <w:rPr/>
            </w:pPr>
            <w:r>
              <w:rPr/>
              <w:t> </w:t>
            </w:r>
          </w:p>
        </w:tc>
        <w:tc>
          <w:tcPr>
            <w:tcW w:w="636"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59" w:name="fs_X95W6J01Y800000000000000000000fs"/>
            <w:bookmarkEnd w:id="359"/>
            <w:r>
              <w:rPr>
                <w:rFonts w:ascii="times new roman;times" w:hAnsi="times new roman;times"/>
                <w:sz w:val="20"/>
              </w:rPr>
              <w:t>1,197</w:t>
            </w:r>
          </w:p>
        </w:tc>
        <w:tc>
          <w:tcPr>
            <w:tcW w:w="93"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 w:type="dxa"/>
            <w:tcBorders/>
            <w:vAlign w:val="bottom"/>
          </w:tcPr>
          <w:p>
            <w:pPr>
              <w:pStyle w:val="TableContents"/>
              <w:bidi w:val="0"/>
              <w:spacing w:before="0" w:after="0"/>
              <w:ind w:left="0" w:right="0" w:hanging="0"/>
              <w:jc w:val="left"/>
              <w:rPr/>
            </w:pPr>
            <w:r>
              <w:rPr/>
              <w:t> </w:t>
            </w:r>
          </w:p>
        </w:tc>
        <w:tc>
          <w:tcPr>
            <w:tcW w:w="291" w:type="dxa"/>
            <w:tcBorders/>
            <w:vAlign w:val="bottom"/>
          </w:tcPr>
          <w:p>
            <w:pPr>
              <w:pStyle w:val="TableContents"/>
              <w:bidi w:val="0"/>
              <w:spacing w:before="0" w:after="0"/>
              <w:ind w:left="0" w:right="0" w:hanging="0"/>
              <w:jc w:val="left"/>
              <w:rPr/>
            </w:pPr>
            <w:r>
              <w:rPr/>
              <w:t> </w:t>
            </w:r>
          </w:p>
        </w:tc>
        <w:tc>
          <w:tcPr>
            <w:tcW w:w="1934" w:type="dxa"/>
            <w:tcBorders/>
            <w:vAlign w:val="bottom"/>
          </w:tcPr>
          <w:p>
            <w:pPr>
              <w:pStyle w:val="TableContents"/>
              <w:bidi w:val="0"/>
              <w:spacing w:before="0" w:after="0"/>
              <w:ind w:left="0" w:right="0" w:hanging="0"/>
              <w:jc w:val="right"/>
              <w:rPr>
                <w:rFonts w:ascii="times new roman;times" w:hAnsi="times new roman;times"/>
                <w:sz w:val="20"/>
              </w:rPr>
            </w:pPr>
            <w:bookmarkStart w:id="360" w:name="fs_6UZONKNBDC00000000000000000000fs"/>
            <w:bookmarkEnd w:id="360"/>
            <w:r>
              <w:rPr>
                <w:rFonts w:ascii="times new roman;times" w:hAnsi="times new roman;times"/>
                <w:sz w:val="20"/>
              </w:rPr>
              <w:t>23</w:t>
            </w:r>
          </w:p>
        </w:tc>
        <w:tc>
          <w:tcPr>
            <w:tcW w:w="80" w:type="dxa"/>
            <w:tcBorders/>
            <w:vAlign w:val="bottom"/>
          </w:tcPr>
          <w:p>
            <w:pPr>
              <w:pStyle w:val="TableContents"/>
              <w:bidi w:val="0"/>
              <w:spacing w:before="0" w:after="283"/>
              <w:ind w:left="0" w:right="0" w:hanging="0"/>
              <w:jc w:val="left"/>
              <w:rPr>
                <w:sz w:val="4"/>
                <w:szCs w:val="4"/>
              </w:rPr>
            </w:pPr>
            <w:r>
              <w:rPr>
                <w:sz w:val="4"/>
                <w:szCs w:val="4"/>
              </w:rPr>
            </w:r>
          </w:p>
        </w:tc>
        <w:tc>
          <w:tcPr>
            <w:tcW w:w="23" w:type="dxa"/>
            <w:tcBorders/>
            <w:vAlign w:val="bottom"/>
          </w:tcPr>
          <w:p>
            <w:pPr>
              <w:pStyle w:val="TableContents"/>
              <w:bidi w:val="0"/>
              <w:spacing w:before="0" w:after="283"/>
              <w:ind w:left="0" w:right="0" w:hanging="0"/>
              <w:jc w:val="left"/>
              <w:rPr/>
            </w:pPr>
            <w:r>
              <w:rPr/>
            </w:r>
          </w:p>
        </w:tc>
        <w:tc>
          <w:tcPr>
            <w:tcW w:w="134" w:type="dxa"/>
            <w:tcBorders/>
            <w:vAlign w:val="bottom"/>
          </w:tcPr>
          <w:p>
            <w:pPr>
              <w:pStyle w:val="TableContents"/>
              <w:bidi w:val="0"/>
              <w:spacing w:before="0" w:after="283"/>
              <w:ind w:left="0" w:right="0" w:hanging="0"/>
              <w:jc w:val="left"/>
              <w:rPr/>
            </w:pPr>
            <w:r>
              <w:rPr/>
            </w:r>
          </w:p>
        </w:tc>
        <w:tc>
          <w:tcPr>
            <w:tcW w:w="589"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61" w:name="fs_ZDWA3G83GW00000000000000000000FM"/>
            <w:bookmarkEnd w:id="361"/>
            <w:r>
              <w:rPr>
                <w:rFonts w:ascii="times new roman;times" w:hAnsi="times new roman;times"/>
                <w:sz w:val="20"/>
              </w:rPr>
              <w:t>1,769</w:t>
            </w:r>
          </w:p>
        </w:tc>
        <w:tc>
          <w:tcPr>
            <w:tcW w:w="86"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4" w:type="dxa"/>
            <w:tcBorders/>
            <w:vAlign w:val="bottom"/>
          </w:tcPr>
          <w:p>
            <w:pPr>
              <w:pStyle w:val="TableContents"/>
              <w:bidi w:val="0"/>
              <w:spacing w:before="0" w:after="283"/>
              <w:ind w:left="0" w:right="0" w:hanging="0"/>
              <w:jc w:val="left"/>
              <w:rPr/>
            </w:pPr>
            <w:r>
              <w:rPr/>
            </w:r>
          </w:p>
        </w:tc>
        <w:tc>
          <w:tcPr>
            <w:tcW w:w="134" w:type="dxa"/>
            <w:tcBorders/>
            <w:vAlign w:val="bottom"/>
          </w:tcPr>
          <w:p>
            <w:pPr>
              <w:pStyle w:val="TableContents"/>
              <w:bidi w:val="0"/>
              <w:spacing w:before="0" w:after="283"/>
              <w:ind w:left="0" w:right="0" w:hanging="0"/>
              <w:jc w:val="left"/>
              <w:rPr/>
            </w:pPr>
            <w:r>
              <w:rPr/>
            </w:r>
          </w:p>
        </w:tc>
        <w:tc>
          <w:tcPr>
            <w:tcW w:w="589"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62" w:name="fs_879TOG3VOG00000000000000000000fs"/>
            <w:bookmarkEnd w:id="362"/>
            <w:r>
              <w:rPr>
                <w:rFonts w:ascii="times new roman;times" w:hAnsi="times new roman;times"/>
                <w:sz w:val="20"/>
              </w:rPr>
              <w:t>2,011</w:t>
            </w:r>
          </w:p>
        </w:tc>
        <w:tc>
          <w:tcPr>
            <w:tcW w:w="86"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4" w:type="dxa"/>
            <w:tcBorders/>
            <w:vAlign w:val="bottom"/>
          </w:tcPr>
          <w:p>
            <w:pPr>
              <w:pStyle w:val="TableContents"/>
              <w:bidi w:val="0"/>
              <w:spacing w:before="0" w:after="283"/>
              <w:ind w:left="0" w:right="0" w:hanging="0"/>
              <w:jc w:val="left"/>
              <w:rPr/>
            </w:pPr>
            <w:r>
              <w:rPr/>
            </w:r>
          </w:p>
        </w:tc>
        <w:tc>
          <w:tcPr>
            <w:tcW w:w="116" w:type="dxa"/>
            <w:tcBorders/>
            <w:vAlign w:val="bottom"/>
          </w:tcPr>
          <w:p>
            <w:pPr>
              <w:pStyle w:val="TableContents"/>
              <w:bidi w:val="0"/>
              <w:spacing w:before="0" w:after="283"/>
              <w:ind w:left="0" w:right="0" w:hanging="0"/>
              <w:jc w:val="left"/>
              <w:rPr/>
            </w:pPr>
            <w:r>
              <w:rPr/>
            </w:r>
          </w:p>
        </w:tc>
        <w:tc>
          <w:tcPr>
            <w:tcW w:w="1997" w:type="dxa"/>
            <w:tcBorders/>
            <w:vAlign w:val="bottom"/>
          </w:tcPr>
          <w:p>
            <w:pPr>
              <w:pStyle w:val="TableContents"/>
              <w:bidi w:val="0"/>
              <w:spacing w:before="0" w:after="0"/>
              <w:ind w:left="0" w:right="0" w:hanging="0"/>
              <w:jc w:val="right"/>
              <w:rPr>
                <w:rFonts w:ascii="times new roman;times" w:hAnsi="times new roman;times"/>
                <w:sz w:val="20"/>
              </w:rPr>
            </w:pPr>
            <w:bookmarkStart w:id="363" w:name="fs_J5EAVCR1XS00000000000000000000fs"/>
            <w:bookmarkEnd w:id="363"/>
            <w:r>
              <w:rPr>
                <w:rFonts w:ascii="times new roman;times" w:hAnsi="times new roman;times"/>
                <w:sz w:val="20"/>
              </w:rPr>
              <w:t>12</w:t>
            </w:r>
          </w:p>
        </w:tc>
        <w:tc>
          <w:tcPr>
            <w:tcW w:w="92" w:type="dxa"/>
            <w:tcBorders/>
            <w:vAlign w:val="bottom"/>
          </w:tcPr>
          <w:p>
            <w:pPr>
              <w:pStyle w:val="TableContents"/>
              <w:bidi w:val="0"/>
              <w:spacing w:before="0" w:after="283"/>
              <w:ind w:left="0" w:right="0" w:hanging="0"/>
              <w:jc w:val="left"/>
              <w:rPr/>
            </w:pPr>
            <w:r>
              <w:rPr/>
            </w:r>
          </w:p>
        </w:tc>
      </w:tr>
      <w:tr>
        <w:trPr/>
        <w:tc>
          <w:tcPr>
            <w:tcW w:w="2233"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Provision (benefit) for income taxes </w:t>
            </w:r>
          </w:p>
        </w:tc>
        <w:tc>
          <w:tcPr>
            <w:tcW w:w="60" w:type="dxa"/>
            <w:tcBorders/>
            <w:shd w:fill="CCEEFF" w:val="clear"/>
            <w:vAlign w:val="bottom"/>
          </w:tcPr>
          <w:p>
            <w:pPr>
              <w:pStyle w:val="TableContents"/>
              <w:bidi w:val="0"/>
              <w:spacing w:before="0" w:after="0"/>
              <w:ind w:left="0" w:right="0" w:hanging="0"/>
              <w:jc w:val="left"/>
              <w:rPr/>
            </w:pPr>
            <w:r>
              <w:rPr/>
              <w:t> </w:t>
            </w:r>
          </w:p>
        </w:tc>
        <w:tc>
          <w:tcPr>
            <w:tcW w:w="146" w:type="dxa"/>
            <w:tcBorders/>
            <w:shd w:fill="CCEEFF" w:val="clear"/>
            <w:vAlign w:val="bottom"/>
          </w:tcPr>
          <w:p>
            <w:pPr>
              <w:pStyle w:val="TableContents"/>
              <w:bidi w:val="0"/>
              <w:spacing w:before="0" w:after="0"/>
              <w:ind w:left="0" w:right="0" w:hanging="0"/>
              <w:jc w:val="left"/>
              <w:rPr/>
            </w:pPr>
            <w:r>
              <w:rPr/>
              <w:t> </w:t>
            </w:r>
          </w:p>
        </w:tc>
        <w:tc>
          <w:tcPr>
            <w:tcW w:w="461" w:type="dxa"/>
            <w:tcBorders/>
            <w:shd w:fill="CCEEFF" w:val="clear"/>
            <w:vAlign w:val="bottom"/>
          </w:tcPr>
          <w:p>
            <w:pPr>
              <w:pStyle w:val="TableContents"/>
              <w:bidi w:val="0"/>
              <w:spacing w:before="0" w:after="0"/>
              <w:ind w:left="0" w:right="0" w:hanging="0"/>
              <w:jc w:val="right"/>
              <w:rPr/>
            </w:pPr>
            <w:bookmarkStart w:id="364" w:name="fs_V9SW7XNVUO00000000000000000000fs"/>
            <w:bookmarkEnd w:id="364"/>
            <w:r>
              <w:rPr/>
              <w:t>—</w:t>
            </w:r>
          </w:p>
        </w:tc>
        <w:tc>
          <w:tcPr>
            <w:tcW w:w="93"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9" w:type="dxa"/>
            <w:tcBorders/>
            <w:shd w:fill="CCEEFF" w:val="clear"/>
            <w:vAlign w:val="bottom"/>
          </w:tcPr>
          <w:p>
            <w:pPr>
              <w:pStyle w:val="TableContents"/>
              <w:bidi w:val="0"/>
              <w:spacing w:before="0" w:after="0"/>
              <w:ind w:left="0" w:right="0" w:hanging="0"/>
              <w:jc w:val="left"/>
              <w:rPr/>
            </w:pPr>
            <w:r>
              <w:rPr/>
              <w:t> </w:t>
            </w:r>
          </w:p>
        </w:tc>
        <w:tc>
          <w:tcPr>
            <w:tcW w:w="146" w:type="dxa"/>
            <w:tcBorders/>
            <w:shd w:fill="CCEEFF" w:val="clear"/>
            <w:vAlign w:val="bottom"/>
          </w:tcPr>
          <w:p>
            <w:pPr>
              <w:pStyle w:val="TableContents"/>
              <w:bidi w:val="0"/>
              <w:spacing w:before="0" w:after="0"/>
              <w:ind w:left="0" w:right="0" w:hanging="0"/>
              <w:jc w:val="left"/>
              <w:rPr/>
            </w:pPr>
            <w:r>
              <w:rPr/>
              <w:t> </w:t>
            </w:r>
          </w:p>
        </w:tc>
        <w:tc>
          <w:tcPr>
            <w:tcW w:w="636"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365" w:name="fs_7SCZVYN68G00000000000000000000fs"/>
            <w:bookmarkEnd w:id="365"/>
            <w:r>
              <w:rPr>
                <w:rFonts w:ascii="times new roman;times" w:hAnsi="times new roman;times"/>
                <w:sz w:val="20"/>
              </w:rPr>
              <w:t>8</w:t>
            </w:r>
          </w:p>
        </w:tc>
        <w:tc>
          <w:tcPr>
            <w:tcW w:w="93"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9" w:type="dxa"/>
            <w:tcBorders/>
            <w:shd w:fill="CCEEFF" w:val="clear"/>
            <w:vAlign w:val="bottom"/>
          </w:tcPr>
          <w:p>
            <w:pPr>
              <w:pStyle w:val="TableContents"/>
              <w:bidi w:val="0"/>
              <w:spacing w:before="0" w:after="0"/>
              <w:ind w:left="0" w:right="0" w:hanging="0"/>
              <w:jc w:val="left"/>
              <w:rPr/>
            </w:pPr>
            <w:r>
              <w:rPr/>
              <w:t> </w:t>
            </w:r>
          </w:p>
        </w:tc>
        <w:tc>
          <w:tcPr>
            <w:tcW w:w="291" w:type="dxa"/>
            <w:tcBorders/>
            <w:shd w:fill="CCEEFF" w:val="clear"/>
            <w:vAlign w:val="bottom"/>
          </w:tcPr>
          <w:p>
            <w:pPr>
              <w:pStyle w:val="TableContents"/>
              <w:bidi w:val="0"/>
              <w:spacing w:before="0" w:after="0"/>
              <w:ind w:left="0" w:right="0" w:hanging="0"/>
              <w:jc w:val="left"/>
              <w:rPr/>
            </w:pPr>
            <w:r>
              <w:rPr/>
              <w:t> </w:t>
            </w:r>
          </w:p>
        </w:tc>
        <w:tc>
          <w:tcPr>
            <w:tcW w:w="1934"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366" w:name="fs_PA1ZKFMY2O00000000000000000000fs"/>
            <w:bookmarkEnd w:id="366"/>
            <w:r>
              <w:rPr>
                <w:rFonts w:ascii="times new roman;times" w:hAnsi="times new roman;times"/>
                <w:sz w:val="20"/>
              </w:rPr>
              <w:t>100</w:t>
            </w:r>
          </w:p>
        </w:tc>
        <w:tc>
          <w:tcPr>
            <w:tcW w:w="80"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bottom"/>
          </w:tcPr>
          <w:p>
            <w:pPr>
              <w:pStyle w:val="TableContents"/>
              <w:bidi w:val="0"/>
              <w:spacing w:before="0" w:after="283"/>
              <w:ind w:left="0" w:right="0" w:hanging="0"/>
              <w:jc w:val="left"/>
              <w:rPr/>
            </w:pPr>
            <w:r>
              <w:rPr/>
            </w:r>
          </w:p>
        </w:tc>
        <w:tc>
          <w:tcPr>
            <w:tcW w:w="134" w:type="dxa"/>
            <w:tcBorders/>
            <w:shd w:fill="CCEEFF" w:val="clear"/>
            <w:vAlign w:val="bottom"/>
          </w:tcPr>
          <w:p>
            <w:pPr>
              <w:pStyle w:val="TableContents"/>
              <w:bidi w:val="0"/>
              <w:spacing w:before="0" w:after="283"/>
              <w:ind w:left="0" w:right="0" w:hanging="0"/>
              <w:jc w:val="left"/>
              <w:rPr/>
            </w:pPr>
            <w:r>
              <w:rPr/>
            </w:r>
          </w:p>
        </w:tc>
        <w:tc>
          <w:tcPr>
            <w:tcW w:w="589" w:type="dxa"/>
            <w:tcBorders/>
            <w:shd w:fill="CCEEFF" w:val="clear"/>
            <w:vAlign w:val="bottom"/>
          </w:tcPr>
          <w:p>
            <w:pPr>
              <w:pStyle w:val="TableContents"/>
              <w:bidi w:val="0"/>
              <w:spacing w:before="0" w:after="0"/>
              <w:ind w:left="0" w:right="0" w:hanging="0"/>
              <w:jc w:val="right"/>
              <w:rPr/>
            </w:pPr>
            <w:bookmarkStart w:id="367" w:name="fs_CU271HYO4W00000000000000000000FM"/>
            <w:bookmarkEnd w:id="367"/>
            <w:r>
              <w:rPr/>
              <w:t>—</w:t>
            </w:r>
          </w:p>
        </w:tc>
        <w:tc>
          <w:tcPr>
            <w:tcW w:w="86" w:type="dxa"/>
            <w:tcBorders/>
            <w:shd w:fill="CCEEFF" w:val="clear"/>
            <w:vAlign w:val="bottom"/>
          </w:tcPr>
          <w:p>
            <w:pPr>
              <w:pStyle w:val="TableContents"/>
              <w:bidi w:val="0"/>
              <w:spacing w:before="0" w:after="283"/>
              <w:ind w:left="0" w:right="0" w:hanging="0"/>
              <w:jc w:val="left"/>
              <w:rPr/>
            </w:pPr>
            <w:r>
              <w:rPr/>
            </w:r>
          </w:p>
        </w:tc>
        <w:tc>
          <w:tcPr>
            <w:tcW w:w="24" w:type="dxa"/>
            <w:tcBorders/>
            <w:shd w:fill="CCEEFF" w:val="clear"/>
            <w:vAlign w:val="bottom"/>
          </w:tcPr>
          <w:p>
            <w:pPr>
              <w:pStyle w:val="TableContents"/>
              <w:bidi w:val="0"/>
              <w:spacing w:before="0" w:after="283"/>
              <w:ind w:left="0" w:right="0" w:hanging="0"/>
              <w:jc w:val="left"/>
              <w:rPr/>
            </w:pPr>
            <w:r>
              <w:rPr/>
            </w:r>
          </w:p>
        </w:tc>
        <w:tc>
          <w:tcPr>
            <w:tcW w:w="134" w:type="dxa"/>
            <w:tcBorders/>
            <w:shd w:fill="CCEEFF" w:val="clear"/>
            <w:vAlign w:val="bottom"/>
          </w:tcPr>
          <w:p>
            <w:pPr>
              <w:pStyle w:val="TableContents"/>
              <w:bidi w:val="0"/>
              <w:spacing w:before="0" w:after="283"/>
              <w:ind w:left="0" w:right="0" w:hanging="0"/>
              <w:jc w:val="left"/>
              <w:rPr/>
            </w:pPr>
            <w:r>
              <w:rPr/>
            </w:r>
          </w:p>
        </w:tc>
        <w:tc>
          <w:tcPr>
            <w:tcW w:w="589"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368" w:name="fs_I2NTZ8U6TC00000000000000000000fs"/>
            <w:bookmarkEnd w:id="368"/>
            <w:r>
              <w:rPr>
                <w:rFonts w:ascii="times new roman;times" w:hAnsi="times new roman;times"/>
                <w:sz w:val="20"/>
              </w:rPr>
              <w:t>8</w:t>
            </w:r>
          </w:p>
        </w:tc>
        <w:tc>
          <w:tcPr>
            <w:tcW w:w="86" w:type="dxa"/>
            <w:tcBorders/>
            <w:shd w:fill="CCEEFF" w:val="clear"/>
            <w:vAlign w:val="bottom"/>
          </w:tcPr>
          <w:p>
            <w:pPr>
              <w:pStyle w:val="TableContents"/>
              <w:bidi w:val="0"/>
              <w:spacing w:before="0" w:after="283"/>
              <w:ind w:left="0" w:right="0" w:hanging="0"/>
              <w:jc w:val="left"/>
              <w:rPr/>
            </w:pPr>
            <w:r>
              <w:rPr/>
            </w:r>
          </w:p>
        </w:tc>
        <w:tc>
          <w:tcPr>
            <w:tcW w:w="24" w:type="dxa"/>
            <w:tcBorders/>
            <w:shd w:fill="CCEEFF" w:val="clear"/>
            <w:vAlign w:val="bottom"/>
          </w:tcPr>
          <w:p>
            <w:pPr>
              <w:pStyle w:val="TableContents"/>
              <w:bidi w:val="0"/>
              <w:spacing w:before="0" w:after="283"/>
              <w:ind w:left="0" w:right="0" w:hanging="0"/>
              <w:jc w:val="left"/>
              <w:rPr/>
            </w:pPr>
            <w:r>
              <w:rPr/>
            </w:r>
          </w:p>
        </w:tc>
        <w:tc>
          <w:tcPr>
            <w:tcW w:w="116" w:type="dxa"/>
            <w:tcBorders/>
            <w:shd w:fill="CCEEFF" w:val="clear"/>
            <w:vAlign w:val="bottom"/>
          </w:tcPr>
          <w:p>
            <w:pPr>
              <w:pStyle w:val="TableContents"/>
              <w:bidi w:val="0"/>
              <w:spacing w:before="0" w:after="283"/>
              <w:ind w:left="0" w:right="0" w:hanging="0"/>
              <w:jc w:val="left"/>
              <w:rPr/>
            </w:pPr>
            <w:r>
              <w:rPr/>
            </w:r>
          </w:p>
        </w:tc>
        <w:tc>
          <w:tcPr>
            <w:tcW w:w="1997"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369" w:name="fs_FI31PKN3QO00000000000000000000fs"/>
            <w:bookmarkEnd w:id="369"/>
            <w:r>
              <w:rPr>
                <w:rFonts w:ascii="times new roman;times" w:hAnsi="times new roman;times"/>
                <w:sz w:val="20"/>
              </w:rPr>
              <w:t>100</w:t>
            </w:r>
          </w:p>
        </w:tc>
        <w:tc>
          <w:tcPr>
            <w:tcW w:w="92" w:type="dxa"/>
            <w:tcBorders/>
            <w:shd w:fill="CCEEFF" w:val="clear"/>
            <w:vAlign w:val="bottom"/>
          </w:tcPr>
          <w:p>
            <w:pPr>
              <w:pStyle w:val="TableContents"/>
              <w:bidi w:val="0"/>
              <w:spacing w:before="0" w:after="283"/>
              <w:ind w:left="0" w:right="0" w:hanging="0"/>
              <w:jc w:val="left"/>
              <w:rPr/>
            </w:pPr>
            <w:r>
              <w:rPr/>
            </w:r>
          </w:p>
        </w:tc>
      </w:tr>
      <w:tr>
        <w:trPr/>
        <w:tc>
          <w:tcPr>
            <w:tcW w:w="2233" w:type="dxa"/>
            <w:tcBorders/>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Net loss from continuing operations </w:t>
            </w:r>
          </w:p>
        </w:tc>
        <w:tc>
          <w:tcPr>
            <w:tcW w:w="60" w:type="dxa"/>
            <w:tcBorders/>
            <w:vAlign w:val="bottom"/>
          </w:tcPr>
          <w:p>
            <w:pPr>
              <w:pStyle w:val="TableContents"/>
              <w:bidi w:val="0"/>
              <w:spacing w:before="0" w:after="0"/>
              <w:ind w:left="0" w:right="0" w:hanging="0"/>
              <w:jc w:val="left"/>
              <w:rPr/>
            </w:pPr>
            <w:r>
              <w:rPr/>
              <w:t> </w:t>
            </w:r>
          </w:p>
        </w:tc>
        <w:tc>
          <w:tcPr>
            <w:tcW w:w="146"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461"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70" w:name="fs_BJUB26QO0W00000000000000000000fs"/>
            <w:bookmarkEnd w:id="370"/>
            <w:r>
              <w:rPr>
                <w:rFonts w:ascii="times new roman;times" w:hAnsi="times new roman;times"/>
                <w:sz w:val="20"/>
              </w:rPr>
              <w:t>919</w:t>
            </w:r>
          </w:p>
        </w:tc>
        <w:tc>
          <w:tcPr>
            <w:tcW w:w="93"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 w:type="dxa"/>
            <w:tcBorders/>
            <w:vAlign w:val="bottom"/>
          </w:tcPr>
          <w:p>
            <w:pPr>
              <w:pStyle w:val="TableContents"/>
              <w:bidi w:val="0"/>
              <w:spacing w:before="0" w:after="0"/>
              <w:ind w:left="0" w:right="0" w:hanging="0"/>
              <w:jc w:val="left"/>
              <w:rPr/>
            </w:pPr>
            <w:r>
              <w:rPr/>
              <w:t> </w:t>
            </w:r>
          </w:p>
        </w:tc>
        <w:tc>
          <w:tcPr>
            <w:tcW w:w="146"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36"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71" w:name="fs_E4XZ98D9UO00000000000000000000fs"/>
            <w:bookmarkEnd w:id="371"/>
            <w:r>
              <w:rPr>
                <w:rFonts w:ascii="times new roman;times" w:hAnsi="times new roman;times"/>
                <w:sz w:val="20"/>
              </w:rPr>
              <w:t>1,205</w:t>
            </w:r>
          </w:p>
        </w:tc>
        <w:tc>
          <w:tcPr>
            <w:tcW w:w="93"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9" w:type="dxa"/>
            <w:tcBorders/>
            <w:vAlign w:val="bottom"/>
          </w:tcPr>
          <w:p>
            <w:pPr>
              <w:pStyle w:val="TableContents"/>
              <w:bidi w:val="0"/>
              <w:spacing w:before="0" w:after="0"/>
              <w:ind w:left="0" w:right="0" w:hanging="0"/>
              <w:jc w:val="left"/>
              <w:rPr/>
            </w:pPr>
            <w:r>
              <w:rPr/>
              <w:t> </w:t>
            </w:r>
          </w:p>
        </w:tc>
        <w:tc>
          <w:tcPr>
            <w:tcW w:w="291" w:type="dxa"/>
            <w:tcBorders/>
            <w:vAlign w:val="bottom"/>
          </w:tcPr>
          <w:p>
            <w:pPr>
              <w:pStyle w:val="TableContents"/>
              <w:bidi w:val="0"/>
              <w:spacing w:before="0" w:after="0"/>
              <w:ind w:left="0" w:right="0" w:hanging="0"/>
              <w:jc w:val="left"/>
              <w:rPr/>
            </w:pPr>
            <w:r>
              <w:rPr/>
              <w:t> </w:t>
            </w:r>
          </w:p>
        </w:tc>
        <w:tc>
          <w:tcPr>
            <w:tcW w:w="1934" w:type="dxa"/>
            <w:tcBorders/>
            <w:vAlign w:val="bottom"/>
          </w:tcPr>
          <w:p>
            <w:pPr>
              <w:pStyle w:val="TableContents"/>
              <w:bidi w:val="0"/>
              <w:spacing w:before="0" w:after="0"/>
              <w:ind w:left="0" w:right="0" w:hanging="0"/>
              <w:jc w:val="right"/>
              <w:rPr>
                <w:rFonts w:ascii="times new roman;times" w:hAnsi="times new roman;times"/>
                <w:sz w:val="20"/>
              </w:rPr>
            </w:pPr>
            <w:bookmarkStart w:id="372" w:name="fs_5UVC5UEC2800000000000000000000fs"/>
            <w:bookmarkEnd w:id="372"/>
            <w:r>
              <w:rPr>
                <w:rFonts w:ascii="times new roman;times" w:hAnsi="times new roman;times"/>
                <w:sz w:val="20"/>
              </w:rPr>
              <w:t>24</w:t>
            </w:r>
          </w:p>
        </w:tc>
        <w:tc>
          <w:tcPr>
            <w:tcW w:w="80" w:type="dxa"/>
            <w:tcBorders/>
            <w:vAlign w:val="bottom"/>
          </w:tcPr>
          <w:p>
            <w:pPr>
              <w:pStyle w:val="TableContents"/>
              <w:bidi w:val="0"/>
              <w:spacing w:before="0" w:after="283"/>
              <w:ind w:left="0" w:right="0" w:hanging="0"/>
              <w:jc w:val="left"/>
              <w:rPr>
                <w:sz w:val="4"/>
                <w:szCs w:val="4"/>
              </w:rPr>
            </w:pPr>
            <w:r>
              <w:rPr>
                <w:sz w:val="4"/>
                <w:szCs w:val="4"/>
              </w:rPr>
            </w:r>
          </w:p>
        </w:tc>
        <w:tc>
          <w:tcPr>
            <w:tcW w:w="23" w:type="dxa"/>
            <w:tcBorders/>
            <w:vAlign w:val="bottom"/>
          </w:tcPr>
          <w:p>
            <w:pPr>
              <w:pStyle w:val="TableContents"/>
              <w:bidi w:val="0"/>
              <w:spacing w:before="0" w:after="283"/>
              <w:ind w:left="0" w:right="0" w:hanging="0"/>
              <w:jc w:val="left"/>
              <w:rPr/>
            </w:pPr>
            <w:r>
              <w:rPr/>
            </w:r>
          </w:p>
        </w:tc>
        <w:tc>
          <w:tcPr>
            <w:tcW w:w="134" w:type="dxa"/>
            <w:tcBorders/>
            <w:vAlign w:val="bottom"/>
          </w:tcPr>
          <w:p>
            <w:pPr>
              <w:pStyle w:val="TableContents"/>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t>
            </w:r>
          </w:p>
        </w:tc>
        <w:tc>
          <w:tcPr>
            <w:tcW w:w="589"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73" w:name="fs_ENDSUICTHS00000000000000000000fs"/>
            <w:bookmarkEnd w:id="373"/>
            <w:r>
              <w:rPr>
                <w:rFonts w:ascii="times new roman;times" w:hAnsi="times new roman;times"/>
                <w:sz w:val="20"/>
              </w:rPr>
              <w:t>1,769</w:t>
            </w:r>
          </w:p>
        </w:tc>
        <w:tc>
          <w:tcPr>
            <w:tcW w:w="86"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4" w:type="dxa"/>
            <w:tcBorders/>
            <w:vAlign w:val="bottom"/>
          </w:tcPr>
          <w:p>
            <w:pPr>
              <w:pStyle w:val="TableContents"/>
              <w:bidi w:val="0"/>
              <w:spacing w:before="0" w:after="283"/>
              <w:ind w:left="0" w:right="0" w:hanging="0"/>
              <w:jc w:val="left"/>
              <w:rPr/>
            </w:pPr>
            <w:r>
              <w:rPr/>
            </w:r>
          </w:p>
        </w:tc>
        <w:tc>
          <w:tcPr>
            <w:tcW w:w="134"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589"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374" w:name="fs_W7845J1JOG00000000000000000000fs"/>
            <w:bookmarkEnd w:id="374"/>
            <w:r>
              <w:rPr>
                <w:rFonts w:ascii="times new roman;times" w:hAnsi="times new roman;times"/>
                <w:sz w:val="20"/>
              </w:rPr>
              <w:t>2,019</w:t>
            </w:r>
          </w:p>
        </w:tc>
        <w:tc>
          <w:tcPr>
            <w:tcW w:w="86"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4" w:type="dxa"/>
            <w:tcBorders/>
            <w:vAlign w:val="bottom"/>
          </w:tcPr>
          <w:p>
            <w:pPr>
              <w:pStyle w:val="TableContents"/>
              <w:bidi w:val="0"/>
              <w:spacing w:before="0" w:after="283"/>
              <w:ind w:left="0" w:right="0" w:hanging="0"/>
              <w:jc w:val="left"/>
              <w:rPr/>
            </w:pPr>
            <w:r>
              <w:rPr/>
            </w:r>
          </w:p>
        </w:tc>
        <w:tc>
          <w:tcPr>
            <w:tcW w:w="116" w:type="dxa"/>
            <w:tcBorders/>
            <w:vAlign w:val="bottom"/>
          </w:tcPr>
          <w:p>
            <w:pPr>
              <w:pStyle w:val="TableContents"/>
              <w:bidi w:val="0"/>
              <w:spacing w:before="0" w:after="283"/>
              <w:ind w:left="0" w:right="0" w:hanging="0"/>
              <w:jc w:val="left"/>
              <w:rPr/>
            </w:pPr>
            <w:r>
              <w:rPr/>
            </w:r>
          </w:p>
        </w:tc>
        <w:tc>
          <w:tcPr>
            <w:tcW w:w="1997" w:type="dxa"/>
            <w:tcBorders/>
            <w:vAlign w:val="bottom"/>
          </w:tcPr>
          <w:p>
            <w:pPr>
              <w:pStyle w:val="TableContents"/>
              <w:bidi w:val="0"/>
              <w:spacing w:before="0" w:after="0"/>
              <w:ind w:left="0" w:right="0" w:hanging="0"/>
              <w:jc w:val="right"/>
              <w:rPr>
                <w:rFonts w:ascii="times new roman;times" w:hAnsi="times new roman;times"/>
                <w:sz w:val="20"/>
              </w:rPr>
            </w:pPr>
            <w:bookmarkStart w:id="375" w:name="fs_3LCTIYBAS000000000000000000000fs"/>
            <w:bookmarkEnd w:id="375"/>
            <w:r>
              <w:rPr>
                <w:rFonts w:ascii="times new roman;times" w:hAnsi="times new roman;times"/>
                <w:sz w:val="20"/>
              </w:rPr>
              <w:t>12</w:t>
            </w:r>
          </w:p>
        </w:tc>
        <w:tc>
          <w:tcPr>
            <w:tcW w:w="92" w:type="dxa"/>
            <w:tcBorders/>
            <w:vAlign w:val="bottom"/>
          </w:tcPr>
          <w:p>
            <w:pPr>
              <w:pStyle w:val="TableContents"/>
              <w:bidi w:val="0"/>
              <w:spacing w:before="0" w:after="283"/>
              <w:jc w:val="left"/>
              <w:rPr/>
            </w:pPr>
            <w:r>
              <w:rPr/>
            </w:r>
          </w:p>
        </w:tc>
      </w:tr>
    </w:tbl>
    <w:p>
      <w:pPr>
        <w:pStyle w:val="TextBody"/>
        <w:widowControl/>
        <w:bidi w:val="0"/>
        <w:spacing w:before="0" w:after="0"/>
        <w:jc w:val="left"/>
        <w:rPr>
          <w:b w:val="false"/>
          <w:b w:val="false"/>
          <w:bCs w:val="false"/>
          <w:i w:val="false"/>
          <w:i w:val="false"/>
          <w:iCs w:val="false"/>
          <w:caps w:val="false"/>
          <w:smallCaps w:val="false"/>
          <w:color w:val="000000"/>
          <w:spacing w:val="0"/>
          <w:sz w:val="20"/>
          <w:szCs w:val="20"/>
        </w:rPr>
      </w:pPr>
      <w:r>
        <w:rPr>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bookmarkStart w:id="376" w:name="PageBreakNo28"/>
            <w:bookmarkEnd w:id="376"/>
            <w:r>
              <w:rPr>
                <w:rFonts w:ascii="times new roman;times" w:hAnsi="times new roman;times"/>
                <w:sz w:val="20"/>
              </w:rPr>
              <w:t>28</w:t>
            </w:r>
          </w:p>
        </w:tc>
      </w:tr>
    </w:tbl>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color w:val="0000FF"/>
            <w:sz w:val="20"/>
          </w:rPr>
          <w:t>Table of Contents</w:t>
        </w:r>
      </w:hyperlink>
    </w:p>
    <w:p>
      <w:pPr>
        <w:pStyle w:val="TextBody"/>
        <w:widowControl/>
        <w:bidi w:val="0"/>
        <w:spacing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widowControl/>
        <w:bidi w:val="0"/>
        <w:spacing w:before="0" w:after="200"/>
        <w:ind w:left="0" w:right="0" w:hanging="0"/>
        <w:jc w:val="left"/>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Overview</w:t>
      </w:r>
    </w:p>
    <w:p>
      <w:pPr>
        <w:pStyle w:val="TextBody"/>
        <w:bidi w:val="0"/>
        <w:spacing w:lineRule="auto" w:line="288" w:before="0" w:after="0"/>
        <w:jc w:val="both"/>
        <w:rPr>
          <w:rFonts w:ascii="times new roman;times" w:hAnsi="times new roman;times"/>
          <w:sz w:val="20"/>
        </w:rPr>
      </w:pPr>
      <w:r>
        <w:rPr>
          <w:rFonts w:ascii="times new roman;times" w:hAnsi="times new roman;times"/>
          <w:sz w:val="20"/>
        </w:rPr>
        <w:t xml:space="preserve">Continuing operations primarily comprise corporate activities (public-company reporting, governance, and compliance) and warranty support for legacy products. We recorded no revenue in continuing operations during the three or </w:t>
      </w:r>
      <w:bookmarkStart w:id="377" w:name="fs_UWNZ5X54OW00000000000000000000FM"/>
      <w:bookmarkEnd w:id="377"/>
      <w:r>
        <w:rPr>
          <w:rFonts w:ascii="times new roman;times" w:hAnsi="times new roman;times"/>
          <w:sz w:val="20"/>
        </w:rPr>
        <w:t xml:space="preserve">six months ended June 30, 2026 or the comparable </w:t>
      </w:r>
      <w:bookmarkStart w:id="378" w:name="fs_TLHCWVXHGW00000000000000000000FM"/>
      <w:bookmarkEnd w:id="378"/>
      <w:r>
        <w:rPr>
          <w:rFonts w:ascii="times new roman;times" w:hAnsi="times new roman;times"/>
          <w:sz w:val="20"/>
        </w:rPr>
        <w:t>2025 periods. </w:t>
      </w:r>
    </w:p>
    <w:p>
      <w:pPr>
        <w:pStyle w:val="TextBody"/>
        <w:bidi w:val="0"/>
        <w:spacing w:lineRule="auto" w:line="288" w:before="200" w:after="200"/>
        <w:ind w:left="0" w:right="0" w:hanging="0"/>
        <w:jc w:val="left"/>
        <w:rPr>
          <w:rFonts w:ascii="times new roman;times" w:hAnsi="times new roman;times"/>
          <w:b/>
          <w:i/>
          <w:sz w:val="20"/>
        </w:rPr>
      </w:pPr>
      <w:r>
        <w:rPr>
          <w:rFonts w:ascii="times new roman;times" w:hAnsi="times new roman;times"/>
          <w:b/>
          <w:i/>
          <w:sz w:val="20"/>
        </w:rPr>
        <w:t>Costs of Goods Sold and Gross Profit (Loss)</w:t>
      </w:r>
    </w:p>
    <w:p>
      <w:pPr>
        <w:pStyle w:val="TextBody"/>
        <w:bidi w:val="0"/>
        <w:spacing w:lineRule="auto" w:line="288" w:before="0" w:after="0"/>
        <w:jc w:val="both"/>
        <w:rPr>
          <w:rFonts w:ascii="times new roman;times" w:hAnsi="times new roman;times"/>
          <w:sz w:val="20"/>
        </w:rPr>
      </w:pPr>
      <w:r>
        <w:rPr>
          <w:rFonts w:ascii="times new roman;times" w:hAnsi="times new roman;times"/>
          <w:sz w:val="20"/>
        </w:rPr>
        <w:t>Cost of goods sold in continuing operations reflects warranty-related parts and labor. Cost of goods sold was $</w:t>
      </w:r>
      <w:bookmarkStart w:id="379" w:name="fs_3TAXWLL3TC00000000000000000000FM"/>
      <w:bookmarkEnd w:id="379"/>
      <w:r>
        <w:rPr>
          <w:rFonts w:ascii="times new roman;times" w:hAnsi="times new roman;times"/>
          <w:sz w:val="20"/>
        </w:rPr>
        <w:t>70 and $</w:t>
      </w:r>
      <w:bookmarkStart w:id="380" w:name="fs_T21MOXTOM800000000000000000000FM"/>
      <w:bookmarkEnd w:id="380"/>
      <w:r>
        <w:rPr>
          <w:rFonts w:ascii="times new roman;times" w:hAnsi="times new roman;times"/>
          <w:sz w:val="20"/>
        </w:rPr>
        <w:t xml:space="preserve">140 for the three and </w:t>
      </w:r>
      <w:bookmarkStart w:id="381" w:name="fs_M2RUIEMNTS00000000000000000000FM"/>
      <w:bookmarkEnd w:id="381"/>
      <w:r>
        <w:rPr>
          <w:rFonts w:ascii="times new roman;times" w:hAnsi="times new roman;times"/>
          <w:sz w:val="20"/>
        </w:rPr>
        <w:t>six months ended June 30, 2026, compared to $</w:t>
      </w:r>
      <w:bookmarkStart w:id="382" w:name="fs_X7RXND5W7K00000000000000000000FM"/>
      <w:bookmarkEnd w:id="382"/>
      <w:r>
        <w:rPr>
          <w:rFonts w:ascii="times new roman;times" w:hAnsi="times new roman;times"/>
          <w:sz w:val="20"/>
        </w:rPr>
        <w:t>100 and $</w:t>
      </w:r>
      <w:bookmarkStart w:id="383" w:name="fs_S5QH9CZDF400000000000000000000FM"/>
      <w:bookmarkEnd w:id="383"/>
      <w:r>
        <w:rPr>
          <w:rFonts w:ascii="times new roman;times" w:hAnsi="times new roman;times"/>
          <w:sz w:val="20"/>
        </w:rPr>
        <w:t xml:space="preserve">127 for the comparable </w:t>
      </w:r>
      <w:bookmarkStart w:id="384" w:name="fs_6OP0V9B0K000000000000000000000FM"/>
      <w:bookmarkEnd w:id="384"/>
      <w:r>
        <w:rPr>
          <w:rFonts w:ascii="times new roman;times" w:hAnsi="times new roman;times"/>
          <w:sz w:val="20"/>
        </w:rPr>
        <w:t>2025 periods. Because continuing operations generated no revenue, gross margin percentages are not meaningful, and the period-over-period changes reflect the timing and volume of warranty claims and repairs.</w:t>
      </w:r>
    </w:p>
    <w:p>
      <w:pPr>
        <w:pStyle w:val="TextBody"/>
        <w:bidi w:val="0"/>
        <w:spacing w:lineRule="auto" w:line="288" w:before="200" w:after="200"/>
        <w:ind w:left="0" w:right="0" w:hanging="0"/>
        <w:jc w:val="left"/>
        <w:rPr>
          <w:rFonts w:ascii="times new roman;times" w:hAnsi="times new roman;times"/>
          <w:b/>
          <w:i/>
          <w:sz w:val="20"/>
        </w:rPr>
      </w:pPr>
      <w:r>
        <w:rPr>
          <w:rFonts w:ascii="times new roman;times" w:hAnsi="times new roman;times"/>
          <w:b/>
          <w:i/>
          <w:sz w:val="20"/>
        </w:rPr>
        <w:t>Operating Expenses</w:t>
      </w:r>
    </w:p>
    <w:p>
      <w:pPr>
        <w:pStyle w:val="TextBody"/>
        <w:bidi w:val="0"/>
        <w:spacing w:lineRule="auto" w:line="288" w:before="0" w:after="0"/>
        <w:jc w:val="both"/>
        <w:rPr>
          <w:rFonts w:ascii="times new roman;times" w:hAnsi="times new roman;times"/>
          <w:sz w:val="20"/>
        </w:rPr>
      </w:pPr>
      <w:r>
        <w:rPr>
          <w:rFonts w:ascii="times new roman;times" w:hAnsi="times new roman;times"/>
          <w:b/>
          <w:sz w:val="20"/>
        </w:rPr>
        <w:t>General &amp; administrative (G&amp;A)</w:t>
      </w:r>
      <w:r>
        <w:rPr>
          <w:rFonts w:ascii="times new roman;times" w:hAnsi="times new roman;times"/>
          <w:sz w:val="20"/>
        </w:rPr>
        <w:t xml:space="preserve"> - General and administrative (G&amp;A) expenses were $</w:t>
      </w:r>
      <w:bookmarkStart w:id="385" w:name="fs_DE3NU40RE800000000000000000000FM"/>
      <w:bookmarkEnd w:id="385"/>
      <w:r>
        <w:rPr>
          <w:rFonts w:ascii="times new roman;times" w:hAnsi="times new roman;times"/>
          <w:sz w:val="20"/>
        </w:rPr>
        <w:t>849 and $</w:t>
      </w:r>
      <w:bookmarkStart w:id="386" w:name="fs_COEGXLPCG000000000000000000000FM"/>
      <w:bookmarkEnd w:id="386"/>
      <w:r>
        <w:rPr>
          <w:rFonts w:ascii="times new roman;times" w:hAnsi="times new roman;times"/>
          <w:sz w:val="20"/>
        </w:rPr>
        <w:t xml:space="preserve">1,629 for the three and </w:t>
      </w:r>
      <w:bookmarkStart w:id="387" w:name="fs_0A4QQFFEM800000000000000000000FM"/>
      <w:bookmarkEnd w:id="387"/>
      <w:r>
        <w:rPr>
          <w:rFonts w:ascii="times new roman;times" w:hAnsi="times new roman;times"/>
          <w:sz w:val="20"/>
        </w:rPr>
        <w:t>six months ended June 30, 2026, compared to $</w:t>
      </w:r>
      <w:bookmarkStart w:id="388" w:name="fs_K2WAA39A5S00000000000000000000FM"/>
      <w:bookmarkEnd w:id="388"/>
      <w:r>
        <w:rPr>
          <w:rFonts w:ascii="times new roman;times" w:hAnsi="times new roman;times"/>
          <w:sz w:val="20"/>
        </w:rPr>
        <w:t>1,092 and $</w:t>
      </w:r>
      <w:bookmarkStart w:id="389" w:name="fs_OTS4FFVS3K00000000000000000000FM"/>
      <w:bookmarkEnd w:id="389"/>
      <w:r>
        <w:rPr>
          <w:rFonts w:ascii="times new roman;times" w:hAnsi="times new roman;times"/>
          <w:sz w:val="20"/>
        </w:rPr>
        <w:t xml:space="preserve">1,891 for the comparable </w:t>
      </w:r>
      <w:bookmarkStart w:id="390" w:name="fs_MKVSHW3F6800000000000000000000FM"/>
      <w:bookmarkEnd w:id="390"/>
      <w:r>
        <w:rPr>
          <w:rFonts w:ascii="times new roman;times" w:hAnsi="times new roman;times"/>
          <w:sz w:val="20"/>
        </w:rPr>
        <w:t xml:space="preserve">2025 periods, decreases of </w:t>
      </w:r>
      <w:bookmarkStart w:id="391" w:name="fs_WBU938SCO000000000000000000000FM"/>
      <w:bookmarkEnd w:id="391"/>
      <w:r>
        <w:rPr>
          <w:rFonts w:ascii="times new roman;times" w:hAnsi="times new roman;times"/>
          <w:sz w:val="20"/>
        </w:rPr>
        <w:t xml:space="preserve">22% and </w:t>
      </w:r>
      <w:bookmarkStart w:id="392" w:name="fs_25SCZAGR7K00000000000000000000FM"/>
      <w:bookmarkEnd w:id="392"/>
      <w:r>
        <w:rPr>
          <w:rFonts w:ascii="times new roman;times" w:hAnsi="times new roman;times"/>
          <w:sz w:val="20"/>
        </w:rPr>
        <w:t>14%, respectively. The decreases reflect the substantial reduction in corporate infrastructure and headcount following the Asset Sale, partially offset by legal, advisory, and other professional fees associated with the Merger and related transactions. G&amp;A expenses consist primarily of audit and tax fees, legal and advisory fees, SEC reporting costs, D&amp;O insurance, and other public-company compliance costs.</w:t>
      </w:r>
    </w:p>
    <w:p>
      <w:pPr>
        <w:pStyle w:val="TextBody"/>
        <w:bidi w:val="0"/>
        <w:spacing w:lineRule="auto" w:line="288" w:before="200" w:after="200"/>
        <w:ind w:left="0" w:right="0" w:hanging="0"/>
        <w:jc w:val="both"/>
        <w:rPr>
          <w:rFonts w:ascii="times new roman;times" w:hAnsi="times new roman;times"/>
          <w:sz w:val="20"/>
        </w:rPr>
      </w:pPr>
      <w:r>
        <w:rPr>
          <w:rFonts w:ascii="times new roman;times" w:hAnsi="times new roman;times"/>
          <w:b/>
          <w:sz w:val="20"/>
        </w:rPr>
        <w:t>Sales &amp; marketing (S&amp;M) and research &amp; development (R&amp;D)</w:t>
      </w:r>
      <w:r>
        <w:rPr>
          <w:rFonts w:ascii="times new roman;times" w:hAnsi="times new roman;times"/>
          <w:sz w:val="20"/>
        </w:rPr>
        <w:t xml:space="preserve"> - No sales and marketing or research and development expense was recognized in continuing operations during the periods presented; all such costs relate to the disposed product business and are reported within discontinued operations.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sz w:val="20"/>
        </w:rPr>
        <w:t>Restructuring/exit costs</w:t>
      </w:r>
      <w:r>
        <w:rPr>
          <w:rFonts w:ascii="times new roman;times" w:hAnsi="times new roman;times"/>
          <w:sz w:val="20"/>
        </w:rPr>
        <w:t xml:space="preserve"> - No material restructuring or exit costs were recognized in continuing operations during the periods presented. Any such costs meeting the recognition criteria of ASC 420 are recorded in the period incurred.</w:t>
      </w:r>
    </w:p>
    <w:p>
      <w:pPr>
        <w:pStyle w:val="TextBody"/>
        <w:bidi w:val="0"/>
        <w:spacing w:lineRule="auto" w:line="288" w:before="0" w:after="0"/>
        <w:ind w:left="0" w:right="0" w:hanging="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bookmarkStart w:id="393" w:name="PageBreakNo29"/>
            <w:bookmarkEnd w:id="393"/>
            <w:r>
              <w:rPr>
                <w:rFonts w:ascii="times new roman;times" w:hAnsi="times new roman;times"/>
                <w:sz w:val="20"/>
              </w:rPr>
              <w:t>29</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left"/>
        <w:rPr/>
      </w:pPr>
      <w:r>
        <w:rPr/>
      </w:r>
    </w:p>
    <w:p>
      <w:pPr>
        <w:pStyle w:val="TextBody"/>
        <w:bidi w:val="0"/>
        <w:spacing w:lineRule="auto" w:line="288" w:before="0" w:after="200"/>
        <w:ind w:left="0" w:right="0" w:hanging="0"/>
        <w:jc w:val="left"/>
        <w:rPr>
          <w:rFonts w:ascii="times new roman;times" w:hAnsi="times new roman;times"/>
          <w:b/>
          <w:i/>
          <w:sz w:val="20"/>
        </w:rPr>
      </w:pPr>
      <w:r>
        <w:rPr>
          <w:rFonts w:ascii="times new roman;times" w:hAnsi="times new roman;times"/>
          <w:b/>
          <w:i/>
          <w:sz w:val="20"/>
        </w:rPr>
        <w:t>Other income (expense), net</w:t>
      </w:r>
    </w:p>
    <w:p>
      <w:pPr>
        <w:pStyle w:val="TextBody"/>
        <w:bidi w:val="0"/>
        <w:spacing w:lineRule="auto" w:line="288" w:before="0" w:after="0"/>
        <w:jc w:val="both"/>
        <w:rPr>
          <w:rFonts w:ascii="times new roman;times" w:hAnsi="times new roman;times"/>
          <w:sz w:val="20"/>
        </w:rPr>
      </w:pPr>
      <w:r>
        <w:rPr>
          <w:rFonts w:ascii="times new roman;times" w:hAnsi="times new roman;times"/>
          <w:sz w:val="20"/>
        </w:rPr>
        <w:t>Other income (expense), net in continuing operations was $</w:t>
      </w:r>
      <w:bookmarkStart w:id="394" w:name="fs_X55NNXFCJK00000000000000000000FM"/>
      <w:bookmarkEnd w:id="394"/>
      <w:r>
        <w:rPr>
          <w:rFonts w:ascii="times new roman;times" w:hAnsi="times new roman;times"/>
          <w:sz w:val="20"/>
        </w:rPr>
        <w:t xml:space="preserve">0 for the </w:t>
      </w:r>
      <w:bookmarkStart w:id="395" w:name="fs_8COYIWCNN400000000000000000000FM"/>
      <w:bookmarkEnd w:id="395"/>
      <w:r>
        <w:rPr>
          <w:rFonts w:ascii="times new roman;times" w:hAnsi="times new roman;times"/>
          <w:sz w:val="20"/>
        </w:rPr>
        <w:t xml:space="preserve">three and six months ended </w:t>
      </w:r>
      <w:bookmarkStart w:id="396" w:name="fs_BPRSRZC5WG00000000000000000000FM"/>
      <w:bookmarkEnd w:id="396"/>
      <w:r>
        <w:rPr>
          <w:rFonts w:ascii="times new roman;times" w:hAnsi="times new roman;times"/>
          <w:sz w:val="20"/>
        </w:rPr>
        <w:t>June 30, 2026, compared to $(</w:t>
      </w:r>
      <w:bookmarkStart w:id="397" w:name="fs_PR6L2JVCKW00000000000000000000FM"/>
      <w:bookmarkEnd w:id="397"/>
      <w:r>
        <w:rPr>
          <w:rFonts w:ascii="times new roman;times" w:hAnsi="times new roman;times"/>
          <w:sz w:val="20"/>
        </w:rPr>
        <w:t>5) and $</w:t>
      </w:r>
      <w:bookmarkStart w:id="398" w:name="fs_TNXEU1ZK1S00000000000000000000FM"/>
      <w:bookmarkEnd w:id="398"/>
      <w:r>
        <w:rPr>
          <w:rFonts w:ascii="times new roman;times" w:hAnsi="times new roman;times"/>
          <w:sz w:val="20"/>
        </w:rPr>
        <w:t xml:space="preserve">7 for the comparable </w:t>
      </w:r>
      <w:bookmarkStart w:id="399" w:name="fs_34XU35XMC000000000000000000000FM"/>
      <w:bookmarkEnd w:id="399"/>
      <w:r>
        <w:rPr>
          <w:rFonts w:ascii="times new roman;times" w:hAnsi="times new roman;times"/>
          <w:sz w:val="20"/>
        </w:rPr>
        <w:t xml:space="preserve">2025 periods. The </w:t>
      </w:r>
      <w:bookmarkStart w:id="400" w:name="fs_420QO5BDFK00000000000000000000FM"/>
      <w:bookmarkEnd w:id="400"/>
      <w:r>
        <w:rPr>
          <w:rFonts w:ascii="times new roman;times" w:hAnsi="times new roman;times"/>
          <w:sz w:val="20"/>
        </w:rPr>
        <w:t>2025 amounts reflect interest expense on the convertible note through its conversion on July 21, 2025 and interest income on cash equivalents.</w:t>
      </w:r>
    </w:p>
    <w:p>
      <w:pPr>
        <w:pStyle w:val="TextBody"/>
        <w:bidi w:val="0"/>
        <w:spacing w:lineRule="auto" w:line="288" w:before="200" w:after="200"/>
        <w:ind w:left="0" w:right="0" w:hanging="0"/>
        <w:jc w:val="left"/>
        <w:rPr>
          <w:rFonts w:ascii="times new roman;times" w:hAnsi="times new roman;times"/>
          <w:i/>
          <w:sz w:val="20"/>
        </w:rPr>
      </w:pPr>
      <w:r>
        <w:rPr>
          <w:rFonts w:ascii="times new roman;times" w:hAnsi="times new roman;times"/>
          <w:b/>
          <w:i/>
          <w:sz w:val="20"/>
        </w:rPr>
        <w:t>Income taxes</w:t>
      </w:r>
      <w:r>
        <w:rPr>
          <w:rFonts w:ascii="times new roman;times" w:hAnsi="times new roman;times"/>
          <w:i/>
          <w:sz w:val="20"/>
        </w:rPr>
        <w:t xml:space="preserve"> </w:t>
      </w:r>
    </w:p>
    <w:p>
      <w:pPr>
        <w:pStyle w:val="TextBody"/>
        <w:bidi w:val="0"/>
        <w:spacing w:lineRule="auto" w:line="288" w:before="0" w:after="0"/>
        <w:jc w:val="both"/>
        <w:rPr>
          <w:rFonts w:ascii="times new roman;times" w:hAnsi="times new roman;times"/>
          <w:sz w:val="20"/>
        </w:rPr>
      </w:pPr>
      <w:r>
        <w:rPr>
          <w:rFonts w:ascii="times new roman;times" w:hAnsi="times new roman;times"/>
          <w:sz w:val="20"/>
        </w:rPr>
        <w:t>We maintained a full valuation allowance against US federal and state deferred tax assets in both periods due to cumulative losses and uncertainty of realization. Accordingly, we did not recognize an income tax benefit for losses in continuing operations.</w:t>
      </w:r>
    </w:p>
    <w:p>
      <w:pPr>
        <w:pStyle w:val="TextBody"/>
        <w:bidi w:val="0"/>
        <w:spacing w:lineRule="auto" w:line="288" w:before="200" w:after="200"/>
        <w:ind w:left="0" w:right="0" w:hanging="0"/>
        <w:jc w:val="both"/>
        <w:rPr>
          <w:rFonts w:ascii="times new roman;times" w:hAnsi="times new roman;times"/>
          <w:i/>
          <w:sz w:val="20"/>
        </w:rPr>
      </w:pPr>
      <w:r>
        <w:rPr>
          <w:rFonts w:ascii="times new roman;times" w:hAnsi="times new roman;times"/>
          <w:i/>
          <w:sz w:val="20"/>
        </w:rPr>
        <w:t>Discontinued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10205" w:type="dxa"/>
        <w:jc w:val="left"/>
        <w:tblInd w:w="0" w:type="dxa"/>
        <w:tblLayout w:type="fixed"/>
        <w:tblCellMar>
          <w:top w:w="0" w:type="dxa"/>
          <w:left w:w="0" w:type="dxa"/>
          <w:bottom w:w="0" w:type="dxa"/>
          <w:right w:w="0" w:type="dxa"/>
        </w:tblCellMar>
      </w:tblPr>
      <w:tblGrid>
        <w:gridCol w:w="2768"/>
        <w:gridCol w:w="60"/>
        <w:gridCol w:w="142"/>
        <w:gridCol w:w="449"/>
        <w:gridCol w:w="91"/>
        <w:gridCol w:w="68"/>
        <w:gridCol w:w="142"/>
        <w:gridCol w:w="621"/>
        <w:gridCol w:w="91"/>
        <w:gridCol w:w="68"/>
        <w:gridCol w:w="270"/>
        <w:gridCol w:w="1795"/>
        <w:gridCol w:w="80"/>
        <w:gridCol w:w="23"/>
        <w:gridCol w:w="133"/>
        <w:gridCol w:w="421"/>
        <w:gridCol w:w="85"/>
        <w:gridCol w:w="24"/>
        <w:gridCol w:w="133"/>
        <w:gridCol w:w="581"/>
        <w:gridCol w:w="85"/>
        <w:gridCol w:w="24"/>
        <w:gridCol w:w="78"/>
        <w:gridCol w:w="1884"/>
        <w:gridCol w:w="89"/>
      </w:tblGrid>
      <w:tr>
        <w:trPr/>
        <w:tc>
          <w:tcPr>
            <w:tcW w:w="2768"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ind w:left="0" w:right="0" w:hanging="0"/>
              <w:jc w:val="left"/>
              <w:rPr/>
            </w:pPr>
            <w:r>
              <w:rPr/>
              <w:t> </w:t>
            </w:r>
          </w:p>
        </w:tc>
        <w:tc>
          <w:tcPr>
            <w:tcW w:w="3737" w:type="dxa"/>
            <w:gridSpan w:val="10"/>
            <w:tcBorders/>
            <w:vAlign w:val="bottom"/>
          </w:tcPr>
          <w:p>
            <w:pPr>
              <w:pStyle w:val="TableContents"/>
              <w:bidi w:val="0"/>
              <w:spacing w:before="0" w:after="0"/>
              <w:ind w:left="0" w:right="0" w:hanging="0"/>
              <w:jc w:val="center"/>
              <w:rPr>
                <w:rFonts w:ascii="times new roman;times" w:hAnsi="times new roman;times"/>
                <w:b/>
                <w:sz w:val="20"/>
              </w:rPr>
            </w:pPr>
            <w:bookmarkStart w:id="401" w:name="fs_CGS6IWCX1S00000000000000000000FM"/>
            <w:bookmarkEnd w:id="401"/>
            <w:r>
              <w:rPr>
                <w:rFonts w:ascii="times new roman;times" w:hAnsi="times new roman;times"/>
                <w:b/>
                <w:sz w:val="20"/>
              </w:rPr>
              <w:t>Three months ended June 30,</w:t>
            </w:r>
          </w:p>
        </w:tc>
        <w:tc>
          <w:tcPr>
            <w:tcW w:w="80" w:type="dxa"/>
            <w:tcBorders/>
            <w:vAlign w:val="bottom"/>
          </w:tcPr>
          <w:p>
            <w:pPr>
              <w:pStyle w:val="TableContents"/>
              <w:bidi w:val="0"/>
              <w:spacing w:before="0" w:after="283"/>
              <w:ind w:left="0" w:right="0" w:hanging="0"/>
              <w:jc w:val="left"/>
              <w:rPr>
                <w:sz w:val="4"/>
                <w:szCs w:val="4"/>
              </w:rPr>
            </w:pPr>
            <w:r>
              <w:rPr>
                <w:sz w:val="4"/>
                <w:szCs w:val="4"/>
              </w:rPr>
            </w:r>
          </w:p>
        </w:tc>
        <w:tc>
          <w:tcPr>
            <w:tcW w:w="23" w:type="dxa"/>
            <w:tcBorders/>
            <w:vAlign w:val="bottom"/>
          </w:tcPr>
          <w:p>
            <w:pPr>
              <w:pStyle w:val="TableContents"/>
              <w:bidi w:val="0"/>
              <w:spacing w:before="0" w:after="283"/>
              <w:ind w:left="0" w:right="0" w:hanging="0"/>
              <w:jc w:val="left"/>
              <w:rPr/>
            </w:pPr>
            <w:r>
              <w:rPr/>
            </w:r>
          </w:p>
        </w:tc>
        <w:tc>
          <w:tcPr>
            <w:tcW w:w="3448" w:type="dxa"/>
            <w:gridSpan w:val="10"/>
            <w:tcBorders/>
            <w:vAlign w:val="bottom"/>
          </w:tcPr>
          <w:p>
            <w:pPr>
              <w:pStyle w:val="TableContents"/>
              <w:widowControl/>
              <w:bidi w:val="0"/>
              <w:spacing w:before="0" w:after="283"/>
              <w:ind w:left="0" w:right="0" w:hanging="0"/>
              <w:jc w:val="center"/>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Six months ended June 30,</w:t>
            </w:r>
          </w:p>
        </w:tc>
        <w:tc>
          <w:tcPr>
            <w:tcW w:w="89" w:type="dxa"/>
            <w:tcBorders/>
            <w:vAlign w:val="bottom"/>
          </w:tcPr>
          <w:p>
            <w:pPr>
              <w:pStyle w:val="TableContents"/>
              <w:bidi w:val="0"/>
              <w:spacing w:before="0" w:after="283"/>
              <w:ind w:left="0" w:right="0" w:hanging="0"/>
              <w:jc w:val="left"/>
              <w:rPr/>
            </w:pPr>
            <w:r>
              <w:rPr/>
            </w:r>
          </w:p>
        </w:tc>
      </w:tr>
      <w:tr>
        <w:trPr/>
        <w:tc>
          <w:tcPr>
            <w:tcW w:w="2768" w:type="dxa"/>
            <w:tcBorders/>
            <w:vAlign w:val="bottom"/>
          </w:tcPr>
          <w:p>
            <w:pPr>
              <w:pStyle w:val="TableContents"/>
              <w:widowControl/>
              <w:bidi w:val="0"/>
              <w:spacing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(dollars in thousands)</w:t>
            </w:r>
          </w:p>
        </w:tc>
        <w:tc>
          <w:tcPr>
            <w:tcW w:w="60" w:type="dxa"/>
            <w:tcBorders/>
            <w:vAlign w:val="bottom"/>
          </w:tcPr>
          <w:p>
            <w:pPr>
              <w:pStyle w:val="TableContents"/>
              <w:bidi w:val="0"/>
              <w:spacing w:before="0" w:after="283"/>
              <w:ind w:left="0" w:right="0" w:hanging="0"/>
              <w:jc w:val="left"/>
              <w:rPr>
                <w:sz w:val="4"/>
                <w:szCs w:val="4"/>
              </w:rPr>
            </w:pPr>
            <w:r>
              <w:rPr>
                <w:sz w:val="4"/>
                <w:szCs w:val="4"/>
              </w:rPr>
            </w:r>
          </w:p>
        </w:tc>
        <w:tc>
          <w:tcPr>
            <w:tcW w:w="591" w:type="dxa"/>
            <w:gridSpan w:val="2"/>
            <w:tcBorders/>
            <w:vAlign w:val="bottom"/>
          </w:tcPr>
          <w:p>
            <w:pPr>
              <w:pStyle w:val="TableContents"/>
              <w:pBdr/>
              <w:bidi w:val="0"/>
              <w:spacing w:before="0" w:after="0"/>
              <w:ind w:left="0" w:right="0" w:hanging="0"/>
              <w:jc w:val="center"/>
              <w:rPr>
                <w:rFonts w:ascii="times new roman;times" w:hAnsi="times new roman;times"/>
                <w:b/>
                <w:sz w:val="20"/>
              </w:rPr>
            </w:pPr>
            <w:bookmarkStart w:id="402" w:name="fs_70ZGQAZUV400000000000000000000fs"/>
            <w:bookmarkEnd w:id="402"/>
            <w:r>
              <w:rPr>
                <w:rFonts w:ascii="times new roman;times" w:hAnsi="times new roman;times"/>
                <w:b/>
                <w:sz w:val="20"/>
              </w:rPr>
              <w:t>2026</w:t>
            </w:r>
          </w:p>
        </w:tc>
        <w:tc>
          <w:tcPr>
            <w:tcW w:w="91" w:type="dxa"/>
            <w:tcBorders/>
            <w:vAlign w:val="bottom"/>
          </w:tcPr>
          <w:p>
            <w:pPr>
              <w:pStyle w:val="TableContents"/>
              <w:bidi w:val="0"/>
              <w:spacing w:before="0" w:after="0"/>
              <w:ind w:left="0" w:right="0" w:hanging="0"/>
              <w:jc w:val="left"/>
              <w:rPr/>
            </w:pPr>
            <w:r>
              <w:rPr/>
              <w:t> </w:t>
            </w:r>
          </w:p>
        </w:tc>
        <w:tc>
          <w:tcPr>
            <w:tcW w:w="68" w:type="dxa"/>
            <w:tcBorders/>
            <w:vAlign w:val="bottom"/>
          </w:tcPr>
          <w:p>
            <w:pPr>
              <w:pStyle w:val="TableContents"/>
              <w:bidi w:val="0"/>
              <w:spacing w:before="0" w:after="0"/>
              <w:ind w:left="0" w:right="0" w:hanging="0"/>
              <w:jc w:val="left"/>
              <w:rPr/>
            </w:pPr>
            <w:r>
              <w:rPr/>
              <w:t> </w:t>
            </w:r>
          </w:p>
        </w:tc>
        <w:tc>
          <w:tcPr>
            <w:tcW w:w="763" w:type="dxa"/>
            <w:gridSpan w:val="2"/>
            <w:tcBorders/>
            <w:vAlign w:val="bottom"/>
          </w:tcPr>
          <w:p>
            <w:pPr>
              <w:pStyle w:val="TableContents"/>
              <w:pBdr/>
              <w:bidi w:val="0"/>
              <w:spacing w:before="0" w:after="0"/>
              <w:ind w:left="0" w:right="0" w:hanging="0"/>
              <w:jc w:val="center"/>
              <w:rPr>
                <w:rFonts w:ascii="times new roman;times" w:hAnsi="times new roman;times"/>
                <w:b/>
                <w:sz w:val="20"/>
              </w:rPr>
            </w:pPr>
            <w:bookmarkStart w:id="403" w:name="fs_3AOSLKOB4G00000000000000000000fs"/>
            <w:bookmarkEnd w:id="403"/>
            <w:r>
              <w:rPr>
                <w:rFonts w:ascii="times new roman;times" w:hAnsi="times new roman;times"/>
                <w:b/>
                <w:sz w:val="20"/>
              </w:rPr>
              <w:t>2025</w:t>
            </w:r>
          </w:p>
        </w:tc>
        <w:tc>
          <w:tcPr>
            <w:tcW w:w="91" w:type="dxa"/>
            <w:tcBorders/>
            <w:vAlign w:val="bottom"/>
          </w:tcPr>
          <w:p>
            <w:pPr>
              <w:pStyle w:val="TableContents"/>
              <w:bidi w:val="0"/>
              <w:spacing w:before="0" w:after="0"/>
              <w:ind w:left="0" w:right="0" w:hanging="0"/>
              <w:jc w:val="left"/>
              <w:rPr/>
            </w:pPr>
            <w:r>
              <w:rPr/>
              <w:t> </w:t>
            </w:r>
          </w:p>
        </w:tc>
        <w:tc>
          <w:tcPr>
            <w:tcW w:w="68" w:type="dxa"/>
            <w:tcBorders/>
            <w:vAlign w:val="bottom"/>
          </w:tcPr>
          <w:p>
            <w:pPr>
              <w:pStyle w:val="TableContents"/>
              <w:bidi w:val="0"/>
              <w:spacing w:before="0" w:after="0"/>
              <w:ind w:left="0" w:right="0" w:hanging="0"/>
              <w:jc w:val="left"/>
              <w:rPr/>
            </w:pPr>
            <w:r>
              <w:rPr/>
              <w:t> </w:t>
            </w:r>
          </w:p>
        </w:tc>
        <w:tc>
          <w:tcPr>
            <w:tcW w:w="2065" w:type="dxa"/>
            <w:gridSpan w:val="2"/>
            <w:tcBorders/>
            <w:vAlign w:val="bottom"/>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Change Favorable (Adverse) in %</w:t>
            </w:r>
          </w:p>
        </w:tc>
        <w:tc>
          <w:tcPr>
            <w:tcW w:w="80" w:type="dxa"/>
            <w:tcBorders/>
            <w:vAlign w:val="bottom"/>
          </w:tcPr>
          <w:p>
            <w:pPr>
              <w:pStyle w:val="TableContents"/>
              <w:bidi w:val="0"/>
              <w:spacing w:before="0" w:after="283"/>
              <w:ind w:left="0" w:right="0" w:hanging="0"/>
              <w:jc w:val="left"/>
              <w:rPr>
                <w:sz w:val="4"/>
                <w:szCs w:val="4"/>
              </w:rPr>
            </w:pPr>
            <w:r>
              <w:rPr>
                <w:sz w:val="4"/>
                <w:szCs w:val="4"/>
              </w:rPr>
            </w:r>
          </w:p>
        </w:tc>
        <w:tc>
          <w:tcPr>
            <w:tcW w:w="23" w:type="dxa"/>
            <w:tcBorders/>
            <w:vAlign w:val="bottom"/>
          </w:tcPr>
          <w:p>
            <w:pPr>
              <w:pStyle w:val="TableContents"/>
              <w:bidi w:val="0"/>
              <w:spacing w:before="0" w:after="283"/>
              <w:ind w:left="0" w:right="0" w:hanging="0"/>
              <w:jc w:val="left"/>
              <w:rPr/>
            </w:pPr>
            <w:r>
              <w:rPr/>
            </w:r>
          </w:p>
        </w:tc>
        <w:tc>
          <w:tcPr>
            <w:tcW w:w="554" w:type="dxa"/>
            <w:gridSpan w:val="2"/>
            <w:tcBorders/>
            <w:vAlign w:val="bottom"/>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2026</w:t>
            </w:r>
          </w:p>
        </w:tc>
        <w:tc>
          <w:tcPr>
            <w:tcW w:w="85" w:type="dxa"/>
            <w:tcBorders/>
            <w:vAlign w:val="bottom"/>
          </w:tcPr>
          <w:p>
            <w:pPr>
              <w:pStyle w:val="TableContents"/>
              <w:bidi w:val="0"/>
              <w:spacing w:before="0" w:after="283"/>
              <w:ind w:left="0" w:right="0" w:hanging="0"/>
              <w:jc w:val="left"/>
              <w:rPr/>
            </w:pPr>
            <w:r>
              <w:rPr/>
            </w:r>
          </w:p>
        </w:tc>
        <w:tc>
          <w:tcPr>
            <w:tcW w:w="24" w:type="dxa"/>
            <w:tcBorders/>
            <w:vAlign w:val="bottom"/>
          </w:tcPr>
          <w:p>
            <w:pPr>
              <w:pStyle w:val="TableContents"/>
              <w:bidi w:val="0"/>
              <w:spacing w:before="0" w:after="283"/>
              <w:ind w:left="0" w:right="0" w:hanging="0"/>
              <w:jc w:val="left"/>
              <w:rPr/>
            </w:pPr>
            <w:r>
              <w:rPr/>
            </w:r>
          </w:p>
        </w:tc>
        <w:tc>
          <w:tcPr>
            <w:tcW w:w="714" w:type="dxa"/>
            <w:gridSpan w:val="2"/>
            <w:tcBorders/>
            <w:vAlign w:val="bottom"/>
          </w:tcPr>
          <w:p>
            <w:pPr>
              <w:pStyle w:val="TableContents"/>
              <w:bidi w:val="0"/>
              <w:spacing w:before="0" w:after="0"/>
              <w:ind w:left="0" w:right="0" w:hanging="0"/>
              <w:jc w:val="center"/>
              <w:rPr>
                <w:rFonts w:ascii="times new roman;times" w:hAnsi="times new roman;times"/>
                <w:b/>
                <w:sz w:val="20"/>
              </w:rPr>
            </w:pPr>
            <w:r>
              <w:rPr>
                <w:rFonts w:ascii="times new roman;times" w:hAnsi="times new roman;times"/>
                <w:b/>
                <w:sz w:val="20"/>
              </w:rPr>
              <w:t>2025</w:t>
            </w:r>
          </w:p>
        </w:tc>
        <w:tc>
          <w:tcPr>
            <w:tcW w:w="85" w:type="dxa"/>
            <w:tcBorders/>
            <w:vAlign w:val="bottom"/>
          </w:tcPr>
          <w:p>
            <w:pPr>
              <w:pStyle w:val="TableContents"/>
              <w:bidi w:val="0"/>
              <w:spacing w:before="0" w:after="283"/>
              <w:ind w:left="0" w:right="0" w:hanging="0"/>
              <w:jc w:val="left"/>
              <w:rPr/>
            </w:pPr>
            <w:r>
              <w:rPr/>
            </w:r>
          </w:p>
        </w:tc>
        <w:tc>
          <w:tcPr>
            <w:tcW w:w="24" w:type="dxa"/>
            <w:tcBorders/>
            <w:vAlign w:val="bottom"/>
          </w:tcPr>
          <w:p>
            <w:pPr>
              <w:pStyle w:val="TableContents"/>
              <w:bidi w:val="0"/>
              <w:spacing w:before="0" w:after="283"/>
              <w:ind w:left="0" w:right="0" w:hanging="0"/>
              <w:jc w:val="left"/>
              <w:rPr/>
            </w:pPr>
            <w:r>
              <w:rPr/>
            </w:r>
          </w:p>
        </w:tc>
        <w:tc>
          <w:tcPr>
            <w:tcW w:w="1962" w:type="dxa"/>
            <w:gridSpan w:val="2"/>
            <w:tcBorders/>
            <w:vAlign w:val="bottom"/>
          </w:tcPr>
          <w:p>
            <w:pPr>
              <w:pStyle w:val="TableContents"/>
              <w:widowControl/>
              <w:bidi w:val="0"/>
              <w:spacing w:before="0" w:after="0"/>
              <w:ind w:left="0" w:right="0" w:hanging="0"/>
              <w:jc w:val="center"/>
              <w:rPr>
                <w:rFonts w:ascii="times new roman;times" w:hAnsi="times new roman;times"/>
                <w:b w:val="false"/>
                <w:color w:val="000000"/>
                <w:spacing w:val="0"/>
                <w:sz w:val="20"/>
              </w:rPr>
            </w:pPr>
            <w:r>
              <w:rPr>
                <w:rFonts w:ascii="times new roman;times" w:hAnsi="times new roman;times"/>
                <w:b w:val="false"/>
                <w:color w:val="000000"/>
                <w:spacing w:val="0"/>
                <w:sz w:val="20"/>
              </w:rPr>
              <w:t>Change Favorable (Adverse) in %</w:t>
            </w:r>
          </w:p>
        </w:tc>
        <w:tc>
          <w:tcPr>
            <w:tcW w:w="89" w:type="dxa"/>
            <w:tcBorders/>
            <w:vAlign w:val="bottom"/>
          </w:tcPr>
          <w:p>
            <w:pPr>
              <w:pStyle w:val="TableContents"/>
              <w:bidi w:val="0"/>
              <w:spacing w:before="0" w:after="283"/>
              <w:ind w:left="0" w:right="0" w:hanging="0"/>
              <w:jc w:val="left"/>
              <w:rPr/>
            </w:pPr>
            <w:r>
              <w:rPr/>
            </w:r>
          </w:p>
        </w:tc>
      </w:tr>
      <w:tr>
        <w:trPr/>
        <w:tc>
          <w:tcPr>
            <w:tcW w:w="2768"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Revenue </w:t>
            </w:r>
          </w:p>
        </w:tc>
        <w:tc>
          <w:tcPr>
            <w:tcW w:w="60" w:type="dxa"/>
            <w:tcBorders/>
            <w:shd w:fill="CCEEFF" w:val="clear"/>
            <w:vAlign w:val="bottom"/>
          </w:tcPr>
          <w:p>
            <w:pPr>
              <w:pStyle w:val="TableContents"/>
              <w:bidi w:val="0"/>
              <w:spacing w:before="0" w:after="0"/>
              <w:ind w:left="0" w:right="0" w:hanging="0"/>
              <w:jc w:val="left"/>
              <w:rPr/>
            </w:pPr>
            <w:r>
              <w:rPr/>
              <w:t> </w:t>
            </w:r>
          </w:p>
        </w:tc>
        <w:tc>
          <w:tcPr>
            <w:tcW w:w="142"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449" w:type="dxa"/>
            <w:tcBorders/>
            <w:shd w:fill="CCEEFF" w:val="clear"/>
            <w:vAlign w:val="bottom"/>
          </w:tcPr>
          <w:p>
            <w:pPr>
              <w:pStyle w:val="TableContents"/>
              <w:bidi w:val="0"/>
              <w:spacing w:before="0" w:after="0"/>
              <w:ind w:left="0" w:right="0" w:hanging="0"/>
              <w:jc w:val="right"/>
              <w:rPr/>
            </w:pPr>
            <w:bookmarkStart w:id="404" w:name="fs_2RXH14WRI800000000000000000000fs"/>
            <w:bookmarkEnd w:id="404"/>
            <w:r>
              <w:rPr/>
              <w:t>—</w:t>
            </w:r>
          </w:p>
        </w:tc>
        <w:tc>
          <w:tcPr>
            <w:tcW w:w="91" w:type="dxa"/>
            <w:tcBorders/>
            <w:shd w:fill="CCEEFF" w:val="clear"/>
            <w:vAlign w:val="bottom"/>
          </w:tcPr>
          <w:p>
            <w:pPr>
              <w:pStyle w:val="TableContents"/>
              <w:bidi w:val="0"/>
              <w:spacing w:before="0" w:after="0"/>
              <w:ind w:left="0" w:right="0" w:hanging="0"/>
              <w:jc w:val="left"/>
              <w:rPr/>
            </w:pPr>
            <w:r>
              <w:rPr/>
              <w:t> </w:t>
            </w:r>
          </w:p>
        </w:tc>
        <w:tc>
          <w:tcPr>
            <w:tcW w:w="68" w:type="dxa"/>
            <w:tcBorders/>
            <w:shd w:fill="CCEEFF" w:val="clear"/>
            <w:vAlign w:val="bottom"/>
          </w:tcPr>
          <w:p>
            <w:pPr>
              <w:pStyle w:val="TableContents"/>
              <w:bidi w:val="0"/>
              <w:spacing w:before="0" w:after="0"/>
              <w:ind w:left="0" w:right="0" w:hanging="0"/>
              <w:jc w:val="left"/>
              <w:rPr/>
            </w:pPr>
            <w:r>
              <w:rPr/>
              <w:t> </w:t>
            </w:r>
          </w:p>
        </w:tc>
        <w:tc>
          <w:tcPr>
            <w:tcW w:w="142"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21"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405" w:name="fs_C0ALYKJVPC00000000000000000000FM"/>
            <w:bookmarkEnd w:id="405"/>
            <w:r>
              <w:rPr>
                <w:rFonts w:ascii="times new roman;times" w:hAnsi="times new roman;times"/>
                <w:sz w:val="20"/>
              </w:rPr>
              <w:t>1,916</w:t>
            </w:r>
          </w:p>
        </w:tc>
        <w:tc>
          <w:tcPr>
            <w:tcW w:w="91" w:type="dxa"/>
            <w:tcBorders/>
            <w:shd w:fill="CCEEFF" w:val="clear"/>
            <w:vAlign w:val="bottom"/>
          </w:tcPr>
          <w:p>
            <w:pPr>
              <w:pStyle w:val="TableContents"/>
              <w:bidi w:val="0"/>
              <w:spacing w:before="0" w:after="0"/>
              <w:ind w:left="0" w:right="0" w:hanging="0"/>
              <w:jc w:val="left"/>
              <w:rPr/>
            </w:pPr>
            <w:r>
              <w:rPr/>
              <w:t> </w:t>
            </w:r>
          </w:p>
        </w:tc>
        <w:tc>
          <w:tcPr>
            <w:tcW w:w="68" w:type="dxa"/>
            <w:tcBorders/>
            <w:shd w:fill="CCEEFF" w:val="clear"/>
            <w:vAlign w:val="bottom"/>
          </w:tcPr>
          <w:p>
            <w:pPr>
              <w:pStyle w:val="TableContents"/>
              <w:bidi w:val="0"/>
              <w:spacing w:before="0" w:after="0"/>
              <w:ind w:left="0" w:right="0" w:hanging="0"/>
              <w:jc w:val="left"/>
              <w:rPr/>
            </w:pPr>
            <w:r>
              <w:rPr/>
              <w:t> </w:t>
            </w:r>
          </w:p>
        </w:tc>
        <w:tc>
          <w:tcPr>
            <w:tcW w:w="270" w:type="dxa"/>
            <w:tcBorders/>
            <w:shd w:fill="CCEEFF" w:val="clear"/>
            <w:vAlign w:val="bottom"/>
          </w:tcPr>
          <w:p>
            <w:pPr>
              <w:pStyle w:val="TableContents"/>
              <w:bidi w:val="0"/>
              <w:spacing w:before="0" w:after="0"/>
              <w:ind w:left="0" w:right="0" w:hanging="0"/>
              <w:jc w:val="left"/>
              <w:rPr/>
            </w:pPr>
            <w:r>
              <w:rPr/>
              <w:t> </w:t>
            </w:r>
          </w:p>
        </w:tc>
        <w:tc>
          <w:tcPr>
            <w:tcW w:w="1795"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06" w:name="fs_AA951UFLXC00000000000000000000fs"/>
            <w:bookmarkEnd w:id="406"/>
            <w:r>
              <w:rPr>
                <w:rFonts w:ascii="times new roman;times" w:hAnsi="times new roman;times"/>
                <w:sz w:val="20"/>
              </w:rPr>
              <w:t>100</w:t>
            </w:r>
          </w:p>
        </w:tc>
        <w:tc>
          <w:tcPr>
            <w:tcW w:w="80"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bottom"/>
          </w:tcPr>
          <w:p>
            <w:pPr>
              <w:pStyle w:val="TableContents"/>
              <w:bidi w:val="0"/>
              <w:spacing w:before="0" w:after="283"/>
              <w:ind w:left="0" w:right="0" w:hanging="0"/>
              <w:jc w:val="left"/>
              <w:rPr/>
            </w:pPr>
            <w:r>
              <w:rPr/>
            </w:r>
          </w:p>
        </w:tc>
        <w:tc>
          <w:tcPr>
            <w:tcW w:w="133" w:type="dxa"/>
            <w:tcBorders/>
            <w:shd w:fill="CCEEFF" w:val="clear"/>
            <w:vAlign w:val="bottom"/>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421" w:type="dxa"/>
            <w:tcBorders/>
            <w:shd w:fill="CCEEFF" w:val="clear"/>
            <w:vAlign w:val="bottom"/>
          </w:tcPr>
          <w:p>
            <w:pPr>
              <w:pStyle w:val="TableContents"/>
              <w:bidi w:val="0"/>
              <w:spacing w:before="0" w:after="0"/>
              <w:ind w:left="0" w:right="0" w:hanging="0"/>
              <w:jc w:val="right"/>
              <w:rPr/>
            </w:pPr>
            <w:bookmarkStart w:id="407" w:name="fs_98OJF24HQ800000000000000000000FM"/>
            <w:bookmarkEnd w:id="407"/>
            <w:r>
              <w:rPr/>
              <w:t>—</w:t>
            </w:r>
          </w:p>
        </w:tc>
        <w:tc>
          <w:tcPr>
            <w:tcW w:w="85" w:type="dxa"/>
            <w:tcBorders/>
            <w:shd w:fill="CCEEFF" w:val="clear"/>
            <w:vAlign w:val="bottom"/>
          </w:tcPr>
          <w:p>
            <w:pPr>
              <w:pStyle w:val="TableContents"/>
              <w:bidi w:val="0"/>
              <w:spacing w:before="0" w:after="283"/>
              <w:ind w:left="0" w:right="0" w:hanging="0"/>
              <w:jc w:val="left"/>
              <w:rPr/>
            </w:pPr>
            <w:r>
              <w:rPr/>
            </w:r>
          </w:p>
        </w:tc>
        <w:tc>
          <w:tcPr>
            <w:tcW w:w="24" w:type="dxa"/>
            <w:tcBorders/>
            <w:shd w:fill="CCEEFF" w:val="clear"/>
            <w:vAlign w:val="bottom"/>
          </w:tcPr>
          <w:p>
            <w:pPr>
              <w:pStyle w:val="TableContents"/>
              <w:bidi w:val="0"/>
              <w:spacing w:before="0" w:after="283"/>
              <w:ind w:left="0" w:right="0" w:hanging="0"/>
              <w:jc w:val="left"/>
              <w:rPr/>
            </w:pPr>
            <w:r>
              <w:rPr/>
            </w:r>
          </w:p>
        </w:tc>
        <w:tc>
          <w:tcPr>
            <w:tcW w:w="133" w:type="dxa"/>
            <w:tcBorders/>
            <w:shd w:fill="CCEEFF" w:val="clear"/>
            <w:vAlign w:val="bottom"/>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581"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408" w:name="fs_6E7CMO6OE800000000000000000000FM"/>
            <w:bookmarkEnd w:id="408"/>
            <w:r>
              <w:rPr>
                <w:rFonts w:ascii="times new roman;times" w:hAnsi="times new roman;times"/>
                <w:sz w:val="20"/>
              </w:rPr>
              <w:t>4,229</w:t>
            </w:r>
          </w:p>
        </w:tc>
        <w:tc>
          <w:tcPr>
            <w:tcW w:w="85" w:type="dxa"/>
            <w:tcBorders/>
            <w:shd w:fill="CCEEFF" w:val="clear"/>
            <w:vAlign w:val="bottom"/>
          </w:tcPr>
          <w:p>
            <w:pPr>
              <w:pStyle w:val="TableContents"/>
              <w:bidi w:val="0"/>
              <w:spacing w:before="0" w:after="283"/>
              <w:ind w:left="0" w:right="0" w:hanging="0"/>
              <w:jc w:val="left"/>
              <w:rPr/>
            </w:pPr>
            <w:r>
              <w:rPr/>
            </w:r>
          </w:p>
        </w:tc>
        <w:tc>
          <w:tcPr>
            <w:tcW w:w="24" w:type="dxa"/>
            <w:tcBorders/>
            <w:shd w:fill="CCEEFF" w:val="clear"/>
            <w:vAlign w:val="bottom"/>
          </w:tcPr>
          <w:p>
            <w:pPr>
              <w:pStyle w:val="TableContents"/>
              <w:bidi w:val="0"/>
              <w:spacing w:before="0" w:after="283"/>
              <w:ind w:left="0" w:right="0" w:hanging="0"/>
              <w:jc w:val="left"/>
              <w:rPr/>
            </w:pPr>
            <w:r>
              <w:rPr/>
            </w:r>
          </w:p>
        </w:tc>
        <w:tc>
          <w:tcPr>
            <w:tcW w:w="78" w:type="dxa"/>
            <w:tcBorders/>
            <w:shd w:fill="CCEEFF" w:val="clear"/>
            <w:vAlign w:val="bottom"/>
          </w:tcPr>
          <w:p>
            <w:pPr>
              <w:pStyle w:val="TableContents"/>
              <w:bidi w:val="0"/>
              <w:spacing w:before="0" w:after="283"/>
              <w:ind w:left="0" w:right="0" w:hanging="0"/>
              <w:jc w:val="left"/>
              <w:rPr/>
            </w:pPr>
            <w:r>
              <w:rPr/>
            </w:r>
          </w:p>
        </w:tc>
        <w:tc>
          <w:tcPr>
            <w:tcW w:w="1884"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09" w:name="fs_4OHYX6S4DC00000000000000000000FM"/>
            <w:bookmarkEnd w:id="409"/>
            <w:r>
              <w:rPr>
                <w:rFonts w:ascii="times new roman;times" w:hAnsi="times new roman;times"/>
                <w:sz w:val="20"/>
              </w:rPr>
              <w:t>100</w:t>
            </w:r>
          </w:p>
        </w:tc>
        <w:tc>
          <w:tcPr>
            <w:tcW w:w="89"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2768" w:type="dxa"/>
            <w:tcBorders/>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Cost of goods sold </w:t>
            </w:r>
          </w:p>
        </w:tc>
        <w:tc>
          <w:tcPr>
            <w:tcW w:w="60" w:type="dxa"/>
            <w:tcBorders/>
            <w:vAlign w:val="bottom"/>
          </w:tcPr>
          <w:p>
            <w:pPr>
              <w:pStyle w:val="TableContents"/>
              <w:bidi w:val="0"/>
              <w:spacing w:before="0" w:after="0"/>
              <w:ind w:left="0" w:right="0" w:hanging="0"/>
              <w:jc w:val="left"/>
              <w:rPr/>
            </w:pPr>
            <w:r>
              <w:rPr/>
              <w:t> </w:t>
            </w:r>
          </w:p>
        </w:tc>
        <w:tc>
          <w:tcPr>
            <w:tcW w:w="142" w:type="dxa"/>
            <w:tcBorders/>
            <w:vAlign w:val="bottom"/>
          </w:tcPr>
          <w:p>
            <w:pPr>
              <w:pStyle w:val="TableContents"/>
              <w:bidi w:val="0"/>
              <w:spacing w:before="0" w:after="0"/>
              <w:ind w:left="0" w:right="0" w:hanging="0"/>
              <w:jc w:val="left"/>
              <w:rPr/>
            </w:pPr>
            <w:r>
              <w:rPr/>
              <w:t> </w:t>
            </w:r>
          </w:p>
        </w:tc>
        <w:tc>
          <w:tcPr>
            <w:tcW w:w="449" w:type="dxa"/>
            <w:tcBorders/>
            <w:vAlign w:val="bottom"/>
          </w:tcPr>
          <w:p>
            <w:pPr>
              <w:pStyle w:val="TableContents"/>
              <w:bidi w:val="0"/>
              <w:spacing w:before="0" w:after="0"/>
              <w:ind w:left="0" w:right="0" w:hanging="0"/>
              <w:jc w:val="right"/>
              <w:rPr>
                <w:rFonts w:ascii="times new roman;times" w:hAnsi="times new roman;times"/>
                <w:sz w:val="20"/>
              </w:rPr>
            </w:pPr>
            <w:bookmarkStart w:id="410" w:name="fs_O3T56SEZGG00000000000000000000fs"/>
            <w:bookmarkEnd w:id="410"/>
            <w:r>
              <w:rPr>
                <w:rFonts w:ascii="times new roman;times" w:hAnsi="times new roman;times"/>
                <w:sz w:val="20"/>
              </w:rPr>
              <w:t>107</w:t>
            </w:r>
          </w:p>
        </w:tc>
        <w:tc>
          <w:tcPr>
            <w:tcW w:w="91" w:type="dxa"/>
            <w:tcBorders/>
            <w:vAlign w:val="bottom"/>
          </w:tcPr>
          <w:p>
            <w:pPr>
              <w:pStyle w:val="TableContents"/>
              <w:bidi w:val="0"/>
              <w:spacing w:before="0" w:after="0"/>
              <w:ind w:left="0" w:right="0" w:hanging="0"/>
              <w:jc w:val="left"/>
              <w:rPr/>
            </w:pPr>
            <w:r>
              <w:rPr/>
              <w:t> </w:t>
            </w:r>
          </w:p>
        </w:tc>
        <w:tc>
          <w:tcPr>
            <w:tcW w:w="68" w:type="dxa"/>
            <w:tcBorders/>
            <w:vAlign w:val="bottom"/>
          </w:tcPr>
          <w:p>
            <w:pPr>
              <w:pStyle w:val="TableContents"/>
              <w:bidi w:val="0"/>
              <w:spacing w:before="0" w:after="0"/>
              <w:ind w:left="0" w:right="0" w:hanging="0"/>
              <w:jc w:val="left"/>
              <w:rPr/>
            </w:pPr>
            <w:r>
              <w:rPr/>
              <w:t> </w:t>
            </w:r>
          </w:p>
        </w:tc>
        <w:tc>
          <w:tcPr>
            <w:tcW w:w="142" w:type="dxa"/>
            <w:tcBorders/>
            <w:vAlign w:val="bottom"/>
          </w:tcPr>
          <w:p>
            <w:pPr>
              <w:pStyle w:val="TableContents"/>
              <w:bidi w:val="0"/>
              <w:spacing w:before="0" w:after="0"/>
              <w:ind w:left="0" w:right="0" w:hanging="0"/>
              <w:jc w:val="left"/>
              <w:rPr/>
            </w:pPr>
            <w:r>
              <w:rPr/>
              <w:t> </w:t>
            </w:r>
          </w:p>
        </w:tc>
        <w:tc>
          <w:tcPr>
            <w:tcW w:w="621" w:type="dxa"/>
            <w:tcBorders/>
            <w:vAlign w:val="bottom"/>
          </w:tcPr>
          <w:p>
            <w:pPr>
              <w:pStyle w:val="TableContents"/>
              <w:bidi w:val="0"/>
              <w:spacing w:before="0" w:after="0"/>
              <w:ind w:left="0" w:right="0" w:hanging="0"/>
              <w:jc w:val="right"/>
              <w:rPr>
                <w:rFonts w:ascii="times new roman;times" w:hAnsi="times new roman;times"/>
                <w:sz w:val="20"/>
              </w:rPr>
            </w:pPr>
            <w:bookmarkStart w:id="411" w:name="fs_2C7HI8Q63400000000000000000000fs"/>
            <w:bookmarkEnd w:id="411"/>
            <w:r>
              <w:rPr>
                <w:rFonts w:ascii="times new roman;times" w:hAnsi="times new roman;times"/>
                <w:sz w:val="20"/>
              </w:rPr>
              <w:t>2,047</w:t>
            </w:r>
          </w:p>
        </w:tc>
        <w:tc>
          <w:tcPr>
            <w:tcW w:w="91" w:type="dxa"/>
            <w:tcBorders/>
            <w:vAlign w:val="bottom"/>
          </w:tcPr>
          <w:p>
            <w:pPr>
              <w:pStyle w:val="TableContents"/>
              <w:bidi w:val="0"/>
              <w:spacing w:before="0" w:after="0"/>
              <w:ind w:left="0" w:right="0" w:hanging="0"/>
              <w:jc w:val="left"/>
              <w:rPr/>
            </w:pPr>
            <w:r>
              <w:rPr/>
              <w:t> </w:t>
            </w:r>
          </w:p>
        </w:tc>
        <w:tc>
          <w:tcPr>
            <w:tcW w:w="68" w:type="dxa"/>
            <w:tcBorders/>
            <w:vAlign w:val="bottom"/>
          </w:tcPr>
          <w:p>
            <w:pPr>
              <w:pStyle w:val="TableContents"/>
              <w:bidi w:val="0"/>
              <w:spacing w:before="0" w:after="0"/>
              <w:ind w:left="0" w:right="0" w:hanging="0"/>
              <w:jc w:val="left"/>
              <w:rPr/>
            </w:pPr>
            <w:r>
              <w:rPr/>
              <w:t> </w:t>
            </w:r>
          </w:p>
        </w:tc>
        <w:tc>
          <w:tcPr>
            <w:tcW w:w="270" w:type="dxa"/>
            <w:tcBorders/>
            <w:vAlign w:val="bottom"/>
          </w:tcPr>
          <w:p>
            <w:pPr>
              <w:pStyle w:val="TableContents"/>
              <w:bidi w:val="0"/>
              <w:spacing w:before="0" w:after="0"/>
              <w:ind w:left="0" w:right="0" w:hanging="0"/>
              <w:jc w:val="left"/>
              <w:rPr/>
            </w:pPr>
            <w:r>
              <w:rPr/>
              <w:t> </w:t>
            </w:r>
          </w:p>
        </w:tc>
        <w:tc>
          <w:tcPr>
            <w:tcW w:w="1795" w:type="dxa"/>
            <w:tcBorders/>
            <w:vAlign w:val="bottom"/>
          </w:tcPr>
          <w:p>
            <w:pPr>
              <w:pStyle w:val="TableContents"/>
              <w:bidi w:val="0"/>
              <w:spacing w:before="0" w:after="0"/>
              <w:ind w:left="0" w:right="0" w:hanging="0"/>
              <w:jc w:val="right"/>
              <w:rPr>
                <w:rFonts w:ascii="times new roman;times" w:hAnsi="times new roman;times"/>
                <w:sz w:val="20"/>
              </w:rPr>
            </w:pPr>
            <w:bookmarkStart w:id="412" w:name="fs_68201TTJQ800000000000000000000FM"/>
            <w:bookmarkEnd w:id="412"/>
            <w:r>
              <w:rPr>
                <w:rFonts w:ascii="times new roman;times" w:hAnsi="times new roman;times"/>
                <w:sz w:val="20"/>
              </w:rPr>
              <w:t>95</w:t>
            </w:r>
          </w:p>
        </w:tc>
        <w:tc>
          <w:tcPr>
            <w:tcW w:w="80" w:type="dxa"/>
            <w:tcBorders/>
            <w:vAlign w:val="bottom"/>
          </w:tcPr>
          <w:p>
            <w:pPr>
              <w:pStyle w:val="TableContents"/>
              <w:bidi w:val="0"/>
              <w:spacing w:before="0" w:after="283"/>
              <w:ind w:left="0" w:right="0" w:hanging="0"/>
              <w:jc w:val="left"/>
              <w:rPr>
                <w:sz w:val="4"/>
                <w:szCs w:val="4"/>
              </w:rPr>
            </w:pPr>
            <w:r>
              <w:rPr>
                <w:sz w:val="4"/>
                <w:szCs w:val="4"/>
              </w:rPr>
            </w:r>
          </w:p>
        </w:tc>
        <w:tc>
          <w:tcPr>
            <w:tcW w:w="23" w:type="dxa"/>
            <w:tcBorders/>
            <w:vAlign w:val="bottom"/>
          </w:tcPr>
          <w:p>
            <w:pPr>
              <w:pStyle w:val="TableContents"/>
              <w:bidi w:val="0"/>
              <w:spacing w:before="0" w:after="283"/>
              <w:ind w:left="0" w:right="0" w:hanging="0"/>
              <w:jc w:val="left"/>
              <w:rPr/>
            </w:pPr>
            <w:r>
              <w:rPr/>
            </w:r>
          </w:p>
        </w:tc>
        <w:tc>
          <w:tcPr>
            <w:tcW w:w="133" w:type="dxa"/>
            <w:tcBorders/>
            <w:vAlign w:val="bottom"/>
          </w:tcPr>
          <w:p>
            <w:pPr>
              <w:pStyle w:val="TableContents"/>
              <w:bidi w:val="0"/>
              <w:spacing w:before="0" w:after="283"/>
              <w:ind w:left="0" w:right="0" w:hanging="0"/>
              <w:jc w:val="left"/>
              <w:rPr/>
            </w:pPr>
            <w:r>
              <w:rPr/>
            </w:r>
          </w:p>
        </w:tc>
        <w:tc>
          <w:tcPr>
            <w:tcW w:w="421" w:type="dxa"/>
            <w:tcBorders/>
            <w:vAlign w:val="bottom"/>
          </w:tcPr>
          <w:p>
            <w:pPr>
              <w:pStyle w:val="TableContents"/>
              <w:bidi w:val="0"/>
              <w:spacing w:before="0" w:after="0"/>
              <w:ind w:left="0" w:right="0" w:hanging="0"/>
              <w:jc w:val="right"/>
              <w:rPr>
                <w:rFonts w:ascii="times new roman;times" w:hAnsi="times new roman;times"/>
                <w:sz w:val="20"/>
              </w:rPr>
            </w:pPr>
            <w:bookmarkStart w:id="413" w:name="fs_RHEPULI1ZK00000000000000000000FM"/>
            <w:bookmarkEnd w:id="413"/>
            <w:r>
              <w:rPr>
                <w:rFonts w:ascii="times new roman;times" w:hAnsi="times new roman;times"/>
                <w:sz w:val="20"/>
              </w:rPr>
              <w:t>195</w:t>
            </w:r>
          </w:p>
        </w:tc>
        <w:tc>
          <w:tcPr>
            <w:tcW w:w="85" w:type="dxa"/>
            <w:tcBorders/>
            <w:vAlign w:val="bottom"/>
          </w:tcPr>
          <w:p>
            <w:pPr>
              <w:pStyle w:val="TableContents"/>
              <w:bidi w:val="0"/>
              <w:spacing w:before="0" w:after="283"/>
              <w:ind w:left="0" w:right="0" w:hanging="0"/>
              <w:jc w:val="left"/>
              <w:rPr/>
            </w:pPr>
            <w:r>
              <w:rPr/>
            </w:r>
          </w:p>
        </w:tc>
        <w:tc>
          <w:tcPr>
            <w:tcW w:w="24" w:type="dxa"/>
            <w:tcBorders/>
            <w:vAlign w:val="bottom"/>
          </w:tcPr>
          <w:p>
            <w:pPr>
              <w:pStyle w:val="TableContents"/>
              <w:bidi w:val="0"/>
              <w:spacing w:before="0" w:after="283"/>
              <w:ind w:left="0" w:right="0" w:hanging="0"/>
              <w:jc w:val="left"/>
              <w:rPr/>
            </w:pPr>
            <w:r>
              <w:rPr/>
            </w:r>
          </w:p>
        </w:tc>
        <w:tc>
          <w:tcPr>
            <w:tcW w:w="133" w:type="dxa"/>
            <w:tcBorders/>
            <w:vAlign w:val="bottom"/>
          </w:tcPr>
          <w:p>
            <w:pPr>
              <w:pStyle w:val="TableContents"/>
              <w:bidi w:val="0"/>
              <w:spacing w:before="0" w:after="283"/>
              <w:ind w:left="0" w:right="0" w:hanging="0"/>
              <w:jc w:val="left"/>
              <w:rPr/>
            </w:pPr>
            <w:r>
              <w:rPr/>
            </w:r>
          </w:p>
        </w:tc>
        <w:tc>
          <w:tcPr>
            <w:tcW w:w="581" w:type="dxa"/>
            <w:tcBorders/>
            <w:vAlign w:val="bottom"/>
          </w:tcPr>
          <w:p>
            <w:pPr>
              <w:pStyle w:val="TableContents"/>
              <w:bidi w:val="0"/>
              <w:spacing w:before="0" w:after="0"/>
              <w:ind w:left="0" w:right="0" w:hanging="0"/>
              <w:jc w:val="right"/>
              <w:rPr>
                <w:rFonts w:ascii="times new roman;times" w:hAnsi="times new roman;times"/>
                <w:sz w:val="20"/>
              </w:rPr>
            </w:pPr>
            <w:bookmarkStart w:id="414" w:name="fs_VU3OBMRETC00000000000000000000FM"/>
            <w:bookmarkEnd w:id="414"/>
            <w:r>
              <w:rPr>
                <w:rFonts w:ascii="times new roman;times" w:hAnsi="times new roman;times"/>
                <w:sz w:val="20"/>
              </w:rPr>
              <w:t>4,212</w:t>
            </w:r>
          </w:p>
        </w:tc>
        <w:tc>
          <w:tcPr>
            <w:tcW w:w="85" w:type="dxa"/>
            <w:tcBorders/>
            <w:vAlign w:val="bottom"/>
          </w:tcPr>
          <w:p>
            <w:pPr>
              <w:pStyle w:val="TableContents"/>
              <w:bidi w:val="0"/>
              <w:spacing w:before="0" w:after="283"/>
              <w:ind w:left="0" w:right="0" w:hanging="0"/>
              <w:jc w:val="left"/>
              <w:rPr/>
            </w:pPr>
            <w:r>
              <w:rPr/>
            </w:r>
          </w:p>
        </w:tc>
        <w:tc>
          <w:tcPr>
            <w:tcW w:w="24" w:type="dxa"/>
            <w:tcBorders/>
            <w:vAlign w:val="bottom"/>
          </w:tcPr>
          <w:p>
            <w:pPr>
              <w:pStyle w:val="TableContents"/>
              <w:bidi w:val="0"/>
              <w:spacing w:before="0" w:after="283"/>
              <w:ind w:left="0" w:right="0" w:hanging="0"/>
              <w:jc w:val="left"/>
              <w:rPr/>
            </w:pPr>
            <w:r>
              <w:rPr/>
            </w:r>
          </w:p>
        </w:tc>
        <w:tc>
          <w:tcPr>
            <w:tcW w:w="78" w:type="dxa"/>
            <w:tcBorders/>
            <w:vAlign w:val="bottom"/>
          </w:tcPr>
          <w:p>
            <w:pPr>
              <w:pStyle w:val="TableContents"/>
              <w:bidi w:val="0"/>
              <w:spacing w:before="0" w:after="283"/>
              <w:ind w:left="0" w:right="0" w:hanging="0"/>
              <w:jc w:val="left"/>
              <w:rPr/>
            </w:pPr>
            <w:r>
              <w:rPr/>
            </w:r>
          </w:p>
        </w:tc>
        <w:tc>
          <w:tcPr>
            <w:tcW w:w="1884" w:type="dxa"/>
            <w:tcBorders/>
            <w:vAlign w:val="bottom"/>
          </w:tcPr>
          <w:p>
            <w:pPr>
              <w:pStyle w:val="TableContents"/>
              <w:bidi w:val="0"/>
              <w:spacing w:before="0" w:after="0"/>
              <w:ind w:left="0" w:right="0" w:hanging="0"/>
              <w:jc w:val="right"/>
              <w:rPr>
                <w:rFonts w:ascii="times new roman;times" w:hAnsi="times new roman;times"/>
                <w:sz w:val="20"/>
              </w:rPr>
            </w:pPr>
            <w:bookmarkStart w:id="415" w:name="fs_AWKXE1D4IO00000000000000000000FM"/>
            <w:bookmarkEnd w:id="415"/>
            <w:r>
              <w:rPr>
                <w:rFonts w:ascii="times new roman;times" w:hAnsi="times new roman;times"/>
                <w:sz w:val="20"/>
              </w:rPr>
              <w:t>95</w:t>
            </w:r>
          </w:p>
        </w:tc>
        <w:tc>
          <w:tcPr>
            <w:tcW w:w="89" w:type="dxa"/>
            <w:tcBorders/>
            <w:vAlign w:val="bottom"/>
          </w:tcPr>
          <w:p>
            <w:pPr>
              <w:pStyle w:val="TableContents"/>
              <w:bidi w:val="0"/>
              <w:spacing w:before="0" w:after="283"/>
              <w:ind w:left="0" w:right="0" w:hanging="0"/>
              <w:jc w:val="left"/>
              <w:rPr/>
            </w:pPr>
            <w:r>
              <w:rPr/>
            </w:r>
          </w:p>
        </w:tc>
      </w:tr>
      <w:tr>
        <w:trPr/>
        <w:tc>
          <w:tcPr>
            <w:tcW w:w="2768"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Gross profit (loss) </w:t>
            </w:r>
          </w:p>
        </w:tc>
        <w:tc>
          <w:tcPr>
            <w:tcW w:w="60" w:type="dxa"/>
            <w:tcBorders/>
            <w:shd w:fill="CCEEFF" w:val="clear"/>
            <w:vAlign w:val="bottom"/>
          </w:tcPr>
          <w:p>
            <w:pPr>
              <w:pStyle w:val="TableContents"/>
              <w:bidi w:val="0"/>
              <w:spacing w:before="0" w:after="0"/>
              <w:ind w:left="0" w:right="0" w:hanging="0"/>
              <w:jc w:val="left"/>
              <w:rPr/>
            </w:pPr>
            <w:r>
              <w:rPr/>
              <w:t> </w:t>
            </w:r>
          </w:p>
        </w:tc>
        <w:tc>
          <w:tcPr>
            <w:tcW w:w="142" w:type="dxa"/>
            <w:tcBorders/>
            <w:shd w:fill="CCEEFF" w:val="clear"/>
            <w:vAlign w:val="bottom"/>
          </w:tcPr>
          <w:p>
            <w:pPr>
              <w:pStyle w:val="TableContents"/>
              <w:bidi w:val="0"/>
              <w:spacing w:before="0" w:after="0"/>
              <w:ind w:left="0" w:right="0" w:hanging="0"/>
              <w:jc w:val="left"/>
              <w:rPr/>
            </w:pPr>
            <w:r>
              <w:rPr/>
              <w:t> </w:t>
            </w:r>
          </w:p>
        </w:tc>
        <w:tc>
          <w:tcPr>
            <w:tcW w:w="449"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16" w:name="fs_T5E3LZ1M1S00000000000000000000fs"/>
            <w:bookmarkEnd w:id="416"/>
            <w:r>
              <w:rPr>
                <w:rFonts w:ascii="times new roman;times" w:hAnsi="times new roman;times"/>
                <w:sz w:val="20"/>
              </w:rPr>
              <w:t>107</w:t>
            </w:r>
          </w:p>
        </w:tc>
        <w:tc>
          <w:tcPr>
            <w:tcW w:w="91"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8" w:type="dxa"/>
            <w:tcBorders/>
            <w:shd w:fill="CCEEFF" w:val="clear"/>
            <w:vAlign w:val="bottom"/>
          </w:tcPr>
          <w:p>
            <w:pPr>
              <w:pStyle w:val="TableContents"/>
              <w:bidi w:val="0"/>
              <w:spacing w:before="0" w:after="0"/>
              <w:ind w:left="0" w:right="0" w:hanging="0"/>
              <w:jc w:val="left"/>
              <w:rPr/>
            </w:pPr>
            <w:r>
              <w:rPr/>
              <w:t> </w:t>
            </w:r>
          </w:p>
        </w:tc>
        <w:tc>
          <w:tcPr>
            <w:tcW w:w="142"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21"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17" w:name="fs_PUQ4YE7IK000000000000000000000fs"/>
            <w:bookmarkEnd w:id="417"/>
            <w:r>
              <w:rPr>
                <w:rFonts w:ascii="times new roman;times" w:hAnsi="times new roman;times"/>
                <w:sz w:val="20"/>
              </w:rPr>
              <w:t>131</w:t>
            </w:r>
          </w:p>
        </w:tc>
        <w:tc>
          <w:tcPr>
            <w:tcW w:w="91"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8" w:type="dxa"/>
            <w:tcBorders/>
            <w:shd w:fill="CCEEFF" w:val="clear"/>
            <w:vAlign w:val="bottom"/>
          </w:tcPr>
          <w:p>
            <w:pPr>
              <w:pStyle w:val="TableContents"/>
              <w:bidi w:val="0"/>
              <w:spacing w:before="0" w:after="0"/>
              <w:ind w:left="0" w:right="0" w:hanging="0"/>
              <w:jc w:val="left"/>
              <w:rPr/>
            </w:pPr>
            <w:r>
              <w:rPr/>
              <w:t> </w:t>
            </w:r>
          </w:p>
        </w:tc>
        <w:tc>
          <w:tcPr>
            <w:tcW w:w="270" w:type="dxa"/>
            <w:tcBorders/>
            <w:shd w:fill="CCEEFF" w:val="clear"/>
            <w:vAlign w:val="bottom"/>
          </w:tcPr>
          <w:p>
            <w:pPr>
              <w:pStyle w:val="TableContents"/>
              <w:bidi w:val="0"/>
              <w:spacing w:before="0" w:after="0"/>
              <w:ind w:left="0" w:right="0" w:hanging="0"/>
              <w:jc w:val="left"/>
              <w:rPr/>
            </w:pPr>
            <w:r>
              <w:rPr/>
              <w:t> </w:t>
            </w:r>
          </w:p>
        </w:tc>
        <w:tc>
          <w:tcPr>
            <w:tcW w:w="1795"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18" w:name="fs_QBYXEIXSHC00000000000000000000fs"/>
            <w:bookmarkEnd w:id="418"/>
            <w:r>
              <w:rPr>
                <w:rFonts w:ascii="times new roman;times" w:hAnsi="times new roman;times"/>
                <w:sz w:val="20"/>
              </w:rPr>
              <w:t>18</w:t>
            </w:r>
          </w:p>
        </w:tc>
        <w:tc>
          <w:tcPr>
            <w:tcW w:w="80"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3" w:type="dxa"/>
            <w:tcBorders/>
            <w:shd w:fill="CCEEFF" w:val="clear"/>
            <w:vAlign w:val="bottom"/>
          </w:tcPr>
          <w:p>
            <w:pPr>
              <w:pStyle w:val="TableContents"/>
              <w:bidi w:val="0"/>
              <w:spacing w:before="0" w:after="283"/>
              <w:ind w:left="0" w:right="0" w:hanging="0"/>
              <w:jc w:val="left"/>
              <w:rPr/>
            </w:pPr>
            <w:r>
              <w:rPr/>
            </w:r>
          </w:p>
        </w:tc>
        <w:tc>
          <w:tcPr>
            <w:tcW w:w="133" w:type="dxa"/>
            <w:tcBorders/>
            <w:shd w:fill="CCEEFF" w:val="clear"/>
            <w:vAlign w:val="bottom"/>
          </w:tcPr>
          <w:p>
            <w:pPr>
              <w:pStyle w:val="TableContents"/>
              <w:bidi w:val="0"/>
              <w:spacing w:before="0" w:after="283"/>
              <w:ind w:left="0" w:right="0" w:hanging="0"/>
              <w:jc w:val="left"/>
              <w:rPr/>
            </w:pPr>
            <w:r>
              <w:rPr/>
            </w:r>
          </w:p>
        </w:tc>
        <w:tc>
          <w:tcPr>
            <w:tcW w:w="421"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19" w:name="fs_XR2Q9ONF8G00000000000000000000FM"/>
            <w:bookmarkEnd w:id="419"/>
            <w:r>
              <w:rPr>
                <w:rFonts w:ascii="times new roman;times" w:hAnsi="times new roman;times"/>
                <w:sz w:val="20"/>
              </w:rPr>
              <w:t>195</w:t>
            </w:r>
          </w:p>
        </w:tc>
        <w:tc>
          <w:tcPr>
            <w:tcW w:w="85"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4" w:type="dxa"/>
            <w:tcBorders/>
            <w:shd w:fill="CCEEFF" w:val="clear"/>
            <w:vAlign w:val="bottom"/>
          </w:tcPr>
          <w:p>
            <w:pPr>
              <w:pStyle w:val="TableContents"/>
              <w:bidi w:val="0"/>
              <w:spacing w:before="0" w:after="283"/>
              <w:ind w:left="0" w:right="0" w:hanging="0"/>
              <w:jc w:val="left"/>
              <w:rPr/>
            </w:pPr>
            <w:r>
              <w:rPr/>
            </w:r>
          </w:p>
        </w:tc>
        <w:tc>
          <w:tcPr>
            <w:tcW w:w="133" w:type="dxa"/>
            <w:tcBorders/>
            <w:shd w:fill="CCEEFF" w:val="clear"/>
            <w:vAlign w:val="bottom"/>
          </w:tcPr>
          <w:p>
            <w:pPr>
              <w:pStyle w:val="TableContents"/>
              <w:bidi w:val="0"/>
              <w:spacing w:before="0" w:after="283"/>
              <w:ind w:left="0" w:right="0" w:hanging="0"/>
              <w:jc w:val="left"/>
              <w:rPr/>
            </w:pPr>
            <w:r>
              <w:rPr/>
            </w:r>
          </w:p>
        </w:tc>
        <w:tc>
          <w:tcPr>
            <w:tcW w:w="581"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420" w:name="fs_8HBS7GX8B400000000000000000000FM"/>
            <w:bookmarkEnd w:id="420"/>
            <w:r>
              <w:rPr>
                <w:rFonts w:ascii="times new roman;times" w:hAnsi="times new roman;times"/>
                <w:sz w:val="20"/>
              </w:rPr>
              <w:t>17</w:t>
            </w:r>
          </w:p>
        </w:tc>
        <w:tc>
          <w:tcPr>
            <w:tcW w:w="85" w:type="dxa"/>
            <w:tcBorders/>
            <w:shd w:fill="CCEEFF" w:val="clear"/>
            <w:vAlign w:val="bottom"/>
          </w:tcPr>
          <w:p>
            <w:pPr>
              <w:pStyle w:val="TableContents"/>
              <w:bidi w:val="0"/>
              <w:spacing w:before="0" w:after="283"/>
              <w:ind w:left="0" w:right="0" w:hanging="0"/>
              <w:jc w:val="left"/>
              <w:rPr/>
            </w:pPr>
            <w:r>
              <w:rPr/>
            </w:r>
          </w:p>
        </w:tc>
        <w:tc>
          <w:tcPr>
            <w:tcW w:w="24" w:type="dxa"/>
            <w:tcBorders/>
            <w:shd w:fill="CCEEFF" w:val="clear"/>
            <w:vAlign w:val="bottom"/>
          </w:tcPr>
          <w:p>
            <w:pPr>
              <w:pStyle w:val="TableContents"/>
              <w:bidi w:val="0"/>
              <w:spacing w:before="0" w:after="283"/>
              <w:ind w:left="0" w:right="0" w:hanging="0"/>
              <w:jc w:val="left"/>
              <w:rPr/>
            </w:pPr>
            <w:r>
              <w:rPr/>
            </w:r>
          </w:p>
        </w:tc>
        <w:tc>
          <w:tcPr>
            <w:tcW w:w="78" w:type="dxa"/>
            <w:tcBorders/>
            <w:shd w:fill="CCEEFF" w:val="clear"/>
            <w:vAlign w:val="bottom"/>
          </w:tcPr>
          <w:p>
            <w:pPr>
              <w:pStyle w:val="TableContents"/>
              <w:bidi w:val="0"/>
              <w:spacing w:before="0" w:after="283"/>
              <w:ind w:left="0" w:right="0" w:hanging="0"/>
              <w:jc w:val="left"/>
              <w:rPr/>
            </w:pPr>
            <w:r>
              <w:rPr/>
            </w:r>
          </w:p>
        </w:tc>
        <w:tc>
          <w:tcPr>
            <w:tcW w:w="1884"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21" w:name="fs_GBE30W65KW00000000000000000000FM"/>
            <w:bookmarkEnd w:id="421"/>
            <w:r>
              <w:rPr>
                <w:rFonts w:ascii="times new roman;times" w:hAnsi="times new roman;times"/>
                <w:sz w:val="20"/>
              </w:rPr>
              <w:t>1,247</w:t>
            </w:r>
          </w:p>
        </w:tc>
        <w:tc>
          <w:tcPr>
            <w:tcW w:w="89"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r>
      <w:tr>
        <w:trPr/>
        <w:tc>
          <w:tcPr>
            <w:tcW w:w="2768" w:type="dxa"/>
            <w:tcBorders/>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Total operating expenses  </w:t>
            </w:r>
          </w:p>
        </w:tc>
        <w:tc>
          <w:tcPr>
            <w:tcW w:w="60" w:type="dxa"/>
            <w:tcBorders/>
            <w:vAlign w:val="bottom"/>
          </w:tcPr>
          <w:p>
            <w:pPr>
              <w:pStyle w:val="TableContents"/>
              <w:bidi w:val="0"/>
              <w:spacing w:before="0" w:after="0"/>
              <w:ind w:left="0" w:right="0" w:hanging="0"/>
              <w:jc w:val="left"/>
              <w:rPr/>
            </w:pPr>
            <w:r>
              <w:rPr/>
              <w:t> </w:t>
            </w:r>
          </w:p>
        </w:tc>
        <w:tc>
          <w:tcPr>
            <w:tcW w:w="142" w:type="dxa"/>
            <w:tcBorders/>
            <w:vAlign w:val="bottom"/>
          </w:tcPr>
          <w:p>
            <w:pPr>
              <w:pStyle w:val="TableContents"/>
              <w:bidi w:val="0"/>
              <w:spacing w:before="0" w:after="0"/>
              <w:ind w:left="0" w:right="0" w:hanging="0"/>
              <w:jc w:val="left"/>
              <w:rPr/>
            </w:pPr>
            <w:r>
              <w:rPr/>
              <w:t> </w:t>
            </w:r>
          </w:p>
        </w:tc>
        <w:tc>
          <w:tcPr>
            <w:tcW w:w="449"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22" w:name="fs_K36NSKVC2O00000000000000000000FM"/>
            <w:bookmarkEnd w:id="422"/>
            <w:r>
              <w:rPr>
                <w:rFonts w:ascii="times new roman;times" w:hAnsi="times new roman;times"/>
                <w:sz w:val="20"/>
              </w:rPr>
              <w:t>92</w:t>
            </w:r>
          </w:p>
        </w:tc>
        <w:tc>
          <w:tcPr>
            <w:tcW w:w="91"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8" w:type="dxa"/>
            <w:tcBorders/>
            <w:vAlign w:val="bottom"/>
          </w:tcPr>
          <w:p>
            <w:pPr>
              <w:pStyle w:val="TableContents"/>
              <w:bidi w:val="0"/>
              <w:spacing w:before="0" w:after="0"/>
              <w:ind w:left="0" w:right="0" w:hanging="0"/>
              <w:jc w:val="left"/>
              <w:rPr/>
            </w:pPr>
            <w:r>
              <w:rPr/>
              <w:t> </w:t>
            </w:r>
          </w:p>
        </w:tc>
        <w:tc>
          <w:tcPr>
            <w:tcW w:w="142" w:type="dxa"/>
            <w:tcBorders/>
            <w:vAlign w:val="bottom"/>
          </w:tcPr>
          <w:p>
            <w:pPr>
              <w:pStyle w:val="TableContents"/>
              <w:bidi w:val="0"/>
              <w:spacing w:before="0" w:after="0"/>
              <w:ind w:left="0" w:right="0" w:hanging="0"/>
              <w:jc w:val="left"/>
              <w:rPr/>
            </w:pPr>
            <w:r>
              <w:rPr/>
              <w:t> </w:t>
            </w:r>
          </w:p>
        </w:tc>
        <w:tc>
          <w:tcPr>
            <w:tcW w:w="621" w:type="dxa"/>
            <w:tcBorders/>
            <w:vAlign w:val="bottom"/>
          </w:tcPr>
          <w:p>
            <w:pPr>
              <w:pStyle w:val="TableContents"/>
              <w:bidi w:val="0"/>
              <w:spacing w:before="0" w:after="0"/>
              <w:ind w:left="0" w:right="0" w:hanging="0"/>
              <w:jc w:val="right"/>
              <w:rPr>
                <w:rFonts w:ascii="times new roman;times" w:hAnsi="times new roman;times"/>
                <w:sz w:val="20"/>
              </w:rPr>
            </w:pPr>
            <w:bookmarkStart w:id="423" w:name="fs_A7AR5HE50G00000000000000000000fs"/>
            <w:bookmarkEnd w:id="423"/>
            <w:r>
              <w:rPr>
                <w:rFonts w:ascii="times new roman;times" w:hAnsi="times new roman;times"/>
                <w:sz w:val="20"/>
              </w:rPr>
              <w:t>3,236</w:t>
            </w:r>
          </w:p>
        </w:tc>
        <w:tc>
          <w:tcPr>
            <w:tcW w:w="91" w:type="dxa"/>
            <w:tcBorders/>
            <w:vAlign w:val="bottom"/>
          </w:tcPr>
          <w:p>
            <w:pPr>
              <w:pStyle w:val="TableContents"/>
              <w:bidi w:val="0"/>
              <w:spacing w:before="0" w:after="0"/>
              <w:ind w:left="0" w:right="0" w:hanging="0"/>
              <w:jc w:val="left"/>
              <w:rPr/>
            </w:pPr>
            <w:r>
              <w:rPr/>
              <w:t> </w:t>
            </w:r>
          </w:p>
        </w:tc>
        <w:tc>
          <w:tcPr>
            <w:tcW w:w="68" w:type="dxa"/>
            <w:tcBorders/>
            <w:vAlign w:val="bottom"/>
          </w:tcPr>
          <w:p>
            <w:pPr>
              <w:pStyle w:val="TableContents"/>
              <w:bidi w:val="0"/>
              <w:spacing w:before="0" w:after="0"/>
              <w:ind w:left="0" w:right="0" w:hanging="0"/>
              <w:jc w:val="left"/>
              <w:rPr/>
            </w:pPr>
            <w:r>
              <w:rPr/>
              <w:t> </w:t>
            </w:r>
          </w:p>
        </w:tc>
        <w:tc>
          <w:tcPr>
            <w:tcW w:w="270" w:type="dxa"/>
            <w:tcBorders/>
            <w:vAlign w:val="bottom"/>
          </w:tcPr>
          <w:p>
            <w:pPr>
              <w:pStyle w:val="TableContents"/>
              <w:bidi w:val="0"/>
              <w:spacing w:before="0" w:after="283"/>
              <w:ind w:left="0" w:right="0" w:hanging="0"/>
              <w:jc w:val="left"/>
              <w:rPr>
                <w:sz w:val="4"/>
                <w:szCs w:val="4"/>
              </w:rPr>
            </w:pPr>
            <w:r>
              <w:rPr>
                <w:sz w:val="4"/>
                <w:szCs w:val="4"/>
              </w:rPr>
            </w:r>
          </w:p>
        </w:tc>
        <w:tc>
          <w:tcPr>
            <w:tcW w:w="1795" w:type="dxa"/>
            <w:tcBorders/>
            <w:vAlign w:val="bottom"/>
          </w:tcPr>
          <w:p>
            <w:pPr>
              <w:pStyle w:val="TableContents"/>
              <w:bidi w:val="0"/>
              <w:spacing w:before="0" w:after="0"/>
              <w:ind w:left="0" w:right="0" w:hanging="0"/>
              <w:jc w:val="right"/>
              <w:rPr>
                <w:rFonts w:ascii="times new roman;times" w:hAnsi="times new roman;times"/>
                <w:sz w:val="20"/>
              </w:rPr>
            </w:pPr>
            <w:bookmarkStart w:id="424" w:name="fs_D053S6MM4W00000000000000000000fs"/>
            <w:bookmarkEnd w:id="424"/>
            <w:r>
              <w:rPr>
                <w:rFonts w:ascii="times new roman;times" w:hAnsi="times new roman;times"/>
                <w:sz w:val="20"/>
              </w:rPr>
              <w:t>103</w:t>
            </w:r>
          </w:p>
        </w:tc>
        <w:tc>
          <w:tcPr>
            <w:tcW w:w="80" w:type="dxa"/>
            <w:tcBorders/>
            <w:vAlign w:val="bottom"/>
          </w:tcPr>
          <w:p>
            <w:pPr>
              <w:pStyle w:val="TableContents"/>
              <w:bidi w:val="0"/>
              <w:spacing w:before="0" w:after="283"/>
              <w:ind w:left="0" w:right="0" w:hanging="0"/>
              <w:jc w:val="left"/>
              <w:rPr>
                <w:sz w:val="4"/>
                <w:szCs w:val="4"/>
              </w:rPr>
            </w:pPr>
            <w:r>
              <w:rPr>
                <w:sz w:val="4"/>
                <w:szCs w:val="4"/>
              </w:rPr>
            </w:r>
          </w:p>
        </w:tc>
        <w:tc>
          <w:tcPr>
            <w:tcW w:w="23" w:type="dxa"/>
            <w:tcBorders/>
            <w:vAlign w:val="bottom"/>
          </w:tcPr>
          <w:p>
            <w:pPr>
              <w:pStyle w:val="TableContents"/>
              <w:bidi w:val="0"/>
              <w:spacing w:before="0" w:after="283"/>
              <w:ind w:left="0" w:right="0" w:hanging="0"/>
              <w:jc w:val="left"/>
              <w:rPr/>
            </w:pPr>
            <w:r>
              <w:rPr/>
            </w:r>
          </w:p>
        </w:tc>
        <w:tc>
          <w:tcPr>
            <w:tcW w:w="133" w:type="dxa"/>
            <w:tcBorders/>
            <w:vAlign w:val="bottom"/>
          </w:tcPr>
          <w:p>
            <w:pPr>
              <w:pStyle w:val="TableContents"/>
              <w:bidi w:val="0"/>
              <w:spacing w:before="0" w:after="283"/>
              <w:ind w:left="0" w:right="0" w:hanging="0"/>
              <w:jc w:val="left"/>
              <w:rPr/>
            </w:pPr>
            <w:r>
              <w:rPr/>
            </w:r>
          </w:p>
        </w:tc>
        <w:tc>
          <w:tcPr>
            <w:tcW w:w="421" w:type="dxa"/>
            <w:tcBorders/>
            <w:vAlign w:val="bottom"/>
          </w:tcPr>
          <w:p>
            <w:pPr>
              <w:pStyle w:val="TableContents"/>
              <w:bidi w:val="0"/>
              <w:spacing w:before="0" w:after="0"/>
              <w:ind w:left="0" w:right="0" w:hanging="0"/>
              <w:jc w:val="right"/>
              <w:rPr>
                <w:rFonts w:ascii="times new roman;times" w:hAnsi="times new roman;times"/>
                <w:sz w:val="20"/>
              </w:rPr>
            </w:pPr>
            <w:bookmarkStart w:id="425" w:name="fs_BRGQMOQECG00000000000000000000FM"/>
            <w:bookmarkEnd w:id="425"/>
            <w:r>
              <w:rPr>
                <w:rFonts w:ascii="times new roman;times" w:hAnsi="times new roman;times"/>
                <w:sz w:val="20"/>
              </w:rPr>
              <w:t>172</w:t>
            </w:r>
          </w:p>
        </w:tc>
        <w:tc>
          <w:tcPr>
            <w:tcW w:w="85" w:type="dxa"/>
            <w:tcBorders/>
            <w:vAlign w:val="bottom"/>
          </w:tcPr>
          <w:p>
            <w:pPr>
              <w:pStyle w:val="TableContents"/>
              <w:bidi w:val="0"/>
              <w:spacing w:before="0" w:after="283"/>
              <w:ind w:left="0" w:right="0" w:hanging="0"/>
              <w:jc w:val="left"/>
              <w:rPr/>
            </w:pPr>
            <w:r>
              <w:rPr/>
            </w:r>
          </w:p>
        </w:tc>
        <w:tc>
          <w:tcPr>
            <w:tcW w:w="24" w:type="dxa"/>
            <w:tcBorders/>
            <w:vAlign w:val="bottom"/>
          </w:tcPr>
          <w:p>
            <w:pPr>
              <w:pStyle w:val="TableContents"/>
              <w:bidi w:val="0"/>
              <w:spacing w:before="0" w:after="283"/>
              <w:ind w:left="0" w:right="0" w:hanging="0"/>
              <w:jc w:val="left"/>
              <w:rPr/>
            </w:pPr>
            <w:r>
              <w:rPr/>
            </w:r>
          </w:p>
        </w:tc>
        <w:tc>
          <w:tcPr>
            <w:tcW w:w="133" w:type="dxa"/>
            <w:tcBorders/>
            <w:vAlign w:val="bottom"/>
          </w:tcPr>
          <w:p>
            <w:pPr>
              <w:pStyle w:val="TableContents"/>
              <w:bidi w:val="0"/>
              <w:spacing w:before="0" w:after="283"/>
              <w:ind w:left="0" w:right="0" w:hanging="0"/>
              <w:jc w:val="left"/>
              <w:rPr/>
            </w:pPr>
            <w:r>
              <w:rPr/>
            </w:r>
          </w:p>
        </w:tc>
        <w:tc>
          <w:tcPr>
            <w:tcW w:w="581" w:type="dxa"/>
            <w:tcBorders/>
            <w:vAlign w:val="bottom"/>
          </w:tcPr>
          <w:p>
            <w:pPr>
              <w:pStyle w:val="TableContents"/>
              <w:bidi w:val="0"/>
              <w:spacing w:before="0" w:after="0"/>
              <w:ind w:left="0" w:right="0" w:hanging="0"/>
              <w:jc w:val="right"/>
              <w:rPr>
                <w:rFonts w:ascii="times new roman;times" w:hAnsi="times new roman;times"/>
                <w:sz w:val="20"/>
              </w:rPr>
            </w:pPr>
            <w:bookmarkStart w:id="426" w:name="fs_LKECGJGGG000000000000000000000FM"/>
            <w:bookmarkEnd w:id="426"/>
            <w:r>
              <w:rPr>
                <w:rFonts w:ascii="times new roman;times" w:hAnsi="times new roman;times"/>
                <w:sz w:val="20"/>
              </w:rPr>
              <w:t>5,404</w:t>
            </w:r>
          </w:p>
        </w:tc>
        <w:tc>
          <w:tcPr>
            <w:tcW w:w="85" w:type="dxa"/>
            <w:tcBorders/>
            <w:vAlign w:val="bottom"/>
          </w:tcPr>
          <w:p>
            <w:pPr>
              <w:pStyle w:val="TableContents"/>
              <w:bidi w:val="0"/>
              <w:spacing w:before="0" w:after="283"/>
              <w:ind w:left="0" w:right="0" w:hanging="0"/>
              <w:jc w:val="left"/>
              <w:rPr/>
            </w:pPr>
            <w:r>
              <w:rPr/>
            </w:r>
          </w:p>
        </w:tc>
        <w:tc>
          <w:tcPr>
            <w:tcW w:w="24" w:type="dxa"/>
            <w:tcBorders/>
            <w:vAlign w:val="bottom"/>
          </w:tcPr>
          <w:p>
            <w:pPr>
              <w:pStyle w:val="TableContents"/>
              <w:bidi w:val="0"/>
              <w:spacing w:before="0" w:after="283"/>
              <w:ind w:left="0" w:right="0" w:hanging="0"/>
              <w:jc w:val="left"/>
              <w:rPr/>
            </w:pPr>
            <w:r>
              <w:rPr/>
            </w:r>
          </w:p>
        </w:tc>
        <w:tc>
          <w:tcPr>
            <w:tcW w:w="78" w:type="dxa"/>
            <w:tcBorders/>
            <w:vAlign w:val="bottom"/>
          </w:tcPr>
          <w:p>
            <w:pPr>
              <w:pStyle w:val="TableContents"/>
              <w:bidi w:val="0"/>
              <w:spacing w:before="0" w:after="283"/>
              <w:ind w:left="0" w:right="0" w:hanging="0"/>
              <w:jc w:val="left"/>
              <w:rPr/>
            </w:pPr>
            <w:r>
              <w:rPr/>
            </w:r>
          </w:p>
        </w:tc>
        <w:tc>
          <w:tcPr>
            <w:tcW w:w="1884" w:type="dxa"/>
            <w:tcBorders/>
            <w:vAlign w:val="bottom"/>
          </w:tcPr>
          <w:p>
            <w:pPr>
              <w:pStyle w:val="TableContents"/>
              <w:bidi w:val="0"/>
              <w:spacing w:before="0" w:after="0"/>
              <w:ind w:left="0" w:right="0" w:hanging="0"/>
              <w:jc w:val="right"/>
              <w:rPr>
                <w:rFonts w:ascii="times new roman;times" w:hAnsi="times new roman;times"/>
                <w:sz w:val="20"/>
              </w:rPr>
            </w:pPr>
            <w:bookmarkStart w:id="427" w:name="fs_XMVROVPZQ800000000000000000000FM"/>
            <w:bookmarkEnd w:id="427"/>
            <w:r>
              <w:rPr>
                <w:rFonts w:ascii="times new roman;times" w:hAnsi="times new roman;times"/>
                <w:sz w:val="20"/>
              </w:rPr>
              <w:t>97</w:t>
            </w:r>
          </w:p>
        </w:tc>
        <w:tc>
          <w:tcPr>
            <w:tcW w:w="89" w:type="dxa"/>
            <w:tcBorders/>
            <w:vAlign w:val="bottom"/>
          </w:tcPr>
          <w:p>
            <w:pPr>
              <w:pStyle w:val="TableContents"/>
              <w:bidi w:val="0"/>
              <w:spacing w:before="0" w:after="283"/>
              <w:ind w:left="0" w:right="0" w:hanging="0"/>
              <w:jc w:val="left"/>
              <w:rPr/>
            </w:pPr>
            <w:r>
              <w:rPr/>
            </w:r>
          </w:p>
        </w:tc>
      </w:tr>
      <w:tr>
        <w:trPr/>
        <w:tc>
          <w:tcPr>
            <w:tcW w:w="2768" w:type="dxa"/>
            <w:tcBorders/>
            <w:shd w:fill="CCEEFF" w:val="clear"/>
            <w:vAlign w:val="bottom"/>
          </w:tcPr>
          <w:p>
            <w:pPr>
              <w:pStyle w:val="TableContents"/>
              <w:pBdr/>
              <w:bidi w:val="0"/>
              <w:spacing w:before="0" w:after="0"/>
              <w:ind w:left="0" w:right="0" w:hanging="0"/>
              <w:jc w:val="left"/>
              <w:rPr>
                <w:rFonts w:ascii="times new roman;times" w:hAnsi="times new roman;times"/>
                <w:sz w:val="20"/>
              </w:rPr>
            </w:pPr>
            <w:r>
              <w:rPr>
                <w:rFonts w:ascii="times new roman;times" w:hAnsi="times new roman;times"/>
                <w:sz w:val="20"/>
              </w:rPr>
              <w:t xml:space="preserve">Operating loss </w:t>
            </w:r>
          </w:p>
        </w:tc>
        <w:tc>
          <w:tcPr>
            <w:tcW w:w="60" w:type="dxa"/>
            <w:tcBorders/>
            <w:shd w:fill="CCEEFF" w:val="clear"/>
            <w:vAlign w:val="bottom"/>
          </w:tcPr>
          <w:p>
            <w:pPr>
              <w:pStyle w:val="TableContents"/>
              <w:bidi w:val="0"/>
              <w:spacing w:before="0" w:after="0"/>
              <w:ind w:left="0" w:right="0" w:hanging="0"/>
              <w:jc w:val="left"/>
              <w:rPr/>
            </w:pPr>
            <w:r>
              <w:rPr/>
              <w:t> </w:t>
            </w:r>
          </w:p>
        </w:tc>
        <w:tc>
          <w:tcPr>
            <w:tcW w:w="142" w:type="dxa"/>
            <w:tcBorders/>
            <w:shd w:fill="CCEEFF" w:val="clear"/>
            <w:vAlign w:val="bottom"/>
          </w:tcPr>
          <w:p>
            <w:pPr>
              <w:pStyle w:val="TableContents"/>
              <w:bidi w:val="0"/>
              <w:spacing w:before="0" w:after="0"/>
              <w:ind w:left="0" w:right="0" w:hanging="0"/>
              <w:jc w:val="left"/>
              <w:rPr/>
            </w:pPr>
            <w:r>
              <w:rPr/>
              <w:t> </w:t>
            </w:r>
          </w:p>
        </w:tc>
        <w:tc>
          <w:tcPr>
            <w:tcW w:w="449"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428" w:name="fs_T5BQ5AR2N400000000000000000000fs"/>
            <w:bookmarkEnd w:id="428"/>
            <w:r>
              <w:rPr>
                <w:rFonts w:ascii="times new roman;times" w:hAnsi="times new roman;times"/>
                <w:sz w:val="20"/>
              </w:rPr>
              <w:t>15</w:t>
            </w:r>
          </w:p>
        </w:tc>
        <w:tc>
          <w:tcPr>
            <w:tcW w:w="91"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68" w:type="dxa"/>
            <w:tcBorders/>
            <w:shd w:fill="CCEEFF" w:val="clear"/>
            <w:vAlign w:val="bottom"/>
          </w:tcPr>
          <w:p>
            <w:pPr>
              <w:pStyle w:val="TableContents"/>
              <w:bidi w:val="0"/>
              <w:spacing w:before="0" w:after="0"/>
              <w:ind w:left="0" w:right="0" w:hanging="0"/>
              <w:jc w:val="left"/>
              <w:rPr/>
            </w:pPr>
            <w:r>
              <w:rPr/>
              <w:t> </w:t>
            </w:r>
          </w:p>
        </w:tc>
        <w:tc>
          <w:tcPr>
            <w:tcW w:w="142" w:type="dxa"/>
            <w:tcBorders/>
            <w:shd w:fill="CCEEFF" w:val="clear"/>
            <w:vAlign w:val="bottom"/>
          </w:tcPr>
          <w:p>
            <w:pPr>
              <w:pStyle w:val="TableContents"/>
              <w:bidi w:val="0"/>
              <w:spacing w:before="0" w:after="0"/>
              <w:ind w:left="0" w:right="0" w:hanging="0"/>
              <w:jc w:val="left"/>
              <w:rPr/>
            </w:pPr>
            <w:r>
              <w:rPr/>
              <w:t> </w:t>
            </w:r>
          </w:p>
        </w:tc>
        <w:tc>
          <w:tcPr>
            <w:tcW w:w="621"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29" w:name="fs_G5CW7P9UDC00000000000000000000fs"/>
            <w:bookmarkEnd w:id="429"/>
            <w:r>
              <w:rPr>
                <w:rFonts w:ascii="times new roman;times" w:hAnsi="times new roman;times"/>
                <w:sz w:val="20"/>
              </w:rPr>
              <w:t>3,367</w:t>
            </w:r>
          </w:p>
        </w:tc>
        <w:tc>
          <w:tcPr>
            <w:tcW w:w="91"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8" w:type="dxa"/>
            <w:tcBorders/>
            <w:shd w:fill="CCEEFF" w:val="clear"/>
            <w:vAlign w:val="bottom"/>
          </w:tcPr>
          <w:p>
            <w:pPr>
              <w:pStyle w:val="TableContents"/>
              <w:bidi w:val="0"/>
              <w:spacing w:before="0" w:after="0"/>
              <w:ind w:left="0" w:right="0" w:hanging="0"/>
              <w:jc w:val="left"/>
              <w:rPr/>
            </w:pPr>
            <w:r>
              <w:rPr/>
              <w:t> </w:t>
            </w:r>
          </w:p>
        </w:tc>
        <w:tc>
          <w:tcPr>
            <w:tcW w:w="270" w:type="dxa"/>
            <w:tcBorders/>
            <w:shd w:fill="CCEEFF" w:val="clear"/>
            <w:vAlign w:val="bottom"/>
          </w:tcPr>
          <w:p>
            <w:pPr>
              <w:pStyle w:val="TableContents"/>
              <w:bidi w:val="0"/>
              <w:spacing w:before="0" w:after="0"/>
              <w:ind w:left="0" w:right="0" w:hanging="0"/>
              <w:jc w:val="left"/>
              <w:rPr/>
            </w:pPr>
            <w:r>
              <w:rPr/>
              <w:t> </w:t>
            </w:r>
          </w:p>
        </w:tc>
        <w:tc>
          <w:tcPr>
            <w:tcW w:w="1795"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430" w:name="fs_0CSPR33H0G00000000000000000000fs"/>
            <w:bookmarkEnd w:id="430"/>
            <w:r>
              <w:rPr>
                <w:rFonts w:ascii="times new roman;times" w:hAnsi="times new roman;times"/>
                <w:sz w:val="20"/>
              </w:rPr>
              <w:t>100</w:t>
            </w:r>
          </w:p>
        </w:tc>
        <w:tc>
          <w:tcPr>
            <w:tcW w:w="80" w:type="dxa"/>
            <w:tcBorders/>
            <w:shd w:fill="CCEEFF" w:val="clear"/>
            <w:vAlign w:val="bottom"/>
          </w:tcPr>
          <w:p>
            <w:pPr>
              <w:pStyle w:val="TableContents"/>
              <w:bidi w:val="0"/>
              <w:spacing w:before="0" w:after="283"/>
              <w:ind w:left="0" w:right="0" w:hanging="0"/>
              <w:jc w:val="left"/>
              <w:rPr>
                <w:sz w:val="4"/>
                <w:szCs w:val="4"/>
              </w:rPr>
            </w:pPr>
            <w:r>
              <w:rPr>
                <w:sz w:val="4"/>
                <w:szCs w:val="4"/>
              </w:rPr>
            </w:r>
          </w:p>
        </w:tc>
        <w:tc>
          <w:tcPr>
            <w:tcW w:w="23" w:type="dxa"/>
            <w:tcBorders/>
            <w:shd w:fill="CCEEFF" w:val="clear"/>
            <w:vAlign w:val="bottom"/>
          </w:tcPr>
          <w:p>
            <w:pPr>
              <w:pStyle w:val="TableContents"/>
              <w:bidi w:val="0"/>
              <w:spacing w:before="0" w:after="283"/>
              <w:ind w:left="0" w:right="0" w:hanging="0"/>
              <w:jc w:val="left"/>
              <w:rPr/>
            </w:pPr>
            <w:r>
              <w:rPr/>
            </w:r>
          </w:p>
        </w:tc>
        <w:tc>
          <w:tcPr>
            <w:tcW w:w="133" w:type="dxa"/>
            <w:tcBorders/>
            <w:shd w:fill="CCEEFF" w:val="clear"/>
            <w:vAlign w:val="bottom"/>
          </w:tcPr>
          <w:p>
            <w:pPr>
              <w:pStyle w:val="TableContents"/>
              <w:bidi w:val="0"/>
              <w:spacing w:before="0" w:after="283"/>
              <w:ind w:left="0" w:right="0" w:hanging="0"/>
              <w:jc w:val="left"/>
              <w:rPr/>
            </w:pPr>
            <w:r>
              <w:rPr/>
            </w:r>
          </w:p>
        </w:tc>
        <w:tc>
          <w:tcPr>
            <w:tcW w:w="421"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31" w:name="fs_H13PA3ZT1C00000000000000000000FM"/>
            <w:bookmarkEnd w:id="431"/>
            <w:r>
              <w:rPr>
                <w:rFonts w:ascii="times new roman;times" w:hAnsi="times new roman;times"/>
                <w:sz w:val="20"/>
              </w:rPr>
              <w:t>367</w:t>
            </w:r>
          </w:p>
        </w:tc>
        <w:tc>
          <w:tcPr>
            <w:tcW w:w="85"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4" w:type="dxa"/>
            <w:tcBorders/>
            <w:shd w:fill="CCEEFF" w:val="clear"/>
            <w:vAlign w:val="bottom"/>
          </w:tcPr>
          <w:p>
            <w:pPr>
              <w:pStyle w:val="TableContents"/>
              <w:bidi w:val="0"/>
              <w:spacing w:before="0" w:after="283"/>
              <w:ind w:left="0" w:right="0" w:hanging="0"/>
              <w:jc w:val="left"/>
              <w:rPr/>
            </w:pPr>
            <w:r>
              <w:rPr/>
            </w:r>
          </w:p>
        </w:tc>
        <w:tc>
          <w:tcPr>
            <w:tcW w:w="133" w:type="dxa"/>
            <w:tcBorders/>
            <w:shd w:fill="CCEEFF" w:val="clear"/>
            <w:vAlign w:val="bottom"/>
          </w:tcPr>
          <w:p>
            <w:pPr>
              <w:pStyle w:val="TableContents"/>
              <w:bidi w:val="0"/>
              <w:spacing w:before="0" w:after="283"/>
              <w:ind w:left="0" w:right="0" w:hanging="0"/>
              <w:jc w:val="left"/>
              <w:rPr/>
            </w:pPr>
            <w:r>
              <w:rPr/>
            </w:r>
          </w:p>
        </w:tc>
        <w:tc>
          <w:tcPr>
            <w:tcW w:w="581" w:type="dxa"/>
            <w:tcBorders/>
            <w:shd w:fill="CCEEFF" w:val="clear"/>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32" w:name="fs_IPR15VXXVK00000000000000000000FM"/>
            <w:bookmarkEnd w:id="432"/>
            <w:r>
              <w:rPr>
                <w:rFonts w:ascii="times new roman;times" w:hAnsi="times new roman;times"/>
                <w:sz w:val="20"/>
              </w:rPr>
              <w:t>5,387</w:t>
            </w:r>
          </w:p>
        </w:tc>
        <w:tc>
          <w:tcPr>
            <w:tcW w:w="85" w:type="dxa"/>
            <w:tcBorders/>
            <w:shd w:fill="CCEEFF" w:val="clear"/>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4" w:type="dxa"/>
            <w:tcBorders/>
            <w:shd w:fill="CCEEFF" w:val="clear"/>
            <w:vAlign w:val="bottom"/>
          </w:tcPr>
          <w:p>
            <w:pPr>
              <w:pStyle w:val="TableContents"/>
              <w:bidi w:val="0"/>
              <w:spacing w:before="0" w:after="283"/>
              <w:ind w:left="0" w:right="0" w:hanging="0"/>
              <w:jc w:val="left"/>
              <w:rPr/>
            </w:pPr>
            <w:r>
              <w:rPr/>
            </w:r>
          </w:p>
        </w:tc>
        <w:tc>
          <w:tcPr>
            <w:tcW w:w="78" w:type="dxa"/>
            <w:tcBorders/>
            <w:shd w:fill="CCEEFF" w:val="clear"/>
            <w:vAlign w:val="bottom"/>
          </w:tcPr>
          <w:p>
            <w:pPr>
              <w:pStyle w:val="TableContents"/>
              <w:bidi w:val="0"/>
              <w:spacing w:before="0" w:after="283"/>
              <w:ind w:left="0" w:right="0" w:hanging="0"/>
              <w:jc w:val="left"/>
              <w:rPr/>
            </w:pPr>
            <w:r>
              <w:rPr/>
            </w:r>
          </w:p>
        </w:tc>
        <w:tc>
          <w:tcPr>
            <w:tcW w:w="1884" w:type="dxa"/>
            <w:tcBorders/>
            <w:shd w:fill="CCEEFF" w:val="clear"/>
            <w:vAlign w:val="bottom"/>
          </w:tcPr>
          <w:p>
            <w:pPr>
              <w:pStyle w:val="TableContents"/>
              <w:bidi w:val="0"/>
              <w:spacing w:before="0" w:after="0"/>
              <w:ind w:left="0" w:right="0" w:hanging="0"/>
              <w:jc w:val="right"/>
              <w:rPr>
                <w:rFonts w:ascii="times new roman;times" w:hAnsi="times new roman;times"/>
                <w:sz w:val="20"/>
              </w:rPr>
            </w:pPr>
            <w:bookmarkStart w:id="433" w:name="fs_EQWODWXN9C00000000000000000000FM"/>
            <w:bookmarkEnd w:id="433"/>
            <w:r>
              <w:rPr>
                <w:rFonts w:ascii="times new roman;times" w:hAnsi="times new roman;times"/>
                <w:sz w:val="20"/>
              </w:rPr>
              <w:t>93</w:t>
            </w:r>
          </w:p>
        </w:tc>
        <w:tc>
          <w:tcPr>
            <w:tcW w:w="89" w:type="dxa"/>
            <w:tcBorders/>
            <w:shd w:fill="CCEEFF" w:val="clear"/>
            <w:vAlign w:val="bottom"/>
          </w:tcPr>
          <w:p>
            <w:pPr>
              <w:pStyle w:val="TableContents"/>
              <w:bidi w:val="0"/>
              <w:spacing w:before="0" w:after="283"/>
              <w:ind w:left="0" w:right="0" w:hanging="0"/>
              <w:jc w:val="left"/>
              <w:rPr/>
            </w:pPr>
            <w:r>
              <w:rPr/>
            </w:r>
          </w:p>
        </w:tc>
      </w:tr>
      <w:tr>
        <w:trPr/>
        <w:tc>
          <w:tcPr>
            <w:tcW w:w="2768" w:type="dxa"/>
            <w:tcBorders/>
            <w:vAlign w:val="bottom"/>
          </w:tcPr>
          <w:p>
            <w:pPr>
              <w:pStyle w:val="TableContents"/>
              <w:pBdr/>
              <w:bidi w:val="0"/>
              <w:spacing w:lineRule="auto" w:line="240"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Income /(Loss) from discontinued operations, net of tax </w:t>
            </w:r>
          </w:p>
        </w:tc>
        <w:tc>
          <w:tcPr>
            <w:tcW w:w="60" w:type="dxa"/>
            <w:tcBorders/>
            <w:vAlign w:val="bottom"/>
          </w:tcPr>
          <w:p>
            <w:pPr>
              <w:pStyle w:val="TableContents"/>
              <w:bidi w:val="0"/>
              <w:spacing w:before="0" w:after="0"/>
              <w:ind w:left="0" w:right="0" w:hanging="0"/>
              <w:jc w:val="left"/>
              <w:rPr/>
            </w:pPr>
            <w:r>
              <w:rPr/>
              <w:t> </w:t>
            </w:r>
          </w:p>
        </w:tc>
        <w:tc>
          <w:tcPr>
            <w:tcW w:w="142"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449" w:type="dxa"/>
            <w:tcBorders/>
            <w:vAlign w:val="bottom"/>
          </w:tcPr>
          <w:p>
            <w:pPr>
              <w:pStyle w:val="TableContents"/>
              <w:bidi w:val="0"/>
              <w:spacing w:before="0" w:after="0"/>
              <w:ind w:left="0" w:right="0" w:hanging="0"/>
              <w:jc w:val="right"/>
              <w:rPr>
                <w:rFonts w:ascii="times new roman;times" w:hAnsi="times new roman;times"/>
                <w:sz w:val="20"/>
              </w:rPr>
            </w:pPr>
            <w:bookmarkStart w:id="434" w:name="fs_16TMPDS6XC00000000000000000000fs"/>
            <w:bookmarkEnd w:id="434"/>
            <w:r>
              <w:rPr>
                <w:rFonts w:ascii="times new roman;times" w:hAnsi="times new roman;times"/>
                <w:sz w:val="20"/>
              </w:rPr>
              <w:t>5</w:t>
            </w:r>
          </w:p>
        </w:tc>
        <w:tc>
          <w:tcPr>
            <w:tcW w:w="91" w:type="dxa"/>
            <w:tcBorders/>
            <w:vAlign w:val="bottom"/>
          </w:tcPr>
          <w:p>
            <w:pPr>
              <w:pStyle w:val="TableContents"/>
              <w:bidi w:val="0"/>
              <w:spacing w:before="0" w:after="283"/>
              <w:ind w:left="0" w:right="0" w:hanging="0"/>
              <w:jc w:val="left"/>
              <w:rPr>
                <w:sz w:val="4"/>
                <w:szCs w:val="4"/>
              </w:rPr>
            </w:pPr>
            <w:r>
              <w:rPr>
                <w:sz w:val="4"/>
                <w:szCs w:val="4"/>
              </w:rPr>
            </w:r>
          </w:p>
        </w:tc>
        <w:tc>
          <w:tcPr>
            <w:tcW w:w="68" w:type="dxa"/>
            <w:tcBorders/>
            <w:vAlign w:val="bottom"/>
          </w:tcPr>
          <w:p>
            <w:pPr>
              <w:pStyle w:val="TableContents"/>
              <w:bidi w:val="0"/>
              <w:spacing w:before="0" w:after="0"/>
              <w:ind w:left="0" w:right="0" w:hanging="0"/>
              <w:jc w:val="left"/>
              <w:rPr/>
            </w:pPr>
            <w:r>
              <w:rPr/>
              <w:t> </w:t>
            </w:r>
          </w:p>
        </w:tc>
        <w:tc>
          <w:tcPr>
            <w:tcW w:w="142"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21"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35" w:name="fs_4H94KCDFDS00000000000000000000fs"/>
            <w:bookmarkEnd w:id="435"/>
            <w:r>
              <w:rPr>
                <w:rFonts w:ascii="times new roman;times" w:hAnsi="times new roman;times"/>
                <w:sz w:val="20"/>
              </w:rPr>
              <w:t>3,367</w:t>
            </w:r>
          </w:p>
        </w:tc>
        <w:tc>
          <w:tcPr>
            <w:tcW w:w="91"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68" w:type="dxa"/>
            <w:tcBorders/>
            <w:vAlign w:val="bottom"/>
          </w:tcPr>
          <w:p>
            <w:pPr>
              <w:pStyle w:val="TableContents"/>
              <w:bidi w:val="0"/>
              <w:spacing w:before="0" w:after="0"/>
              <w:ind w:left="0" w:right="0" w:hanging="0"/>
              <w:jc w:val="left"/>
              <w:rPr/>
            </w:pPr>
            <w:r>
              <w:rPr/>
              <w:t> </w:t>
            </w:r>
          </w:p>
        </w:tc>
        <w:tc>
          <w:tcPr>
            <w:tcW w:w="270" w:type="dxa"/>
            <w:tcBorders/>
            <w:vAlign w:val="bottom"/>
          </w:tcPr>
          <w:p>
            <w:pPr>
              <w:pStyle w:val="TableContents"/>
              <w:bidi w:val="0"/>
              <w:spacing w:before="0" w:after="0"/>
              <w:ind w:left="0" w:right="0" w:hanging="0"/>
              <w:jc w:val="left"/>
              <w:rPr/>
            </w:pPr>
            <w:r>
              <w:rPr/>
              <w:t> </w:t>
            </w:r>
          </w:p>
        </w:tc>
        <w:tc>
          <w:tcPr>
            <w:tcW w:w="1795" w:type="dxa"/>
            <w:tcBorders/>
            <w:vAlign w:val="bottom"/>
          </w:tcPr>
          <w:p>
            <w:pPr>
              <w:pStyle w:val="TableContents"/>
              <w:bidi w:val="0"/>
              <w:spacing w:before="0" w:after="0"/>
              <w:ind w:left="0" w:right="0" w:hanging="0"/>
              <w:jc w:val="right"/>
              <w:rPr>
                <w:rFonts w:ascii="times new roman;times" w:hAnsi="times new roman;times"/>
                <w:sz w:val="20"/>
              </w:rPr>
            </w:pPr>
            <w:bookmarkStart w:id="436" w:name="fs_D2JJD2JLPS00000000000000000000fs"/>
            <w:bookmarkEnd w:id="436"/>
            <w:r>
              <w:rPr>
                <w:rFonts w:ascii="times new roman;times" w:hAnsi="times new roman;times"/>
                <w:sz w:val="20"/>
              </w:rPr>
              <w:t>100</w:t>
            </w:r>
          </w:p>
        </w:tc>
        <w:tc>
          <w:tcPr>
            <w:tcW w:w="80" w:type="dxa"/>
            <w:tcBorders/>
            <w:vAlign w:val="bottom"/>
          </w:tcPr>
          <w:p>
            <w:pPr>
              <w:pStyle w:val="TableContents"/>
              <w:bidi w:val="0"/>
              <w:spacing w:before="0" w:after="283"/>
              <w:ind w:left="0" w:right="0" w:hanging="0"/>
              <w:jc w:val="left"/>
              <w:rPr>
                <w:sz w:val="4"/>
                <w:szCs w:val="4"/>
              </w:rPr>
            </w:pPr>
            <w:r>
              <w:rPr>
                <w:sz w:val="4"/>
                <w:szCs w:val="4"/>
              </w:rPr>
            </w:r>
          </w:p>
        </w:tc>
        <w:tc>
          <w:tcPr>
            <w:tcW w:w="23" w:type="dxa"/>
            <w:tcBorders/>
            <w:vAlign w:val="bottom"/>
          </w:tcPr>
          <w:p>
            <w:pPr>
              <w:pStyle w:val="TableContents"/>
              <w:bidi w:val="0"/>
              <w:spacing w:before="0" w:after="283"/>
              <w:ind w:left="0" w:right="0" w:hanging="0"/>
              <w:jc w:val="left"/>
              <w:rPr/>
            </w:pPr>
            <w:r>
              <w:rPr/>
            </w:r>
          </w:p>
        </w:tc>
        <w:tc>
          <w:tcPr>
            <w:tcW w:w="133" w:type="dxa"/>
            <w:tcBorders/>
            <w:vAlign w:val="bottom"/>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421" w:type="dxa"/>
            <w:tcBorders/>
            <w:vAlign w:val="bottom"/>
          </w:tcPr>
          <w:p>
            <w:pPr>
              <w:pStyle w:val="TableContents"/>
              <w:bidi w:val="0"/>
              <w:spacing w:before="0" w:after="0"/>
              <w:ind w:left="0" w:right="0" w:hanging="0"/>
              <w:jc w:val="right"/>
              <w:rPr>
                <w:rFonts w:ascii="times new roman;times" w:hAnsi="times new roman;times"/>
                <w:sz w:val="20"/>
              </w:rPr>
            </w:pPr>
            <w:bookmarkStart w:id="437" w:name="fs_V5GVKDOLTC00000000000000000000FM"/>
            <w:bookmarkEnd w:id="437"/>
            <w:r>
              <w:rPr>
                <w:rFonts w:ascii="times new roman;times" w:hAnsi="times new roman;times"/>
                <w:sz w:val="20"/>
              </w:rPr>
              <w:t>368</w:t>
            </w:r>
          </w:p>
        </w:tc>
        <w:tc>
          <w:tcPr>
            <w:tcW w:w="85" w:type="dxa"/>
            <w:tcBorders/>
            <w:vAlign w:val="bottom"/>
          </w:tcPr>
          <w:p>
            <w:pPr>
              <w:pStyle w:val="TableContents"/>
              <w:bidi w:val="0"/>
              <w:spacing w:before="0" w:after="283"/>
              <w:ind w:left="0" w:right="0" w:hanging="0"/>
              <w:jc w:val="left"/>
              <w:rPr>
                <w:sz w:val="4"/>
                <w:szCs w:val="4"/>
              </w:rPr>
            </w:pPr>
            <w:r>
              <w:rPr>
                <w:sz w:val="4"/>
                <w:szCs w:val="4"/>
              </w:rPr>
            </w:r>
          </w:p>
        </w:tc>
        <w:tc>
          <w:tcPr>
            <w:tcW w:w="24" w:type="dxa"/>
            <w:tcBorders/>
            <w:vAlign w:val="bottom"/>
          </w:tcPr>
          <w:p>
            <w:pPr>
              <w:pStyle w:val="TableContents"/>
              <w:bidi w:val="0"/>
              <w:spacing w:before="0" w:after="283"/>
              <w:ind w:left="0" w:right="0" w:hanging="0"/>
              <w:jc w:val="left"/>
              <w:rPr/>
            </w:pPr>
            <w:r>
              <w:rPr/>
            </w:r>
          </w:p>
        </w:tc>
        <w:tc>
          <w:tcPr>
            <w:tcW w:w="133" w:type="dxa"/>
            <w:tcBorders/>
            <w:vAlign w:val="bottom"/>
          </w:tcPr>
          <w:p>
            <w:pPr>
              <w:pStyle w:val="TableContents"/>
              <w:widowControl/>
              <w:bidi w:val="0"/>
              <w:spacing w:before="0" w:after="0"/>
              <w:ind w:left="0" w:right="0" w:hanging="0"/>
              <w:jc w:val="left"/>
              <w:rPr>
                <w:rFonts w:ascii="times new roman;times" w:hAnsi="times new roman;times"/>
                <w:b w:val="false"/>
                <w:color w:val="000000"/>
                <w:spacing w:val="0"/>
                <w:sz w:val="20"/>
              </w:rPr>
            </w:pPr>
            <w:r>
              <w:rPr>
                <w:rFonts w:ascii="times new roman;times" w:hAnsi="times new roman;times"/>
                <w:b w:val="false"/>
                <w:color w:val="000000"/>
                <w:spacing w:val="0"/>
                <w:sz w:val="20"/>
              </w:rPr>
              <w:t>$</w:t>
            </w:r>
          </w:p>
        </w:tc>
        <w:tc>
          <w:tcPr>
            <w:tcW w:w="581" w:type="dxa"/>
            <w:tcBorders/>
            <w:vAlign w:val="bottom"/>
          </w:tcPr>
          <w:p>
            <w:pPr>
              <w:pStyle w:val="TableContents"/>
              <w:bidi w:val="0"/>
              <w:spacing w:before="0" w:after="0"/>
              <w:ind w:left="0" w:right="0" w:hanging="0"/>
              <w:jc w:val="right"/>
              <w:rPr>
                <w:rFonts w:ascii="times new roman;times" w:hAnsi="times new roman;times"/>
                <w:sz w:val="20"/>
              </w:rPr>
            </w:pPr>
            <w:r>
              <w:rPr>
                <w:rFonts w:ascii="times new roman;times" w:hAnsi="times new roman;times"/>
                <w:sz w:val="20"/>
              </w:rPr>
              <w:t>(</w:t>
            </w:r>
            <w:bookmarkStart w:id="438" w:name="fs_Z8TJV8HC1S00000000000000000000FM"/>
            <w:bookmarkEnd w:id="438"/>
            <w:r>
              <w:rPr>
                <w:rFonts w:ascii="times new roman;times" w:hAnsi="times new roman;times"/>
                <w:sz w:val="20"/>
              </w:rPr>
              <w:t>5,387</w:t>
            </w:r>
          </w:p>
        </w:tc>
        <w:tc>
          <w:tcPr>
            <w:tcW w:w="85" w:type="dxa"/>
            <w:tcBorders/>
            <w:vAlign w:val="bottom"/>
          </w:tcPr>
          <w:p>
            <w:pPr>
              <w:pStyle w:val="TableContents"/>
              <w:bidi w:val="0"/>
              <w:spacing w:before="0" w:after="0"/>
              <w:ind w:left="0" w:right="0" w:hanging="0"/>
              <w:jc w:val="left"/>
              <w:rPr>
                <w:rFonts w:ascii="times new roman;times" w:hAnsi="times new roman;times"/>
                <w:sz w:val="20"/>
              </w:rPr>
            </w:pPr>
            <w:r>
              <w:rPr>
                <w:rFonts w:ascii="times new roman;times" w:hAnsi="times new roman;times"/>
                <w:sz w:val="20"/>
              </w:rPr>
              <w:t>)</w:t>
            </w:r>
          </w:p>
        </w:tc>
        <w:tc>
          <w:tcPr>
            <w:tcW w:w="24" w:type="dxa"/>
            <w:tcBorders/>
            <w:vAlign w:val="bottom"/>
          </w:tcPr>
          <w:p>
            <w:pPr>
              <w:pStyle w:val="TableContents"/>
              <w:bidi w:val="0"/>
              <w:spacing w:before="0" w:after="283"/>
              <w:ind w:left="0" w:right="0" w:hanging="0"/>
              <w:jc w:val="left"/>
              <w:rPr/>
            </w:pPr>
            <w:r>
              <w:rPr/>
            </w:r>
          </w:p>
        </w:tc>
        <w:tc>
          <w:tcPr>
            <w:tcW w:w="78" w:type="dxa"/>
            <w:tcBorders/>
            <w:vAlign w:val="bottom"/>
          </w:tcPr>
          <w:p>
            <w:pPr>
              <w:pStyle w:val="TableContents"/>
              <w:bidi w:val="0"/>
              <w:spacing w:before="0" w:after="283"/>
              <w:ind w:left="0" w:right="0" w:hanging="0"/>
              <w:jc w:val="left"/>
              <w:rPr/>
            </w:pPr>
            <w:r>
              <w:rPr/>
            </w:r>
          </w:p>
        </w:tc>
        <w:tc>
          <w:tcPr>
            <w:tcW w:w="1884" w:type="dxa"/>
            <w:tcBorders/>
            <w:vAlign w:val="bottom"/>
          </w:tcPr>
          <w:p>
            <w:pPr>
              <w:pStyle w:val="TableContents"/>
              <w:bidi w:val="0"/>
              <w:spacing w:before="0" w:after="0"/>
              <w:ind w:left="0" w:right="0" w:hanging="0"/>
              <w:jc w:val="right"/>
              <w:rPr>
                <w:rFonts w:ascii="times new roman;times" w:hAnsi="times new roman;times"/>
                <w:sz w:val="20"/>
              </w:rPr>
            </w:pPr>
            <w:bookmarkStart w:id="439" w:name="fs_S6ADOIUYC000000000000000000000FM"/>
            <w:bookmarkEnd w:id="439"/>
            <w:r>
              <w:rPr>
                <w:rFonts w:ascii="times new roman;times" w:hAnsi="times new roman;times"/>
                <w:sz w:val="20"/>
              </w:rPr>
              <w:t>107</w:t>
            </w:r>
          </w:p>
        </w:tc>
        <w:tc>
          <w:tcPr>
            <w:tcW w:w="89" w:type="dxa"/>
            <w:tcBorders/>
            <w:vAlign w:val="bottom"/>
          </w:tcPr>
          <w:p>
            <w:pPr>
              <w:pStyle w:val="TableContents"/>
              <w:bidi w:val="0"/>
              <w:spacing w:before="0" w:after="283"/>
              <w:jc w:val="left"/>
              <w:rPr/>
            </w:pPr>
            <w:r>
              <w:rPr/>
            </w:r>
          </w:p>
        </w:tc>
      </w:tr>
    </w:tbl>
    <w:p>
      <w:pPr>
        <w:pStyle w:val="TextBody"/>
        <w:widowControl/>
        <w:bidi w:val="0"/>
        <w:spacing w:before="0" w:after="0"/>
        <w:jc w:val="left"/>
        <w:rPr>
          <w:b w:val="false"/>
          <w:b w:val="false"/>
          <w:bCs w:val="false"/>
          <w:i w:val="false"/>
          <w:i w:val="false"/>
          <w:iCs w:val="false"/>
          <w:caps w:val="false"/>
          <w:smallCaps w:val="false"/>
          <w:color w:val="000000"/>
          <w:spacing w:val="0"/>
          <w:sz w:val="20"/>
          <w:szCs w:val="20"/>
        </w:rPr>
      </w:pPr>
      <w:r>
        <w:rPr>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0"/>
        <w:jc w:val="both"/>
        <w:rPr>
          <w:b w:val="false"/>
          <w:b w:val="false"/>
          <w:bCs w:val="false"/>
          <w:i w:val="false"/>
          <w:i w:val="false"/>
          <w:iCs w:val="false"/>
          <w:caps w:val="false"/>
          <w:smallCaps w:val="false"/>
          <w:color w:val="000000"/>
          <w:spacing w:val="0"/>
          <w:sz w:val="20"/>
          <w:szCs w:val="20"/>
        </w:rPr>
      </w:pPr>
      <w:r>
        <w:rPr>
          <w:b w:val="false"/>
          <w:bCs w:val="false"/>
          <w:i w:val="false"/>
          <w:iCs w:val="false"/>
          <w:caps w:val="false"/>
          <w:smallCaps w:val="false"/>
          <w:color w:val="000000"/>
          <w:spacing w:val="0"/>
          <w:sz w:val="20"/>
          <w:szCs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Discontinued operations generated no revenue in the three or six months ended June 30, 2026, compared to $1,916 in the second quarter of 2025 and $4,229 in the 2025 year-to-date period, reflecting the completion of the Asset Sale in October 2025. See Note 2 — Discontinued Operations and Assets Held for Sale for additional details on the components of discontinued operations.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bookmarkStart w:id="440" w:name="PageBreakNo30"/>
            <w:bookmarkEnd w:id="440"/>
            <w:r>
              <w:rPr>
                <w:rFonts w:ascii="times new roman;times" w:hAnsi="times new roman;times"/>
                <w:sz w:val="20"/>
              </w:rPr>
              <w:t>30</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200" w:after="0"/>
        <w:ind w:left="0" w:right="0" w:hanging="0"/>
        <w:jc w:val="both"/>
        <w:rPr>
          <w:rFonts w:ascii="times new roman;times" w:hAnsi="times new roman;times"/>
          <w:b/>
          <w:i/>
          <w:sz w:val="20"/>
        </w:rPr>
      </w:pPr>
      <w:r>
        <w:rPr>
          <w:rFonts w:ascii="times new roman;times" w:hAnsi="times new roman;times"/>
          <w:b/>
          <w:i/>
          <w:sz w:val="20"/>
        </w:rPr>
        <w:t>Costs of Goods Sold and Gross Profit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Cost of goods sold includes expenses associated with finished goods purchased from outsourced manufacturers, the repackaging of our products, our manufacturing and operations organization, property and equipment depreciation, warranty expense, freight expense, royalty payments, and the allocation of overhead expenses.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Our gross loss decreased from $131 during 2025-Q2 to a loss of $107 during 2026-Q2.</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The reduction in gross profit reflects the completion of the Asset Sale in October 2025. See Note </w:t>
      </w:r>
      <w:bookmarkStart w:id="441" w:name="fs_N0GS0QKATC00000000000000000000fs"/>
      <w:bookmarkEnd w:id="441"/>
      <w:r>
        <w:rPr>
          <w:rFonts w:ascii="times new roman;times" w:hAnsi="times new roman;times"/>
          <w:sz w:val="20"/>
        </w:rPr>
        <w:t xml:space="preserve">2 — Discontinued Operations and Assets Held for Sale for additional details on the components of discontinued operations. </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Operating Expenses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Operating expenses include sales and marketing (“S&amp;M”) expenses, research and product development (“R&amp;D”) expenses and general and administrative (“G&amp;A”) expenses. Total operating expenses in 2026-Q2 were $(92) compared to $3,236 in 2025-Q2. Total operating expenses thru 2026-YTD were $172 compared to $5,404 observing the same 6-month period in 2025.The following contains a more detailed discussion of expenses related to sales and marketing, research and product development, general and administrative, and other items.</w:t>
      </w:r>
    </w:p>
    <w:p>
      <w:pPr>
        <w:pStyle w:val="TextBody"/>
        <w:bidi w:val="0"/>
        <w:spacing w:lineRule="auto" w:line="288" w:before="200" w:after="0"/>
        <w:ind w:left="0" w:right="0" w:hanging="0"/>
        <w:jc w:val="both"/>
        <w:rPr>
          <w:rFonts w:ascii="times new roman;times" w:hAnsi="times new roman;times"/>
          <w:sz w:val="20"/>
        </w:rPr>
      </w:pPr>
      <w:r>
        <w:rPr>
          <w:rFonts w:ascii="times new roman;times" w:hAnsi="times new roman;times"/>
          <w:b/>
          <w:i/>
          <w:sz w:val="20"/>
          <w:u w:val="single"/>
        </w:rPr>
        <w:t>Sales and Marketing</w:t>
      </w:r>
      <w:r>
        <w:rPr>
          <w:rFonts w:ascii="times new roman;times" w:hAnsi="times new roman;times"/>
          <w:sz w:val="20"/>
        </w:rPr>
        <w:t> - S&amp;M expenses include selling, customer service, and marketing expenses such as employee-related costs, allocations of overhead expenses, trade shows, and other advertising and selling expenses.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S&amp;M expenses were $40 in Q2-2026, compared to $1,383 in Q2-2025 while the year-to-date results for the six months ended June 30, showed $73 in 2026 compared to $2,499 in 2025. Both comparisons are the result of no sales commissions during 2026 due to no sales as well as lowered marketing spend inclusive of the reduction in force completed in Q3 of 2025.</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u w:val="single"/>
        </w:rPr>
        <w:t>Research and Product Development</w:t>
      </w:r>
      <w:r>
        <w:rPr>
          <w:rFonts w:ascii="times new roman;times" w:hAnsi="times new roman;times"/>
          <w:sz w:val="20"/>
        </w:rPr>
        <w:t> - R&amp;D expenses include research and development, product line management, engineering services, and test and application expenses, including employee-related costs, outside services, expensed materials, depreciation, and an allocation of overhead expenses.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R&amp;D expenses were $(26) in Q2-2026, compared to $1,359 in Q2-2025, while the year-to-date results for the six months ended June 30, showed $(17) in 2026 compared to $2,050 in 2025. The change in the quarterly results reflect the reversal of previously accrued amounts following the wind-down of product development activities.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b/>
          <w:i/>
          <w:sz w:val="20"/>
          <w:u w:val="single"/>
        </w:rPr>
        <w:t>General and Administrative</w:t>
      </w:r>
      <w:r>
        <w:rPr>
          <w:rFonts w:ascii="times new roman;times" w:hAnsi="times new roman;times"/>
          <w:sz w:val="20"/>
        </w:rPr>
        <w:t> - G&amp;A expenses include employee-related costs, allocations of overhead expenses, litigation costs, and corporate administrative costs, including costs related to operational teams.</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G&amp;A expenses were $(106) in Q2-2026, compared to $494 in Q2-2025, while the year-to-date results for the six months ended June 30, showed $116 in 2026 compared to $855 in 2025 The credit in Q2 2026 is due to decreased allowance for doubtful accounts causing a credit to bad debt expense. The overall changes from 2025 were due to decreased expenses related to the exploration of strategic alternatives and closing down facilities.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Other income (expense), net</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Other income (expense), net within discontinued operations was $50 for the three months ended June 30, 2026 and $(28) for the six months ended June 30, 2026. The six-month amount reflects a $78 charge for costs associated with the closure of the Company's former foreign subsidiaries, partially offset by a $50 credit from the reversal of a liability accrued in a prior period in connection with the anticipated redemption of the Class A Redeemable Preferred Stock. That accrual was separate from the redemption obligation described in Note 3, which was settled in cash in April 2026, and was reversed at June 30, 2026 upon confirmation that no further amounts were payable.</w:t>
      </w:r>
    </w:p>
    <w:p>
      <w:pPr>
        <w:pStyle w:val="TextBody"/>
        <w:widowControl/>
        <w:bidi w:val="0"/>
        <w:spacing w:before="0" w:after="0"/>
        <w:ind w:left="0" w:right="0" w:hanging="0"/>
        <w:jc w:val="left"/>
        <w:rPr>
          <w:rFonts w:ascii="times new roman;times" w:hAnsi="times new roman;times"/>
          <w:sz w:val="20"/>
        </w:rPr>
      </w:pPr>
      <w:r>
        <w:rPr>
          <w:rFonts w:ascii="times new roman;times" w:hAnsi="times new roman;times"/>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bookmarkStart w:id="442" w:name="PageBreakNo31"/>
            <w:bookmarkEnd w:id="442"/>
            <w:r>
              <w:rPr>
                <w:rFonts w:ascii="times new roman;times" w:hAnsi="times new roman;times"/>
                <w:sz w:val="20"/>
              </w:rPr>
              <w:t>31</w:t>
            </w:r>
          </w:p>
        </w:tc>
      </w:tr>
    </w:tbl>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color w:val="0000FF"/>
            <w:sz w:val="20"/>
          </w:rPr>
          <w:t>Table of Contents</w:t>
        </w:r>
      </w:hyperlink>
    </w:p>
    <w:p>
      <w:pPr>
        <w:pStyle w:val="TextBody"/>
        <w:widowControl/>
        <w:bidi w:val="0"/>
        <w:spacing w:before="0" w:after="0"/>
        <w:ind w:left="0" w:right="0" w:hanging="0"/>
        <w:jc w:val="left"/>
        <w:rPr>
          <w:rFonts w:ascii="times new roman;times" w:hAnsi="times new roman;times"/>
          <w:b/>
          <w:i/>
          <w:sz w:val="20"/>
        </w:rPr>
      </w:pPr>
      <w:r>
        <w:rPr>
          <w:rFonts w:ascii="times new roman;times" w:hAnsi="times new roman;times"/>
          <w:b/>
          <w:i/>
          <w:sz w:val="20"/>
        </w:rPr>
      </w:r>
    </w:p>
    <w:p>
      <w:pPr>
        <w:pStyle w:val="TextBody"/>
        <w:widowControl/>
        <w:bidi w:val="0"/>
        <w:spacing w:before="0" w:after="0"/>
        <w:ind w:left="0" w:right="0" w:hanging="0"/>
        <w:jc w:val="left"/>
        <w:rPr>
          <w:rFonts w:ascii="times new roman;times" w:hAnsi="times new roman;times"/>
          <w:b/>
          <w:i/>
          <w:caps w:val="false"/>
          <w:smallCaps w:val="false"/>
          <w:color w:val="000000"/>
          <w:spacing w:val="0"/>
          <w:sz w:val="20"/>
        </w:rPr>
      </w:pPr>
      <w:r>
        <w:rPr>
          <w:rFonts w:ascii="times new roman;times" w:hAnsi="times new roman;times"/>
          <w:b/>
          <w:i/>
          <w:caps w:val="false"/>
          <w:smallCaps w:val="false"/>
          <w:color w:val="000000"/>
          <w:spacing w:val="0"/>
          <w:sz w:val="20"/>
        </w:rPr>
        <w:t>Provision for income taxes</w:t>
      </w:r>
    </w:p>
    <w:p>
      <w:pPr>
        <w:pStyle w:val="TextBody"/>
        <w:bidi w:val="0"/>
        <w:spacing w:lineRule="auto" w:line="288" w:before="0" w:after="0"/>
        <w:ind w:left="0" w:right="0" w:hanging="0"/>
        <w:jc w:val="both"/>
        <w:rPr/>
      </w:pPr>
      <w:r>
        <w:rPr/>
        <w:t> </w:t>
      </w:r>
    </w:p>
    <w:p>
      <w:pPr>
        <w:pStyle w:val="TextBody"/>
        <w:widowControl/>
        <w:bidi w:val="0"/>
        <w:spacing w:lineRule="auto" w:line="288" w:before="0" w:after="0"/>
        <w:ind w:left="0" w:right="0" w:hanging="0"/>
        <w:jc w:val="both"/>
        <w:rPr>
          <w:rFonts w:ascii="times new roman;times" w:hAnsi="times new roman;times"/>
          <w:b w:val="false"/>
          <w:color w:val="000000"/>
          <w:spacing w:val="0"/>
          <w:sz w:val="20"/>
        </w:rPr>
      </w:pPr>
      <w:r>
        <w:rPr>
          <w:rFonts w:ascii="times new roman;times" w:hAnsi="times new roman;times"/>
          <w:b w:val="false"/>
          <w:color w:val="000000"/>
          <w:spacing w:val="0"/>
          <w:sz w:val="20"/>
        </w:rPr>
        <w:t xml:space="preserve">During the </w:t>
      </w:r>
      <w:bookmarkStart w:id="443" w:name="fs_HBIP29MR4000000000000000000000FM"/>
      <w:bookmarkEnd w:id="443"/>
      <w:r>
        <w:rPr>
          <w:rFonts w:ascii="times new roman;times" w:hAnsi="times new roman;times"/>
          <w:b w:val="false"/>
          <w:color w:val="000000"/>
          <w:spacing w:val="0"/>
          <w:sz w:val="20"/>
        </w:rPr>
        <w:t xml:space="preserve">six months ended June 30, 2026 the Company recorded an income tax benefit of $(763) (recorded in discontinued operations) resulting from the reversal of unrecognized tax benefits (FIN </w:t>
      </w:r>
      <w:bookmarkStart w:id="444" w:name="fs_5M4SF0KZW000000000000000000000fs"/>
      <w:bookmarkEnd w:id="444"/>
      <w:r>
        <w:rPr>
          <w:rFonts w:ascii="times new roman;times" w:hAnsi="times new roman;times"/>
          <w:b w:val="false"/>
          <w:color w:val="000000"/>
          <w:spacing w:val="0"/>
          <w:sz w:val="20"/>
        </w:rPr>
        <w:t>48 reserves). This reversal occurred because the statute of limitations expired for certain tax years, and the underlying tax positions were no longer subject to IRS review. For the</w:t>
      </w:r>
      <w:r>
        <w:rPr>
          <w:rFonts w:ascii="times new roman;times" w:hAnsi="times new roman;times"/>
          <w:b w:val="false"/>
          <w:color w:val="000000"/>
          <w:spacing w:val="0"/>
          <w:sz w:val="20"/>
        </w:rPr>
        <w:t xml:space="preserve"> </w:t>
      </w:r>
      <w:bookmarkStart w:id="445" w:name="fs_0KINMYFGAO00000000000000000000FM"/>
      <w:bookmarkEnd w:id="445"/>
      <w:r>
        <w:rPr>
          <w:rFonts w:ascii="times new roman;times" w:hAnsi="times new roman;times"/>
          <w:b w:val="false"/>
          <w:color w:val="000000"/>
          <w:spacing w:val="0"/>
          <w:sz w:val="20"/>
        </w:rPr>
        <w:t>six months ended June 30, 2025</w:t>
      </w:r>
      <w:r>
        <w:rPr>
          <w:rFonts w:ascii="times new roman;times" w:hAnsi="times new roman;times"/>
          <w:b w:val="false"/>
          <w:color w:val="000000"/>
          <w:spacing w:val="0"/>
          <w:sz w:val="20"/>
        </w:rPr>
        <w:t>, the Company did not recognize any tax benefit from its losses due to the establishment of a full valuation allowance on its net deferred tax assets.</w:t>
      </w:r>
    </w:p>
    <w:p>
      <w:pPr>
        <w:pStyle w:val="TextBody"/>
        <w:bidi w:val="0"/>
        <w:spacing w:lineRule="auto" w:line="288" w:before="200" w:after="200"/>
        <w:ind w:left="0" w:right="0" w:hanging="0"/>
        <w:jc w:val="left"/>
        <w:rPr>
          <w:rFonts w:ascii="times new roman;times" w:hAnsi="times new roman;times"/>
          <w:b/>
          <w:i/>
          <w:sz w:val="20"/>
        </w:rPr>
      </w:pPr>
      <w:r>
        <w:rPr>
          <w:rFonts w:ascii="times new roman;times" w:hAnsi="times new roman;times"/>
          <w:b/>
          <w:i/>
          <w:sz w:val="20"/>
        </w:rPr>
        <w:t>Net Loss and Outlook</w:t>
      </w:r>
    </w:p>
    <w:p>
      <w:pPr>
        <w:pStyle w:val="TextBody"/>
        <w:bidi w:val="0"/>
        <w:spacing w:lineRule="auto" w:line="288" w:before="200" w:after="200"/>
        <w:ind w:left="0" w:right="0" w:hanging="0"/>
        <w:jc w:val="both"/>
        <w:rPr>
          <w:rFonts w:ascii="times new roman;times" w:hAnsi="times new roman;times"/>
          <w:sz w:val="20"/>
        </w:rPr>
      </w:pPr>
      <w:r>
        <w:rPr>
          <w:rFonts w:ascii="times new roman;times" w:hAnsi="times new roman;times"/>
          <w:sz w:val="20"/>
        </w:rPr>
        <w:t>The Company's total net loss was $(914) for the second quarter of 2026, compared to $(4,572) for the second quarter of 2025, and $(1,401) for the 2026 year-to-date period, compared to $(7,406) for the comparable 2025 period. The reduction in net loss primarily reflects the absence of the operating losses of the disposed product business, now presented within discontinued operations, together with a $763 income tax benefit recorded in discontinued operations from the release of uncertain tax positions.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Looking ahead, the Company’s continuing operations are expected to consist primarily of warranty servicing and technical support for legacy products, along with ongoing public company compliance and governance costs. We will continue to evaluate warranty claims experience and adjust our reserves as appropriate. In parallel, management is focused on completing the Merger with Cortigent and the Financing described in Note 14. The Company completed the redemption of the Class A Redeemable Preferred Stock on April 21, 2026 and continues to collect remaining receivables and settle obligations. We expect completion of the Merger to be the primary focus for the remainder of 2026.</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b/>
          <w:sz w:val="20"/>
        </w:rPr>
      </w:pPr>
      <w:r>
        <w:rPr>
          <w:rFonts w:ascii="times new roman;times" w:hAnsi="times new roman;times"/>
          <w:b/>
          <w:sz w:val="20"/>
        </w:rPr>
        <w:t>LIQUIDITY AND CAPITAL RESOURCES</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As of June 30, 2026, cash, cash equivalents and restricted cash were $522, compared to $739 as of December 31, 2025. Of the $522, $75 was unrestricted cash and cash equivalents and $447 was restricted cash representing undisbursed proceeds of the First Finance loan, the disbursement of which requires lender approval (see Note 1). Working capital was $47 as of June 30, 2026 compared to $209 as of December 31, 2025.</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Cash used in operating activities was $2,445 for the six months ended June 30, 2026 ($1,585 used in continuing operations and $860 used in discontinued operations), compared to $2,568 for the comparable 2025 period.</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Investing activities used $0 in the 2026 period, compared to $21 used in the prior-year period (in discontinued operations).</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Cash provided by financing activities was $2,228 for the six months ended June 30, 2026, consisting of $1,750 of proceeds from the March 2026 private placement and $500 from the First Finance loan, partially offset by $22 to repurchase warrants, compared to $4,000 in the prior-year period ($1,000 from common stock sales and $3,000 from the convertible note).</w:t>
      </w:r>
    </w:p>
    <w:p>
      <w:pPr>
        <w:pStyle w:val="TextBody"/>
        <w:widowControl/>
        <w:bidi w:val="0"/>
        <w:spacing w:before="0" w:after="0"/>
        <w:ind w:left="0" w:right="0" w:hanging="0"/>
        <w:jc w:val="left"/>
        <w:rPr/>
      </w:pPr>
      <w:r>
        <w:rPr/>
      </w:r>
    </w:p>
    <w:p>
      <w:pPr>
        <w:pStyle w:val="TextBody"/>
        <w:shd w:fill="FFFFFF" w:val="clear"/>
        <w:bidi w:val="0"/>
        <w:spacing w:lineRule="auto" w:line="288" w:before="0" w:after="0"/>
        <w:ind w:left="0" w:right="0" w:hanging="0"/>
        <w:jc w:val="both"/>
        <w:rPr>
          <w:rFonts w:ascii="times new roman;times" w:hAnsi="times new roman;times"/>
          <w:color w:val="000000"/>
          <w:sz w:val="20"/>
        </w:rPr>
      </w:pPr>
      <w:r>
        <w:rPr>
          <w:rFonts w:ascii="times new roman;times" w:hAnsi="times new roman;times"/>
          <w:color w:val="000000"/>
          <w:sz w:val="20"/>
        </w:rPr>
        <w:t>On June 30, 2026, the Company entered into a Loan Agreement with First Finance providing for advances of up to $1,000, of which $500 was received on June 30, 2026 and $500 was received on July 16, 2026. All amounts bear interest at 11% per annum and mature on December 30, 2026, or such other date as the parties may mutually agree in writing. The Company's near-term liquidity depends on the proceeds of this facility and on completion of the Merger and the concurrent registered financing of between $10,000 and $15,000 described in Note 14. Completion of the Financing is a condition to the Merger and is subject to effectiveness of a registration statement on Form S-1 and market conditions. There can be no assurance the Financing or the Merger will be completed. These conditions raise substantial doubt about the Company's ability to continue as a going concern. See Note 1 — Going Concern.</w:t>
      </w:r>
    </w:p>
    <w:p>
      <w:pPr>
        <w:pStyle w:val="TextBody"/>
        <w:shd w:fill="FFFFFF" w:val="clear"/>
        <w:bidi w:val="0"/>
        <w:spacing w:lineRule="auto" w:line="288" w:before="0" w:after="0"/>
        <w:ind w:left="0" w:right="0" w:hanging="0"/>
        <w:jc w:val="both"/>
        <w:rPr>
          <w:rFonts w:ascii="times new roman;times" w:hAnsi="times new roman;times"/>
          <w:color w:val="000000"/>
          <w:sz w:val="20"/>
        </w:rPr>
      </w:pPr>
      <w:r>
        <w:rPr>
          <w:rFonts w:ascii="times new roman;times" w:hAnsi="times new roman;times"/>
          <w:color w:val="000000"/>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bookmarkStart w:id="446" w:name="PageBreakNo32"/>
            <w:bookmarkEnd w:id="446"/>
            <w:r>
              <w:rPr>
                <w:rFonts w:ascii="times new roman;times" w:hAnsi="times new roman;times"/>
                <w:sz w:val="20"/>
              </w:rPr>
              <w:t>32</w:t>
            </w:r>
          </w:p>
        </w:tc>
      </w:tr>
    </w:tbl>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 had previously issued a one-time special stock dividend of Class A Redeemable Preferred Stock, which was mandatorily redeemable upon an Asset Sale. The redemption was completed on April 21, 2026 at par value for aggregate consideration of $2, and holders received no distribution of Asset Sale proceeds (see Note 3).</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br/>
        <w:t>As of June 30, 2026, First Finance beneficially owned approximately 61.34% of our common stock on an as-converted basis and has the right to nominate two directors to our Board. This concentration may influence strategic decisions, including the Merger and related transactions described in Note 14, and could affect our ability to attract alternative financing or partners.</w:t>
      </w:r>
    </w:p>
    <w:p>
      <w:pPr>
        <w:pStyle w:val="TextBody"/>
        <w:bidi w:val="0"/>
        <w:spacing w:lineRule="auto" w:line="288" w:before="0" w:after="0"/>
        <w:ind w:left="0" w:right="0" w:hanging="0"/>
        <w:jc w:val="both"/>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As of </w:t>
      </w:r>
      <w:bookmarkStart w:id="447" w:name="fs_N4YTH1Z2VK00000000000000000000FM"/>
      <w:bookmarkEnd w:id="447"/>
      <w:r>
        <w:rPr>
          <w:rFonts w:ascii="times new roman;times" w:hAnsi="times new roman;times"/>
          <w:sz w:val="20"/>
        </w:rPr>
        <w:t xml:space="preserve">June 30, 2026, we had no open purchase orders. </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As of </w:t>
      </w:r>
      <w:bookmarkStart w:id="448" w:name="fs_A094FJIQFK00000000000000000000FM"/>
      <w:bookmarkEnd w:id="448"/>
      <w:r>
        <w:rPr>
          <w:rFonts w:ascii="times new roman;times" w:hAnsi="times new roman;times"/>
          <w:b w:val="false"/>
          <w:i w:val="false"/>
          <w:caps w:val="false"/>
          <w:smallCaps w:val="false"/>
          <w:color w:val="000000"/>
          <w:spacing w:val="0"/>
          <w:sz w:val="20"/>
        </w:rPr>
        <w:t>June 30, 2026</w:t>
      </w:r>
      <w:r>
        <w:rPr>
          <w:rFonts w:ascii="times new roman;times" w:hAnsi="times new roman;times"/>
          <w:b w:val="false"/>
          <w:i w:val="false"/>
          <w:caps w:val="false"/>
          <w:smallCaps w:val="false"/>
          <w:color w:val="000000"/>
          <w:spacing w:val="0"/>
          <w:sz w:val="20"/>
        </w:rPr>
        <w:t>, we had inventory totaling $304. This compares to total inventories of $</w:t>
      </w:r>
      <w:bookmarkStart w:id="449" w:name="fs_R9C5GEYCUO00000000000000000000fs"/>
      <w:bookmarkEnd w:id="449"/>
      <w:r>
        <w:rPr>
          <w:rFonts w:ascii="times new roman;times" w:hAnsi="times new roman;times"/>
          <w:b w:val="false"/>
          <w:i w:val="false"/>
          <w:caps w:val="false"/>
          <w:smallCaps w:val="false"/>
          <w:color w:val="000000"/>
          <w:spacing w:val="0"/>
          <w:sz w:val="20"/>
        </w:rPr>
        <w:t>353 as of </w:t>
      </w:r>
      <w:bookmarkStart w:id="450" w:name="fs_BMO5W823B400000000000000000000FM"/>
      <w:bookmarkEnd w:id="450"/>
      <w:r>
        <w:rPr>
          <w:rFonts w:ascii="times new roman;times" w:hAnsi="times new roman;times"/>
          <w:b w:val="false"/>
          <w:i w:val="false"/>
          <w:caps w:val="false"/>
          <w:smallCaps w:val="false"/>
          <w:color w:val="000000"/>
          <w:spacing w:val="0"/>
          <w:sz w:val="20"/>
        </w:rPr>
        <w:t>December 31, 2025</w:t>
      </w:r>
      <w:r>
        <w:rPr>
          <w:rFonts w:ascii="times new roman;times" w:hAnsi="times new roman;times"/>
          <w:b w:val="false"/>
          <w:i w:val="false"/>
          <w:caps w:val="false"/>
          <w:smallCaps w:val="false"/>
          <w:color w:val="000000"/>
          <w:spacing w:val="0"/>
          <w:sz w:val="20"/>
        </w:rPr>
        <w:t>.</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Contractual Obligations and Commitments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212529"/>
          <w:spacing w:val="0"/>
          <w:sz w:val="20"/>
        </w:rPr>
      </w:pPr>
      <w:r>
        <w:rPr>
          <w:rFonts w:ascii="times new roman;times" w:hAnsi="times new roman;times"/>
          <w:b w:val="false"/>
          <w:i w:val="false"/>
          <w:caps w:val="false"/>
          <w:smallCaps w:val="false"/>
          <w:color w:val="212529"/>
          <w:spacing w:val="0"/>
          <w:sz w:val="20"/>
        </w:rPr>
        <w:t>The following table summarizes our contractual obligations as of </w:t>
      </w:r>
      <w:bookmarkStart w:id="451" w:name="fs_V5VD40AYG000000000000000000000FM"/>
      <w:bookmarkEnd w:id="451"/>
      <w:r>
        <w:rPr>
          <w:rFonts w:ascii="times new roman;times" w:hAnsi="times new roman;times"/>
          <w:b w:val="false"/>
          <w:i w:val="false"/>
          <w:caps w:val="false"/>
          <w:smallCaps w:val="false"/>
          <w:color w:val="212529"/>
          <w:spacing w:val="0"/>
          <w:sz w:val="20"/>
        </w:rPr>
        <w:t>June 30, 2026 (in thousands):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5000" w:type="pct"/>
        <w:jc w:val="left"/>
        <w:tblInd w:w="0" w:type="dxa"/>
        <w:tblLayout w:type="fixed"/>
        <w:tblCellMar>
          <w:top w:w="0" w:type="dxa"/>
          <w:left w:w="0" w:type="dxa"/>
          <w:bottom w:w="0" w:type="dxa"/>
          <w:right w:w="0" w:type="dxa"/>
        </w:tblCellMar>
      </w:tblPr>
      <w:tblGrid>
        <w:gridCol w:w="3224"/>
        <w:gridCol w:w="157"/>
        <w:gridCol w:w="224"/>
        <w:gridCol w:w="441"/>
        <w:gridCol w:w="158"/>
        <w:gridCol w:w="157"/>
        <w:gridCol w:w="332"/>
        <w:gridCol w:w="838"/>
        <w:gridCol w:w="158"/>
        <w:gridCol w:w="158"/>
        <w:gridCol w:w="353"/>
        <w:gridCol w:w="738"/>
        <w:gridCol w:w="158"/>
        <w:gridCol w:w="157"/>
        <w:gridCol w:w="353"/>
        <w:gridCol w:w="738"/>
        <w:gridCol w:w="158"/>
        <w:gridCol w:w="158"/>
        <w:gridCol w:w="447"/>
        <w:gridCol w:w="940"/>
        <w:gridCol w:w="158"/>
      </w:tblGrid>
      <w:tr>
        <w:trPr/>
        <w:tc>
          <w:tcPr>
            <w:tcW w:w="3224" w:type="dxa"/>
            <w:tcBorders/>
            <w:vAlign w:val="bottom"/>
          </w:tcPr>
          <w:p>
            <w:pPr>
              <w:pStyle w:val="TableContents"/>
              <w:bidi w:val="0"/>
              <w:spacing w:before="0" w:after="0"/>
              <w:ind w:left="0" w:right="0" w:hanging="0"/>
              <w:jc w:val="center"/>
              <w:rPr/>
            </w:pPr>
            <w:r>
              <w:rPr/>
              <w:t xml:space="preserve">  </w:t>
            </w:r>
          </w:p>
        </w:tc>
        <w:tc>
          <w:tcPr>
            <w:tcW w:w="157" w:type="dxa"/>
            <w:tcBorders/>
            <w:vAlign w:val="bottom"/>
          </w:tcPr>
          <w:p>
            <w:pPr>
              <w:pStyle w:val="TableContents"/>
              <w:bidi w:val="0"/>
              <w:spacing w:before="0" w:after="0"/>
              <w:ind w:left="0" w:right="0" w:hanging="0"/>
              <w:jc w:val="left"/>
              <w:rPr>
                <w:color w:val="000000"/>
              </w:rPr>
            </w:pPr>
            <w:r>
              <w:rPr>
                <w:color w:val="000000"/>
              </w:rPr>
              <w:t> </w:t>
            </w:r>
          </w:p>
        </w:tc>
        <w:tc>
          <w:tcPr>
            <w:tcW w:w="6666" w:type="dxa"/>
            <w:gridSpan w:val="18"/>
            <w:tcBorders/>
            <w:vAlign w:val="bottom"/>
          </w:tcPr>
          <w:p>
            <w:pPr>
              <w:pStyle w:val="TableContents"/>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Payment Due by Period</w:t>
            </w:r>
          </w:p>
        </w:tc>
        <w:tc>
          <w:tcPr>
            <w:tcW w:w="158" w:type="dxa"/>
            <w:tcBorders/>
            <w:vAlign w:val="bottom"/>
          </w:tcPr>
          <w:p>
            <w:pPr>
              <w:pStyle w:val="TableContents"/>
              <w:bidi w:val="0"/>
              <w:spacing w:before="0" w:after="0"/>
              <w:ind w:left="0" w:right="0" w:hanging="0"/>
              <w:jc w:val="left"/>
              <w:rPr>
                <w:color w:val="000000"/>
              </w:rPr>
            </w:pPr>
            <w:r>
              <w:rPr>
                <w:color w:val="000000"/>
              </w:rPr>
              <w:t> </w:t>
            </w:r>
          </w:p>
        </w:tc>
      </w:tr>
      <w:tr>
        <w:trPr/>
        <w:tc>
          <w:tcPr>
            <w:tcW w:w="3224" w:type="dxa"/>
            <w:tcBorders/>
            <w:vAlign w:val="bottom"/>
          </w:tcPr>
          <w:p>
            <w:pPr>
              <w:pStyle w:val="TableContents"/>
              <w:pBdr/>
              <w:bidi w:val="0"/>
              <w:spacing w:before="0" w:after="0"/>
              <w:ind w:left="0" w:right="0" w:hanging="0"/>
              <w:jc w:val="center"/>
              <w:rPr>
                <w:color w:val="000000"/>
              </w:rPr>
            </w:pPr>
            <w:r>
              <w:rPr>
                <w:color w:val="000000"/>
              </w:rPr>
              <w:t> </w:t>
            </w:r>
          </w:p>
        </w:tc>
        <w:tc>
          <w:tcPr>
            <w:tcW w:w="157" w:type="dxa"/>
            <w:tcBorders/>
            <w:vAlign w:val="bottom"/>
          </w:tcPr>
          <w:p>
            <w:pPr>
              <w:pStyle w:val="TableContents"/>
              <w:pBdr/>
              <w:bidi w:val="0"/>
              <w:spacing w:before="0" w:after="0"/>
              <w:ind w:left="0" w:right="0" w:hanging="0"/>
              <w:jc w:val="left"/>
              <w:rPr>
                <w:color w:val="000000"/>
              </w:rPr>
            </w:pPr>
            <w:r>
              <w:rPr>
                <w:color w:val="000000"/>
              </w:rPr>
              <w:t> </w:t>
            </w:r>
          </w:p>
        </w:tc>
        <w:tc>
          <w:tcPr>
            <w:tcW w:w="665"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Total</w:t>
            </w:r>
          </w:p>
        </w:tc>
        <w:tc>
          <w:tcPr>
            <w:tcW w:w="158" w:type="dxa"/>
            <w:tcBorders/>
            <w:vAlign w:val="bottom"/>
          </w:tcPr>
          <w:p>
            <w:pPr>
              <w:pStyle w:val="TableContents"/>
              <w:pBdr/>
              <w:bidi w:val="0"/>
              <w:spacing w:before="0" w:after="0"/>
              <w:ind w:left="0" w:right="0" w:hanging="0"/>
              <w:jc w:val="left"/>
              <w:rPr>
                <w:color w:val="000000"/>
              </w:rPr>
            </w:pPr>
            <w:r>
              <w:rPr>
                <w:color w:val="000000"/>
              </w:rPr>
              <w:t> </w:t>
            </w:r>
          </w:p>
        </w:tc>
        <w:tc>
          <w:tcPr>
            <w:tcW w:w="157" w:type="dxa"/>
            <w:tcBorders/>
            <w:vAlign w:val="bottom"/>
          </w:tcPr>
          <w:p>
            <w:pPr>
              <w:pStyle w:val="TableContents"/>
              <w:pBdr/>
              <w:bidi w:val="0"/>
              <w:spacing w:before="0" w:after="0"/>
              <w:ind w:left="0" w:right="0" w:hanging="0"/>
              <w:jc w:val="left"/>
              <w:rPr>
                <w:color w:val="000000"/>
              </w:rPr>
            </w:pPr>
            <w:r>
              <w:rPr>
                <w:color w:val="000000"/>
              </w:rPr>
              <w:t> </w:t>
            </w:r>
          </w:p>
        </w:tc>
        <w:tc>
          <w:tcPr>
            <w:tcW w:w="1170" w:type="dxa"/>
            <w:gridSpan w:val="2"/>
            <w:tcBorders/>
            <w:vAlign w:val="bottom"/>
          </w:tcPr>
          <w:p>
            <w:pPr>
              <w:pStyle w:val="TableContents"/>
              <w:pBdr/>
              <w:bidi w:val="0"/>
              <w:spacing w:lineRule="auto" w:line="264"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Less Than</w:t>
            </w:r>
          </w:p>
          <w:p>
            <w:pPr>
              <w:pStyle w:val="TableContents"/>
              <w:pBdr/>
              <w:bidi w:val="0"/>
              <w:spacing w:lineRule="auto" w:line="264" w:before="0" w:after="0"/>
              <w:ind w:left="0" w:right="0" w:hanging="0"/>
              <w:jc w:val="center"/>
              <w:rPr>
                <w:rFonts w:ascii="times new roman;times" w:hAnsi="times new roman;times"/>
                <w:b/>
                <w:color w:val="000000"/>
                <w:sz w:val="20"/>
              </w:rPr>
            </w:pPr>
            <w:bookmarkStart w:id="452" w:name="fs_EETEKOBUXC00000000000000000000fs"/>
            <w:bookmarkEnd w:id="452"/>
            <w:r>
              <w:rPr>
                <w:rFonts w:ascii="times new roman;times" w:hAnsi="times new roman;times"/>
                <w:b/>
                <w:color w:val="000000"/>
                <w:sz w:val="20"/>
              </w:rPr>
              <w:t>1</w:t>
            </w:r>
            <w:r>
              <w:rPr>
                <w:rFonts w:ascii="times new roman;times" w:hAnsi="times new roman;times"/>
                <w:b/>
                <w:color w:val="000000"/>
                <w:sz w:val="20"/>
              </w:rPr>
              <w:t> Year</w:t>
            </w:r>
          </w:p>
        </w:tc>
        <w:tc>
          <w:tcPr>
            <w:tcW w:w="158" w:type="dxa"/>
            <w:tcBorders/>
            <w:vAlign w:val="bottom"/>
          </w:tcPr>
          <w:p>
            <w:pPr>
              <w:pStyle w:val="TableContents"/>
              <w:pBdr/>
              <w:bidi w:val="0"/>
              <w:spacing w:before="0" w:after="0"/>
              <w:ind w:left="0" w:right="0" w:hanging="0"/>
              <w:jc w:val="left"/>
              <w:rPr>
                <w:color w:val="000000"/>
              </w:rPr>
            </w:pPr>
            <w:r>
              <w:rPr>
                <w:color w:val="000000"/>
              </w:rPr>
              <w:t> </w:t>
            </w:r>
          </w:p>
        </w:tc>
        <w:tc>
          <w:tcPr>
            <w:tcW w:w="158" w:type="dxa"/>
            <w:tcBorders/>
            <w:vAlign w:val="bottom"/>
          </w:tcPr>
          <w:p>
            <w:pPr>
              <w:pStyle w:val="TableContents"/>
              <w:pBdr/>
              <w:bidi w:val="0"/>
              <w:spacing w:before="0" w:after="0"/>
              <w:ind w:left="0" w:right="0" w:hanging="0"/>
              <w:jc w:val="left"/>
              <w:rPr>
                <w:color w:val="000000"/>
              </w:rPr>
            </w:pPr>
            <w:r>
              <w:rPr>
                <w:color w:val="000000"/>
              </w:rPr>
              <w:t> </w:t>
            </w:r>
          </w:p>
        </w:tc>
        <w:tc>
          <w:tcPr>
            <w:tcW w:w="1091"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bookmarkStart w:id="453" w:name="fs_9YS8HL82B400000000000000000000fs"/>
            <w:bookmarkEnd w:id="453"/>
            <w:r>
              <w:rPr>
                <w:rFonts w:ascii="times new roman;times" w:hAnsi="times new roman;times"/>
                <w:b/>
                <w:color w:val="000000"/>
                <w:sz w:val="20"/>
              </w:rPr>
              <w:t>1</w:t>
            </w:r>
            <w:r>
              <w:rPr>
                <w:rFonts w:ascii="times new roman;times" w:hAnsi="times new roman;times"/>
                <w:b/>
                <w:color w:val="000000"/>
                <w:sz w:val="20"/>
              </w:rPr>
              <w:t>-</w:t>
            </w:r>
            <w:bookmarkStart w:id="454" w:name="fs_DTMBIU1EFK00000000000000000000fs"/>
            <w:bookmarkEnd w:id="454"/>
            <w:r>
              <w:rPr>
                <w:rFonts w:ascii="times new roman;times" w:hAnsi="times new roman;times"/>
                <w:b/>
                <w:color w:val="000000"/>
                <w:sz w:val="20"/>
              </w:rPr>
              <w:t>3</w:t>
            </w:r>
            <w:r>
              <w:rPr>
                <w:rFonts w:ascii="times new roman;times" w:hAnsi="times new roman;times"/>
                <w:b/>
                <w:color w:val="000000"/>
                <w:sz w:val="20"/>
              </w:rPr>
              <w:t> Years</w:t>
            </w:r>
          </w:p>
        </w:tc>
        <w:tc>
          <w:tcPr>
            <w:tcW w:w="158" w:type="dxa"/>
            <w:tcBorders/>
            <w:vAlign w:val="bottom"/>
          </w:tcPr>
          <w:p>
            <w:pPr>
              <w:pStyle w:val="TableContents"/>
              <w:pBdr/>
              <w:bidi w:val="0"/>
              <w:spacing w:before="0" w:after="0"/>
              <w:ind w:left="0" w:right="0" w:hanging="0"/>
              <w:jc w:val="left"/>
              <w:rPr>
                <w:color w:val="000000"/>
              </w:rPr>
            </w:pPr>
            <w:r>
              <w:rPr>
                <w:color w:val="000000"/>
              </w:rPr>
              <w:t> </w:t>
            </w:r>
          </w:p>
        </w:tc>
        <w:tc>
          <w:tcPr>
            <w:tcW w:w="157" w:type="dxa"/>
            <w:tcBorders/>
            <w:vAlign w:val="bottom"/>
          </w:tcPr>
          <w:p>
            <w:pPr>
              <w:pStyle w:val="TableContents"/>
              <w:pBdr/>
              <w:bidi w:val="0"/>
              <w:spacing w:before="0" w:after="0"/>
              <w:ind w:left="0" w:right="0" w:hanging="0"/>
              <w:jc w:val="left"/>
              <w:rPr>
                <w:color w:val="000000"/>
              </w:rPr>
            </w:pPr>
            <w:r>
              <w:rPr>
                <w:color w:val="000000"/>
              </w:rPr>
              <w:t> </w:t>
            </w:r>
          </w:p>
        </w:tc>
        <w:tc>
          <w:tcPr>
            <w:tcW w:w="1091" w:type="dxa"/>
            <w:gridSpan w:val="2"/>
            <w:tcBorders/>
            <w:vAlign w:val="bottom"/>
          </w:tcPr>
          <w:p>
            <w:pPr>
              <w:pStyle w:val="TableContents"/>
              <w:pBdr/>
              <w:bidi w:val="0"/>
              <w:spacing w:before="0" w:after="0"/>
              <w:ind w:left="0" w:right="0" w:hanging="0"/>
              <w:jc w:val="center"/>
              <w:rPr>
                <w:rFonts w:ascii="times new roman;times" w:hAnsi="times new roman;times"/>
                <w:b/>
                <w:color w:val="000000"/>
                <w:sz w:val="20"/>
              </w:rPr>
            </w:pPr>
            <w:bookmarkStart w:id="455" w:name="fs_0EPQGV716O00000000000000000000fs"/>
            <w:bookmarkEnd w:id="455"/>
            <w:r>
              <w:rPr>
                <w:rFonts w:ascii="times new roman;times" w:hAnsi="times new roman;times"/>
                <w:b/>
                <w:color w:val="000000"/>
                <w:sz w:val="20"/>
              </w:rPr>
              <w:t>3</w:t>
            </w:r>
            <w:r>
              <w:rPr>
                <w:rFonts w:ascii="times new roman;times" w:hAnsi="times new roman;times"/>
                <w:b/>
                <w:color w:val="000000"/>
                <w:sz w:val="20"/>
              </w:rPr>
              <w:t>-</w:t>
            </w:r>
            <w:bookmarkStart w:id="456" w:name="fs_ORCS5LT60W00000000000000000000fs"/>
            <w:bookmarkEnd w:id="456"/>
            <w:r>
              <w:rPr>
                <w:rFonts w:ascii="times new roman;times" w:hAnsi="times new roman;times"/>
                <w:b/>
                <w:color w:val="000000"/>
                <w:sz w:val="20"/>
              </w:rPr>
              <w:t>5</w:t>
            </w:r>
            <w:r>
              <w:rPr>
                <w:rFonts w:ascii="times new roman;times" w:hAnsi="times new roman;times"/>
                <w:b/>
                <w:color w:val="000000"/>
                <w:sz w:val="20"/>
              </w:rPr>
              <w:t> Years</w:t>
            </w:r>
          </w:p>
        </w:tc>
        <w:tc>
          <w:tcPr>
            <w:tcW w:w="158" w:type="dxa"/>
            <w:tcBorders/>
            <w:vAlign w:val="bottom"/>
          </w:tcPr>
          <w:p>
            <w:pPr>
              <w:pStyle w:val="TableContents"/>
              <w:pBdr/>
              <w:bidi w:val="0"/>
              <w:spacing w:before="0" w:after="0"/>
              <w:ind w:left="0" w:right="0" w:hanging="0"/>
              <w:jc w:val="left"/>
              <w:rPr>
                <w:color w:val="000000"/>
              </w:rPr>
            </w:pPr>
            <w:r>
              <w:rPr>
                <w:color w:val="000000"/>
              </w:rPr>
              <w:t> </w:t>
            </w:r>
          </w:p>
        </w:tc>
        <w:tc>
          <w:tcPr>
            <w:tcW w:w="158" w:type="dxa"/>
            <w:tcBorders/>
            <w:vAlign w:val="bottom"/>
          </w:tcPr>
          <w:p>
            <w:pPr>
              <w:pStyle w:val="TableContents"/>
              <w:pBdr/>
              <w:bidi w:val="0"/>
              <w:spacing w:before="0" w:after="0"/>
              <w:ind w:left="0" w:right="0" w:hanging="0"/>
              <w:jc w:val="left"/>
              <w:rPr>
                <w:color w:val="000000"/>
              </w:rPr>
            </w:pPr>
            <w:r>
              <w:rPr>
                <w:color w:val="000000"/>
              </w:rPr>
              <w:t> </w:t>
            </w:r>
          </w:p>
        </w:tc>
        <w:tc>
          <w:tcPr>
            <w:tcW w:w="1387" w:type="dxa"/>
            <w:gridSpan w:val="2"/>
            <w:tcBorders/>
            <w:vAlign w:val="bottom"/>
          </w:tcPr>
          <w:p>
            <w:pPr>
              <w:pStyle w:val="TableContents"/>
              <w:pBdr/>
              <w:bidi w:val="0"/>
              <w:spacing w:lineRule="auto" w:line="264"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More than </w:t>
            </w:r>
            <w:bookmarkStart w:id="457" w:name="fs_TMLOZ3QPZ400000000000000000000fs"/>
            <w:bookmarkEnd w:id="457"/>
            <w:r>
              <w:rPr>
                <w:rFonts w:ascii="times new roman;times" w:hAnsi="times new roman;times"/>
                <w:b/>
                <w:color w:val="000000"/>
                <w:sz w:val="20"/>
              </w:rPr>
              <w:t>5</w:t>
            </w:r>
          </w:p>
          <w:p>
            <w:pPr>
              <w:pStyle w:val="TableContents"/>
              <w:pBdr/>
              <w:bidi w:val="0"/>
              <w:spacing w:lineRule="auto" w:line="264" w:before="0" w:after="0"/>
              <w:ind w:left="0" w:right="0" w:hanging="0"/>
              <w:jc w:val="center"/>
              <w:rPr>
                <w:rFonts w:ascii="times new roman;times" w:hAnsi="times new roman;times"/>
                <w:b/>
                <w:color w:val="000000"/>
                <w:sz w:val="20"/>
              </w:rPr>
            </w:pPr>
            <w:r>
              <w:rPr>
                <w:rFonts w:ascii="times new roman;times" w:hAnsi="times new roman;times"/>
                <w:b/>
                <w:color w:val="000000"/>
                <w:sz w:val="20"/>
              </w:rPr>
              <w:t>years</w:t>
            </w:r>
          </w:p>
        </w:tc>
        <w:tc>
          <w:tcPr>
            <w:tcW w:w="158" w:type="dxa"/>
            <w:tcBorders/>
            <w:vAlign w:val="bottom"/>
          </w:tcPr>
          <w:p>
            <w:pPr>
              <w:pStyle w:val="TableContents"/>
              <w:pBdr/>
              <w:bidi w:val="0"/>
              <w:spacing w:before="0" w:after="0"/>
              <w:ind w:left="0" w:right="0" w:hanging="0"/>
              <w:jc w:val="left"/>
              <w:rPr>
                <w:color w:val="000000"/>
              </w:rPr>
            </w:pPr>
            <w:r>
              <w:rPr>
                <w:color w:val="000000"/>
              </w:rPr>
              <w:t> </w:t>
            </w:r>
          </w:p>
        </w:tc>
      </w:tr>
      <w:tr>
        <w:trPr/>
        <w:tc>
          <w:tcPr>
            <w:tcW w:w="3224"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Related party loan - principal </w:t>
            </w:r>
          </w:p>
        </w:tc>
        <w:tc>
          <w:tcPr>
            <w:tcW w:w="157"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24"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441"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bookmarkStart w:id="458" w:name="fs_LRDF8N5IMO00000000000000000000fs"/>
            <w:bookmarkEnd w:id="458"/>
            <w:r>
              <w:rPr>
                <w:rFonts w:ascii="times new roman;times" w:hAnsi="times new roman;times"/>
                <w:color w:val="000000"/>
                <w:sz w:val="20"/>
              </w:rPr>
              <w:t>500</w:t>
            </w:r>
          </w:p>
        </w:tc>
        <w:tc>
          <w:tcPr>
            <w:tcW w:w="158"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57"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32"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838" w:type="dxa"/>
            <w:tcBorders/>
            <w:shd w:fill="CCEEFF" w:val="clear"/>
            <w:vAlign w:val="bottom"/>
          </w:tcPr>
          <w:p>
            <w:pPr>
              <w:pStyle w:val="TableContents"/>
              <w:bidi w:val="0"/>
              <w:spacing w:before="0" w:after="0"/>
              <w:ind w:left="0" w:right="0" w:hanging="0"/>
              <w:jc w:val="right"/>
              <w:rPr>
                <w:rFonts w:ascii="times new roman;times" w:hAnsi="times new roman;times"/>
                <w:color w:val="000000"/>
                <w:sz w:val="20"/>
              </w:rPr>
            </w:pPr>
            <w:bookmarkStart w:id="459" w:name="fs_FT6ZGRIFM800000000000000000000fs"/>
            <w:bookmarkEnd w:id="459"/>
            <w:r>
              <w:rPr>
                <w:rFonts w:ascii="times new roman;times" w:hAnsi="times new roman;times"/>
                <w:color w:val="000000"/>
                <w:sz w:val="20"/>
              </w:rPr>
              <w:t>500</w:t>
            </w:r>
          </w:p>
        </w:tc>
        <w:tc>
          <w:tcPr>
            <w:tcW w:w="158"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58"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53"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38" w:type="dxa"/>
            <w:tcBorders/>
            <w:shd w:fill="CCEEFF" w:val="clear"/>
            <w:vAlign w:val="bottom"/>
          </w:tcPr>
          <w:p>
            <w:pPr>
              <w:pStyle w:val="TableContents"/>
              <w:bidi w:val="0"/>
              <w:spacing w:before="0" w:after="0"/>
              <w:ind w:left="0" w:right="0" w:hanging="0"/>
              <w:jc w:val="right"/>
              <w:rPr>
                <w:color w:val="000000"/>
              </w:rPr>
            </w:pPr>
            <w:bookmarkStart w:id="460" w:name="fs_BBGQKXRLWW00000000000000000000fs"/>
            <w:bookmarkEnd w:id="460"/>
            <w:r>
              <w:rPr>
                <w:color w:val="000000"/>
              </w:rPr>
              <w:t>—</w:t>
            </w:r>
          </w:p>
        </w:tc>
        <w:tc>
          <w:tcPr>
            <w:tcW w:w="158"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57"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353"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38" w:type="dxa"/>
            <w:tcBorders/>
            <w:shd w:fill="CCEEFF" w:val="clear"/>
            <w:vAlign w:val="bottom"/>
          </w:tcPr>
          <w:p>
            <w:pPr>
              <w:pStyle w:val="TableContents"/>
              <w:bidi w:val="0"/>
              <w:spacing w:before="0" w:after="0"/>
              <w:ind w:left="0" w:right="0" w:hanging="0"/>
              <w:jc w:val="right"/>
              <w:rPr>
                <w:color w:val="000000"/>
              </w:rPr>
            </w:pPr>
            <w:bookmarkStart w:id="461" w:name="fs_JKZBHOOIPS00000000000000000000fs"/>
            <w:bookmarkEnd w:id="461"/>
            <w:r>
              <w:rPr>
                <w:color w:val="000000"/>
              </w:rPr>
              <w:t>—</w:t>
            </w:r>
          </w:p>
        </w:tc>
        <w:tc>
          <w:tcPr>
            <w:tcW w:w="158"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58"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447"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940" w:type="dxa"/>
            <w:tcBorders/>
            <w:shd w:fill="CCEEFF" w:val="clear"/>
            <w:vAlign w:val="bottom"/>
          </w:tcPr>
          <w:p>
            <w:pPr>
              <w:pStyle w:val="TableContents"/>
              <w:bidi w:val="0"/>
              <w:spacing w:before="0" w:after="0"/>
              <w:ind w:left="0" w:right="0" w:hanging="0"/>
              <w:jc w:val="right"/>
              <w:rPr>
                <w:color w:val="000000"/>
              </w:rPr>
            </w:pPr>
            <w:bookmarkStart w:id="462" w:name="fs_B3F5VVOHGW00000000000000000000fs"/>
            <w:bookmarkEnd w:id="462"/>
            <w:r>
              <w:rPr>
                <w:color w:val="000000"/>
              </w:rPr>
              <w:t>—</w:t>
            </w:r>
          </w:p>
        </w:tc>
        <w:tc>
          <w:tcPr>
            <w:tcW w:w="158"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r>
      <w:tr>
        <w:trPr/>
        <w:tc>
          <w:tcPr>
            <w:tcW w:w="3224" w:type="dxa"/>
            <w:tcBorders/>
            <w:vAlign w:val="bottom"/>
          </w:tcPr>
          <w:p>
            <w:pPr>
              <w:pStyle w:val="TableContents"/>
              <w:bidi w:val="0"/>
              <w:spacing w:before="0" w:after="283"/>
              <w:jc w:val="left"/>
              <w:rPr>
                <w:rFonts w:ascii="times new roman;times" w:hAnsi="times new roman;times"/>
                <w:color w:val="000000"/>
                <w:sz w:val="20"/>
              </w:rPr>
            </w:pPr>
            <w:r>
              <w:rPr>
                <w:rFonts w:ascii="times new roman;times" w:hAnsi="times new roman;times"/>
                <w:color w:val="000000"/>
                <w:sz w:val="20"/>
              </w:rPr>
              <w:t xml:space="preserve">Related party loan - interest </w:t>
            </w:r>
          </w:p>
        </w:tc>
        <w:tc>
          <w:tcPr>
            <w:tcW w:w="157" w:type="dxa"/>
            <w:tcBorders/>
            <w:vAlign w:val="bottom"/>
          </w:tcPr>
          <w:p>
            <w:pPr>
              <w:pStyle w:val="TableContents"/>
              <w:bidi w:val="0"/>
              <w:spacing w:before="0" w:after="283"/>
              <w:jc w:val="left"/>
              <w:rPr/>
            </w:pPr>
            <w:r>
              <w:rPr/>
            </w:r>
          </w:p>
        </w:tc>
        <w:tc>
          <w:tcPr>
            <w:tcW w:w="224" w:type="dxa"/>
            <w:tcBorders/>
            <w:vAlign w:val="bottom"/>
          </w:tcPr>
          <w:p>
            <w:pPr>
              <w:pStyle w:val="TableContents"/>
              <w:bidi w:val="0"/>
              <w:spacing w:before="0" w:after="283"/>
              <w:jc w:val="left"/>
              <w:rPr/>
            </w:pPr>
            <w:r>
              <w:rPr/>
            </w:r>
          </w:p>
        </w:tc>
        <w:tc>
          <w:tcPr>
            <w:tcW w:w="441" w:type="dxa"/>
            <w:tcBorders/>
            <w:vAlign w:val="bottom"/>
          </w:tcPr>
          <w:p>
            <w:pPr>
              <w:pStyle w:val="TableContents"/>
              <w:bidi w:val="0"/>
              <w:spacing w:before="0" w:after="283"/>
              <w:jc w:val="left"/>
              <w:rPr/>
            </w:pPr>
            <w:r>
              <w:rPr/>
            </w:r>
          </w:p>
        </w:tc>
        <w:tc>
          <w:tcPr>
            <w:tcW w:w="158" w:type="dxa"/>
            <w:tcBorders/>
            <w:vAlign w:val="bottom"/>
          </w:tcPr>
          <w:p>
            <w:pPr>
              <w:pStyle w:val="TableContents"/>
              <w:bidi w:val="0"/>
              <w:spacing w:before="0" w:after="283"/>
              <w:jc w:val="left"/>
              <w:rPr/>
            </w:pPr>
            <w:r>
              <w:rPr/>
            </w:r>
          </w:p>
        </w:tc>
        <w:tc>
          <w:tcPr>
            <w:tcW w:w="157" w:type="dxa"/>
            <w:tcBorders/>
            <w:vAlign w:val="bottom"/>
          </w:tcPr>
          <w:p>
            <w:pPr>
              <w:pStyle w:val="TableContents"/>
              <w:bidi w:val="0"/>
              <w:spacing w:before="0" w:after="283"/>
              <w:jc w:val="left"/>
              <w:rPr/>
            </w:pPr>
            <w:r>
              <w:rPr/>
            </w:r>
          </w:p>
        </w:tc>
        <w:tc>
          <w:tcPr>
            <w:tcW w:w="332" w:type="dxa"/>
            <w:tcBorders/>
            <w:vAlign w:val="bottom"/>
          </w:tcPr>
          <w:p>
            <w:pPr>
              <w:pStyle w:val="TableContents"/>
              <w:bidi w:val="0"/>
              <w:spacing w:before="0" w:after="283"/>
              <w:jc w:val="left"/>
              <w:rPr/>
            </w:pPr>
            <w:r>
              <w:rPr/>
            </w:r>
          </w:p>
        </w:tc>
        <w:tc>
          <w:tcPr>
            <w:tcW w:w="838" w:type="dxa"/>
            <w:tcBorders/>
            <w:vAlign w:val="bottom"/>
          </w:tcPr>
          <w:p>
            <w:pPr>
              <w:pStyle w:val="TableContents"/>
              <w:bidi w:val="0"/>
              <w:spacing w:before="0" w:after="283"/>
              <w:jc w:val="left"/>
              <w:rPr/>
            </w:pPr>
            <w:r>
              <w:rPr/>
            </w:r>
          </w:p>
        </w:tc>
        <w:tc>
          <w:tcPr>
            <w:tcW w:w="158" w:type="dxa"/>
            <w:tcBorders/>
            <w:vAlign w:val="bottom"/>
          </w:tcPr>
          <w:p>
            <w:pPr>
              <w:pStyle w:val="TableContents"/>
              <w:bidi w:val="0"/>
              <w:spacing w:before="0" w:after="283"/>
              <w:jc w:val="left"/>
              <w:rPr/>
            </w:pPr>
            <w:r>
              <w:rPr/>
            </w:r>
          </w:p>
        </w:tc>
        <w:tc>
          <w:tcPr>
            <w:tcW w:w="158" w:type="dxa"/>
            <w:tcBorders/>
            <w:vAlign w:val="bottom"/>
          </w:tcPr>
          <w:p>
            <w:pPr>
              <w:pStyle w:val="TableContents"/>
              <w:bidi w:val="0"/>
              <w:spacing w:before="0" w:after="283"/>
              <w:jc w:val="left"/>
              <w:rPr/>
            </w:pPr>
            <w:r>
              <w:rPr/>
            </w:r>
          </w:p>
        </w:tc>
        <w:tc>
          <w:tcPr>
            <w:tcW w:w="353" w:type="dxa"/>
            <w:tcBorders/>
            <w:vAlign w:val="bottom"/>
          </w:tcPr>
          <w:p>
            <w:pPr>
              <w:pStyle w:val="TableContents"/>
              <w:bidi w:val="0"/>
              <w:spacing w:before="0" w:after="283"/>
              <w:jc w:val="left"/>
              <w:rPr/>
            </w:pPr>
            <w:r>
              <w:rPr/>
            </w:r>
          </w:p>
        </w:tc>
        <w:tc>
          <w:tcPr>
            <w:tcW w:w="738" w:type="dxa"/>
            <w:tcBorders/>
            <w:vAlign w:val="bottom"/>
          </w:tcPr>
          <w:p>
            <w:pPr>
              <w:pStyle w:val="TableContents"/>
              <w:bidi w:val="0"/>
              <w:spacing w:before="0" w:after="283"/>
              <w:jc w:val="left"/>
              <w:rPr/>
            </w:pPr>
            <w:r>
              <w:rPr/>
            </w:r>
          </w:p>
        </w:tc>
        <w:tc>
          <w:tcPr>
            <w:tcW w:w="158" w:type="dxa"/>
            <w:tcBorders/>
            <w:vAlign w:val="bottom"/>
          </w:tcPr>
          <w:p>
            <w:pPr>
              <w:pStyle w:val="TableContents"/>
              <w:bidi w:val="0"/>
              <w:spacing w:before="0" w:after="283"/>
              <w:jc w:val="left"/>
              <w:rPr/>
            </w:pPr>
            <w:r>
              <w:rPr/>
            </w:r>
          </w:p>
        </w:tc>
        <w:tc>
          <w:tcPr>
            <w:tcW w:w="157" w:type="dxa"/>
            <w:tcBorders/>
            <w:vAlign w:val="bottom"/>
          </w:tcPr>
          <w:p>
            <w:pPr>
              <w:pStyle w:val="TableContents"/>
              <w:bidi w:val="0"/>
              <w:spacing w:before="0" w:after="283"/>
              <w:jc w:val="left"/>
              <w:rPr/>
            </w:pPr>
            <w:r>
              <w:rPr/>
            </w:r>
          </w:p>
        </w:tc>
        <w:tc>
          <w:tcPr>
            <w:tcW w:w="353" w:type="dxa"/>
            <w:tcBorders/>
            <w:vAlign w:val="bottom"/>
          </w:tcPr>
          <w:p>
            <w:pPr>
              <w:pStyle w:val="TableContents"/>
              <w:bidi w:val="0"/>
              <w:spacing w:before="0" w:after="283"/>
              <w:jc w:val="left"/>
              <w:rPr/>
            </w:pPr>
            <w:r>
              <w:rPr/>
            </w:r>
          </w:p>
        </w:tc>
        <w:tc>
          <w:tcPr>
            <w:tcW w:w="738" w:type="dxa"/>
            <w:tcBorders/>
            <w:vAlign w:val="bottom"/>
          </w:tcPr>
          <w:p>
            <w:pPr>
              <w:pStyle w:val="TableContents"/>
              <w:bidi w:val="0"/>
              <w:spacing w:before="0" w:after="283"/>
              <w:jc w:val="left"/>
              <w:rPr/>
            </w:pPr>
            <w:r>
              <w:rPr/>
            </w:r>
          </w:p>
        </w:tc>
        <w:tc>
          <w:tcPr>
            <w:tcW w:w="158" w:type="dxa"/>
            <w:tcBorders/>
            <w:vAlign w:val="bottom"/>
          </w:tcPr>
          <w:p>
            <w:pPr>
              <w:pStyle w:val="TableContents"/>
              <w:bidi w:val="0"/>
              <w:spacing w:before="0" w:after="283"/>
              <w:jc w:val="left"/>
              <w:rPr/>
            </w:pPr>
            <w:r>
              <w:rPr/>
            </w:r>
          </w:p>
        </w:tc>
        <w:tc>
          <w:tcPr>
            <w:tcW w:w="158" w:type="dxa"/>
            <w:tcBorders/>
            <w:vAlign w:val="bottom"/>
          </w:tcPr>
          <w:p>
            <w:pPr>
              <w:pStyle w:val="TableContents"/>
              <w:bidi w:val="0"/>
              <w:spacing w:before="0" w:after="283"/>
              <w:jc w:val="left"/>
              <w:rPr/>
            </w:pPr>
            <w:r>
              <w:rPr/>
            </w:r>
          </w:p>
        </w:tc>
        <w:tc>
          <w:tcPr>
            <w:tcW w:w="447" w:type="dxa"/>
            <w:tcBorders/>
            <w:vAlign w:val="bottom"/>
          </w:tcPr>
          <w:p>
            <w:pPr>
              <w:pStyle w:val="TableContents"/>
              <w:bidi w:val="0"/>
              <w:spacing w:before="0" w:after="283"/>
              <w:jc w:val="left"/>
              <w:rPr/>
            </w:pPr>
            <w:r>
              <w:rPr/>
            </w:r>
          </w:p>
        </w:tc>
        <w:tc>
          <w:tcPr>
            <w:tcW w:w="940" w:type="dxa"/>
            <w:tcBorders/>
            <w:vAlign w:val="bottom"/>
          </w:tcPr>
          <w:p>
            <w:pPr>
              <w:pStyle w:val="TableContents"/>
              <w:bidi w:val="0"/>
              <w:spacing w:before="0" w:after="283"/>
              <w:jc w:val="left"/>
              <w:rPr/>
            </w:pPr>
            <w:r>
              <w:rPr/>
            </w:r>
          </w:p>
        </w:tc>
        <w:tc>
          <w:tcPr>
            <w:tcW w:w="158" w:type="dxa"/>
            <w:tcBorders/>
            <w:vAlign w:val="bottom"/>
          </w:tcPr>
          <w:p>
            <w:pPr>
              <w:pStyle w:val="TableContents"/>
              <w:bidi w:val="0"/>
              <w:spacing w:before="0" w:after="283"/>
              <w:jc w:val="left"/>
              <w:rPr/>
            </w:pPr>
            <w:r>
              <w:rPr/>
            </w:r>
          </w:p>
        </w:tc>
      </w:tr>
      <w:tr>
        <w:trPr/>
        <w:tc>
          <w:tcPr>
            <w:tcW w:w="3224" w:type="dxa"/>
            <w:tcBorders/>
            <w:shd w:fill="CCEEFF" w:val="clear"/>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Operating leases </w:t>
            </w:r>
          </w:p>
        </w:tc>
        <w:tc>
          <w:tcPr>
            <w:tcW w:w="157"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224"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441" w:type="dxa"/>
            <w:tcBorders/>
            <w:shd w:fill="CCEEFF" w:val="clear"/>
            <w:vAlign w:val="bottom"/>
          </w:tcPr>
          <w:p>
            <w:pPr>
              <w:pStyle w:val="TableContents"/>
              <w:bidi w:val="0"/>
              <w:spacing w:before="0" w:after="0"/>
              <w:ind w:left="0" w:right="0" w:hanging="0"/>
              <w:jc w:val="right"/>
              <w:rPr>
                <w:color w:val="000000"/>
              </w:rPr>
            </w:pPr>
            <w:bookmarkStart w:id="463" w:name="fs_E57UFFDLB400000000000000000000fs"/>
            <w:bookmarkEnd w:id="463"/>
            <w:r>
              <w:rPr>
                <w:color w:val="000000"/>
              </w:rPr>
              <w:t>—</w:t>
            </w:r>
          </w:p>
        </w:tc>
        <w:tc>
          <w:tcPr>
            <w:tcW w:w="158"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57"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32"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838" w:type="dxa"/>
            <w:tcBorders/>
            <w:shd w:fill="CCEEFF" w:val="clear"/>
            <w:vAlign w:val="bottom"/>
          </w:tcPr>
          <w:p>
            <w:pPr>
              <w:pStyle w:val="TableContents"/>
              <w:bidi w:val="0"/>
              <w:spacing w:before="0" w:after="0"/>
              <w:ind w:left="0" w:right="0" w:hanging="0"/>
              <w:jc w:val="right"/>
              <w:rPr>
                <w:color w:val="000000"/>
              </w:rPr>
            </w:pPr>
            <w:bookmarkStart w:id="464" w:name="fs_ZE8RNHVG0000000000000000000000fs"/>
            <w:bookmarkEnd w:id="464"/>
            <w:r>
              <w:rPr>
                <w:color w:val="000000"/>
              </w:rPr>
              <w:t>—</w:t>
            </w:r>
          </w:p>
        </w:tc>
        <w:tc>
          <w:tcPr>
            <w:tcW w:w="158"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58"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353"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738" w:type="dxa"/>
            <w:tcBorders/>
            <w:shd w:fill="CCEEFF" w:val="clear"/>
            <w:vAlign w:val="bottom"/>
          </w:tcPr>
          <w:p>
            <w:pPr>
              <w:pStyle w:val="TableContents"/>
              <w:bidi w:val="0"/>
              <w:spacing w:before="0" w:after="0"/>
              <w:ind w:left="0" w:right="0" w:hanging="0"/>
              <w:jc w:val="right"/>
              <w:rPr>
                <w:color w:val="000000"/>
              </w:rPr>
            </w:pPr>
            <w:bookmarkStart w:id="465" w:name="fs_D1A93PAWU800000000000000000000fs"/>
            <w:bookmarkEnd w:id="465"/>
            <w:r>
              <w:rPr>
                <w:color w:val="000000"/>
              </w:rPr>
              <w:t>—</w:t>
            </w:r>
          </w:p>
        </w:tc>
        <w:tc>
          <w:tcPr>
            <w:tcW w:w="158"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57"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353"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738" w:type="dxa"/>
            <w:tcBorders/>
            <w:shd w:fill="CCEEFF" w:val="clear"/>
            <w:vAlign w:val="bottom"/>
          </w:tcPr>
          <w:p>
            <w:pPr>
              <w:pStyle w:val="TableContents"/>
              <w:bidi w:val="0"/>
              <w:spacing w:before="0" w:after="0"/>
              <w:ind w:left="0" w:right="0" w:hanging="0"/>
              <w:jc w:val="right"/>
              <w:rPr>
                <w:color w:val="000000"/>
              </w:rPr>
            </w:pPr>
            <w:bookmarkStart w:id="466" w:name="fs_TBV559FXFK00000000000000000000fs"/>
            <w:bookmarkEnd w:id="466"/>
            <w:r>
              <w:rPr>
                <w:color w:val="000000"/>
              </w:rPr>
              <w:t>—</w:t>
            </w:r>
          </w:p>
        </w:tc>
        <w:tc>
          <w:tcPr>
            <w:tcW w:w="158"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158" w:type="dxa"/>
            <w:tcBorders/>
            <w:shd w:fill="CCEEFF" w:val="clear"/>
            <w:vAlign w:val="bottom"/>
          </w:tcPr>
          <w:p>
            <w:pPr>
              <w:pStyle w:val="TableContents"/>
              <w:bidi w:val="0"/>
              <w:spacing w:before="0" w:after="0"/>
              <w:ind w:left="0" w:right="0" w:hanging="0"/>
              <w:jc w:val="right"/>
              <w:rPr>
                <w:color w:val="000000"/>
              </w:rPr>
            </w:pPr>
            <w:r>
              <w:rPr>
                <w:color w:val="000000"/>
              </w:rPr>
              <w:t xml:space="preserve">  </w:t>
            </w:r>
          </w:p>
        </w:tc>
        <w:tc>
          <w:tcPr>
            <w:tcW w:w="447"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c>
          <w:tcPr>
            <w:tcW w:w="940" w:type="dxa"/>
            <w:tcBorders/>
            <w:shd w:fill="CCEEFF" w:val="clear"/>
            <w:vAlign w:val="bottom"/>
          </w:tcPr>
          <w:p>
            <w:pPr>
              <w:pStyle w:val="TableContents"/>
              <w:bidi w:val="0"/>
              <w:spacing w:before="0" w:after="0"/>
              <w:ind w:left="0" w:right="0" w:hanging="0"/>
              <w:jc w:val="right"/>
              <w:rPr>
                <w:color w:val="000000"/>
              </w:rPr>
            </w:pPr>
            <w:bookmarkStart w:id="467" w:name="fs_ST092NKYF400000000000000000000fs"/>
            <w:bookmarkEnd w:id="467"/>
            <w:r>
              <w:rPr>
                <w:color w:val="000000"/>
              </w:rPr>
              <w:t>—</w:t>
            </w:r>
          </w:p>
        </w:tc>
        <w:tc>
          <w:tcPr>
            <w:tcW w:w="158" w:type="dxa"/>
            <w:tcBorders/>
            <w:shd w:fill="CCEEFF" w:val="clear"/>
            <w:vAlign w:val="bottom"/>
          </w:tcPr>
          <w:p>
            <w:pPr>
              <w:pStyle w:val="TableContents"/>
              <w:bidi w:val="0"/>
              <w:spacing w:before="0" w:after="0"/>
              <w:ind w:left="0" w:right="0" w:hanging="0"/>
              <w:jc w:val="left"/>
              <w:rPr>
                <w:color w:val="000000"/>
              </w:rPr>
            </w:pPr>
            <w:r>
              <w:rPr>
                <w:color w:val="000000"/>
              </w:rPr>
              <w:t xml:space="preserve">  </w:t>
            </w:r>
          </w:p>
        </w:tc>
      </w:tr>
      <w:tr>
        <w:trPr/>
        <w:tc>
          <w:tcPr>
            <w:tcW w:w="3224"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Total </w:t>
            </w:r>
          </w:p>
        </w:tc>
        <w:tc>
          <w:tcPr>
            <w:tcW w:w="157" w:type="dxa"/>
            <w:tcBorders/>
            <w:vAlign w:val="bottom"/>
          </w:tcPr>
          <w:p>
            <w:pPr>
              <w:pStyle w:val="TableContents"/>
              <w:bidi w:val="0"/>
              <w:spacing w:before="0" w:after="0"/>
              <w:ind w:left="0" w:right="0" w:hanging="0"/>
              <w:jc w:val="left"/>
              <w:rPr>
                <w:color w:val="000000"/>
              </w:rPr>
            </w:pPr>
            <w:r>
              <w:rPr>
                <w:color w:val="000000"/>
              </w:rPr>
              <w:t xml:space="preserve">  </w:t>
            </w:r>
          </w:p>
        </w:tc>
        <w:tc>
          <w:tcPr>
            <w:tcW w:w="224"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441" w:type="dxa"/>
            <w:tcBorders/>
            <w:vAlign w:val="bottom"/>
          </w:tcPr>
          <w:p>
            <w:pPr>
              <w:pStyle w:val="TableContents"/>
              <w:bidi w:val="0"/>
              <w:spacing w:before="0" w:after="0"/>
              <w:ind w:left="0" w:right="0" w:hanging="0"/>
              <w:jc w:val="right"/>
              <w:rPr>
                <w:rFonts w:ascii="times new roman;times" w:hAnsi="times new roman;times"/>
                <w:color w:val="000000"/>
                <w:sz w:val="20"/>
              </w:rPr>
            </w:pPr>
            <w:bookmarkStart w:id="468" w:name="fs_8DU3RMM01S00000000000000000000fs"/>
            <w:bookmarkEnd w:id="468"/>
            <w:r>
              <w:rPr>
                <w:rFonts w:ascii="times new roman;times" w:hAnsi="times new roman;times"/>
                <w:color w:val="000000"/>
                <w:sz w:val="20"/>
              </w:rPr>
              <w:t>500</w:t>
            </w:r>
          </w:p>
        </w:tc>
        <w:tc>
          <w:tcPr>
            <w:tcW w:w="158" w:type="dxa"/>
            <w:tcBorders/>
            <w:vAlign w:val="bottom"/>
          </w:tcPr>
          <w:p>
            <w:pPr>
              <w:pStyle w:val="TableContents"/>
              <w:bidi w:val="0"/>
              <w:spacing w:before="0" w:after="0"/>
              <w:ind w:left="0" w:right="0" w:hanging="0"/>
              <w:jc w:val="left"/>
              <w:rPr>
                <w:color w:val="000000"/>
              </w:rPr>
            </w:pPr>
            <w:r>
              <w:rPr>
                <w:color w:val="000000"/>
              </w:rPr>
              <w:t xml:space="preserve">  </w:t>
            </w:r>
          </w:p>
        </w:tc>
        <w:tc>
          <w:tcPr>
            <w:tcW w:w="157" w:type="dxa"/>
            <w:tcBorders/>
            <w:vAlign w:val="bottom"/>
          </w:tcPr>
          <w:p>
            <w:pPr>
              <w:pStyle w:val="TableContents"/>
              <w:bidi w:val="0"/>
              <w:spacing w:before="0" w:after="0"/>
              <w:ind w:left="0" w:right="0" w:hanging="0"/>
              <w:jc w:val="left"/>
              <w:rPr>
                <w:color w:val="000000"/>
              </w:rPr>
            </w:pPr>
            <w:r>
              <w:rPr>
                <w:color w:val="000000"/>
              </w:rPr>
              <w:t xml:space="preserve">  </w:t>
            </w:r>
          </w:p>
        </w:tc>
        <w:tc>
          <w:tcPr>
            <w:tcW w:w="332"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838" w:type="dxa"/>
            <w:tcBorders/>
            <w:vAlign w:val="bottom"/>
          </w:tcPr>
          <w:p>
            <w:pPr>
              <w:pStyle w:val="TableContents"/>
              <w:bidi w:val="0"/>
              <w:spacing w:before="0" w:after="0"/>
              <w:ind w:left="0" w:right="0" w:hanging="0"/>
              <w:jc w:val="right"/>
              <w:rPr>
                <w:rFonts w:ascii="times new roman;times" w:hAnsi="times new roman;times"/>
                <w:color w:val="000000"/>
                <w:sz w:val="20"/>
              </w:rPr>
            </w:pPr>
            <w:bookmarkStart w:id="469" w:name="fs_2ZB1GLI6LC00000000000000000000fs"/>
            <w:bookmarkEnd w:id="469"/>
            <w:r>
              <w:rPr>
                <w:rFonts w:ascii="times new roman;times" w:hAnsi="times new roman;times"/>
                <w:color w:val="000000"/>
                <w:sz w:val="20"/>
              </w:rPr>
              <w:t>500</w:t>
            </w:r>
          </w:p>
        </w:tc>
        <w:tc>
          <w:tcPr>
            <w:tcW w:w="158" w:type="dxa"/>
            <w:tcBorders/>
            <w:vAlign w:val="bottom"/>
          </w:tcPr>
          <w:p>
            <w:pPr>
              <w:pStyle w:val="TableContents"/>
              <w:bidi w:val="0"/>
              <w:spacing w:before="0" w:after="0"/>
              <w:ind w:left="0" w:right="0" w:hanging="0"/>
              <w:jc w:val="left"/>
              <w:rPr>
                <w:color w:val="000000"/>
              </w:rPr>
            </w:pPr>
            <w:r>
              <w:rPr>
                <w:color w:val="000000"/>
              </w:rPr>
              <w:t xml:space="preserve">  </w:t>
            </w:r>
          </w:p>
        </w:tc>
        <w:tc>
          <w:tcPr>
            <w:tcW w:w="158" w:type="dxa"/>
            <w:tcBorders/>
            <w:vAlign w:val="bottom"/>
          </w:tcPr>
          <w:p>
            <w:pPr>
              <w:pStyle w:val="TableContents"/>
              <w:bidi w:val="0"/>
              <w:spacing w:before="0" w:after="0"/>
              <w:ind w:left="0" w:right="0" w:hanging="0"/>
              <w:jc w:val="left"/>
              <w:rPr>
                <w:color w:val="000000"/>
              </w:rPr>
            </w:pPr>
            <w:r>
              <w:rPr>
                <w:color w:val="000000"/>
              </w:rPr>
              <w:t xml:space="preserve">  </w:t>
            </w:r>
          </w:p>
        </w:tc>
        <w:tc>
          <w:tcPr>
            <w:tcW w:w="353"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38" w:type="dxa"/>
            <w:tcBorders/>
            <w:vAlign w:val="bottom"/>
          </w:tcPr>
          <w:p>
            <w:pPr>
              <w:pStyle w:val="TableContents"/>
              <w:bidi w:val="0"/>
              <w:spacing w:before="0" w:after="0"/>
              <w:ind w:left="0" w:right="0" w:hanging="0"/>
              <w:jc w:val="right"/>
              <w:rPr>
                <w:color w:val="000000"/>
              </w:rPr>
            </w:pPr>
            <w:bookmarkStart w:id="470" w:name="fs_R2RWFN269S00000000000000000000fs"/>
            <w:bookmarkEnd w:id="470"/>
            <w:r>
              <w:rPr>
                <w:color w:val="000000"/>
              </w:rPr>
              <w:t>—</w:t>
            </w:r>
          </w:p>
        </w:tc>
        <w:tc>
          <w:tcPr>
            <w:tcW w:w="158" w:type="dxa"/>
            <w:tcBorders/>
            <w:vAlign w:val="bottom"/>
          </w:tcPr>
          <w:p>
            <w:pPr>
              <w:pStyle w:val="TableContents"/>
              <w:bidi w:val="0"/>
              <w:spacing w:before="0" w:after="0"/>
              <w:ind w:left="0" w:right="0" w:hanging="0"/>
              <w:jc w:val="left"/>
              <w:rPr>
                <w:color w:val="000000"/>
              </w:rPr>
            </w:pPr>
            <w:r>
              <w:rPr>
                <w:color w:val="000000"/>
              </w:rPr>
              <w:t xml:space="preserve">  </w:t>
            </w:r>
          </w:p>
        </w:tc>
        <w:tc>
          <w:tcPr>
            <w:tcW w:w="157" w:type="dxa"/>
            <w:tcBorders/>
            <w:vAlign w:val="bottom"/>
          </w:tcPr>
          <w:p>
            <w:pPr>
              <w:pStyle w:val="TableContents"/>
              <w:bidi w:val="0"/>
              <w:spacing w:before="0" w:after="0"/>
              <w:ind w:left="0" w:right="0" w:hanging="0"/>
              <w:jc w:val="right"/>
              <w:rPr>
                <w:color w:val="000000"/>
              </w:rPr>
            </w:pPr>
            <w:r>
              <w:rPr>
                <w:color w:val="000000"/>
              </w:rPr>
              <w:t xml:space="preserve">  </w:t>
            </w:r>
          </w:p>
        </w:tc>
        <w:tc>
          <w:tcPr>
            <w:tcW w:w="353"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738" w:type="dxa"/>
            <w:tcBorders/>
            <w:vAlign w:val="bottom"/>
          </w:tcPr>
          <w:p>
            <w:pPr>
              <w:pStyle w:val="TableContents"/>
              <w:bidi w:val="0"/>
              <w:spacing w:before="0" w:after="0"/>
              <w:ind w:left="0" w:right="0" w:hanging="0"/>
              <w:jc w:val="right"/>
              <w:rPr>
                <w:color w:val="000000"/>
              </w:rPr>
            </w:pPr>
            <w:bookmarkStart w:id="471" w:name="fs_XGBQQFWS0W00000000000000000000fs"/>
            <w:bookmarkEnd w:id="471"/>
            <w:r>
              <w:rPr>
                <w:color w:val="000000"/>
              </w:rPr>
              <w:t>—</w:t>
            </w:r>
          </w:p>
        </w:tc>
        <w:tc>
          <w:tcPr>
            <w:tcW w:w="158" w:type="dxa"/>
            <w:tcBorders/>
            <w:vAlign w:val="bottom"/>
          </w:tcPr>
          <w:p>
            <w:pPr>
              <w:pStyle w:val="TableContents"/>
              <w:bidi w:val="0"/>
              <w:spacing w:before="0" w:after="0"/>
              <w:ind w:left="0" w:right="0" w:hanging="0"/>
              <w:jc w:val="left"/>
              <w:rPr>
                <w:color w:val="000000"/>
              </w:rPr>
            </w:pPr>
            <w:r>
              <w:rPr>
                <w:color w:val="000000"/>
              </w:rPr>
              <w:t xml:space="preserve">  </w:t>
            </w:r>
          </w:p>
        </w:tc>
        <w:tc>
          <w:tcPr>
            <w:tcW w:w="158" w:type="dxa"/>
            <w:tcBorders/>
            <w:vAlign w:val="bottom"/>
          </w:tcPr>
          <w:p>
            <w:pPr>
              <w:pStyle w:val="TableContents"/>
              <w:bidi w:val="0"/>
              <w:spacing w:before="0" w:after="0"/>
              <w:ind w:left="0" w:right="0" w:hanging="0"/>
              <w:jc w:val="right"/>
              <w:rPr>
                <w:color w:val="000000"/>
              </w:rPr>
            </w:pPr>
            <w:r>
              <w:rPr>
                <w:color w:val="000000"/>
              </w:rPr>
              <w:t xml:space="preserve">  </w:t>
            </w:r>
          </w:p>
        </w:tc>
        <w:tc>
          <w:tcPr>
            <w:tcW w:w="447" w:type="dxa"/>
            <w:tcBorders/>
            <w:vAlign w:val="bottom"/>
          </w:tcPr>
          <w:p>
            <w:pPr>
              <w:pStyle w:val="TableContents"/>
              <w:bidi w:val="0"/>
              <w:spacing w:before="0" w:after="0"/>
              <w:ind w:left="0" w:right="0" w:hanging="0"/>
              <w:jc w:val="left"/>
              <w:rPr>
                <w:rFonts w:ascii="times new roman;times" w:hAnsi="times new roman;times"/>
                <w:color w:val="000000"/>
                <w:sz w:val="20"/>
              </w:rPr>
            </w:pPr>
            <w:r>
              <w:rPr>
                <w:rFonts w:ascii="times new roman;times" w:hAnsi="times new roman;times"/>
                <w:color w:val="000000"/>
                <w:sz w:val="20"/>
              </w:rPr>
              <w:t xml:space="preserve">$ </w:t>
            </w:r>
          </w:p>
        </w:tc>
        <w:tc>
          <w:tcPr>
            <w:tcW w:w="940" w:type="dxa"/>
            <w:tcBorders/>
            <w:vAlign w:val="bottom"/>
          </w:tcPr>
          <w:p>
            <w:pPr>
              <w:pStyle w:val="TableContents"/>
              <w:bidi w:val="0"/>
              <w:spacing w:before="0" w:after="0"/>
              <w:ind w:left="0" w:right="0" w:hanging="0"/>
              <w:jc w:val="right"/>
              <w:rPr>
                <w:color w:val="000000"/>
              </w:rPr>
            </w:pPr>
            <w:bookmarkStart w:id="472" w:name="fs_2A920KFECW00000000000000000000fs"/>
            <w:bookmarkEnd w:id="472"/>
            <w:r>
              <w:rPr>
                <w:color w:val="000000"/>
              </w:rPr>
              <w:t>—</w:t>
            </w:r>
          </w:p>
        </w:tc>
        <w:tc>
          <w:tcPr>
            <w:tcW w:w="158" w:type="dxa"/>
            <w:tcBorders/>
            <w:vAlign w:val="bottom"/>
          </w:tcPr>
          <w:p>
            <w:pPr>
              <w:pStyle w:val="TableContents"/>
              <w:bidi w:val="0"/>
              <w:spacing w:before="0" w:after="0"/>
              <w:ind w:left="0" w:right="0" w:hanging="0"/>
              <w:jc w:val="left"/>
              <w:rPr>
                <w:color w:val="000000"/>
              </w:rPr>
            </w:pPr>
            <w:r>
              <w:rPr>
                <w:color w:val="000000"/>
              </w:rPr>
              <w:t xml:space="preserve">  </w:t>
            </w:r>
          </w:p>
        </w:tc>
      </w:tr>
    </w:tbl>
    <w:p>
      <w:pPr>
        <w:pStyle w:val="TextBody"/>
        <w:widowControl/>
        <w:bidi w:val="0"/>
        <w:spacing w:before="0" w:after="0"/>
        <w:jc w:val="left"/>
        <w:rPr>
          <w:b w:val="false"/>
          <w:b w:val="false"/>
          <w:bCs w:val="false"/>
          <w:i w:val="false"/>
          <w:i w:val="false"/>
          <w:iCs w:val="false"/>
          <w:caps w:val="false"/>
          <w:smallCaps w:val="false"/>
          <w:color w:val="000000"/>
          <w:spacing w:val="0"/>
          <w:sz w:val="20"/>
          <w:szCs w:val="20"/>
        </w:rPr>
      </w:pPr>
      <w:r>
        <w:rPr>
          <w:b w:val="false"/>
          <w:bCs w:val="false"/>
          <w:i w:val="false"/>
          <w:iCs w:val="false"/>
          <w:caps w:val="false"/>
          <w:smallCaps w:val="false"/>
          <w:color w:val="000000"/>
          <w:spacing w:val="0"/>
          <w:sz w:val="20"/>
          <w:szCs w:val="20"/>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OFF-BALANCE SHEET ARRANGEMENTS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CRITICAL ACCOUNTING POLICIES AND ESTIMATES</w:t>
      </w:r>
    </w:p>
    <w:p>
      <w:pPr>
        <w:pStyle w:val="TextBody"/>
        <w:widowControl/>
        <w:bidi w:val="0"/>
        <w:spacing w:before="0" w:after="0"/>
        <w:ind w:left="0" w:right="0" w:hanging="0"/>
        <w:jc w:val="left"/>
        <w:rPr>
          <w:caps w:val="false"/>
          <w:smallCaps w:val="false"/>
          <w:color w:val="000000"/>
          <w:spacing w:val="0"/>
        </w:rPr>
      </w:pPr>
      <w:r>
        <w:rPr>
          <w:caps w:val="false"/>
          <w:smallCaps w:val="false"/>
          <w:color w:val="000000"/>
          <w:spacing w:val="0"/>
        </w:rPr>
        <w:t> </w:t>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Our critical accounting policies and estimates are disclosed in our Annual Report on Form 10-K for the year ended </w:t>
      </w:r>
      <w:bookmarkStart w:id="473" w:name="fs_2HZL8IDWJK00000000000000000000FM"/>
      <w:bookmarkEnd w:id="473"/>
      <w:r>
        <w:rPr>
          <w:rFonts w:ascii="times new roman;times" w:hAnsi="times new roman;times"/>
          <w:b w:val="false"/>
          <w:i w:val="false"/>
          <w:caps w:val="false"/>
          <w:smallCaps w:val="false"/>
          <w:color w:val="000000"/>
          <w:spacing w:val="0"/>
          <w:sz w:val="20"/>
        </w:rPr>
        <w:t xml:space="preserve">December 31, 2025. There have been no material changes during the </w:t>
      </w:r>
      <w:bookmarkStart w:id="474" w:name="fs_MBBEE8PGW000000000000000000000FM"/>
      <w:bookmarkEnd w:id="474"/>
      <w:r>
        <w:rPr>
          <w:rFonts w:ascii="times new roman;times" w:hAnsi="times new roman;times"/>
          <w:b w:val="false"/>
          <w:i w:val="false"/>
          <w:caps w:val="false"/>
          <w:smallCaps w:val="false"/>
          <w:color w:val="000000"/>
          <w:spacing w:val="0"/>
          <w:sz w:val="20"/>
        </w:rPr>
        <w:t xml:space="preserve">six months ended June 30, 2026, other than (i) the presentation of discontinued operations as described in Note </w:t>
      </w:r>
      <w:bookmarkStart w:id="475" w:name="fs_LVVLN9GDCG00000000000000000000fs"/>
      <w:bookmarkEnd w:id="475"/>
      <w:r>
        <w:rPr>
          <w:rFonts w:ascii="times new roman;times" w:hAnsi="times new roman;times"/>
          <w:b w:val="false"/>
          <w:i w:val="false"/>
          <w:caps w:val="false"/>
          <w:smallCaps w:val="false"/>
          <w:color w:val="000000"/>
          <w:spacing w:val="0"/>
          <w:sz w:val="20"/>
        </w:rPr>
        <w:t xml:space="preserve">2 and (ii) the reclassification of Class A Redeemable Preferred Stock from temporary equity to a current liability (see Note </w:t>
      </w:r>
      <w:bookmarkStart w:id="476" w:name="fs_FU9YZVRFI800000000000000000000fs"/>
      <w:bookmarkEnd w:id="476"/>
      <w:r>
        <w:rPr>
          <w:rFonts w:ascii="times new roman;times" w:hAnsi="times new roman;times"/>
          <w:b w:val="false"/>
          <w:i w:val="false"/>
          <w:caps w:val="false"/>
          <w:smallCaps w:val="false"/>
          <w:color w:val="000000"/>
          <w:spacing w:val="0"/>
          <w:sz w:val="20"/>
        </w:rPr>
        <w:t>3).</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i w:val="false"/>
          <w:caps w:val="false"/>
          <w:smallCaps w:val="false"/>
          <w:color w:val="000000"/>
          <w:spacing w:val="0"/>
          <w:sz w:val="20"/>
        </w:rPr>
      </w:pPr>
      <w:r>
        <w:rPr>
          <w:rFonts w:ascii="times new roman;times" w:hAnsi="times new roman;times"/>
          <w:b/>
          <w:i w:val="false"/>
          <w:caps w:val="false"/>
          <w:smallCaps w:val="false"/>
          <w:color w:val="000000"/>
          <w:spacing w:val="0"/>
          <w:sz w:val="20"/>
        </w:rPr>
        <w:t>RECENT ACCOUNTING PRONOUNCEMENTS</w:t>
      </w:r>
    </w:p>
    <w:p>
      <w:pPr>
        <w:pStyle w:val="TextBody"/>
        <w:widowControl/>
        <w:bidi w:val="0"/>
        <w:spacing w:before="0" w:after="0"/>
        <w:ind w:left="0" w:right="0" w:hanging="0"/>
        <w:jc w:val="left"/>
        <w:rPr/>
      </w:pPr>
      <w:r>
        <w:rPr/>
      </w:r>
    </w:p>
    <w:p>
      <w:pPr>
        <w:pStyle w:val="TextBody"/>
        <w:widowControl/>
        <w:bidi w:val="0"/>
        <w:spacing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See Note </w:t>
      </w:r>
      <w:bookmarkStart w:id="477" w:name="fs_6B5VNBPZF400000000000000000000fs"/>
      <w:bookmarkEnd w:id="477"/>
      <w:r>
        <w:rPr>
          <w:rFonts w:ascii="times new roman;times" w:hAnsi="times new roman;times"/>
          <w:b w:val="false"/>
          <w:i w:val="false"/>
          <w:caps w:val="false"/>
          <w:smallCaps w:val="false"/>
          <w:color w:val="000000"/>
          <w:spacing w:val="0"/>
          <w:sz w:val="20"/>
        </w:rPr>
        <w:t>1 — Significant Accounting Policies and Recent Accounting Pronouncements for a discussion of recently issued accounting standards and their expected impact on our financial statements.</w:t>
      </w:r>
    </w:p>
    <w:p>
      <w:pPr>
        <w:pStyle w:val="TextBody"/>
        <w:bidi w:val="0"/>
        <w:spacing w:lineRule="auto" w:line="288" w:before="0" w:after="0"/>
        <w:ind w:left="0" w:right="0" w:hanging="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rFonts w:ascii="times new roman;times" w:hAnsi="times new roman;times"/>
                <w:sz w:val="20"/>
              </w:rPr>
            </w:pPr>
            <w:bookmarkStart w:id="478" w:name="PageBreakNo33"/>
            <w:bookmarkEnd w:id="478"/>
            <w:r>
              <w:rPr>
                <w:rFonts w:ascii="times new roman;times" w:hAnsi="times new roman;times"/>
                <w:sz w:val="20"/>
              </w:rPr>
              <w:t>33</w:t>
            </w:r>
          </w:p>
        </w:tc>
      </w:tr>
    </w:tbl>
    <w:p>
      <w:pPr>
        <w:pStyle w:val="TextBody"/>
        <w:bidi w:val="0"/>
        <w:spacing w:lineRule="auto" w:line="288"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both"/>
        <w:rPr/>
      </w:pPr>
      <w:r>
        <w:rPr/>
        <w:t> </w:t>
      </w:r>
    </w:p>
    <w:p>
      <w:pPr>
        <w:pStyle w:val="TextBody"/>
        <w:bidi w:val="0"/>
        <w:spacing w:lineRule="auto" w:line="288"/>
        <w:ind w:left="0" w:right="0" w:hanging="0"/>
        <w:jc w:val="both"/>
        <w:rPr/>
      </w:pPr>
      <w:hyperlink r:id="rId13">
        <w:bookmarkStart w:id="479" w:name="BH_U66773D7WW00000000000000000000"/>
        <w:bookmarkEnd w:id="479"/>
        <w:r>
          <w:rPr>
            <w:rStyle w:val="InternetLink"/>
            <w:rFonts w:ascii="Times New Roman" w:hAnsi="Times New Roman"/>
            <w:b/>
            <w:caps/>
            <w:strike w:val="false"/>
            <w:dstrike w:val="false"/>
            <w:color w:val="000000"/>
            <w:sz w:val="20"/>
            <w:u w:val="none"/>
            <w:effect w:val="none"/>
          </w:rPr>
          <w:t>Item 3.</w:t>
        </w:r>
      </w:hyperlink>
      <w:hyperlink r:id="rId14">
        <w:r>
          <w:rPr>
            <w:rStyle w:val="InternetLink"/>
            <w:rFonts w:ascii="times new roman;times" w:hAnsi="times new roman;times"/>
            <w:caps/>
            <w:strike w:val="false"/>
            <w:dstrike w:val="false"/>
            <w:color w:val="000000"/>
            <w:sz w:val="20"/>
            <w:u w:val="none"/>
            <w:effect w:val="none"/>
          </w:rPr>
          <w:t xml:space="preserve">     </w:t>
        </w:r>
      </w:hyperlink>
      <w:hyperlink r:id="rId15">
        <w:r>
          <w:rPr>
            <w:rStyle w:val="InternetLink"/>
            <w:rFonts w:ascii="Times New Roman" w:hAnsi="Times New Roman"/>
            <w:b/>
            <w:caps/>
            <w:strike w:val="false"/>
            <w:dstrike w:val="false"/>
            <w:color w:val="000000"/>
            <w:sz w:val="20"/>
            <w:u w:val="none"/>
            <w:effect w:val="none"/>
          </w:rPr>
          <w:t>QUANTITATIVE AND QUALITATIVE DISCLOSURES ABOUT MARKET RISK</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 Company is a smaller reporting company as defined by Rule 12b-2 of the Exchange Act and is not required to provide the information otherwise required under this item.</w:t>
      </w:r>
    </w:p>
    <w:p>
      <w:pPr>
        <w:pStyle w:val="TextBody"/>
        <w:bidi w:val="0"/>
        <w:spacing w:lineRule="auto" w:line="288" w:before="0" w:after="0"/>
        <w:ind w:left="0" w:right="0" w:hanging="0"/>
        <w:jc w:val="left"/>
        <w:rPr/>
      </w:pPr>
      <w:r>
        <w:rPr/>
        <w:t> </w:t>
      </w:r>
    </w:p>
    <w:p>
      <w:pPr>
        <w:pStyle w:val="TextBody"/>
        <w:bidi w:val="0"/>
        <w:spacing w:lineRule="auto" w:line="288"/>
        <w:ind w:left="0" w:right="0" w:hanging="0"/>
        <w:jc w:val="left"/>
        <w:rPr/>
      </w:pPr>
      <w:hyperlink r:id="rId16">
        <w:bookmarkStart w:id="480" w:name="BI_L8KHXR82WW00000000000000000000"/>
        <w:bookmarkEnd w:id="480"/>
        <w:r>
          <w:rPr>
            <w:rStyle w:val="InternetLink"/>
            <w:rFonts w:ascii="times new roman;times" w:hAnsi="times new roman;times"/>
            <w:b/>
            <w:strike w:val="false"/>
            <w:dstrike w:val="false"/>
            <w:color w:val="000000"/>
            <w:sz w:val="20"/>
            <w:u w:val="none"/>
            <w:effect w:val="none"/>
          </w:rPr>
          <w:t>ITEM</w:t>
        </w:r>
      </w:hyperlink>
      <w:hyperlink r:id="rId17">
        <w:r>
          <w:rPr>
            <w:rStyle w:val="InternetLink"/>
            <w:rFonts w:ascii="times new roman;times" w:hAnsi="times new roman;times"/>
            <w:strike w:val="false"/>
            <w:dstrike w:val="false"/>
            <w:color w:val="000000"/>
            <w:sz w:val="20"/>
            <w:u w:val="none"/>
            <w:effect w:val="none"/>
          </w:rPr>
          <w:t> </w:t>
        </w:r>
      </w:hyperlink>
      <w:hyperlink r:id="rId18">
        <w:r>
          <w:rPr>
            <w:rStyle w:val="InternetLink"/>
            <w:rFonts w:ascii="times new roman;times" w:hAnsi="times new roman;times"/>
            <w:b/>
            <w:strike w:val="false"/>
            <w:dstrike w:val="false"/>
            <w:color w:val="000000"/>
            <w:sz w:val="20"/>
            <w:u w:val="none"/>
            <w:effect w:val="none"/>
          </w:rPr>
          <w:t>4.</w:t>
        </w:r>
      </w:hyperlink>
      <w:hyperlink r:id="rId19">
        <w:r>
          <w:rPr>
            <w:rStyle w:val="InternetLink"/>
            <w:rFonts w:ascii="times new roman;times" w:hAnsi="times new roman;times"/>
            <w:strike w:val="false"/>
            <w:dstrike w:val="false"/>
            <w:color w:val="000000"/>
            <w:sz w:val="20"/>
            <w:u w:val="none"/>
            <w:effect w:val="none"/>
          </w:rPr>
          <w:t>     </w:t>
        </w:r>
      </w:hyperlink>
      <w:hyperlink r:id="rId20">
        <w:r>
          <w:rPr>
            <w:rStyle w:val="InternetLink"/>
            <w:rFonts w:ascii="times new roman;times" w:hAnsi="times new roman;times"/>
            <w:b/>
            <w:strike w:val="false"/>
            <w:dstrike w:val="false"/>
            <w:color w:val="000000"/>
            <w:sz w:val="20"/>
            <w:u w:val="none"/>
            <w:effect w:val="none"/>
          </w:rPr>
          <w:t>CONTROLS AND PROCEDURES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b/>
          <w:i/>
          <w:sz w:val="20"/>
        </w:rPr>
      </w:pPr>
      <w:r>
        <w:rPr>
          <w:rFonts w:ascii="times new roman;times" w:hAnsi="times new roman;times"/>
          <w:b/>
          <w:i/>
          <w:sz w:val="20"/>
        </w:rPr>
        <w:t>Evaluation of Disclosure Controls and Procedures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We maintain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 xml:space="preserve">Under the supervision and with the participation of our management, including our principal executive officer and principal financial officer, we conducted an evaluation of the effectiveness of our disclosure controls and procedures as of the end of the period covered by this report. Based on that evaluation, our principal executive officer and principal financial officer concluded that our disclosure controls and procedures were effective as of </w:t>
      </w:r>
      <w:bookmarkStart w:id="481" w:name="fs_E4RV2Z2OF400000000000000000000FM"/>
      <w:bookmarkEnd w:id="481"/>
      <w:r>
        <w:rPr>
          <w:rFonts w:ascii="times new roman;times" w:hAnsi="times new roman;times"/>
          <w:sz w:val="20"/>
        </w:rPr>
        <w:t>June 30, 2026.</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widowControl/>
        <w:bidi w:val="0"/>
        <w:spacing w:lineRule="auto" w:line="288" w:before="0" w:after="0"/>
        <w:ind w:left="0" w:right="0" w:hanging="0"/>
        <w:jc w:val="both"/>
        <w:rPr>
          <w:rFonts w:ascii="times new roman;times" w:hAnsi="times new roman;times"/>
          <w:b/>
          <w:i/>
          <w:color w:val="000000"/>
          <w:spacing w:val="0"/>
          <w:sz w:val="20"/>
        </w:rPr>
      </w:pPr>
      <w:r>
        <w:rPr>
          <w:rFonts w:ascii="times new roman;times" w:hAnsi="times new roman;times"/>
          <w:b/>
          <w:i/>
          <w:color w:val="000000"/>
          <w:spacing w:val="0"/>
          <w:sz w:val="20"/>
        </w:rPr>
        <w:t>Changes in Internal Control Over Financial Reporting</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 w:hAnsi="Times New Roman"/>
          <w:sz w:val="20"/>
        </w:rPr>
      </w:pPr>
      <w:r>
        <w:rPr>
          <w:rFonts w:ascii="times new roman;times" w:hAnsi="times new roman;times"/>
          <w:sz w:val="20"/>
        </w:rPr>
        <w:t xml:space="preserve">There were no changes in our internal control over financial reporting during the quarter ended </w:t>
      </w:r>
      <w:bookmarkStart w:id="482" w:name="fs_520LH5OIKG00000000000000000000FM"/>
      <w:bookmarkEnd w:id="482"/>
      <w:r>
        <w:rPr>
          <w:rFonts w:ascii="times new roman;times" w:hAnsi="times new roman;times"/>
          <w:sz w:val="20"/>
        </w:rPr>
        <w:t>June 30, 2026 that have materially affected, or are reasonably likely to materially affect, our internal control over financial reporting.</w:t>
      </w:r>
      <w:r>
        <w:rPr>
          <w:rFonts w:ascii="Times New Roman" w:hAnsi="Times New Roman"/>
          <w:sz w:val="20"/>
        </w:rPr>
        <w:t> </w:t>
      </w:r>
    </w:p>
    <w:p>
      <w:pPr>
        <w:pStyle w:val="TextBody"/>
        <w:bidi w:val="0"/>
        <w:spacing w:before="0" w:after="0"/>
        <w:ind w:left="0" w:right="0" w:hanging="0"/>
        <w:jc w:val="both"/>
        <w:rPr/>
      </w:pPr>
      <w:r>
        <w:rPr/>
        <w:t> </w:t>
      </w:r>
    </w:p>
    <w:p>
      <w:pPr>
        <w:pStyle w:val="TextBody"/>
        <w:bidi w:val="0"/>
        <w:spacing w:lineRule="auto" w:line="288" w:before="0" w:after="0"/>
        <w:ind w:left="0" w:right="0" w:hanging="0"/>
        <w:jc w:val="both"/>
        <w:rPr/>
      </w:pPr>
      <w:hyperlink w:anchor="TOC">
        <w:bookmarkStart w:id="483" w:name="BJ_TSTI5UOPUO00000000000000000000"/>
        <w:bookmarkEnd w:id="483"/>
        <w:r>
          <w:rPr>
            <w:rStyle w:val="InternetLink"/>
            <w:rFonts w:ascii="Times New Roman" w:hAnsi="Times New Roman"/>
            <w:b/>
            <w:strike w:val="false"/>
            <w:dstrike w:val="false"/>
            <w:color w:val="000000"/>
            <w:sz w:val="20"/>
            <w:u w:val="none"/>
            <w:effect w:val="none"/>
          </w:rPr>
          <w:t>PART II - OTHER INFORMATION</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hyperlink w:anchor="TOC">
        <w:bookmarkStart w:id="484" w:name="BK_UH0QH1ST6800000000000000000000"/>
        <w:bookmarkEnd w:id="484"/>
        <w:r>
          <w:rPr>
            <w:rStyle w:val="InternetLink"/>
            <w:rFonts w:ascii="Times New Roman" w:hAnsi="Times New Roman"/>
            <w:b/>
            <w:strike w:val="false"/>
            <w:dstrike w:val="false"/>
            <w:color w:val="000000"/>
            <w:sz w:val="20"/>
            <w:u w:val="none"/>
            <w:effect w:val="none"/>
          </w:rPr>
          <w:t>Item 1. LEGAL PROCEEDINGS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sz w:val="20"/>
        </w:rPr>
      </w:pPr>
      <w:r>
        <w:rPr>
          <w:sz w:val="20"/>
        </w:rPr>
        <w:t>From time to time, we are involved in various legal proceedings and other matters arising in the normal course of business. We are not currently a party to any legal proceeding that, if determined adversely to us, would have a material adverse effect on our financial condition or results of operations.</w:t>
      </w:r>
    </w:p>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both"/>
        <w:rPr/>
      </w:pPr>
      <w:hyperlink w:anchor="TOC">
        <w:bookmarkStart w:id="485" w:name="BL_C8C33AXDV400000000000000000000"/>
        <w:bookmarkEnd w:id="485"/>
        <w:r>
          <w:rPr>
            <w:rStyle w:val="InternetLink"/>
            <w:rFonts w:ascii="Times New Roman" w:hAnsi="Times New Roman"/>
            <w:b/>
            <w:strike w:val="false"/>
            <w:dstrike w:val="false"/>
            <w:color w:val="000000"/>
            <w:sz w:val="20"/>
            <w:u w:val="none"/>
            <w:effect w:val="none"/>
          </w:rPr>
          <w:t>Item 1A. RISK FACTORS</w:t>
        </w:r>
      </w:hyperlink>
    </w:p>
    <w:p>
      <w:pPr>
        <w:pStyle w:val="TextBody"/>
        <w:bidi w:val="0"/>
        <w:spacing w:lineRule="auto" w:line="288" w:before="0" w:after="0"/>
        <w:ind w:left="0" w:right="0" w:hanging="0"/>
        <w:jc w:val="both"/>
        <w:rPr>
          <w:rFonts w:ascii="Times New Roman" w:hAnsi="Times New Roman"/>
          <w:b/>
        </w:rPr>
      </w:pPr>
      <w:r>
        <w:rPr>
          <w:rFonts w:ascii="Times New Roman" w:hAnsi="Times New Roman"/>
          <w:b/>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There have been no material changes to the risk factors set forth in Part I, Item 1A of our Annual Report on Form 10-K for the year ended December 31, 2025. The following risk factors supplement and highlight certain risks that are particularly material to the Company in light of events occurring during the quarter ended June 30, 2026 and certain subsequent events.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br/>
      </w:r>
      <w:r>
        <w:rPr>
          <w:rFonts w:ascii="times new roman;times" w:hAnsi="times new roman;times"/>
          <w:i/>
          <w:sz w:val="20"/>
        </w:rPr>
        <w:t>If we fail to meet all applicable Nasdaq requirements, Nasdaq could delist our common stock, which could adversely affect the market liquidity of our common stock and the market price of our common stock could decrease.</w:t>
      </w:r>
    </w:p>
    <w:p>
      <w:pPr>
        <w:pStyle w:val="TextBody"/>
        <w:bidi w:val="0"/>
        <w:spacing w:lineRule="auto" w:line="288" w:before="0" w:after="0"/>
        <w:ind w:left="0" w:right="0" w:hanging="0"/>
        <w:jc w:val="both"/>
        <w:rPr>
          <w:i/>
          <w:sz w:val="20"/>
        </w:rPr>
      </w:pPr>
      <w:r>
        <w:rPr>
          <w:i/>
          <w:sz w:val="20"/>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486" w:name="PageBreakNo34"/>
            <w:bookmarkEnd w:id="486"/>
            <w:r>
              <w:rPr>
                <w:sz w:val="20"/>
              </w:rPr>
              <w:t>34</w:t>
            </w:r>
          </w:p>
        </w:tc>
      </w:tr>
    </w:tbl>
    <w:p>
      <w:pPr>
        <w:pStyle w:val="HorizontalLine"/>
        <w:bidi w:val="0"/>
        <w:spacing w:lineRule="auto" w:line="288" w:before="0" w:after="0"/>
        <w:jc w:val="both"/>
        <w:rPr/>
      </w:pPr>
      <w:r>
        <w:rPr/>
      </w:r>
    </w:p>
    <w:p>
      <w:pPr>
        <w:pStyle w:val="TextBody"/>
        <w:bidi w:val="0"/>
        <w:spacing w:lineRule="auto" w:line="288"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both"/>
        <w:rPr>
          <w:sz w:val="20"/>
        </w:rPr>
      </w:pPr>
      <w:r>
        <w:rPr>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On April 7, 2026, we received a letter from the Nasdaq Listing Qualifications staff notifying us that we were not in compliance with the continued listing requirement under Nasdaq Listing Rule 5550(b)(1), which requires a minimum of $2,500,000 in stockholders' equity. We submitted a compliance plan on May 22, 2026.  Separately, on July 8, 2026, the Nasdaq staff determined that our proposed Merger with Cortigent constitutes a change of control under Listing Rule 5110(a), such that the post-transaction entity must satisfy all of Nasdaq's initial listing requirements and complete the initial listing process prior to consummation of the Merger (see Note 14 — Subsequent Events). If we are unable to regain compliance with the continued listing standards, or if the post-transaction entity is unable to satisfy Nasdaq's initial listing requirements, our common stock could be delisted from the Nasdaq Capital Market. Delisting of our common stock from Nasdaq could significantly reduce the liquidity and market price of our common stock and could make it more difficult for us to access the capital markets on acceptable terms, if at all. Even after we receive a notice of non-compliance, we may not be able to regain compliance within the timeframe provided by Nasdaq. Alternative markets, such as the over-the-counter markets, generally have less liquidity and visibility than Nasdaq, and trading on such markets could adversely affect the ability of stockholders to sell their shares at a desired price.</w:t>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Our Nevada Reincorporation may affect the rights of our stockholders with respect to certain corporation actions.</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On April 22, 2026, we completed our reincorporation from Delaware to Nevada by conversion. As a Nevada corporation, we are subject to Nevada corporate law, which differs from Delaware law in certain respects, including with respect to stockholder rights, fiduciary duties of directors and officers, and the ability to adopt certain anti-takeover provisions. These differences could affect the rights of our stockholders and the governance of the Company. A discussion of these differences and related risks is set forth in our definitive information statement on Schedule 14C filed with the SEC on March 31, 2026 under the Heading “What Changes After Nevada Reincorporation?”.</w:t>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The Merger and the Financing may not be completed, which would have a material adverse effect on us.</w:t>
      </w:r>
    </w:p>
    <w:p>
      <w:pPr>
        <w:pStyle w:val="TextBody"/>
        <w:bidi w:val="0"/>
        <w:spacing w:lineRule="auto" w:line="288" w:before="0" w:after="0"/>
        <w:ind w:left="0" w:right="0" w:hanging="0"/>
        <w:jc w:val="both"/>
        <w:rPr>
          <w:sz w:val="20"/>
        </w:rPr>
      </w:pPr>
      <w:r>
        <w:rPr>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On July 1, 2026, we entered into the Merger Agreement. Completion of the Merger is subject to conditions that are largely outside our control, including, among others, approval by our stockholders and Vivani's, completion of the Financing, effectiveness of a registration statement on Form S-1, and Nasdaq's approval of an initial listing application required as a result of the change-of-control determination described in Note 14. There can be no assurance these conditions will be satisfied. The Merger Agreement may be terminated if the transaction is not completed within 180 days of signing and contains a break-up fee. If the Merger or the Financing is not completed, we would have incurred substantial costs without an operating business to absorb them, we would have limited strategic alternatives, and the substantial doubt about our ability to continue as a going concern would remain unresolved, which could force us to wind down or liquidate.</w:t>
      </w:r>
    </w:p>
    <w:p>
      <w:pPr>
        <w:pStyle w:val="TextBody"/>
        <w:bidi w:val="0"/>
        <w:spacing w:lineRule="auto" w:line="288" w:before="0" w:after="0"/>
        <w:ind w:left="0" w:right="0" w:hanging="0"/>
        <w:jc w:val="both"/>
        <w:rPr>
          <w:i/>
        </w:rPr>
      </w:pPr>
      <w:r>
        <w:rPr>
          <w:i/>
        </w:rPr>
      </w:r>
    </w:p>
    <w:p>
      <w:pPr>
        <w:pStyle w:val="TextBody"/>
        <w:bidi w:val="0"/>
        <w:spacing w:lineRule="auto" w:line="288" w:before="0" w:after="0"/>
        <w:ind w:left="0" w:right="0" w:hanging="0"/>
        <w:jc w:val="both"/>
        <w:rPr>
          <w:rFonts w:ascii="times new roman;times" w:hAnsi="times new roman;times"/>
          <w:i/>
          <w:sz w:val="20"/>
        </w:rPr>
      </w:pPr>
      <w:r>
        <w:rPr>
          <w:rFonts w:ascii="times new roman;times" w:hAnsi="times new roman;times"/>
          <w:i/>
          <w:sz w:val="20"/>
        </w:rPr>
        <w:t>Following the disposition of certain operating assets, we have limited continuing activities that are not expected to generate revenue at levels sufficient to fund ongoing operating costs.</w:t>
      </w:r>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Our continuing activities are not expected to generate material revenue at levels sufficient to fund ongoing operating costs. As a result, our ability to sustain operations depends on numerous factors, including the successful completion of the Merger, successful completion of one or more Strategic Transactions, our ability to obtain additional financing, the successful development and commercialization of acquired technologies and products, market acceptance of such products, our ability to attract and retain qualified personnel, competitive conditions and general economic and capital markets conditions. Many of these factors are beyond our control. If we are unable to obtain additional capital or complete the Merger or a Strategic Transaction on acceptable terms or at all, we may be required to significantly curtail operations or pursue an orderly wind-down of the Company, which could result in reduced recoveries for stockholders.</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487" w:name="PageBreakNo35"/>
            <w:bookmarkEnd w:id="487"/>
            <w:r>
              <w:rPr>
                <w:sz w:val="20"/>
              </w:rPr>
              <w:t>35</w:t>
            </w:r>
          </w:p>
        </w:tc>
      </w:tr>
    </w:tbl>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200" w:after="200"/>
        <w:ind w:left="0" w:right="0" w:hanging="0"/>
        <w:jc w:val="both"/>
        <w:rPr>
          <w:rFonts w:ascii="times new roman;times" w:hAnsi="times new roman;times"/>
          <w:sz w:val="20"/>
        </w:rPr>
      </w:pPr>
      <w:r>
        <w:rPr>
          <w:rFonts w:ascii="times new roman;times" w:hAnsi="times new roman;times"/>
          <w:sz w:val="20"/>
        </w:rPr>
        <w:t>We expect to continue to incur expenses associated with operating as a public company, pursuing Strategic Transactions, integrating acquired businesses, raising capital and complying with applicable legal and regulatory requirements. There can be no assurance that our operations will generate sufficient revenues to offset these expenses or that we will achieve profitability in the future. If we are unable to generate sufficient revenue or obtain additional financing when needed, our business, financial condition, results of operations and prospects could be materially adversely affected.</w:t>
      </w:r>
    </w:p>
    <w:p>
      <w:pPr>
        <w:pStyle w:val="TextBody"/>
        <w:bidi w:val="0"/>
        <w:spacing w:lineRule="auto" w:line="288" w:before="0" w:after="200"/>
        <w:ind w:left="0" w:right="0" w:hanging="0"/>
        <w:jc w:val="both"/>
        <w:rPr>
          <w:rFonts w:ascii="times new roman;times" w:hAnsi="times new roman;times"/>
          <w:i/>
          <w:sz w:val="20"/>
        </w:rPr>
      </w:pPr>
      <w:r>
        <w:rPr>
          <w:rFonts w:ascii="times new roman;times" w:hAnsi="times new roman;times"/>
          <w:i/>
          <w:sz w:val="20"/>
        </w:rPr>
        <w:t>Combining the two companies may be more difficult, costly or time consuming than expected, and the combined company may not realize all of the anticipated benefits of the Merger.</w:t>
      </w:r>
    </w:p>
    <w:p>
      <w:pPr>
        <w:pStyle w:val="TextBody"/>
        <w:bidi w:val="0"/>
        <w:spacing w:lineRule="auto" w:line="288" w:before="0" w:after="0"/>
        <w:jc w:val="both"/>
        <w:rPr>
          <w:rFonts w:ascii="times new roman;times" w:hAnsi="times new roman;times"/>
          <w:sz w:val="20"/>
        </w:rPr>
      </w:pPr>
      <w:r>
        <w:rPr>
          <w:rFonts w:ascii="times new roman;times" w:hAnsi="times new roman;times"/>
          <w:sz w:val="20"/>
        </w:rPr>
        <w:t>The Company and Cortigent have operated and, until the consummation of the Merger, will continue to operate, independently. The combined company may not be able to successfully achieve the anticipated benefits of the Merger at all or they may take longer to realize than expected. The difficulties of operating the combined company may include, among others:</w:t>
      </w:r>
    </w:p>
    <w:p>
      <w:pPr>
        <w:pStyle w:val="TextBody"/>
        <w:numPr>
          <w:ilvl w:val="0"/>
          <w:numId w:val="4"/>
        </w:numPr>
        <w:tabs>
          <w:tab w:val="clear" w:pos="1134"/>
          <w:tab w:val="left" w:pos="709" w:leader="none"/>
        </w:tabs>
        <w:bidi w:val="0"/>
        <w:spacing w:lineRule="auto" w:line="288" w:before="0" w:after="0"/>
        <w:ind w:left="709" w:hanging="283"/>
        <w:jc w:val="both"/>
        <w:rPr>
          <w:rFonts w:ascii="times new roman;times" w:hAnsi="times new roman;times"/>
          <w:sz w:val="20"/>
        </w:rPr>
      </w:pPr>
      <w:r>
        <w:rPr>
          <w:rFonts w:ascii="times new roman;times" w:hAnsi="times new roman;times"/>
          <w:sz w:val="20"/>
        </w:rPr>
        <w:t xml:space="preserve">the diversion of management attention to integration matters; </w:t>
      </w:r>
    </w:p>
    <w:p>
      <w:pPr>
        <w:pStyle w:val="TextBody"/>
        <w:numPr>
          <w:ilvl w:val="0"/>
          <w:numId w:val="4"/>
        </w:numPr>
        <w:tabs>
          <w:tab w:val="clear" w:pos="1134"/>
          <w:tab w:val="left" w:pos="709" w:leader="none"/>
        </w:tabs>
        <w:bidi w:val="0"/>
        <w:spacing w:lineRule="auto" w:line="288" w:before="0" w:after="0"/>
        <w:ind w:left="709" w:hanging="283"/>
        <w:jc w:val="both"/>
        <w:rPr>
          <w:rFonts w:ascii="times new roman;times" w:hAnsi="times new roman;times"/>
          <w:sz w:val="20"/>
        </w:rPr>
      </w:pPr>
      <w:r>
        <w:rPr>
          <w:rFonts w:ascii="times new roman;times" w:hAnsi="times new roman;times"/>
          <w:sz w:val="20"/>
        </w:rPr>
        <w:t xml:space="preserve">difficulties in integrating functions, personnel and systems; </w:t>
      </w:r>
    </w:p>
    <w:p>
      <w:pPr>
        <w:pStyle w:val="TextBody"/>
        <w:numPr>
          <w:ilvl w:val="0"/>
          <w:numId w:val="4"/>
        </w:numPr>
        <w:tabs>
          <w:tab w:val="clear" w:pos="1134"/>
          <w:tab w:val="left" w:pos="709" w:leader="none"/>
        </w:tabs>
        <w:bidi w:val="0"/>
        <w:spacing w:lineRule="auto" w:line="288" w:before="0" w:after="0"/>
        <w:ind w:left="709" w:hanging="283"/>
        <w:jc w:val="both"/>
        <w:rPr>
          <w:rFonts w:ascii="times new roman;times" w:hAnsi="times new roman;times"/>
          <w:sz w:val="20"/>
        </w:rPr>
      </w:pPr>
      <w:r>
        <w:rPr>
          <w:rFonts w:ascii="times new roman;times" w:hAnsi="times new roman;times"/>
          <w:sz w:val="20"/>
        </w:rPr>
        <w:t xml:space="preserve">potential unknown liabilities, adverse consequences and unforeseen increased expenses associated with the Merger; and </w:t>
      </w:r>
    </w:p>
    <w:p>
      <w:pPr>
        <w:pStyle w:val="TextBody"/>
        <w:numPr>
          <w:ilvl w:val="0"/>
          <w:numId w:val="4"/>
        </w:numPr>
        <w:tabs>
          <w:tab w:val="clear" w:pos="1134"/>
          <w:tab w:val="left" w:pos="709" w:leader="none"/>
        </w:tabs>
        <w:bidi w:val="0"/>
        <w:spacing w:lineRule="auto" w:line="288" w:before="0" w:after="0"/>
        <w:ind w:left="709" w:hanging="283"/>
        <w:jc w:val="both"/>
        <w:rPr>
          <w:rFonts w:ascii="times new roman;times" w:hAnsi="times new roman;times"/>
          <w:sz w:val="20"/>
        </w:rPr>
      </w:pPr>
      <w:r>
        <w:rPr>
          <w:rFonts w:ascii="times new roman;times" w:hAnsi="times new roman;times"/>
          <w:sz w:val="20"/>
        </w:rPr>
        <w:t xml:space="preserve">declines in results of operations, financial condition or cash flows. </w:t>
      </w:r>
    </w:p>
    <w:p>
      <w:pPr>
        <w:pStyle w:val="TextBody"/>
        <w:bidi w:val="0"/>
        <w:spacing w:lineRule="auto" w:line="288" w:before="0" w:after="200"/>
        <w:ind w:left="0" w:right="0" w:hanging="0"/>
        <w:jc w:val="both"/>
        <w:rPr>
          <w:rFonts w:ascii="times new roman;times" w:hAnsi="times new roman;times"/>
          <w:sz w:val="20"/>
        </w:rPr>
      </w:pPr>
      <w:r>
        <w:rPr>
          <w:rFonts w:ascii="times new roman;times" w:hAnsi="times new roman;times"/>
          <w:sz w:val="20"/>
        </w:rPr>
        <w:t>Many of these factors are outside the control of the Company and Cortigent, and any one of them could result in increased costs, decreased expected revenues and diversion of management time and energy, which could materially impact the business, financial condition, results of operations and cash flows of the combined company. These factors could cause dilution to the earnings per share of the combined company, decrease or delay the expected benefits of the Merger and negatively impact the price of our common stock. As a result, it cannot be assured that the combined company will realize the full benefits anticipated from the Merger within the anticipated time frames, or at all.</w:t>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In addition, following the Merger, we will become responsible for Cortigent’s liabilities and obligations, including with respect to legal, financial, regulatory, and compliance matters. These obligations will result in additional cost and investment by the Company and, if we have underestimated the amount of these costs and investments or if we fail to satisfy any such obligations, we and Cortigent may not realize the anticipated benefits of the Merger. Further, it is possible that there may be unknown, contingent or other liabilities or problems that may arise in the future, the existence and/or magnitude of which we and Cortigent were previously unaware. Any such liabilities or problems could have an adverse effect on the combined company’s business, financial condition, results of operations or cash flows.</w:t>
        <w:br/>
        <w:br/>
        <w:t>Further, following completion of the Merger, the combined company will be susceptible to many of the risks described herein and risks related to Cortigent’s business. To the extent any of the events in the risks occur, those events could cause the potential benefits of the Merger not to be realized and the market price of the combined company’s common stock to decline.</w:t>
      </w:r>
    </w:p>
    <w:p>
      <w:pPr>
        <w:pStyle w:val="TextBody"/>
        <w:widowControl/>
        <w:bidi w:val="0"/>
        <w:spacing w:lineRule="auto" w:line="288" w:before="200" w:after="0"/>
        <w:ind w:left="0" w:right="0" w:hanging="0"/>
        <w:jc w:val="left"/>
        <w:rPr>
          <w:rFonts w:ascii="times new roman;times" w:hAnsi="times new roman;times"/>
          <w:b w:val="false"/>
          <w:i/>
          <w:caps w:val="false"/>
          <w:smallCaps w:val="false"/>
          <w:color w:val="000000"/>
          <w:spacing w:val="0"/>
          <w:sz w:val="20"/>
        </w:rPr>
      </w:pPr>
      <w:r>
        <w:rPr>
          <w:rFonts w:ascii="times new roman;times" w:hAnsi="times new roman;times"/>
          <w:b w:val="false"/>
          <w:i/>
          <w:caps w:val="false"/>
          <w:smallCaps w:val="false"/>
          <w:color w:val="000000"/>
          <w:spacing w:val="0"/>
          <w:sz w:val="20"/>
        </w:rPr>
        <w:t>The Merger and related issuances will substantially dilute existing stockholders and will result in a change of control of the Company.</w:t>
      </w:r>
    </w:p>
    <w:p>
      <w:pPr>
        <w:pStyle w:val="TextBody"/>
        <w:widowControl/>
        <w:bidi w:val="0"/>
        <w:spacing w:lineRule="auto" w:line="288" w:before="0" w:after="0"/>
        <w:ind w:left="0" w:right="0" w:hanging="0"/>
        <w:jc w:val="left"/>
        <w:rPr>
          <w:i/>
          <w:sz w:val="20"/>
        </w:rPr>
      </w:pPr>
      <w:r>
        <w:rPr>
          <w:i/>
          <w:sz w:val="20"/>
        </w:rPr>
      </w:r>
    </w:p>
    <w:p>
      <w:pPr>
        <w:pStyle w:val="TextBody"/>
        <w:widowControl/>
        <w:bidi w:val="0"/>
        <w:spacing w:lineRule="auto" w:line="288" w:before="0" w:after="0"/>
        <w:ind w:left="0" w:right="0" w:hanging="0"/>
        <w:jc w:val="left"/>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The Consideration Shares of 12,500,000 shares, together with up to 855,000 shares to be issued to certain advisors pursuant to agreements with the Company in connection with past advisory services provided to the Company and to be provided on an ongoing basis, would represent approximately 82% of our common stock on a pro forma basis before the Financing; the units offered in the Financing, and up to 1,400,000 stock options to be granted at closing would cause further dilution. Following the Merger, Vivani will hold a majority of the combined company's voting power and will designate the Chief Executive Officer, Chief Financial Officer, and four of five directors, and existing stockholders will have limited ability to influence the combined company. Stockholders holding at least 50.1% of our common stock have entered into voting support agreements, and our largest stockholder and its affiliates, holding approximately 61%, already approved the share issuance by written consent, so remaining stockholders have no ability to affect these matters. For 12 months following closing, we will be subject to an equity issuance moratorium, subject to limited exceptions, which could constrain our ability to raise additional capital.</w:t>
      </w:r>
    </w:p>
    <w:p>
      <w:pPr>
        <w:pStyle w:val="TextBody"/>
        <w:bidi w:val="0"/>
        <w:spacing w:lineRule="auto" w:line="288" w:before="0" w:after="0"/>
        <w:ind w:left="0" w:right="0" w:hanging="0"/>
        <w:jc w:val="both"/>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488" w:name="PageBreakNo36"/>
            <w:bookmarkEnd w:id="488"/>
            <w:r>
              <w:rPr>
                <w:sz w:val="20"/>
              </w:rPr>
              <w:t>36</w:t>
            </w:r>
          </w:p>
        </w:tc>
      </w:tr>
    </w:tbl>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color w:val="0000FF"/>
            <w:sz w:val="20"/>
          </w:rPr>
          <w:t>Table of Contents</w:t>
        </w:r>
      </w:hyperlink>
    </w:p>
    <w:p>
      <w:pPr>
        <w:pStyle w:val="TextBody"/>
        <w:widowControl/>
        <w:bidi w:val="0"/>
        <w:spacing w:lineRule="auto" w:line="288" w:before="0" w:after="0"/>
        <w:ind w:left="0" w:right="0" w:hanging="0"/>
        <w:jc w:val="left"/>
        <w:rPr/>
      </w:pPr>
      <w:r>
        <w:rPr/>
      </w:r>
    </w:p>
    <w:p>
      <w:pPr>
        <w:pStyle w:val="TextBody"/>
        <w:bidi w:val="0"/>
        <w:spacing w:lineRule="auto" w:line="288" w:before="0" w:after="0"/>
        <w:ind w:left="0" w:right="0" w:hanging="0"/>
        <w:jc w:val="both"/>
        <w:rPr/>
      </w:pPr>
      <w:hyperlink w:anchor="TOC">
        <w:bookmarkStart w:id="489" w:name="BM_PXV2XAM1KG00000000000000000000"/>
        <w:bookmarkEnd w:id="489"/>
        <w:r>
          <w:rPr>
            <w:rStyle w:val="InternetLink"/>
            <w:rFonts w:ascii="Times New Roman" w:hAnsi="Times New Roman"/>
            <w:b/>
            <w:strike w:val="false"/>
            <w:dstrike w:val="false"/>
            <w:color w:val="000000"/>
            <w:sz w:val="20"/>
            <w:u w:val="none"/>
            <w:effect w:val="none"/>
          </w:rPr>
          <w:t>Item 2. UNREGISTERED SALES OF EQUITY SECURITIES AND USE OF PROCEEDS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times" w:hAnsi="times new roman;times"/>
          <w:sz w:val="20"/>
        </w:rPr>
      </w:pPr>
      <w:r>
        <w:rPr>
          <w:rFonts w:ascii="Times New Roman" w:hAnsi="Times New Roman"/>
          <w:sz w:val="20"/>
        </w:rPr>
        <w:t>(a) </w:t>
      </w:r>
      <w:r>
        <w:rPr>
          <w:rFonts w:ascii="times new roman;times" w:hAnsi="times new roman;times"/>
          <w:sz w:val="20"/>
        </w:rPr>
        <w:t>None</w:t>
      </w:r>
    </w:p>
    <w:p>
      <w:pPr>
        <w:pStyle w:val="TextBody"/>
        <w:bidi w:val="0"/>
        <w:spacing w:lineRule="auto" w:line="288" w:before="0" w:after="0"/>
        <w:ind w:left="0" w:right="0" w:hanging="0"/>
        <w:jc w:val="both"/>
        <w:rPr>
          <w:sz w:val="20"/>
        </w:rPr>
      </w:pPr>
      <w:r>
        <w:rPr>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(b) Not applicable.</w:t>
      </w:r>
    </w:p>
    <w:p>
      <w:pPr>
        <w:pStyle w:val="TextBody"/>
        <w:bidi w:val="0"/>
        <w:spacing w:lineRule="auto" w:line="288" w:before="0" w:after="0"/>
        <w:ind w:left="0" w:right="0" w:hanging="0"/>
        <w:jc w:val="both"/>
        <w:rPr>
          <w:sz w:val="20"/>
        </w:rPr>
      </w:pPr>
      <w:r>
        <w:rPr>
          <w:sz w:val="20"/>
        </w:rPr>
      </w:r>
    </w:p>
    <w:p>
      <w:pPr>
        <w:pStyle w:val="TextBody"/>
        <w:bidi w:val="0"/>
        <w:spacing w:lineRule="auto" w:line="288" w:before="0" w:after="0"/>
        <w:ind w:left="0" w:right="0" w:hanging="0"/>
        <w:jc w:val="both"/>
        <w:rPr>
          <w:rFonts w:ascii="times new roman;times" w:hAnsi="times new roman;times"/>
          <w:sz w:val="20"/>
        </w:rPr>
      </w:pPr>
      <w:r>
        <w:rPr>
          <w:rFonts w:ascii="times new roman;times" w:hAnsi="times new roman;times"/>
          <w:sz w:val="20"/>
        </w:rPr>
        <w:t>(c) None. </w:t>
      </w:r>
    </w:p>
    <w:p>
      <w:pPr>
        <w:pStyle w:val="TextBody"/>
        <w:bidi w:val="0"/>
        <w:spacing w:lineRule="auto" w:line="288" w:before="0" w:after="0"/>
        <w:ind w:left="0" w:right="0" w:hanging="0"/>
        <w:jc w:val="both"/>
        <w:rPr>
          <w:rFonts w:ascii="Times New Roman" w:hAnsi="Times New Roman"/>
          <w:b/>
          <w:sz w:val="20"/>
        </w:rPr>
      </w:pPr>
      <w:r>
        <w:rPr>
          <w:rFonts w:ascii="Times New Roman" w:hAnsi="Times New Roman"/>
          <w:b/>
          <w:sz w:val="20"/>
        </w:rPr>
      </w:r>
    </w:p>
    <w:p>
      <w:pPr>
        <w:pStyle w:val="TextBody"/>
        <w:bidi w:val="0"/>
        <w:spacing w:lineRule="auto" w:line="288" w:before="0" w:after="0"/>
        <w:ind w:left="0" w:right="0" w:hanging="0"/>
        <w:jc w:val="both"/>
        <w:rPr/>
      </w:pPr>
      <w:hyperlink w:anchor="TOC">
        <w:bookmarkStart w:id="490" w:name="BN_EVKECWSW2800000000000000000000"/>
        <w:bookmarkEnd w:id="490"/>
        <w:r>
          <w:rPr>
            <w:rStyle w:val="InternetLink"/>
            <w:rFonts w:ascii="Times New Roman" w:hAnsi="Times New Roman"/>
            <w:b/>
            <w:strike w:val="false"/>
            <w:dstrike w:val="false"/>
            <w:color w:val="000000"/>
            <w:sz w:val="20"/>
            <w:u w:val="none"/>
            <w:effect w:val="none"/>
          </w:rPr>
          <w:t>Item 3. DEFAULTS UPON SENIOR SECURITIES</w:t>
        </w:r>
      </w:hyperlink>
    </w:p>
    <w:p>
      <w:pPr>
        <w:pStyle w:val="TextBody"/>
        <w:bidi w:val="0"/>
        <w:spacing w:lineRule="auto" w:line="288" w:before="0" w:after="0"/>
        <w:ind w:left="0" w:right="0" w:hanging="0"/>
        <w:jc w:val="both"/>
        <w:rPr/>
      </w:pPr>
      <w:r>
        <w:rPr/>
        <w:t> </w:t>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w:t>
      </w:r>
      <w:r>
        <w:rPr>
          <w:rFonts w:ascii="times new roman;times" w:hAnsi="times new roman;times"/>
          <w:b w:val="false"/>
          <w:i w:val="false"/>
          <w:caps w:val="false"/>
          <w:smallCaps w:val="false"/>
          <w:color w:val="000000"/>
          <w:spacing w:val="0"/>
          <w:sz w:val="20"/>
        </w:rPr>
        <w:t>Not applicable.</w:t>
      </w:r>
    </w:p>
    <w:p>
      <w:pPr>
        <w:pStyle w:val="TextBody"/>
        <w:widowControl/>
        <w:bidi w:val="0"/>
        <w:spacing w:lineRule="auto" w:line="240" w:before="0" w:after="0"/>
        <w:ind w:left="0" w:right="0" w:hanging="0"/>
        <w:jc w:val="both"/>
        <w:rPr>
          <w:sz w:val="20"/>
        </w:rPr>
      </w:pPr>
      <w:r>
        <w:rPr>
          <w:sz w:val="20"/>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(b) Not applicable.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hyperlink w:anchor="TOC">
        <w:bookmarkStart w:id="491" w:name="BO_VVB037J0C000000000000000000000"/>
        <w:bookmarkEnd w:id="491"/>
        <w:r>
          <w:rPr>
            <w:rStyle w:val="InternetLink"/>
            <w:rFonts w:ascii="Times New Roman" w:hAnsi="Times New Roman"/>
            <w:b/>
            <w:strike w:val="false"/>
            <w:dstrike w:val="false"/>
            <w:color w:val="000000"/>
            <w:sz w:val="20"/>
            <w:u w:val="none"/>
            <w:effect w:val="none"/>
          </w:rPr>
          <w:t>Item 4. MINE SAFETY DISCLOSURES</w:t>
        </w:r>
      </w:hyperlink>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Not applicable.</w:t>
      </w:r>
    </w:p>
    <w:p>
      <w:pPr>
        <w:pStyle w:val="TextBody"/>
        <w:bidi w:val="0"/>
        <w:spacing w:lineRule="auto" w:line="288" w:before="0" w:after="0"/>
        <w:ind w:left="0" w:right="0" w:hanging="0"/>
        <w:jc w:val="both"/>
        <w:rPr/>
      </w:pPr>
      <w:r>
        <w:rPr/>
        <w:t> </w:t>
      </w:r>
    </w:p>
    <w:p>
      <w:pPr>
        <w:pStyle w:val="TextBody"/>
        <w:bidi w:val="0"/>
        <w:spacing w:lineRule="auto" w:line="288" w:before="0" w:after="0"/>
        <w:ind w:left="0" w:right="0" w:hanging="0"/>
        <w:jc w:val="both"/>
        <w:rPr/>
      </w:pPr>
      <w:hyperlink w:anchor="TOC">
        <w:bookmarkStart w:id="492" w:name="BP_0LWBX5JVNK00000000000000000000"/>
        <w:bookmarkEnd w:id="492"/>
        <w:r>
          <w:rPr>
            <w:rStyle w:val="InternetLink"/>
            <w:rFonts w:ascii="Times New Roman" w:hAnsi="Times New Roman"/>
            <w:b/>
            <w:strike w:val="false"/>
            <w:dstrike w:val="false"/>
            <w:color w:val="000000"/>
            <w:sz w:val="20"/>
            <w:u w:val="none"/>
            <w:effect w:val="none"/>
          </w:rPr>
          <w:t>Item 5. OTHER INFORMATION </w:t>
        </w:r>
      </w:hyperlink>
    </w:p>
    <w:p>
      <w:pPr>
        <w:pStyle w:val="TextBody"/>
        <w:bidi w:val="0"/>
        <w:spacing w:lineRule="auto" w:line="288" w:before="0" w:after="0"/>
        <w:ind w:left="0" w:right="0" w:hanging="0"/>
        <w:jc w:val="both"/>
        <w:rPr/>
      </w:pPr>
      <w:r>
        <w:rPr/>
        <w:t> </w:t>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 w:hAnsi="Times New Roman"/>
          <w:b w:val="false"/>
          <w:i w:val="false"/>
          <w:caps w:val="false"/>
          <w:smallCaps w:val="false"/>
          <w:color w:val="000000"/>
          <w:spacing w:val="0"/>
          <w:sz w:val="20"/>
        </w:rPr>
        <w:t>(a) </w:t>
      </w:r>
      <w:r>
        <w:rPr>
          <w:rFonts w:ascii="times new roman;times" w:hAnsi="times new roman;times"/>
          <w:b w:val="false"/>
          <w:i w:val="false"/>
          <w:caps w:val="false"/>
          <w:smallCaps w:val="false"/>
          <w:color w:val="000000"/>
          <w:spacing w:val="0"/>
          <w:sz w:val="20"/>
        </w:rPr>
        <w:t>Not applicable.</w:t>
      </w:r>
    </w:p>
    <w:p>
      <w:pPr>
        <w:pStyle w:val="TextBody"/>
        <w:widowControl/>
        <w:bidi w:val="0"/>
        <w:spacing w:lineRule="auto" w:line="240" w:before="0" w:after="0"/>
        <w:ind w:left="0" w:right="0" w:hanging="0"/>
        <w:jc w:val="both"/>
        <w:rPr>
          <w:sz w:val="20"/>
        </w:rPr>
      </w:pPr>
      <w:r>
        <w:rPr>
          <w:sz w:val="20"/>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 xml:space="preserve">(b) </w:t>
      </w:r>
      <w:bookmarkStart w:id="493" w:name="fs_5NEZZL65MO00000000000000000000FM"/>
      <w:bookmarkEnd w:id="493"/>
      <w:r>
        <w:rPr>
          <w:rFonts w:ascii="times new roman;times" w:hAnsi="times new roman;times"/>
          <w:b w:val="false"/>
          <w:i w:val="false"/>
          <w:caps w:val="false"/>
          <w:smallCaps w:val="false"/>
          <w:color w:val="000000"/>
          <w:spacing w:val="0"/>
          <w:sz w:val="20"/>
        </w:rPr>
        <w:t>Not applicable.</w:t>
      </w:r>
    </w:p>
    <w:p>
      <w:pPr>
        <w:pStyle w:val="TextBody"/>
        <w:widowControl/>
        <w:bidi w:val="0"/>
        <w:spacing w:lineRule="auto" w:line="240" w:before="0" w:after="0"/>
        <w:ind w:left="0" w:right="0" w:hanging="0"/>
        <w:jc w:val="both"/>
        <w:rPr>
          <w:sz w:val="20"/>
        </w:rPr>
      </w:pPr>
      <w:r>
        <w:rPr>
          <w:sz w:val="20"/>
        </w:rPr>
      </w:r>
    </w:p>
    <w:p>
      <w:pPr>
        <w:pStyle w:val="TextBody"/>
        <w:widowControl/>
        <w:bidi w:val="0"/>
        <w:spacing w:lineRule="auto" w:line="240" w:before="0" w:after="0"/>
        <w:ind w:left="0" w:right="0" w:hanging="0"/>
        <w:jc w:val="both"/>
        <w:rPr>
          <w:rFonts w:ascii="times new roman;times" w:hAnsi="times new roman;times"/>
          <w:b w:val="false"/>
          <w:i w:val="false"/>
          <w:caps w:val="false"/>
          <w:smallCaps w:val="false"/>
          <w:color w:val="000000"/>
          <w:spacing w:val="0"/>
          <w:sz w:val="20"/>
        </w:rPr>
      </w:pPr>
      <w:r>
        <w:rPr>
          <w:rFonts w:ascii="times new roman;times" w:hAnsi="times new roman;times"/>
          <w:b w:val="false"/>
          <w:i w:val="false"/>
          <w:caps w:val="false"/>
          <w:smallCaps w:val="false"/>
          <w:color w:val="000000"/>
          <w:spacing w:val="0"/>
          <w:sz w:val="20"/>
        </w:rPr>
        <w:t>(c) During the quarter ended June 30, 2026, none of the Company's directors or officers adopted or terminated a "Rule 10b5-1 trading arrangement" or a "non-Rule 10b5-1 trading arrangement," as those terms are defined in Item 408 of Regulation S-K.</w:t>
      </w:r>
    </w:p>
    <w:p>
      <w:pPr>
        <w:pStyle w:val="TextBody"/>
        <w:bidi w:val="0"/>
        <w:spacing w:lineRule="auto" w:line="288" w:before="0" w:after="0"/>
        <w:ind w:left="0" w:right="0" w:hanging="0"/>
        <w:jc w:val="both"/>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494" w:name="PageBreakNo37"/>
            <w:bookmarkEnd w:id="494"/>
            <w:r>
              <w:rPr>
                <w:sz w:val="20"/>
              </w:rPr>
              <w:t>37</w:t>
            </w:r>
          </w:p>
        </w:tc>
      </w:tr>
    </w:tbl>
    <w:p>
      <w:pPr>
        <w:pStyle w:val="HorizontalLine"/>
        <w:bidi w:val="0"/>
        <w:spacing w:lineRule="auto" w:line="240" w:before="0" w:after="0"/>
        <w:jc w:val="both"/>
        <w:rPr/>
      </w:pPr>
      <w:r>
        <w:rPr/>
      </w:r>
    </w:p>
    <w:p>
      <w:pPr>
        <w:pStyle w:val="TextBody"/>
        <w:bidi w:val="0"/>
        <w:spacing w:lineRule="auto" w:line="240"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ind w:left="0" w:right="0" w:hanging="0"/>
        <w:jc w:val="left"/>
        <w:rPr/>
      </w:pPr>
      <w:r>
        <w:rPr/>
      </w:r>
    </w:p>
    <w:p>
      <w:pPr>
        <w:pStyle w:val="TextBody"/>
        <w:bidi w:val="0"/>
        <w:spacing w:lineRule="auto" w:line="288" w:before="0" w:after="0"/>
        <w:ind w:left="0" w:right="0" w:hanging="0"/>
        <w:jc w:val="left"/>
        <w:rPr/>
      </w:pPr>
      <w:r>
        <w:rPr>
          <w:rFonts w:ascii="times new roman;times" w:hAnsi="times new roman;times"/>
          <w:b/>
          <w:sz w:val="20"/>
        </w:rPr>
        <w:t xml:space="preserve">Item 6. </w:t>
      </w:r>
      <w:hyperlink w:anchor="TOC">
        <w:bookmarkStart w:id="495" w:name="Bit6_1272025202146458"/>
        <w:bookmarkEnd w:id="495"/>
        <w:r>
          <w:rPr>
            <w:rStyle w:val="InternetLink"/>
            <w:rFonts w:ascii="times new roman;times" w:hAnsi="times new roman;times"/>
            <w:b/>
            <w:strike w:val="false"/>
            <w:dstrike w:val="false"/>
            <w:color w:val="000000"/>
            <w:sz w:val="20"/>
            <w:u w:val="none"/>
            <w:effect w:val="none"/>
          </w:rPr>
          <w:t>EXHIBITS</w:t>
        </w:r>
      </w:hyperlink>
    </w:p>
    <w:p>
      <w:pPr>
        <w:pStyle w:val="TextBody"/>
        <w:bidi w:val="0"/>
        <w:spacing w:lineRule="auto" w:line="288" w:before="0" w:after="0"/>
        <w:ind w:left="0" w:right="0" w:hanging="0"/>
        <w:jc w:val="left"/>
        <w:rPr>
          <w:rFonts w:ascii="Times New Roman" w:hAnsi="Times New Roman"/>
          <w:sz w:val="20"/>
        </w:rPr>
      </w:pPr>
      <w:r>
        <w:rPr>
          <w:rFonts w:ascii="Times New Roman" w:hAnsi="Times New Roman"/>
          <w:sz w:val="20"/>
        </w:rPr>
      </w:r>
    </w:p>
    <w:tbl>
      <w:tblPr>
        <w:tblW w:w="5000" w:type="pct"/>
        <w:jc w:val="left"/>
        <w:tblInd w:w="0" w:type="dxa"/>
        <w:tblLayout w:type="fixed"/>
        <w:tblCellMar>
          <w:top w:w="0" w:type="dxa"/>
          <w:left w:w="0" w:type="dxa"/>
          <w:bottom w:w="0" w:type="dxa"/>
          <w:right w:w="0" w:type="dxa"/>
        </w:tblCellMar>
      </w:tblPr>
      <w:tblGrid>
        <w:gridCol w:w="757"/>
        <w:gridCol w:w="60"/>
        <w:gridCol w:w="9388"/>
      </w:tblGrid>
      <w:tr>
        <w:trPr/>
        <w:tc>
          <w:tcPr>
            <w:tcW w:w="757"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Exhibit</w:t>
            </w:r>
            <w:r>
              <w:rPr>
                <w:rFonts w:ascii="Times New Roman" w:hAnsi="Times New Roman"/>
                <w:b/>
                <w:color w:val="000000"/>
                <w:sz w:val="20"/>
              </w:rPr>
              <w:t xml:space="preserve"> No.</w:t>
            </w:r>
          </w:p>
        </w:tc>
        <w:tc>
          <w:tcPr>
            <w:tcW w:w="60" w:type="dxa"/>
            <w:tcBorders/>
            <w:vAlign w:val="center"/>
          </w:tcPr>
          <w:p>
            <w:pPr>
              <w:pStyle w:val="TableContents"/>
              <w:bidi w:val="0"/>
              <w:spacing w:before="0" w:after="0"/>
              <w:ind w:left="0" w:right="0" w:hanging="0"/>
              <w:jc w:val="left"/>
              <w:rPr>
                <w:color w:val="000000"/>
              </w:rPr>
            </w:pPr>
            <w:r>
              <w:rPr>
                <w:color w:val="000000"/>
              </w:rPr>
              <w:t> </w:t>
            </w:r>
          </w:p>
        </w:tc>
        <w:tc>
          <w:tcPr>
            <w:tcW w:w="9388" w:type="dxa"/>
            <w:tcBorders/>
            <w:vAlign w:val="center"/>
          </w:tcPr>
          <w:p>
            <w:pPr>
              <w:pStyle w:val="TableContents"/>
              <w:bidi w:val="0"/>
              <w:spacing w:before="0" w:after="0"/>
              <w:ind w:left="0" w:right="0" w:hanging="0"/>
              <w:jc w:val="both"/>
              <w:rPr>
                <w:rFonts w:ascii="Times New Roman" w:hAnsi="Times New Roman"/>
                <w:b/>
                <w:color w:val="000000"/>
                <w:sz w:val="20"/>
              </w:rPr>
            </w:pPr>
            <w:r>
              <w:rPr>
                <w:rFonts w:ascii="Times New Roman" w:hAnsi="Times New Roman"/>
                <w:b/>
                <w:color w:val="000000"/>
                <w:sz w:val="20"/>
              </w:rPr>
              <w:t>Title of Document</w:t>
            </w:r>
          </w:p>
        </w:tc>
      </w:tr>
      <w:tr>
        <w:trPr/>
        <w:tc>
          <w:tcPr>
            <w:tcW w:w="757" w:type="dxa"/>
            <w:tcBorders/>
            <w:vAlign w:val="center"/>
          </w:tcPr>
          <w:p>
            <w:pPr>
              <w:pStyle w:val="TableContents"/>
              <w:bidi w:val="0"/>
              <w:spacing w:before="0" w:after="0"/>
              <w:ind w:left="0" w:right="0" w:hanging="0"/>
              <w:jc w:val="left"/>
              <w:rPr>
                <w:color w:val="000000"/>
              </w:rPr>
            </w:pPr>
            <w:r>
              <w:rPr>
                <w:color w:val="000000"/>
              </w:rPr>
              <w:t> </w:t>
            </w:r>
          </w:p>
        </w:tc>
        <w:tc>
          <w:tcPr>
            <w:tcW w:w="60" w:type="dxa"/>
            <w:tcBorders/>
            <w:vAlign w:val="center"/>
          </w:tcPr>
          <w:p>
            <w:pPr>
              <w:pStyle w:val="TableContents"/>
              <w:bidi w:val="0"/>
              <w:spacing w:before="0" w:after="0"/>
              <w:ind w:left="0" w:right="0" w:hanging="0"/>
              <w:jc w:val="left"/>
              <w:rPr>
                <w:color w:val="000000"/>
              </w:rPr>
            </w:pPr>
            <w:r>
              <w:rPr>
                <w:color w:val="000000"/>
              </w:rPr>
              <w:t> </w:t>
            </w:r>
          </w:p>
        </w:tc>
        <w:tc>
          <w:tcPr>
            <w:tcW w:w="9388" w:type="dxa"/>
            <w:tcBorders/>
            <w:vAlign w:val="center"/>
          </w:tcPr>
          <w:p>
            <w:pPr>
              <w:pStyle w:val="TableContents"/>
              <w:bidi w:val="0"/>
              <w:spacing w:before="0" w:after="0"/>
              <w:ind w:left="0" w:right="0" w:hanging="0"/>
              <w:jc w:val="left"/>
              <w:rPr>
                <w:color w:val="000000"/>
              </w:rPr>
            </w:pPr>
            <w:r>
              <w:rPr>
                <w:color w:val="000000"/>
              </w:rPr>
              <w:t> </w:t>
            </w:r>
          </w:p>
        </w:tc>
      </w:tr>
      <w:tr>
        <w:trPr/>
        <w:tc>
          <w:tcPr>
            <w:tcW w:w="757" w:type="dxa"/>
            <w:tcBorders/>
            <w:vAlign w:val="center"/>
          </w:tcPr>
          <w:p>
            <w:pPr>
              <w:pStyle w:val="TableContents"/>
              <w:bidi w:val="0"/>
              <w:spacing w:before="0" w:after="0"/>
              <w:ind w:left="0" w:right="0" w:hanging="0"/>
              <w:jc w:val="left"/>
              <w:rPr>
                <w:color w:val="000000"/>
              </w:rPr>
            </w:pPr>
            <w:r>
              <w:rPr>
                <w:color w:val="000000"/>
              </w:rPr>
              <w:t>2.1</w:t>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0"/>
              <w:ind w:left="0" w:right="0" w:hanging="0"/>
              <w:jc w:val="both"/>
              <w:rPr/>
            </w:pPr>
            <w:hyperlink r:id="rId21">
              <w:r>
                <w:rPr>
                  <w:rStyle w:val="InternetLink"/>
                  <w:color w:val="0000FF"/>
                </w:rPr>
                <w:t>Agreement and Plan of Merger, dated July 1, 2026 by and among ClearOne, Inc. CLRO Merger Sub, Inc., Cortigent, Inc., and Vivani Medical, Inc. (filed as Exhibit 2.1 to the Company’s Current Report on Form 8-K as filed with the SEC on July 6, 2026 and incorporated herein by reference).</w:t>
              </w:r>
            </w:hyperlink>
          </w:p>
        </w:tc>
      </w:tr>
      <w:tr>
        <w:trPr/>
        <w:tc>
          <w:tcPr>
            <w:tcW w:w="757"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283"/>
              <w:ind w:left="0" w:right="0" w:hanging="0"/>
              <w:jc w:val="left"/>
              <w:rPr/>
            </w:pPr>
            <w:r>
              <w:rPr/>
            </w:r>
          </w:p>
        </w:tc>
      </w:tr>
      <w:tr>
        <w:trPr/>
        <w:tc>
          <w:tcPr>
            <w:tcW w:w="757" w:type="dxa"/>
            <w:tcBorders/>
            <w:vAlign w:val="center"/>
          </w:tcPr>
          <w:p>
            <w:pPr>
              <w:pStyle w:val="TableContents"/>
              <w:bidi w:val="0"/>
              <w:spacing w:before="0" w:after="0"/>
              <w:ind w:left="0" w:right="0" w:hanging="0"/>
              <w:jc w:val="left"/>
              <w:rPr>
                <w:color w:val="000000"/>
              </w:rPr>
            </w:pPr>
            <w:r>
              <w:rPr>
                <w:color w:val="000000"/>
              </w:rPr>
              <w:t>3.1</w:t>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0"/>
              <w:ind w:left="0" w:right="0" w:hanging="0"/>
              <w:jc w:val="both"/>
              <w:rPr/>
            </w:pPr>
            <w:hyperlink r:id="rId22">
              <w:r>
                <w:rPr>
                  <w:rStyle w:val="InternetLink"/>
                  <w:color w:val="0000FF"/>
                </w:rPr>
                <w:t>Articles of Incorporation (filed as Exhibit 3.1 to the Company’s Current Report on Form 8-K as filed with the SEC on April 23, 2026 and incorporated herein by reference).</w:t>
              </w:r>
            </w:hyperlink>
          </w:p>
        </w:tc>
      </w:tr>
      <w:tr>
        <w:trPr/>
        <w:tc>
          <w:tcPr>
            <w:tcW w:w="757"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283"/>
              <w:ind w:left="0" w:right="0" w:hanging="0"/>
              <w:jc w:val="left"/>
              <w:rPr/>
            </w:pPr>
            <w:r>
              <w:rPr/>
            </w:r>
          </w:p>
        </w:tc>
      </w:tr>
      <w:tr>
        <w:trPr/>
        <w:tc>
          <w:tcPr>
            <w:tcW w:w="757" w:type="dxa"/>
            <w:tcBorders/>
            <w:vAlign w:val="center"/>
          </w:tcPr>
          <w:p>
            <w:pPr>
              <w:pStyle w:val="TableContents"/>
              <w:bidi w:val="0"/>
              <w:spacing w:before="0" w:after="0"/>
              <w:ind w:left="0" w:right="0" w:hanging="0"/>
              <w:jc w:val="left"/>
              <w:rPr>
                <w:color w:val="000000"/>
              </w:rPr>
            </w:pPr>
            <w:r>
              <w:rPr>
                <w:color w:val="000000"/>
              </w:rPr>
              <w:t>3.2</w:t>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0"/>
              <w:ind w:left="0" w:right="0" w:hanging="0"/>
              <w:jc w:val="both"/>
              <w:rPr/>
            </w:pPr>
            <w:hyperlink r:id="rId23">
              <w:r>
                <w:rPr>
                  <w:rStyle w:val="InternetLink"/>
                  <w:color w:val="0000FF"/>
                </w:rPr>
                <w:t>Bylaws (filed as Exhibit 3.2 to the Company’s Current Report on Form 8-K as filed with the SEC on April 23, 2026 and incorporated herein by reference).</w:t>
              </w:r>
            </w:hyperlink>
          </w:p>
        </w:tc>
      </w:tr>
      <w:tr>
        <w:trPr/>
        <w:tc>
          <w:tcPr>
            <w:tcW w:w="757"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283"/>
              <w:ind w:left="0" w:right="0" w:hanging="0"/>
              <w:jc w:val="left"/>
              <w:rPr/>
            </w:pPr>
            <w:r>
              <w:rPr/>
            </w:r>
          </w:p>
        </w:tc>
      </w:tr>
      <w:tr>
        <w:trPr/>
        <w:tc>
          <w:tcPr>
            <w:tcW w:w="757" w:type="dxa"/>
            <w:tcBorders/>
            <w:vAlign w:val="center"/>
          </w:tcPr>
          <w:p>
            <w:pPr>
              <w:pStyle w:val="TableContents"/>
              <w:bidi w:val="0"/>
              <w:spacing w:before="0" w:after="0"/>
              <w:ind w:left="0" w:right="0" w:hanging="0"/>
              <w:jc w:val="left"/>
              <w:rPr>
                <w:color w:val="000000"/>
              </w:rPr>
            </w:pPr>
            <w:r>
              <w:rPr>
                <w:color w:val="000000"/>
              </w:rPr>
              <w:t>4.1</w:t>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0"/>
              <w:ind w:left="0" w:right="0" w:hanging="0"/>
              <w:jc w:val="both"/>
              <w:rPr/>
            </w:pPr>
            <w:hyperlink r:id="rId24">
              <w:r>
                <w:rPr>
                  <w:rStyle w:val="InternetLink"/>
                  <w:color w:val="0000FF"/>
                </w:rPr>
                <w:t>Form of Warrant (filed as Exhibit 4.1 to the Company’s Current Report on Form 8-K as filed with the SEC on March 5, 2026 and incorporated herein by reference).</w:t>
              </w:r>
            </w:hyperlink>
          </w:p>
        </w:tc>
      </w:tr>
      <w:tr>
        <w:trPr/>
        <w:tc>
          <w:tcPr>
            <w:tcW w:w="757"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283"/>
              <w:ind w:left="0" w:right="0" w:hanging="0"/>
              <w:jc w:val="left"/>
              <w:rPr/>
            </w:pPr>
            <w:r>
              <w:rPr/>
            </w:r>
          </w:p>
        </w:tc>
      </w:tr>
      <w:tr>
        <w:trPr/>
        <w:tc>
          <w:tcPr>
            <w:tcW w:w="757" w:type="dxa"/>
            <w:tcBorders/>
            <w:vAlign w:val="center"/>
          </w:tcPr>
          <w:p>
            <w:pPr>
              <w:pStyle w:val="TableContents"/>
              <w:bidi w:val="0"/>
              <w:spacing w:before="0" w:after="0"/>
              <w:ind w:left="0" w:right="0" w:hanging="0"/>
              <w:jc w:val="left"/>
              <w:rPr>
                <w:color w:val="000000"/>
              </w:rPr>
            </w:pPr>
            <w:r>
              <w:rPr>
                <w:color w:val="000000"/>
              </w:rPr>
              <w:t>4.2</w:t>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0"/>
              <w:ind w:left="0" w:right="0" w:hanging="0"/>
              <w:jc w:val="both"/>
              <w:rPr/>
            </w:pPr>
            <w:hyperlink r:id="rId25">
              <w:r>
                <w:rPr>
                  <w:rStyle w:val="InternetLink"/>
                  <w:color w:val="0000FF"/>
                </w:rPr>
                <w:t>Form of Common Stock Purchase Warrant issued by ClearOne, Inc. to First Finance Ltd. pursuant to the Securities Purchase Agreement, dated March 2, 2026 (filed as Exhibit 4.2 to the Company’s Registration Statement on Form S-1 as filed with the SEC on August 10, 2026 and incorporated herein by reference).</w:t>
              </w:r>
            </w:hyperlink>
          </w:p>
        </w:tc>
      </w:tr>
      <w:tr>
        <w:trPr/>
        <w:tc>
          <w:tcPr>
            <w:tcW w:w="757"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283"/>
              <w:ind w:left="0" w:right="0" w:hanging="0"/>
              <w:jc w:val="left"/>
              <w:rPr/>
            </w:pPr>
            <w:r>
              <w:rPr/>
            </w:r>
          </w:p>
        </w:tc>
      </w:tr>
      <w:tr>
        <w:trPr/>
        <w:tc>
          <w:tcPr>
            <w:tcW w:w="757" w:type="dxa"/>
            <w:tcBorders/>
            <w:vAlign w:val="center"/>
          </w:tcPr>
          <w:p>
            <w:pPr>
              <w:pStyle w:val="TableContents"/>
              <w:bidi w:val="0"/>
              <w:spacing w:before="0" w:after="0"/>
              <w:ind w:left="0" w:right="0" w:hanging="0"/>
              <w:jc w:val="left"/>
              <w:rPr>
                <w:color w:val="000000"/>
              </w:rPr>
            </w:pPr>
            <w:r>
              <w:rPr>
                <w:color w:val="000000"/>
              </w:rPr>
              <w:t>10.1</w:t>
            </w:r>
          </w:p>
        </w:tc>
        <w:tc>
          <w:tcPr>
            <w:tcW w:w="60" w:type="dxa"/>
            <w:tcBorders/>
            <w:vAlign w:val="center"/>
          </w:tcPr>
          <w:p>
            <w:pPr>
              <w:pStyle w:val="TableContents"/>
              <w:bidi w:val="0"/>
              <w:spacing w:before="0" w:after="283"/>
              <w:ind w:left="0" w:right="0" w:hanging="0"/>
              <w:jc w:val="left"/>
              <w:rPr>
                <w:color w:val="000000"/>
                <w:u w:val="single"/>
              </w:rPr>
            </w:pPr>
            <w:r>
              <w:rPr>
                <w:color w:val="000000"/>
                <w:u w:val="single"/>
              </w:rPr>
            </w:r>
          </w:p>
        </w:tc>
        <w:tc>
          <w:tcPr>
            <w:tcW w:w="9388" w:type="dxa"/>
            <w:tcBorders/>
            <w:vAlign w:val="center"/>
          </w:tcPr>
          <w:p>
            <w:pPr>
              <w:pStyle w:val="TableContents"/>
              <w:bidi w:val="0"/>
              <w:spacing w:before="0" w:after="0"/>
              <w:ind w:left="0" w:right="0" w:hanging="0"/>
              <w:jc w:val="both"/>
              <w:rPr/>
            </w:pPr>
            <w:hyperlink r:id="rId26">
              <w:r>
                <w:rPr>
                  <w:rStyle w:val="InternetLink"/>
                  <w:color w:val="0000FF"/>
                </w:rPr>
                <w:t>Lease Termination Agreement dated as of April 7, 2026 by and between Edgewater Corporate Park, LLC and ClearOne, Inc. (filed as Exhibit 10.1 to the Company’s Current Report on Form 8-K as filed with the SEC on April 13, 2026 and incorporated herein by reference).</w:t>
              </w:r>
            </w:hyperlink>
          </w:p>
        </w:tc>
      </w:tr>
      <w:tr>
        <w:trPr/>
        <w:tc>
          <w:tcPr>
            <w:tcW w:w="757"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283"/>
              <w:ind w:left="0" w:right="0" w:hanging="0"/>
              <w:jc w:val="left"/>
              <w:rPr/>
            </w:pPr>
            <w:r>
              <w:rPr/>
            </w:r>
          </w:p>
        </w:tc>
      </w:tr>
      <w:tr>
        <w:trPr/>
        <w:tc>
          <w:tcPr>
            <w:tcW w:w="757" w:type="dxa"/>
            <w:tcBorders/>
            <w:vAlign w:val="center"/>
          </w:tcPr>
          <w:p>
            <w:pPr>
              <w:pStyle w:val="TableContents"/>
              <w:bidi w:val="0"/>
              <w:spacing w:before="0" w:after="0"/>
              <w:ind w:left="0" w:right="0" w:hanging="0"/>
              <w:jc w:val="left"/>
              <w:rPr>
                <w:color w:val="000000"/>
              </w:rPr>
            </w:pPr>
            <w:r>
              <w:rPr>
                <w:color w:val="000000"/>
              </w:rPr>
              <w:t>10.2</w:t>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0"/>
              <w:ind w:left="0" w:right="0" w:hanging="0"/>
              <w:jc w:val="both"/>
              <w:rPr/>
            </w:pPr>
            <w:hyperlink r:id="rId27">
              <w:r>
                <w:rPr>
                  <w:rStyle w:val="InternetLink"/>
                  <w:color w:val="0000FF"/>
                </w:rPr>
                <w:t>Letter Agreement dated April 1, 2026 by and between ClearOne, Inc. and Derek Graham (filed as Exhibit 10.1 to the Company’s Current Report on Form 8-K as filed with the SEC on April 3, 2026 and incorporated herein by reference).</w:t>
              </w:r>
            </w:hyperlink>
          </w:p>
        </w:tc>
      </w:tr>
      <w:tr>
        <w:trPr/>
        <w:tc>
          <w:tcPr>
            <w:tcW w:w="757"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283"/>
              <w:ind w:left="0" w:right="0" w:hanging="0"/>
              <w:jc w:val="left"/>
              <w:rPr/>
            </w:pPr>
            <w:r>
              <w:rPr/>
            </w:r>
          </w:p>
        </w:tc>
      </w:tr>
      <w:tr>
        <w:trPr/>
        <w:tc>
          <w:tcPr>
            <w:tcW w:w="757" w:type="dxa"/>
            <w:tcBorders/>
            <w:vAlign w:val="center"/>
          </w:tcPr>
          <w:p>
            <w:pPr>
              <w:pStyle w:val="TableContents"/>
              <w:bidi w:val="0"/>
              <w:spacing w:before="0" w:after="0"/>
              <w:ind w:left="0" w:right="0" w:hanging="0"/>
              <w:jc w:val="left"/>
              <w:rPr>
                <w:color w:val="000000"/>
              </w:rPr>
            </w:pPr>
            <w:r>
              <w:rPr>
                <w:color w:val="000000"/>
              </w:rPr>
              <w:t>10.3</w:t>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0"/>
              <w:ind w:left="0" w:right="0" w:hanging="0"/>
              <w:jc w:val="both"/>
              <w:rPr/>
            </w:pPr>
            <w:hyperlink r:id="rId28">
              <w:r>
                <w:rPr>
                  <w:rStyle w:val="InternetLink"/>
                  <w:color w:val="0000FF"/>
                </w:rPr>
                <w:t>Warrant Repurchase Agreement, dated March 9, 2026, by and between ClearOne, Inc. and CVI Investments, Inc. (filed as Exhibit 10.1 to the Company’s Current Report on Form 8-K as filed with the SEC on March 13, 2026 and incorporated herein by reference).</w:t>
              </w:r>
            </w:hyperlink>
          </w:p>
        </w:tc>
      </w:tr>
      <w:tr>
        <w:trPr/>
        <w:tc>
          <w:tcPr>
            <w:tcW w:w="757"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283"/>
              <w:ind w:left="0" w:right="0" w:hanging="0"/>
              <w:jc w:val="left"/>
              <w:rPr/>
            </w:pPr>
            <w:r>
              <w:rPr/>
            </w:r>
          </w:p>
        </w:tc>
      </w:tr>
      <w:tr>
        <w:trPr/>
        <w:tc>
          <w:tcPr>
            <w:tcW w:w="757" w:type="dxa"/>
            <w:tcBorders/>
            <w:vAlign w:val="center"/>
          </w:tcPr>
          <w:p>
            <w:pPr>
              <w:pStyle w:val="TableContents"/>
              <w:bidi w:val="0"/>
              <w:spacing w:before="0" w:after="0"/>
              <w:ind w:left="0" w:right="0" w:hanging="0"/>
              <w:jc w:val="left"/>
              <w:rPr>
                <w:color w:val="000000"/>
              </w:rPr>
            </w:pPr>
            <w:r>
              <w:rPr>
                <w:color w:val="000000"/>
              </w:rPr>
              <w:t>10.4</w:t>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0"/>
              <w:ind w:left="0" w:right="0" w:hanging="0"/>
              <w:jc w:val="both"/>
              <w:rPr/>
            </w:pPr>
            <w:hyperlink r:id="rId29">
              <w:r>
                <w:rPr>
                  <w:rStyle w:val="InternetLink"/>
                  <w:color w:val="0000FF"/>
                </w:rPr>
                <w:t>Securities Purchase Agreement dated as of March 2, 2026 by and between First Finance, Ltd. and ClearOne, Inc. (filed as Exhibit 10.1 to the Company’ s Current Report on Form 8-K as filed with the SEC on March 5, 2026 and incorporated herein by reference).</w:t>
              </w:r>
            </w:hyperlink>
          </w:p>
        </w:tc>
      </w:tr>
      <w:tr>
        <w:trPr/>
        <w:tc>
          <w:tcPr>
            <w:tcW w:w="757"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283"/>
              <w:ind w:left="0" w:right="0" w:hanging="0"/>
              <w:jc w:val="left"/>
              <w:rPr/>
            </w:pPr>
            <w:r>
              <w:rPr/>
            </w:r>
          </w:p>
        </w:tc>
      </w:tr>
      <w:tr>
        <w:trPr/>
        <w:tc>
          <w:tcPr>
            <w:tcW w:w="757" w:type="dxa"/>
            <w:tcBorders/>
            <w:vAlign w:val="center"/>
          </w:tcPr>
          <w:p>
            <w:pPr>
              <w:pStyle w:val="TableContents"/>
              <w:bidi w:val="0"/>
              <w:spacing w:before="0" w:after="0"/>
              <w:ind w:left="0" w:right="0" w:hanging="0"/>
              <w:jc w:val="left"/>
              <w:rPr>
                <w:color w:val="000000"/>
              </w:rPr>
            </w:pPr>
            <w:r>
              <w:rPr>
                <w:color w:val="000000"/>
              </w:rPr>
              <w:t>10.5</w:t>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0"/>
              <w:ind w:left="0" w:right="0" w:hanging="0"/>
              <w:jc w:val="both"/>
              <w:rPr/>
            </w:pPr>
            <w:hyperlink r:id="rId30">
              <w:r>
                <w:rPr>
                  <w:rStyle w:val="InternetLink"/>
                  <w:color w:val="0000FF"/>
                </w:rPr>
                <w:t>Registration Rights Agreement dated as of March 2, 2026 by and between First Finance, Ltd. and ClearOne, Inc. (filed as Exhibit 10.2 to the Company’ s Current Report on Form 8-K as filed with the SEC on March 5, 2026 and incorporated herein by reference).</w:t>
              </w:r>
            </w:hyperlink>
          </w:p>
        </w:tc>
      </w:tr>
      <w:tr>
        <w:trPr/>
        <w:tc>
          <w:tcPr>
            <w:tcW w:w="757"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283"/>
              <w:ind w:left="0" w:right="0" w:hanging="0"/>
              <w:jc w:val="left"/>
              <w:rPr/>
            </w:pPr>
            <w:r>
              <w:rPr/>
            </w:r>
          </w:p>
        </w:tc>
      </w:tr>
      <w:tr>
        <w:trPr/>
        <w:tc>
          <w:tcPr>
            <w:tcW w:w="757" w:type="dxa"/>
            <w:tcBorders/>
            <w:vAlign w:val="center"/>
          </w:tcPr>
          <w:p>
            <w:pPr>
              <w:pStyle w:val="TableContents"/>
              <w:bidi w:val="0"/>
              <w:spacing w:before="0" w:after="0"/>
              <w:ind w:left="0" w:right="0" w:hanging="0"/>
              <w:jc w:val="left"/>
              <w:rPr>
                <w:color w:val="000000"/>
              </w:rPr>
            </w:pPr>
            <w:r>
              <w:rPr>
                <w:color w:val="000000"/>
              </w:rPr>
              <w:t>10.6#</w:t>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0"/>
              <w:ind w:left="0" w:right="0" w:hanging="0"/>
              <w:jc w:val="left"/>
              <w:rPr/>
            </w:pPr>
            <w:hyperlink r:id="rId31">
              <w:r>
                <w:rPr>
                  <w:rStyle w:val="InternetLink"/>
                  <w:color w:val="0000FF"/>
                </w:rPr>
                <w:t>Settlement Agreement and Waiver of Claims (filed as Exhibit 10.1 to the Company’s Current Report on Form 8-K as filed with the SEC on January 14, 2026 and incorporated herein by reference).</w:t>
              </w:r>
            </w:hyperlink>
          </w:p>
        </w:tc>
      </w:tr>
      <w:tr>
        <w:trPr/>
        <w:tc>
          <w:tcPr>
            <w:tcW w:w="757"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283"/>
              <w:ind w:left="0" w:right="0" w:hanging="0"/>
              <w:jc w:val="left"/>
              <w:rPr/>
            </w:pPr>
            <w:r>
              <w:rPr/>
            </w:r>
          </w:p>
        </w:tc>
      </w:tr>
      <w:tr>
        <w:trPr/>
        <w:tc>
          <w:tcPr>
            <w:tcW w:w="757" w:type="dxa"/>
            <w:tcBorders/>
            <w:vAlign w:val="center"/>
          </w:tcPr>
          <w:p>
            <w:pPr>
              <w:pStyle w:val="TableContents"/>
              <w:bidi w:val="0"/>
              <w:spacing w:before="0" w:after="0"/>
              <w:ind w:left="0" w:right="0" w:hanging="0"/>
              <w:jc w:val="left"/>
              <w:rPr>
                <w:color w:val="000000"/>
              </w:rPr>
            </w:pPr>
            <w:r>
              <w:rPr>
                <w:color w:val="000000"/>
              </w:rPr>
              <w:t>10.7</w:t>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0"/>
              <w:ind w:left="0" w:right="0" w:hanging="0"/>
              <w:jc w:val="both"/>
              <w:rPr/>
            </w:pPr>
            <w:hyperlink r:id="rId32">
              <w:r>
                <w:rPr>
                  <w:rStyle w:val="InternetLink"/>
                  <w:color w:val="0000FF"/>
                </w:rPr>
                <w:t>$3,000,000 Principal Amount Convertible Note dated June 20, 2025 (filed as Exhibit 10.2 to the Company’s Current Report on Form 8-K as filed with the SEC on June 25, 2025 and incorporated herein by reference).</w:t>
              </w:r>
            </w:hyperlink>
          </w:p>
        </w:tc>
      </w:tr>
      <w:tr>
        <w:trPr/>
        <w:tc>
          <w:tcPr>
            <w:tcW w:w="757"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283"/>
              <w:ind w:left="0" w:right="0" w:hanging="0"/>
              <w:jc w:val="left"/>
              <w:rPr/>
            </w:pPr>
            <w:r>
              <w:rPr/>
            </w:r>
          </w:p>
        </w:tc>
      </w:tr>
      <w:tr>
        <w:trPr/>
        <w:tc>
          <w:tcPr>
            <w:tcW w:w="757" w:type="dxa"/>
            <w:tcBorders/>
            <w:vAlign w:val="center"/>
          </w:tcPr>
          <w:p>
            <w:pPr>
              <w:pStyle w:val="TableContents"/>
              <w:bidi w:val="0"/>
              <w:spacing w:before="0" w:after="0"/>
              <w:ind w:left="0" w:right="0" w:hanging="0"/>
              <w:jc w:val="left"/>
              <w:rPr>
                <w:color w:val="000000"/>
              </w:rPr>
            </w:pPr>
            <w:r>
              <w:rPr>
                <w:color w:val="000000"/>
              </w:rPr>
              <w:t>10.8</w:t>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0"/>
              <w:ind w:left="0" w:right="0" w:hanging="0"/>
              <w:jc w:val="both"/>
              <w:rPr/>
            </w:pPr>
            <w:hyperlink r:id="rId33">
              <w:r>
                <w:rPr>
                  <w:rStyle w:val="InternetLink"/>
                  <w:color w:val="0000FF"/>
                </w:rPr>
                <w:t>Asset Purchase Agreement, dated October 24, 2025, by and among ClearOne, Inc., ClearOne Services, LLC, ClearOne Holding, LLC and Biamp Systems, LLC (filed as Exhibit 10.1 to the Company’s Current Report on Form 8-K as filed with the SEC on October 30, 2025 and incorporated herein by reference).</w:t>
              </w:r>
            </w:hyperlink>
          </w:p>
        </w:tc>
      </w:tr>
      <w:tr>
        <w:trPr/>
        <w:tc>
          <w:tcPr>
            <w:tcW w:w="757"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283"/>
              <w:ind w:left="0" w:right="0" w:hanging="0"/>
              <w:jc w:val="left"/>
              <w:rPr/>
            </w:pPr>
            <w:r>
              <w:rPr/>
            </w:r>
          </w:p>
        </w:tc>
      </w:tr>
      <w:tr>
        <w:trPr/>
        <w:tc>
          <w:tcPr>
            <w:tcW w:w="757" w:type="dxa"/>
            <w:tcBorders/>
            <w:vAlign w:val="center"/>
          </w:tcPr>
          <w:p>
            <w:pPr>
              <w:pStyle w:val="TableContents"/>
              <w:bidi w:val="0"/>
              <w:spacing w:before="0" w:after="0"/>
              <w:ind w:left="0" w:right="0" w:hanging="0"/>
              <w:jc w:val="left"/>
              <w:rPr>
                <w:color w:val="000000"/>
              </w:rPr>
            </w:pPr>
            <w:r>
              <w:rPr>
                <w:color w:val="000000"/>
              </w:rPr>
              <w:t>10.9</w:t>
            </w:r>
          </w:p>
        </w:tc>
        <w:tc>
          <w:tcPr>
            <w:tcW w:w="60" w:type="dxa"/>
            <w:tcBorders/>
            <w:vAlign w:val="center"/>
          </w:tcPr>
          <w:p>
            <w:pPr>
              <w:pStyle w:val="TableContents"/>
              <w:bidi w:val="0"/>
              <w:spacing w:before="0" w:after="283"/>
              <w:ind w:left="0" w:right="0" w:hanging="0"/>
              <w:jc w:val="left"/>
              <w:rPr/>
            </w:pPr>
            <w:r>
              <w:rPr/>
            </w:r>
          </w:p>
        </w:tc>
        <w:tc>
          <w:tcPr>
            <w:tcW w:w="9388" w:type="dxa"/>
            <w:tcBorders/>
            <w:vAlign w:val="center"/>
          </w:tcPr>
          <w:p>
            <w:pPr>
              <w:pStyle w:val="TableContents"/>
              <w:bidi w:val="0"/>
              <w:spacing w:before="0" w:after="0"/>
              <w:jc w:val="both"/>
              <w:rPr/>
            </w:pPr>
            <w:hyperlink r:id="rId34">
              <w:r>
                <w:rPr>
                  <w:rStyle w:val="InternetLink"/>
                  <w:color w:val="0000FF"/>
                </w:rPr>
                <w:t>Warrant Cancellation Agreement, dated as of August 4, 2026, by and between ClearOne, Inc. and First Finance Ltd. (filed as Exhibit 10.1 to the Company’s Current Report on Form 8-K as filed with the SEC on August 5, 2026 and incorporated herein by reference).</w:t>
              </w:r>
            </w:hyperlink>
          </w:p>
        </w:tc>
      </w:tr>
    </w:tbl>
    <w:p>
      <w:pPr>
        <w:pStyle w:val="TextBody"/>
        <w:bidi w:val="0"/>
        <w:spacing w:before="0" w:after="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496" w:name="PageBreakNo38"/>
            <w:bookmarkEnd w:id="496"/>
            <w:r>
              <w:rPr>
                <w:sz w:val="20"/>
              </w:rPr>
              <w:t>38</w:t>
            </w:r>
          </w:p>
        </w:tc>
      </w:tr>
    </w:tbl>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before="0" w:after="0"/>
        <w:jc w:val="left"/>
        <w:rPr/>
      </w:pPr>
      <w:r>
        <w:rPr/>
      </w:r>
    </w:p>
    <w:tbl>
      <w:tblPr>
        <w:tblW w:w="5000" w:type="pct"/>
        <w:jc w:val="left"/>
        <w:tblInd w:w="0" w:type="dxa"/>
        <w:tblLayout w:type="fixed"/>
        <w:tblCellMar>
          <w:top w:w="0" w:type="dxa"/>
          <w:left w:w="0" w:type="dxa"/>
          <w:bottom w:w="0" w:type="dxa"/>
          <w:right w:w="0" w:type="dxa"/>
        </w:tblCellMar>
      </w:tblPr>
      <w:tblGrid>
        <w:gridCol w:w="774"/>
        <w:gridCol w:w="60"/>
        <w:gridCol w:w="9371"/>
      </w:tblGrid>
      <w:tr>
        <w:trPr/>
        <w:tc>
          <w:tcPr>
            <w:tcW w:w="774"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Exhibit No.</w:t>
            </w:r>
          </w:p>
        </w:tc>
        <w:tc>
          <w:tcPr>
            <w:tcW w:w="60" w:type="dxa"/>
            <w:tcBorders/>
            <w:vAlign w:val="center"/>
          </w:tcPr>
          <w:p>
            <w:pPr>
              <w:pStyle w:val="TableContents"/>
              <w:bidi w:val="0"/>
              <w:spacing w:before="0" w:after="0"/>
              <w:ind w:left="0" w:right="0" w:hanging="0"/>
              <w:jc w:val="left"/>
              <w:rPr/>
            </w:pPr>
            <w:r>
              <w:rPr/>
              <w:t> </w:t>
            </w:r>
          </w:p>
        </w:tc>
        <w:tc>
          <w:tcPr>
            <w:tcW w:w="9371" w:type="dxa"/>
            <w:tcBorders/>
            <w:vAlign w:val="center"/>
          </w:tcPr>
          <w:p>
            <w:pPr>
              <w:pStyle w:val="TableContents"/>
              <w:bidi w:val="0"/>
              <w:spacing w:before="0" w:after="0"/>
              <w:ind w:left="0" w:right="0" w:hanging="0"/>
              <w:jc w:val="both"/>
              <w:rPr>
                <w:rFonts w:ascii="Times New Roman" w:hAnsi="Times New Roman"/>
                <w:b/>
                <w:sz w:val="20"/>
              </w:rPr>
            </w:pPr>
            <w:r>
              <w:rPr>
                <w:rFonts w:ascii="Times New Roman" w:hAnsi="Times New Roman"/>
                <w:b/>
                <w:sz w:val="20"/>
              </w:rPr>
              <w:t xml:space="preserve">Title </w:t>
            </w:r>
            <w:r>
              <w:rPr>
                <w:rFonts w:ascii="Times New Roman" w:hAnsi="Times New Roman"/>
                <w:b/>
                <w:color w:val="000000"/>
                <w:sz w:val="20"/>
              </w:rPr>
              <w:t>of Document</w:t>
            </w:r>
          </w:p>
        </w:tc>
      </w:tr>
      <w:tr>
        <w:trPr/>
        <w:tc>
          <w:tcPr>
            <w:tcW w:w="774" w:type="dxa"/>
            <w:tcBorders/>
            <w:vAlign w:val="center"/>
          </w:tcPr>
          <w:p>
            <w:pPr>
              <w:pStyle w:val="TableContents"/>
              <w:bidi w:val="0"/>
              <w:spacing w:before="0" w:after="0"/>
              <w:ind w:left="0" w:right="0" w:hanging="0"/>
              <w:jc w:val="left"/>
              <w:rPr>
                <w:color w:val="000000"/>
              </w:rPr>
            </w:pPr>
            <w:r>
              <w:rPr>
                <w:color w:val="000000"/>
              </w:rPr>
              <w:t> </w:t>
            </w:r>
          </w:p>
        </w:tc>
        <w:tc>
          <w:tcPr>
            <w:tcW w:w="60" w:type="dxa"/>
            <w:tcBorders/>
            <w:vAlign w:val="center"/>
          </w:tcPr>
          <w:p>
            <w:pPr>
              <w:pStyle w:val="TableContents"/>
              <w:bidi w:val="0"/>
              <w:spacing w:before="0" w:after="0"/>
              <w:ind w:left="0" w:right="0" w:hanging="0"/>
              <w:jc w:val="left"/>
              <w:rPr>
                <w:color w:val="000000"/>
              </w:rPr>
            </w:pPr>
            <w:r>
              <w:rPr>
                <w:color w:val="000000"/>
              </w:rPr>
              <w:t> </w:t>
            </w:r>
          </w:p>
        </w:tc>
        <w:tc>
          <w:tcPr>
            <w:tcW w:w="9371" w:type="dxa"/>
            <w:tcBorders/>
            <w:vAlign w:val="center"/>
          </w:tcPr>
          <w:p>
            <w:pPr>
              <w:pStyle w:val="TableContents"/>
              <w:bidi w:val="0"/>
              <w:spacing w:before="0" w:after="0"/>
              <w:ind w:left="0" w:right="0" w:hanging="0"/>
              <w:jc w:val="left"/>
              <w:rPr>
                <w:color w:val="000000"/>
              </w:rPr>
            </w:pPr>
            <w:r>
              <w:rPr>
                <w:color w:val="000000"/>
              </w:rPr>
              <w:t> </w:t>
            </w:r>
          </w:p>
        </w:tc>
      </w:tr>
      <w:tr>
        <w:trPr/>
        <w:tc>
          <w:tcPr>
            <w:tcW w:w="774" w:type="dxa"/>
            <w:tcBorders/>
            <w:vAlign w:val="center"/>
          </w:tcPr>
          <w:p>
            <w:pPr>
              <w:pStyle w:val="TableContents"/>
              <w:bidi w:val="0"/>
              <w:spacing w:before="0" w:after="0"/>
              <w:ind w:left="0" w:right="0" w:hanging="0"/>
              <w:jc w:val="left"/>
              <w:rPr>
                <w:color w:val="000000"/>
              </w:rPr>
            </w:pPr>
            <w:r>
              <w:rPr>
                <w:color w:val="000000"/>
              </w:rPr>
              <w:t>10.10</w:t>
            </w:r>
          </w:p>
        </w:tc>
        <w:tc>
          <w:tcPr>
            <w:tcW w:w="60" w:type="dxa"/>
            <w:tcBorders/>
            <w:vAlign w:val="center"/>
          </w:tcPr>
          <w:p>
            <w:pPr>
              <w:pStyle w:val="TableContents"/>
              <w:bidi w:val="0"/>
              <w:spacing w:before="0" w:after="283"/>
              <w:ind w:left="0" w:right="0" w:hanging="0"/>
              <w:jc w:val="left"/>
              <w:rPr/>
            </w:pPr>
            <w:r>
              <w:rPr/>
            </w:r>
          </w:p>
        </w:tc>
        <w:tc>
          <w:tcPr>
            <w:tcW w:w="9371" w:type="dxa"/>
            <w:tcBorders/>
            <w:vAlign w:val="center"/>
          </w:tcPr>
          <w:p>
            <w:pPr>
              <w:pStyle w:val="TableContents"/>
              <w:bidi w:val="0"/>
              <w:spacing w:before="0" w:after="0"/>
              <w:ind w:left="0" w:right="0" w:hanging="0"/>
              <w:jc w:val="both"/>
              <w:rPr/>
            </w:pPr>
            <w:hyperlink r:id="rId35">
              <w:r>
                <w:rPr>
                  <w:rStyle w:val="InternetLink"/>
                  <w:color w:val="0000FF"/>
                </w:rPr>
                <w:t>Employment Agreement, dated as of July 31, 2026, by and between ClearOne, Inc. and Simon Brewer (filed as Exhibit 10.2 to the Company’s Current Report on Form 8-K as filed with the SEC on August 5, 2026 and incorporated herein by reference).</w:t>
              </w:r>
            </w:hyperlink>
          </w:p>
        </w:tc>
      </w:tr>
      <w:tr>
        <w:trPr/>
        <w:tc>
          <w:tcPr>
            <w:tcW w:w="774"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1" w:type="dxa"/>
            <w:tcBorders/>
            <w:vAlign w:val="center"/>
          </w:tcPr>
          <w:p>
            <w:pPr>
              <w:pStyle w:val="TableContents"/>
              <w:bidi w:val="0"/>
              <w:spacing w:before="0" w:after="283"/>
              <w:ind w:left="0" w:right="0" w:hanging="0"/>
              <w:jc w:val="left"/>
              <w:rPr/>
            </w:pPr>
            <w:r>
              <w:rPr/>
            </w:r>
          </w:p>
        </w:tc>
      </w:tr>
      <w:tr>
        <w:trPr/>
        <w:tc>
          <w:tcPr>
            <w:tcW w:w="774" w:type="dxa"/>
            <w:tcBorders/>
            <w:vAlign w:val="center"/>
          </w:tcPr>
          <w:p>
            <w:pPr>
              <w:pStyle w:val="TableContents"/>
              <w:bidi w:val="0"/>
              <w:spacing w:before="0" w:after="0"/>
              <w:ind w:left="0" w:right="0" w:hanging="0"/>
              <w:jc w:val="left"/>
              <w:rPr>
                <w:color w:val="000000"/>
              </w:rPr>
            </w:pPr>
            <w:r>
              <w:rPr>
                <w:color w:val="000000"/>
              </w:rPr>
              <w:t>10.11</w:t>
            </w:r>
          </w:p>
        </w:tc>
        <w:tc>
          <w:tcPr>
            <w:tcW w:w="60" w:type="dxa"/>
            <w:tcBorders/>
            <w:vAlign w:val="center"/>
          </w:tcPr>
          <w:p>
            <w:pPr>
              <w:pStyle w:val="TableContents"/>
              <w:bidi w:val="0"/>
              <w:spacing w:before="0" w:after="283"/>
              <w:ind w:left="0" w:right="0" w:hanging="0"/>
              <w:jc w:val="left"/>
              <w:rPr/>
            </w:pPr>
            <w:r>
              <w:rPr/>
            </w:r>
          </w:p>
        </w:tc>
        <w:tc>
          <w:tcPr>
            <w:tcW w:w="9371" w:type="dxa"/>
            <w:tcBorders/>
            <w:vAlign w:val="center"/>
          </w:tcPr>
          <w:p>
            <w:pPr>
              <w:pStyle w:val="TableContents"/>
              <w:bidi w:val="0"/>
              <w:spacing w:before="0" w:after="0"/>
              <w:ind w:left="0" w:right="0" w:hanging="0"/>
              <w:jc w:val="both"/>
              <w:rPr/>
            </w:pPr>
            <w:hyperlink r:id="rId36">
              <w:r>
                <w:rPr>
                  <w:rStyle w:val="InternetLink"/>
                  <w:color w:val="0000FF"/>
                </w:rPr>
                <w:t>ClearOne, Inc. 2026 Omnibus Incentive Plan (filed as Exhibit 10.11 to the Company’s Registration Statement on Form S-1 as filed with the SEC on August 10, 2026 and incorporated herein by reference).</w:t>
              </w:r>
            </w:hyperlink>
          </w:p>
        </w:tc>
      </w:tr>
      <w:tr>
        <w:trPr/>
        <w:tc>
          <w:tcPr>
            <w:tcW w:w="774"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1" w:type="dxa"/>
            <w:tcBorders/>
            <w:vAlign w:val="center"/>
          </w:tcPr>
          <w:p>
            <w:pPr>
              <w:pStyle w:val="TableContents"/>
              <w:bidi w:val="0"/>
              <w:spacing w:before="0" w:after="283"/>
              <w:ind w:left="0" w:right="0" w:hanging="0"/>
              <w:jc w:val="left"/>
              <w:rPr/>
            </w:pPr>
            <w:r>
              <w:rPr/>
            </w:r>
          </w:p>
        </w:tc>
      </w:tr>
      <w:tr>
        <w:trPr/>
        <w:tc>
          <w:tcPr>
            <w:tcW w:w="774" w:type="dxa"/>
            <w:tcBorders/>
            <w:vAlign w:val="center"/>
          </w:tcPr>
          <w:p>
            <w:pPr>
              <w:pStyle w:val="TableContents"/>
              <w:bidi w:val="0"/>
              <w:spacing w:before="0" w:after="0"/>
              <w:ind w:left="0" w:right="0" w:hanging="0"/>
              <w:jc w:val="left"/>
              <w:rPr>
                <w:color w:val="000000"/>
              </w:rPr>
            </w:pPr>
            <w:r>
              <w:rPr>
                <w:color w:val="000000"/>
              </w:rPr>
              <w:t>10.12</w:t>
            </w:r>
          </w:p>
        </w:tc>
        <w:tc>
          <w:tcPr>
            <w:tcW w:w="60" w:type="dxa"/>
            <w:tcBorders/>
            <w:vAlign w:val="center"/>
          </w:tcPr>
          <w:p>
            <w:pPr>
              <w:pStyle w:val="TableContents"/>
              <w:bidi w:val="0"/>
              <w:spacing w:before="0" w:after="283"/>
              <w:ind w:left="0" w:right="0" w:hanging="0"/>
              <w:jc w:val="left"/>
              <w:rPr/>
            </w:pPr>
            <w:r>
              <w:rPr/>
            </w:r>
          </w:p>
        </w:tc>
        <w:tc>
          <w:tcPr>
            <w:tcW w:w="9371" w:type="dxa"/>
            <w:tcBorders/>
            <w:vAlign w:val="center"/>
          </w:tcPr>
          <w:p>
            <w:pPr>
              <w:pStyle w:val="TableContents"/>
              <w:bidi w:val="0"/>
              <w:spacing w:before="0" w:after="0"/>
              <w:ind w:left="0" w:right="0" w:hanging="0"/>
              <w:jc w:val="both"/>
              <w:rPr/>
            </w:pPr>
            <w:hyperlink r:id="rId37">
              <w:r>
                <w:rPr>
                  <w:rStyle w:val="InternetLink"/>
                  <w:color w:val="0000FF"/>
                </w:rPr>
                <w:t>Advisor Agreement, dated as of August 7, 2026, by and between ClearOne, Inc. and First Finance Ltd. (filed as Exhibit 10.1 to the Company’s Current Report on Form 8-K as filed with the SEC on August 11, 2026 and incorporated herein by reference).</w:t>
              </w:r>
            </w:hyperlink>
          </w:p>
        </w:tc>
      </w:tr>
      <w:tr>
        <w:trPr/>
        <w:tc>
          <w:tcPr>
            <w:tcW w:w="774"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1" w:type="dxa"/>
            <w:tcBorders/>
            <w:vAlign w:val="center"/>
          </w:tcPr>
          <w:p>
            <w:pPr>
              <w:pStyle w:val="TableContents"/>
              <w:bidi w:val="0"/>
              <w:spacing w:before="0" w:after="283"/>
              <w:ind w:left="0" w:right="0" w:hanging="0"/>
              <w:jc w:val="left"/>
              <w:rPr/>
            </w:pPr>
            <w:r>
              <w:rPr/>
            </w:r>
          </w:p>
        </w:tc>
      </w:tr>
      <w:tr>
        <w:trPr/>
        <w:tc>
          <w:tcPr>
            <w:tcW w:w="774" w:type="dxa"/>
            <w:tcBorders/>
            <w:vAlign w:val="center"/>
          </w:tcPr>
          <w:p>
            <w:pPr>
              <w:pStyle w:val="TableContents"/>
              <w:bidi w:val="0"/>
              <w:spacing w:before="0" w:after="0"/>
              <w:ind w:left="0" w:right="0" w:hanging="0"/>
              <w:jc w:val="left"/>
              <w:rPr>
                <w:color w:val="000000"/>
              </w:rPr>
            </w:pPr>
            <w:r>
              <w:rPr>
                <w:color w:val="000000"/>
              </w:rPr>
              <w:t>10.13</w:t>
            </w:r>
          </w:p>
        </w:tc>
        <w:tc>
          <w:tcPr>
            <w:tcW w:w="60" w:type="dxa"/>
            <w:tcBorders/>
            <w:vAlign w:val="center"/>
          </w:tcPr>
          <w:p>
            <w:pPr>
              <w:pStyle w:val="TableContents"/>
              <w:bidi w:val="0"/>
              <w:spacing w:before="0" w:after="283"/>
              <w:ind w:left="0" w:right="0" w:hanging="0"/>
              <w:jc w:val="left"/>
              <w:rPr/>
            </w:pPr>
            <w:r>
              <w:rPr/>
            </w:r>
          </w:p>
        </w:tc>
        <w:tc>
          <w:tcPr>
            <w:tcW w:w="9371" w:type="dxa"/>
            <w:tcBorders/>
            <w:vAlign w:val="center"/>
          </w:tcPr>
          <w:p>
            <w:pPr>
              <w:pStyle w:val="TableContents"/>
              <w:bidi w:val="0"/>
              <w:spacing w:before="0" w:after="0"/>
              <w:ind w:left="0" w:right="0" w:hanging="0"/>
              <w:jc w:val="both"/>
              <w:rPr/>
            </w:pPr>
            <w:hyperlink r:id="rId38">
              <w:r>
                <w:rPr>
                  <w:rStyle w:val="InternetLink"/>
                  <w:color w:val="0000FF"/>
                </w:rPr>
                <w:t>Advisor Agreement, dated as of August 7, 2026, by and between ClearOne, Inc. and Betelgeuse Capital Advisors Inc. (filed as Exhibit 10.2 to the Company’s Current Report on Form 8-K as filed with the SEC on August 11, 2026 and incorporated herein by reference).</w:t>
              </w:r>
            </w:hyperlink>
          </w:p>
        </w:tc>
      </w:tr>
      <w:tr>
        <w:trPr/>
        <w:tc>
          <w:tcPr>
            <w:tcW w:w="774"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1" w:type="dxa"/>
            <w:tcBorders/>
            <w:vAlign w:val="center"/>
          </w:tcPr>
          <w:p>
            <w:pPr>
              <w:pStyle w:val="TableContents"/>
              <w:bidi w:val="0"/>
              <w:spacing w:before="0" w:after="283"/>
              <w:ind w:left="0" w:right="0" w:hanging="0"/>
              <w:jc w:val="left"/>
              <w:rPr/>
            </w:pPr>
            <w:r>
              <w:rPr/>
            </w:r>
          </w:p>
        </w:tc>
      </w:tr>
      <w:tr>
        <w:trPr/>
        <w:tc>
          <w:tcPr>
            <w:tcW w:w="774" w:type="dxa"/>
            <w:tcBorders/>
            <w:vAlign w:val="center"/>
          </w:tcPr>
          <w:p>
            <w:pPr>
              <w:pStyle w:val="TableContents"/>
              <w:bidi w:val="0"/>
              <w:spacing w:before="0" w:after="0"/>
              <w:ind w:left="0" w:right="0" w:hanging="0"/>
              <w:jc w:val="left"/>
              <w:rPr>
                <w:color w:val="000000"/>
              </w:rPr>
            </w:pPr>
            <w:r>
              <w:rPr>
                <w:color w:val="000000"/>
              </w:rPr>
              <w:t>10.14</w:t>
            </w:r>
          </w:p>
        </w:tc>
        <w:tc>
          <w:tcPr>
            <w:tcW w:w="60" w:type="dxa"/>
            <w:tcBorders/>
            <w:vAlign w:val="center"/>
          </w:tcPr>
          <w:p>
            <w:pPr>
              <w:pStyle w:val="TableContents"/>
              <w:bidi w:val="0"/>
              <w:spacing w:before="0" w:after="283"/>
              <w:ind w:left="0" w:right="0" w:hanging="0"/>
              <w:jc w:val="left"/>
              <w:rPr/>
            </w:pPr>
            <w:r>
              <w:rPr/>
            </w:r>
          </w:p>
        </w:tc>
        <w:tc>
          <w:tcPr>
            <w:tcW w:w="9371" w:type="dxa"/>
            <w:tcBorders/>
            <w:vAlign w:val="center"/>
          </w:tcPr>
          <w:p>
            <w:pPr>
              <w:pStyle w:val="TableContents"/>
              <w:bidi w:val="0"/>
              <w:spacing w:before="0" w:after="0"/>
              <w:ind w:left="0" w:right="0" w:hanging="0"/>
              <w:jc w:val="both"/>
              <w:rPr/>
            </w:pPr>
            <w:hyperlink r:id="rId39">
              <w:r>
                <w:rPr>
                  <w:rStyle w:val="InternetLink"/>
                  <w:color w:val="0000FF"/>
                </w:rPr>
                <w:t>Advisor Agreement, dated as of August 7, 2026, by and between ClearOne, Inc. and Gang3 Capital Ltd. (filed as Exhibit 10.3 to the Company’s Current Report on Form 8-K as filed with the SEC on August 11, 2026 and incorporated herein by reference).</w:t>
              </w:r>
            </w:hyperlink>
          </w:p>
        </w:tc>
      </w:tr>
      <w:tr>
        <w:trPr/>
        <w:tc>
          <w:tcPr>
            <w:tcW w:w="774"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1" w:type="dxa"/>
            <w:tcBorders/>
            <w:vAlign w:val="center"/>
          </w:tcPr>
          <w:p>
            <w:pPr>
              <w:pStyle w:val="TableContents"/>
              <w:bidi w:val="0"/>
              <w:spacing w:before="0" w:after="283"/>
              <w:ind w:left="0" w:right="0" w:hanging="0"/>
              <w:jc w:val="left"/>
              <w:rPr/>
            </w:pPr>
            <w:r>
              <w:rPr/>
            </w:r>
          </w:p>
        </w:tc>
      </w:tr>
      <w:tr>
        <w:trPr/>
        <w:tc>
          <w:tcPr>
            <w:tcW w:w="774" w:type="dxa"/>
            <w:tcBorders/>
            <w:vAlign w:val="center"/>
          </w:tcPr>
          <w:p>
            <w:pPr>
              <w:pStyle w:val="TableContents"/>
              <w:bidi w:val="0"/>
              <w:spacing w:before="0" w:after="0"/>
              <w:ind w:left="0" w:right="0" w:hanging="0"/>
              <w:jc w:val="left"/>
              <w:rPr>
                <w:color w:val="000000"/>
              </w:rPr>
            </w:pPr>
            <w:r>
              <w:rPr>
                <w:color w:val="000000"/>
              </w:rPr>
              <w:t>10.15</w:t>
            </w:r>
          </w:p>
        </w:tc>
        <w:tc>
          <w:tcPr>
            <w:tcW w:w="60" w:type="dxa"/>
            <w:tcBorders/>
            <w:vAlign w:val="center"/>
          </w:tcPr>
          <w:p>
            <w:pPr>
              <w:pStyle w:val="TableContents"/>
              <w:bidi w:val="0"/>
              <w:spacing w:before="0" w:after="283"/>
              <w:ind w:left="0" w:right="0" w:hanging="0"/>
              <w:jc w:val="left"/>
              <w:rPr/>
            </w:pPr>
            <w:r>
              <w:rPr/>
            </w:r>
          </w:p>
        </w:tc>
        <w:tc>
          <w:tcPr>
            <w:tcW w:w="9371" w:type="dxa"/>
            <w:tcBorders/>
            <w:vAlign w:val="center"/>
          </w:tcPr>
          <w:p>
            <w:pPr>
              <w:pStyle w:val="TableContents"/>
              <w:bidi w:val="0"/>
              <w:spacing w:before="0" w:after="0"/>
              <w:ind w:left="0" w:right="0" w:hanging="0"/>
              <w:jc w:val="both"/>
              <w:rPr/>
            </w:pPr>
            <w:hyperlink r:id="rId40">
              <w:r>
                <w:rPr>
                  <w:rStyle w:val="InternetLink"/>
                  <w:color w:val="0000FF"/>
                </w:rPr>
                <w:t>Advisor Agreement, dated as of August 7, 2026, by and between ClearOne, Inc. and JJK Holdings Ltd. (filed as Exhibit 10.4 to the Company’s Current Report on Form 8-K as filed with the SEC on August 11, 2026 and incorporated herein by reference).</w:t>
              </w:r>
            </w:hyperlink>
          </w:p>
        </w:tc>
      </w:tr>
      <w:tr>
        <w:trPr/>
        <w:tc>
          <w:tcPr>
            <w:tcW w:w="774"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1" w:type="dxa"/>
            <w:tcBorders/>
            <w:vAlign w:val="center"/>
          </w:tcPr>
          <w:p>
            <w:pPr>
              <w:pStyle w:val="TableContents"/>
              <w:bidi w:val="0"/>
              <w:spacing w:before="0" w:after="283"/>
              <w:ind w:left="0" w:right="0" w:hanging="0"/>
              <w:jc w:val="left"/>
              <w:rPr/>
            </w:pPr>
            <w:r>
              <w:rPr/>
            </w:r>
          </w:p>
        </w:tc>
      </w:tr>
      <w:tr>
        <w:trPr/>
        <w:tc>
          <w:tcPr>
            <w:tcW w:w="774" w:type="dxa"/>
            <w:tcBorders/>
            <w:vAlign w:val="center"/>
          </w:tcPr>
          <w:p>
            <w:pPr>
              <w:pStyle w:val="TableContents"/>
              <w:bidi w:val="0"/>
              <w:spacing w:before="0" w:after="0"/>
              <w:ind w:left="0" w:right="0" w:hanging="0"/>
              <w:jc w:val="both"/>
              <w:rPr>
                <w:rFonts w:ascii="Times New Roman" w:hAnsi="Times New Roman"/>
                <w:color w:val="000000"/>
                <w:sz w:val="20"/>
              </w:rPr>
            </w:pPr>
            <w:r>
              <w:rPr>
                <w:rFonts w:ascii="Times New Roman" w:hAnsi="Times New Roman"/>
                <w:color w:val="000000"/>
                <w:sz w:val="20"/>
              </w:rPr>
              <w:t>31.1*</w:t>
            </w:r>
          </w:p>
        </w:tc>
        <w:tc>
          <w:tcPr>
            <w:tcW w:w="60" w:type="dxa"/>
            <w:tcBorders/>
            <w:vAlign w:val="center"/>
          </w:tcPr>
          <w:p>
            <w:pPr>
              <w:pStyle w:val="TableContents"/>
              <w:bidi w:val="0"/>
              <w:spacing w:before="0" w:after="0"/>
              <w:ind w:left="0" w:right="0" w:hanging="0"/>
              <w:jc w:val="left"/>
              <w:rPr>
                <w:color w:val="000000"/>
              </w:rPr>
            </w:pPr>
            <w:r>
              <w:rPr>
                <w:color w:val="000000"/>
              </w:rPr>
              <w:t> </w:t>
            </w:r>
          </w:p>
        </w:tc>
        <w:tc>
          <w:tcPr>
            <w:tcW w:w="9371" w:type="dxa"/>
            <w:tcBorders/>
            <w:vAlign w:val="center"/>
          </w:tcPr>
          <w:p>
            <w:pPr>
              <w:pStyle w:val="TableContents"/>
              <w:bidi w:val="0"/>
              <w:spacing w:before="0" w:after="0"/>
              <w:ind w:left="0" w:right="0" w:hanging="0"/>
              <w:jc w:val="both"/>
              <w:rPr/>
            </w:pPr>
            <w:hyperlink w:anchor="ex311_1.htm">
              <w:r>
                <w:rPr>
                  <w:rStyle w:val="InternetLink"/>
                  <w:rFonts w:ascii="Times New Roman" w:hAnsi="Times New Roman"/>
                  <w:color w:val="0000FF"/>
                  <w:sz w:val="20"/>
                </w:rPr>
                <w:t>Section 302 Certification of Chief Executive Officer (filed herewith)</w:t>
              </w:r>
            </w:hyperlink>
          </w:p>
        </w:tc>
      </w:tr>
      <w:tr>
        <w:trPr/>
        <w:tc>
          <w:tcPr>
            <w:tcW w:w="774" w:type="dxa"/>
            <w:tcBorders/>
            <w:vAlign w:val="center"/>
          </w:tcPr>
          <w:p>
            <w:pPr>
              <w:pStyle w:val="TableContents"/>
              <w:bidi w:val="0"/>
              <w:spacing w:before="0" w:after="0"/>
              <w:ind w:left="0" w:right="0" w:hanging="0"/>
              <w:jc w:val="left"/>
              <w:rPr>
                <w:color w:val="000000"/>
              </w:rPr>
            </w:pPr>
            <w:r>
              <w:rPr>
                <w:color w:val="000000"/>
              </w:rPr>
              <w:t> </w:t>
            </w:r>
          </w:p>
        </w:tc>
        <w:tc>
          <w:tcPr>
            <w:tcW w:w="60" w:type="dxa"/>
            <w:tcBorders/>
            <w:vAlign w:val="center"/>
          </w:tcPr>
          <w:p>
            <w:pPr>
              <w:pStyle w:val="TableContents"/>
              <w:bidi w:val="0"/>
              <w:spacing w:before="0" w:after="0"/>
              <w:ind w:left="0" w:right="0" w:hanging="0"/>
              <w:jc w:val="left"/>
              <w:rPr>
                <w:color w:val="000000"/>
              </w:rPr>
            </w:pPr>
            <w:r>
              <w:rPr>
                <w:color w:val="000000"/>
              </w:rPr>
              <w:t> </w:t>
            </w:r>
          </w:p>
        </w:tc>
        <w:tc>
          <w:tcPr>
            <w:tcW w:w="9371" w:type="dxa"/>
            <w:tcBorders/>
            <w:vAlign w:val="center"/>
          </w:tcPr>
          <w:p>
            <w:pPr>
              <w:pStyle w:val="TableContents"/>
              <w:bidi w:val="0"/>
              <w:spacing w:before="0" w:after="0"/>
              <w:ind w:left="0" w:right="0" w:hanging="0"/>
              <w:jc w:val="both"/>
              <w:rPr>
                <w:color w:val="0000FF"/>
              </w:rPr>
            </w:pPr>
            <w:r>
              <w:rPr>
                <w:color w:val="0000FF"/>
              </w:rPr>
              <w:t> </w:t>
            </w:r>
          </w:p>
        </w:tc>
      </w:tr>
      <w:tr>
        <w:trPr/>
        <w:tc>
          <w:tcPr>
            <w:tcW w:w="774" w:type="dxa"/>
            <w:tcBorders/>
            <w:vAlign w:val="center"/>
          </w:tcPr>
          <w:p>
            <w:pPr>
              <w:pStyle w:val="TableContents"/>
              <w:bidi w:val="0"/>
              <w:spacing w:before="0" w:after="0"/>
              <w:ind w:left="0" w:right="0" w:hanging="0"/>
              <w:jc w:val="both"/>
              <w:rPr>
                <w:rFonts w:ascii="Times New Roman" w:hAnsi="Times New Roman"/>
                <w:color w:val="000000"/>
                <w:sz w:val="20"/>
              </w:rPr>
            </w:pPr>
            <w:r>
              <w:rPr>
                <w:rFonts w:ascii="Times New Roman" w:hAnsi="Times New Roman"/>
                <w:color w:val="000000"/>
                <w:sz w:val="20"/>
              </w:rPr>
              <w:t>31.2*</w:t>
            </w:r>
          </w:p>
        </w:tc>
        <w:tc>
          <w:tcPr>
            <w:tcW w:w="60" w:type="dxa"/>
            <w:tcBorders/>
            <w:vAlign w:val="center"/>
          </w:tcPr>
          <w:p>
            <w:pPr>
              <w:pStyle w:val="TableContents"/>
              <w:bidi w:val="0"/>
              <w:spacing w:before="0" w:after="0"/>
              <w:ind w:left="0" w:right="0" w:hanging="0"/>
              <w:jc w:val="left"/>
              <w:rPr>
                <w:color w:val="000000"/>
              </w:rPr>
            </w:pPr>
            <w:r>
              <w:rPr>
                <w:color w:val="000000"/>
              </w:rPr>
              <w:t> </w:t>
            </w:r>
          </w:p>
        </w:tc>
        <w:tc>
          <w:tcPr>
            <w:tcW w:w="9371" w:type="dxa"/>
            <w:tcBorders/>
            <w:vAlign w:val="center"/>
          </w:tcPr>
          <w:p>
            <w:pPr>
              <w:pStyle w:val="TableContents"/>
              <w:bidi w:val="0"/>
              <w:spacing w:before="0" w:after="0"/>
              <w:ind w:left="0" w:right="0" w:hanging="0"/>
              <w:jc w:val="both"/>
              <w:rPr/>
            </w:pPr>
            <w:hyperlink w:anchor="ex312_2.htm">
              <w:r>
                <w:rPr>
                  <w:rStyle w:val="InternetLink"/>
                  <w:rFonts w:ascii="Times New Roman" w:hAnsi="Times New Roman"/>
                  <w:color w:val="0000FF"/>
                  <w:sz w:val="20"/>
                </w:rPr>
                <w:t>Section 302 Certification of Principal Financial Officer (filed herewith)</w:t>
              </w:r>
            </w:hyperlink>
          </w:p>
        </w:tc>
      </w:tr>
      <w:tr>
        <w:trPr/>
        <w:tc>
          <w:tcPr>
            <w:tcW w:w="774" w:type="dxa"/>
            <w:tcBorders/>
            <w:vAlign w:val="center"/>
          </w:tcPr>
          <w:p>
            <w:pPr>
              <w:pStyle w:val="TableContents"/>
              <w:bidi w:val="0"/>
              <w:spacing w:before="0" w:after="0"/>
              <w:ind w:left="0" w:right="0" w:hanging="0"/>
              <w:jc w:val="left"/>
              <w:rPr>
                <w:color w:val="000000"/>
              </w:rPr>
            </w:pPr>
            <w:r>
              <w:rPr>
                <w:color w:val="000000"/>
              </w:rPr>
              <w:t> </w:t>
            </w:r>
          </w:p>
        </w:tc>
        <w:tc>
          <w:tcPr>
            <w:tcW w:w="60" w:type="dxa"/>
            <w:tcBorders/>
            <w:vAlign w:val="center"/>
          </w:tcPr>
          <w:p>
            <w:pPr>
              <w:pStyle w:val="TableContents"/>
              <w:bidi w:val="0"/>
              <w:spacing w:before="0" w:after="0"/>
              <w:ind w:left="0" w:right="0" w:hanging="0"/>
              <w:jc w:val="left"/>
              <w:rPr>
                <w:color w:val="000000"/>
              </w:rPr>
            </w:pPr>
            <w:r>
              <w:rPr>
                <w:color w:val="000000"/>
              </w:rPr>
              <w:t> </w:t>
            </w:r>
          </w:p>
        </w:tc>
        <w:tc>
          <w:tcPr>
            <w:tcW w:w="9371" w:type="dxa"/>
            <w:tcBorders/>
            <w:vAlign w:val="center"/>
          </w:tcPr>
          <w:p>
            <w:pPr>
              <w:pStyle w:val="TableContents"/>
              <w:bidi w:val="0"/>
              <w:spacing w:before="0" w:after="0"/>
              <w:ind w:left="0" w:right="0" w:hanging="0"/>
              <w:jc w:val="both"/>
              <w:rPr>
                <w:color w:val="0000FF"/>
              </w:rPr>
            </w:pPr>
            <w:r>
              <w:rPr>
                <w:color w:val="0000FF"/>
              </w:rPr>
              <w:t> </w:t>
            </w:r>
          </w:p>
        </w:tc>
      </w:tr>
      <w:tr>
        <w:trPr/>
        <w:tc>
          <w:tcPr>
            <w:tcW w:w="774" w:type="dxa"/>
            <w:tcBorders/>
            <w:vAlign w:val="center"/>
          </w:tcPr>
          <w:p>
            <w:pPr>
              <w:pStyle w:val="TableContents"/>
              <w:widowControl/>
              <w:bidi w:val="0"/>
              <w:spacing w:before="0" w:after="0"/>
              <w:ind w:left="0" w:right="0" w:hanging="0"/>
              <w:jc w:val="both"/>
              <w:rPr>
                <w:rFonts w:ascii="Times New Roman" w:hAnsi="Times New Roman"/>
                <w:color w:val="000000"/>
                <w:sz w:val="20"/>
              </w:rPr>
            </w:pPr>
            <w:r>
              <w:rPr>
                <w:rFonts w:ascii="Times New Roman" w:hAnsi="Times New Roman"/>
                <w:color w:val="000000"/>
                <w:sz w:val="20"/>
              </w:rPr>
              <w:t>32.1*</w:t>
            </w:r>
            <w:r>
              <w:rPr>
                <w:rFonts w:ascii="Times New Roman" w:hAnsi="Times New Roman"/>
                <w:b w:val="false"/>
                <w:color w:val="000000"/>
                <w:spacing w:val="0"/>
                <w:sz w:val="20"/>
              </w:rPr>
              <w:t>*</w:t>
            </w:r>
          </w:p>
        </w:tc>
        <w:tc>
          <w:tcPr>
            <w:tcW w:w="60" w:type="dxa"/>
            <w:tcBorders/>
            <w:vAlign w:val="center"/>
          </w:tcPr>
          <w:p>
            <w:pPr>
              <w:pStyle w:val="TableContents"/>
              <w:bidi w:val="0"/>
              <w:spacing w:before="0" w:after="0"/>
              <w:ind w:left="0" w:right="0" w:hanging="0"/>
              <w:jc w:val="left"/>
              <w:rPr>
                <w:color w:val="000000"/>
              </w:rPr>
            </w:pPr>
            <w:r>
              <w:rPr>
                <w:color w:val="000000"/>
              </w:rPr>
              <w:t> </w:t>
            </w:r>
          </w:p>
        </w:tc>
        <w:tc>
          <w:tcPr>
            <w:tcW w:w="9371" w:type="dxa"/>
            <w:tcBorders/>
            <w:vAlign w:val="center"/>
          </w:tcPr>
          <w:p>
            <w:pPr>
              <w:pStyle w:val="TableContents"/>
              <w:bidi w:val="0"/>
              <w:spacing w:before="0" w:after="0"/>
              <w:ind w:left="0" w:right="0" w:hanging="0"/>
              <w:jc w:val="both"/>
              <w:rPr/>
            </w:pPr>
            <w:hyperlink w:anchor="ex321_3.htm">
              <w:r>
                <w:rPr>
                  <w:rStyle w:val="InternetLink"/>
                  <w:rFonts w:ascii="Times New Roman" w:hAnsi="Times New Roman"/>
                  <w:color w:val="0000FF"/>
                  <w:sz w:val="20"/>
                </w:rPr>
                <w:t>Section 906 Certification of Chief Executive Officer (furnished herewith)</w:t>
              </w:r>
            </w:hyperlink>
          </w:p>
        </w:tc>
      </w:tr>
      <w:tr>
        <w:trPr/>
        <w:tc>
          <w:tcPr>
            <w:tcW w:w="774" w:type="dxa"/>
            <w:tcBorders/>
            <w:vAlign w:val="center"/>
          </w:tcPr>
          <w:p>
            <w:pPr>
              <w:pStyle w:val="TableContents"/>
              <w:bidi w:val="0"/>
              <w:spacing w:before="0" w:after="0"/>
              <w:ind w:left="0" w:right="0" w:hanging="0"/>
              <w:jc w:val="left"/>
              <w:rPr>
                <w:color w:val="000000"/>
              </w:rPr>
            </w:pPr>
            <w:r>
              <w:rPr>
                <w:color w:val="000000"/>
              </w:rPr>
              <w:t> </w:t>
            </w:r>
          </w:p>
        </w:tc>
        <w:tc>
          <w:tcPr>
            <w:tcW w:w="60" w:type="dxa"/>
            <w:tcBorders/>
            <w:vAlign w:val="center"/>
          </w:tcPr>
          <w:p>
            <w:pPr>
              <w:pStyle w:val="TableContents"/>
              <w:bidi w:val="0"/>
              <w:spacing w:before="0" w:after="0"/>
              <w:ind w:left="0" w:right="0" w:hanging="0"/>
              <w:jc w:val="left"/>
              <w:rPr>
                <w:color w:val="000000"/>
              </w:rPr>
            </w:pPr>
            <w:r>
              <w:rPr>
                <w:color w:val="000000"/>
              </w:rPr>
              <w:t> </w:t>
            </w:r>
          </w:p>
        </w:tc>
        <w:tc>
          <w:tcPr>
            <w:tcW w:w="9371" w:type="dxa"/>
            <w:tcBorders/>
            <w:vAlign w:val="center"/>
          </w:tcPr>
          <w:p>
            <w:pPr>
              <w:pStyle w:val="TableContents"/>
              <w:bidi w:val="0"/>
              <w:spacing w:before="0" w:after="0"/>
              <w:ind w:left="0" w:right="0" w:hanging="0"/>
              <w:jc w:val="both"/>
              <w:rPr>
                <w:color w:val="0000FF"/>
              </w:rPr>
            </w:pPr>
            <w:r>
              <w:rPr>
                <w:color w:val="0000FF"/>
              </w:rPr>
              <w:t> </w:t>
            </w:r>
          </w:p>
        </w:tc>
      </w:tr>
      <w:tr>
        <w:trPr/>
        <w:tc>
          <w:tcPr>
            <w:tcW w:w="774" w:type="dxa"/>
            <w:tcBorders/>
            <w:vAlign w:val="center"/>
          </w:tcPr>
          <w:p>
            <w:pPr>
              <w:pStyle w:val="TableContents"/>
              <w:widowControl/>
              <w:bidi w:val="0"/>
              <w:spacing w:before="0" w:after="0"/>
              <w:ind w:left="0" w:right="0" w:hanging="0"/>
              <w:jc w:val="both"/>
              <w:rPr>
                <w:rFonts w:ascii="Times New Roman" w:hAnsi="Times New Roman"/>
                <w:color w:val="000000"/>
                <w:sz w:val="20"/>
              </w:rPr>
            </w:pPr>
            <w:r>
              <w:rPr>
                <w:rFonts w:ascii="Times New Roman" w:hAnsi="Times New Roman"/>
                <w:color w:val="000000"/>
                <w:sz w:val="20"/>
              </w:rPr>
              <w:t>32.2*</w:t>
            </w:r>
            <w:r>
              <w:rPr>
                <w:rFonts w:ascii="Times New Roman" w:hAnsi="Times New Roman"/>
                <w:b w:val="false"/>
                <w:color w:val="000000"/>
                <w:spacing w:val="0"/>
                <w:sz w:val="20"/>
              </w:rPr>
              <w:t>*</w:t>
            </w:r>
          </w:p>
        </w:tc>
        <w:tc>
          <w:tcPr>
            <w:tcW w:w="60" w:type="dxa"/>
            <w:tcBorders/>
            <w:vAlign w:val="center"/>
          </w:tcPr>
          <w:p>
            <w:pPr>
              <w:pStyle w:val="TableContents"/>
              <w:bidi w:val="0"/>
              <w:spacing w:before="0" w:after="0"/>
              <w:ind w:left="0" w:right="0" w:hanging="0"/>
              <w:jc w:val="left"/>
              <w:rPr>
                <w:color w:val="000000"/>
              </w:rPr>
            </w:pPr>
            <w:r>
              <w:rPr>
                <w:color w:val="000000"/>
              </w:rPr>
              <w:t> </w:t>
            </w:r>
          </w:p>
        </w:tc>
        <w:tc>
          <w:tcPr>
            <w:tcW w:w="9371" w:type="dxa"/>
            <w:tcBorders/>
            <w:vAlign w:val="center"/>
          </w:tcPr>
          <w:p>
            <w:pPr>
              <w:pStyle w:val="TableContents"/>
              <w:bidi w:val="0"/>
              <w:spacing w:before="0" w:after="0"/>
              <w:ind w:left="0" w:right="0" w:hanging="0"/>
              <w:jc w:val="both"/>
              <w:rPr/>
            </w:pPr>
            <w:hyperlink w:anchor="ex322_4.htm">
              <w:r>
                <w:rPr>
                  <w:rStyle w:val="InternetLink"/>
                  <w:rFonts w:ascii="Times New Roman" w:hAnsi="Times New Roman"/>
                  <w:color w:val="0000FF"/>
                  <w:sz w:val="20"/>
                </w:rPr>
                <w:t>Section 906 Certification of Principal Financial Officer (furnished herewith)</w:t>
              </w:r>
            </w:hyperlink>
          </w:p>
        </w:tc>
      </w:tr>
      <w:tr>
        <w:trPr/>
        <w:tc>
          <w:tcPr>
            <w:tcW w:w="77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1"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101.INS</w:t>
            </w:r>
          </w:p>
        </w:tc>
        <w:tc>
          <w:tcPr>
            <w:tcW w:w="60" w:type="dxa"/>
            <w:tcBorders/>
            <w:vAlign w:val="center"/>
          </w:tcPr>
          <w:p>
            <w:pPr>
              <w:pStyle w:val="TableContents"/>
              <w:bidi w:val="0"/>
              <w:spacing w:before="0" w:after="0"/>
              <w:ind w:left="0" w:right="0" w:hanging="0"/>
              <w:jc w:val="left"/>
              <w:rPr/>
            </w:pPr>
            <w:r>
              <w:rPr/>
              <w:t> </w:t>
            </w:r>
          </w:p>
        </w:tc>
        <w:tc>
          <w:tcPr>
            <w:tcW w:w="93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Instance Document (filed herewith) </w:t>
            </w:r>
          </w:p>
        </w:tc>
      </w:tr>
      <w:tr>
        <w:trPr/>
        <w:tc>
          <w:tcPr>
            <w:tcW w:w="77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1"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101.SCH</w:t>
            </w:r>
          </w:p>
        </w:tc>
        <w:tc>
          <w:tcPr>
            <w:tcW w:w="60" w:type="dxa"/>
            <w:tcBorders/>
            <w:vAlign w:val="center"/>
          </w:tcPr>
          <w:p>
            <w:pPr>
              <w:pStyle w:val="TableContents"/>
              <w:bidi w:val="0"/>
              <w:spacing w:before="0" w:after="0"/>
              <w:ind w:left="0" w:right="0" w:hanging="0"/>
              <w:jc w:val="left"/>
              <w:rPr/>
            </w:pPr>
            <w:r>
              <w:rPr/>
              <w:t> </w:t>
            </w:r>
          </w:p>
        </w:tc>
        <w:tc>
          <w:tcPr>
            <w:tcW w:w="93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Schema (filed herewith)</w:t>
            </w:r>
          </w:p>
        </w:tc>
      </w:tr>
      <w:tr>
        <w:trPr/>
        <w:tc>
          <w:tcPr>
            <w:tcW w:w="77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1"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101.CAL</w:t>
            </w:r>
          </w:p>
        </w:tc>
        <w:tc>
          <w:tcPr>
            <w:tcW w:w="60" w:type="dxa"/>
            <w:tcBorders/>
            <w:vAlign w:val="center"/>
          </w:tcPr>
          <w:p>
            <w:pPr>
              <w:pStyle w:val="TableContents"/>
              <w:bidi w:val="0"/>
              <w:spacing w:before="0" w:after="0"/>
              <w:ind w:left="0" w:right="0" w:hanging="0"/>
              <w:jc w:val="left"/>
              <w:rPr/>
            </w:pPr>
            <w:r>
              <w:rPr/>
              <w:t> </w:t>
            </w:r>
          </w:p>
        </w:tc>
        <w:tc>
          <w:tcPr>
            <w:tcW w:w="93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Calculation Linkbase (filed herewith)</w:t>
            </w:r>
          </w:p>
        </w:tc>
      </w:tr>
      <w:tr>
        <w:trPr/>
        <w:tc>
          <w:tcPr>
            <w:tcW w:w="77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1"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101.DEF</w:t>
            </w:r>
          </w:p>
        </w:tc>
        <w:tc>
          <w:tcPr>
            <w:tcW w:w="60" w:type="dxa"/>
            <w:tcBorders/>
            <w:vAlign w:val="center"/>
          </w:tcPr>
          <w:p>
            <w:pPr>
              <w:pStyle w:val="TableContents"/>
              <w:bidi w:val="0"/>
              <w:spacing w:before="0" w:after="0"/>
              <w:ind w:left="0" w:right="0" w:hanging="0"/>
              <w:jc w:val="left"/>
              <w:rPr/>
            </w:pPr>
            <w:r>
              <w:rPr/>
              <w:t> </w:t>
            </w:r>
          </w:p>
        </w:tc>
        <w:tc>
          <w:tcPr>
            <w:tcW w:w="93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Definitions Linkbase (filed herewith)</w:t>
            </w:r>
          </w:p>
        </w:tc>
      </w:tr>
      <w:tr>
        <w:trPr/>
        <w:tc>
          <w:tcPr>
            <w:tcW w:w="77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1"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101.LAB</w:t>
            </w:r>
          </w:p>
        </w:tc>
        <w:tc>
          <w:tcPr>
            <w:tcW w:w="60" w:type="dxa"/>
            <w:tcBorders/>
            <w:vAlign w:val="center"/>
          </w:tcPr>
          <w:p>
            <w:pPr>
              <w:pStyle w:val="TableContents"/>
              <w:bidi w:val="0"/>
              <w:spacing w:before="0" w:after="0"/>
              <w:ind w:left="0" w:right="0" w:hanging="0"/>
              <w:jc w:val="left"/>
              <w:rPr/>
            </w:pPr>
            <w:r>
              <w:rPr/>
              <w:t> </w:t>
            </w:r>
          </w:p>
        </w:tc>
        <w:tc>
          <w:tcPr>
            <w:tcW w:w="93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Label Linkbase (filed herewith)</w:t>
            </w:r>
          </w:p>
        </w:tc>
      </w:tr>
      <w:tr>
        <w:trPr/>
        <w:tc>
          <w:tcPr>
            <w:tcW w:w="77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371" w:type="dxa"/>
            <w:tcBorders/>
            <w:vAlign w:val="center"/>
          </w:tcPr>
          <w:p>
            <w:pPr>
              <w:pStyle w:val="TableContents"/>
              <w:bidi w:val="0"/>
              <w:spacing w:before="0" w:after="0"/>
              <w:ind w:left="0" w:right="0" w:hanging="0"/>
              <w:jc w:val="left"/>
              <w:rPr/>
            </w:pPr>
            <w:r>
              <w:rPr/>
              <w:t> </w:t>
            </w:r>
          </w:p>
        </w:tc>
      </w:tr>
      <w:tr>
        <w:trPr/>
        <w:tc>
          <w:tcPr>
            <w:tcW w:w="774"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101.PRE</w:t>
            </w:r>
          </w:p>
        </w:tc>
        <w:tc>
          <w:tcPr>
            <w:tcW w:w="60" w:type="dxa"/>
            <w:tcBorders/>
            <w:vAlign w:val="center"/>
          </w:tcPr>
          <w:p>
            <w:pPr>
              <w:pStyle w:val="TableContents"/>
              <w:bidi w:val="0"/>
              <w:spacing w:before="0" w:after="0"/>
              <w:ind w:left="0" w:right="0" w:hanging="0"/>
              <w:jc w:val="left"/>
              <w:rPr/>
            </w:pPr>
            <w:r>
              <w:rPr/>
              <w:t> </w:t>
            </w:r>
          </w:p>
        </w:tc>
        <w:tc>
          <w:tcPr>
            <w:tcW w:w="93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XBRL Taxonomy Extension Presentation Linkbase (filed herewith)</w:t>
            </w:r>
          </w:p>
        </w:tc>
      </w:tr>
      <w:tr>
        <w:trPr/>
        <w:tc>
          <w:tcPr>
            <w:tcW w:w="774" w:type="dxa"/>
            <w:tcBorders/>
            <w:vAlign w:val="center"/>
          </w:tcPr>
          <w:p>
            <w:pPr>
              <w:pStyle w:val="TableContents"/>
              <w:bidi w:val="0"/>
              <w:spacing w:before="0" w:after="283"/>
              <w:ind w:left="0" w:right="0" w:hanging="0"/>
              <w:jc w:val="left"/>
              <w:rPr/>
            </w:pPr>
            <w:r>
              <w:rPr/>
            </w:r>
          </w:p>
        </w:tc>
        <w:tc>
          <w:tcPr>
            <w:tcW w:w="60" w:type="dxa"/>
            <w:tcBorders/>
            <w:vAlign w:val="center"/>
          </w:tcPr>
          <w:p>
            <w:pPr>
              <w:pStyle w:val="TableContents"/>
              <w:bidi w:val="0"/>
              <w:spacing w:before="0" w:after="283"/>
              <w:ind w:left="0" w:right="0" w:hanging="0"/>
              <w:jc w:val="left"/>
              <w:rPr/>
            </w:pPr>
            <w:r>
              <w:rPr/>
            </w:r>
          </w:p>
        </w:tc>
        <w:tc>
          <w:tcPr>
            <w:tcW w:w="9371" w:type="dxa"/>
            <w:tcBorders/>
            <w:vAlign w:val="center"/>
          </w:tcPr>
          <w:p>
            <w:pPr>
              <w:pStyle w:val="TableContents"/>
              <w:bidi w:val="0"/>
              <w:spacing w:before="0" w:after="283"/>
              <w:ind w:left="0" w:right="0" w:hanging="0"/>
              <w:jc w:val="left"/>
              <w:rPr/>
            </w:pPr>
            <w:r>
              <w:rPr/>
            </w:r>
          </w:p>
        </w:tc>
      </w:tr>
      <w:tr>
        <w:trPr/>
        <w:tc>
          <w:tcPr>
            <w:tcW w:w="774" w:type="dxa"/>
            <w:tcBorders/>
            <w:vAlign w:val="center"/>
          </w:tcPr>
          <w:p>
            <w:pPr>
              <w:pStyle w:val="TableContents"/>
              <w:bidi w:val="0"/>
              <w:spacing w:before="0" w:after="0"/>
              <w:ind w:left="0" w:right="0" w:hanging="0"/>
              <w:jc w:val="left"/>
              <w:rPr/>
            </w:pPr>
            <w:r>
              <w:rPr/>
              <w:t>104.1</w:t>
            </w:r>
          </w:p>
        </w:tc>
        <w:tc>
          <w:tcPr>
            <w:tcW w:w="60" w:type="dxa"/>
            <w:tcBorders/>
            <w:vAlign w:val="center"/>
          </w:tcPr>
          <w:p>
            <w:pPr>
              <w:pStyle w:val="TableContents"/>
              <w:bidi w:val="0"/>
              <w:spacing w:before="0" w:after="283"/>
              <w:ind w:left="0" w:right="0" w:hanging="0"/>
              <w:jc w:val="left"/>
              <w:rPr/>
            </w:pPr>
            <w:r>
              <w:rPr/>
            </w:r>
          </w:p>
        </w:tc>
        <w:tc>
          <w:tcPr>
            <w:tcW w:w="9371" w:type="dxa"/>
            <w:tcBorders/>
            <w:vAlign w:val="center"/>
          </w:tcPr>
          <w:p>
            <w:pPr>
              <w:pStyle w:val="TableContents"/>
              <w:bidi w:val="0"/>
              <w:spacing w:before="0" w:after="0"/>
              <w:ind w:left="0" w:right="0" w:hanging="0"/>
              <w:jc w:val="left"/>
              <w:rPr/>
            </w:pPr>
            <w:r>
              <w:rPr/>
              <w:t>The cover page of this Quarterly Report on Form 10-Q, formatted in Inline XBRL.</w:t>
            </w:r>
          </w:p>
        </w:tc>
      </w:tr>
      <w:tr>
        <w:trPr/>
        <w:tc>
          <w:tcPr>
            <w:tcW w:w="10205" w:type="dxa"/>
            <w:gridSpan w:val="3"/>
            <w:tcBorders/>
            <w:vAlign w:val="center"/>
          </w:tcPr>
          <w:p>
            <w:pPr>
              <w:pStyle w:val="TableContents"/>
              <w:widowControl/>
              <w:bidi w:val="0"/>
              <w:spacing w:before="100" w:after="0"/>
              <w:ind w:left="0" w:right="0" w:hanging="0"/>
              <w:jc w:val="left"/>
              <w:rPr>
                <w:sz w:val="20"/>
              </w:rPr>
            </w:pPr>
            <w:r>
              <w:rPr>
                <w:sz w:val="20"/>
              </w:rPr>
              <w:t>* Filed herewith.</w:t>
              <w:br/>
            </w:r>
            <w:r>
              <w:rPr>
                <w:rFonts w:ascii="times new roman" w:hAnsi="times new roman"/>
                <w:b w:val="false"/>
                <w:i w:val="false"/>
                <w:caps w:val="false"/>
                <w:smallCaps w:val="false"/>
                <w:color w:val="000000"/>
                <w:spacing w:val="0"/>
                <w:sz w:val="20"/>
              </w:rPr>
              <w:t>** Furnished herewith.</w:t>
            </w:r>
          </w:p>
          <w:p>
            <w:pPr>
              <w:pStyle w:val="TableContents"/>
              <w:bidi w:val="0"/>
              <w:spacing w:before="0" w:after="0"/>
              <w:ind w:left="0" w:right="0" w:hanging="0"/>
              <w:jc w:val="left"/>
              <w:rPr/>
            </w:pPr>
            <w:r>
              <w:rPr/>
              <w:t># Certain portions of this exhibit (indicated by “[***]”) have been omitted pursuant to Item 601(a)(6) of Regulation S-K.</w:t>
            </w:r>
          </w:p>
        </w:tc>
      </w:tr>
    </w:tbl>
    <w:p>
      <w:pPr>
        <w:pStyle w:val="TextBody"/>
        <w:bidi w:val="0"/>
        <w:spacing w:before="0" w:after="0"/>
        <w:ind w:left="0" w:right="0" w:hanging="0"/>
        <w:jc w:val="left"/>
        <w:rPr/>
      </w:pPr>
      <w:r>
        <w:rPr/>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497" w:name="PageBreakNo39"/>
            <w:bookmarkEnd w:id="497"/>
            <w:r>
              <w:rPr>
                <w:sz w:val="20"/>
              </w:rPr>
              <w:t>39</w:t>
            </w:r>
          </w:p>
        </w:tc>
      </w:tr>
    </w:tbl>
    <w:p>
      <w:pPr>
        <w:pStyle w:val="HorizontalLine"/>
        <w:bidi w:val="0"/>
        <w:spacing w:lineRule="auto" w:line="288" w:before="0" w:after="0"/>
        <w:jc w:val="left"/>
        <w:rPr/>
      </w:pPr>
      <w:r>
        <w:rPr/>
      </w:r>
    </w:p>
    <w:p>
      <w:pPr>
        <w:pStyle w:val="TextBody"/>
        <w:bidi w:val="0"/>
        <w:spacing w:lineRule="auto" w:line="288" w:before="0" w:after="0"/>
        <w:jc w:val="left"/>
        <w:rPr/>
      </w:pPr>
      <w:hyperlink w:anchor="TOC">
        <w:r>
          <w:rPr>
            <w:rStyle w:val="InternetLink"/>
            <w:rFonts w:ascii="times new roman;times" w:hAnsi="times new roman;times"/>
            <w:color w:val="0000FF"/>
            <w:sz w:val="20"/>
          </w:rPr>
          <w:t>Table of Contents</w:t>
        </w:r>
      </w:hyperlink>
    </w:p>
    <w:p>
      <w:pPr>
        <w:pStyle w:val="TextBody"/>
        <w:bidi w:val="0"/>
        <w:spacing w:lineRule="auto" w:line="288"/>
        <w:jc w:val="left"/>
        <w:rPr/>
      </w:pPr>
      <w:r>
        <w:rPr/>
      </w:r>
    </w:p>
    <w:p>
      <w:pPr>
        <w:pStyle w:val="TextBody"/>
        <w:bidi w:val="0"/>
        <w:spacing w:lineRule="auto" w:line="288" w:before="0" w:after="0"/>
        <w:ind w:left="144" w:right="144" w:hanging="0"/>
        <w:jc w:val="center"/>
        <w:rPr>
          <w:rFonts w:ascii="Times New Roman" w:hAnsi="Times New Roman"/>
          <w:b/>
          <w:sz w:val="20"/>
        </w:rPr>
      </w:pPr>
      <w:r>
        <w:rPr>
          <w:rFonts w:ascii="Times New Roman" w:hAnsi="Times New Roman"/>
          <w:b/>
          <w:sz w:val="20"/>
        </w:rPr>
        <w:t>SIGNATURES</w:t>
      </w:r>
    </w:p>
    <w:p>
      <w:pPr>
        <w:pStyle w:val="TextBody"/>
        <w:bidi w:val="0"/>
        <w:spacing w:lineRule="auto" w:line="288" w:before="0" w:after="0"/>
        <w:ind w:left="144" w:right="144"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Pursuant to the requirements of the Securities and Exchange Act of 1934, the registrant has duly caused this report to be signed on its behalf by the undersigned thereunto duly authorized.</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305"/>
        <w:gridCol w:w="516"/>
        <w:gridCol w:w="7384"/>
      </w:tblGrid>
      <w:tr>
        <w:trPr/>
        <w:tc>
          <w:tcPr>
            <w:tcW w:w="2305" w:type="dxa"/>
            <w:tcBorders/>
            <w:vAlign w:val="center"/>
          </w:tcPr>
          <w:p>
            <w:pPr>
              <w:pStyle w:val="TableContents"/>
              <w:bidi w:val="0"/>
              <w:spacing w:before="0" w:after="0"/>
              <w:ind w:left="0" w:right="0" w:hanging="0"/>
              <w:jc w:val="left"/>
              <w:rPr/>
            </w:pPr>
            <w:r>
              <w:rPr/>
              <w:t> </w:t>
            </w:r>
          </w:p>
        </w:tc>
        <w:tc>
          <w:tcPr>
            <w:tcW w:w="7900"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ClearOne, Inc.,</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(Registrant)</w:t>
            </w:r>
          </w:p>
        </w:tc>
      </w:tr>
      <w:tr>
        <w:trPr/>
        <w:tc>
          <w:tcPr>
            <w:tcW w:w="2305"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7384" w:type="dxa"/>
            <w:tcBorders/>
            <w:vAlign w:val="center"/>
          </w:tcPr>
          <w:p>
            <w:pPr>
              <w:pStyle w:val="TableContents"/>
              <w:bidi w:val="0"/>
              <w:spacing w:before="0" w:after="0"/>
              <w:ind w:left="0" w:right="0" w:hanging="0"/>
              <w:jc w:val="left"/>
              <w:rPr/>
            </w:pPr>
            <w:r>
              <w:rPr/>
              <w:t> </w:t>
            </w:r>
          </w:p>
        </w:tc>
      </w:tr>
      <w:tr>
        <w:trPr/>
        <w:tc>
          <w:tcPr>
            <w:tcW w:w="2305"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384"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Derek L. Graham</w:t>
            </w:r>
          </w:p>
        </w:tc>
      </w:tr>
      <w:tr>
        <w:trPr/>
        <w:tc>
          <w:tcPr>
            <w:tcW w:w="2305" w:type="dxa"/>
            <w:tcBorders/>
            <w:vAlign w:val="center"/>
          </w:tcPr>
          <w:p>
            <w:pPr>
              <w:pStyle w:val="TableContents"/>
              <w:bidi w:val="0"/>
              <w:spacing w:before="0" w:after="0"/>
              <w:ind w:left="0" w:right="0" w:hanging="0"/>
              <w:jc w:val="left"/>
              <w:rPr>
                <w:rFonts w:ascii="Times New Roman" w:hAnsi="Times New Roman"/>
                <w:sz w:val="20"/>
              </w:rPr>
            </w:pPr>
            <w:bookmarkStart w:id="498" w:name="fs_M48CNX43WG00000000000000000000FM"/>
            <w:bookmarkEnd w:id="498"/>
            <w:r>
              <w:rPr>
                <w:rFonts w:ascii="Times New Roman" w:hAnsi="Times New Roman"/>
                <w:sz w:val="20"/>
              </w:rPr>
              <w:t>August 14, 2026</w:t>
            </w:r>
          </w:p>
        </w:tc>
        <w:tc>
          <w:tcPr>
            <w:tcW w:w="516" w:type="dxa"/>
            <w:tcBorders/>
            <w:vAlign w:val="center"/>
          </w:tcPr>
          <w:p>
            <w:pPr>
              <w:pStyle w:val="TableContents"/>
              <w:bidi w:val="0"/>
              <w:spacing w:before="0" w:after="0"/>
              <w:ind w:left="0" w:right="0" w:hanging="0"/>
              <w:jc w:val="left"/>
              <w:rPr/>
            </w:pPr>
            <w:r>
              <w:rPr/>
              <w:t> </w:t>
            </w:r>
          </w:p>
        </w:tc>
        <w:tc>
          <w:tcPr>
            <w:tcW w:w="738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Derek L. Graham</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Executive Officer)</w:t>
            </w:r>
          </w:p>
        </w:tc>
      </w:tr>
      <w:tr>
        <w:trPr/>
        <w:tc>
          <w:tcPr>
            <w:tcW w:w="2305"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c>
          <w:tcPr>
            <w:tcW w:w="7384" w:type="dxa"/>
            <w:tcBorders/>
            <w:vAlign w:val="center"/>
          </w:tcPr>
          <w:p>
            <w:pPr>
              <w:pStyle w:val="TableContents"/>
              <w:bidi w:val="0"/>
              <w:spacing w:before="0" w:after="0"/>
              <w:ind w:left="0" w:right="0" w:hanging="0"/>
              <w:jc w:val="left"/>
              <w:rPr/>
            </w:pPr>
            <w:r>
              <w:rPr/>
              <w:t> </w:t>
            </w:r>
          </w:p>
        </w:tc>
      </w:tr>
      <w:tr>
        <w:trPr/>
        <w:tc>
          <w:tcPr>
            <w:tcW w:w="2305"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384"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Simon Brewer</w:t>
            </w:r>
          </w:p>
        </w:tc>
      </w:tr>
      <w:tr>
        <w:trPr/>
        <w:tc>
          <w:tcPr>
            <w:tcW w:w="2305" w:type="dxa"/>
            <w:tcBorders/>
            <w:vAlign w:val="center"/>
          </w:tcPr>
          <w:p>
            <w:pPr>
              <w:pStyle w:val="TableContents"/>
              <w:bidi w:val="0"/>
              <w:spacing w:before="0" w:after="0"/>
              <w:ind w:left="0" w:right="0" w:hanging="0"/>
              <w:jc w:val="left"/>
              <w:rPr>
                <w:rFonts w:ascii="Times New Roman" w:hAnsi="Times New Roman"/>
                <w:sz w:val="20"/>
              </w:rPr>
            </w:pPr>
            <w:bookmarkStart w:id="499" w:name="fs_N9TB6XQPTS00000000000000000000FM"/>
            <w:bookmarkEnd w:id="499"/>
            <w:r>
              <w:rPr>
                <w:rFonts w:ascii="Times New Roman" w:hAnsi="Times New Roman"/>
                <w:sz w:val="20"/>
              </w:rPr>
              <w:t>August 14, 2026 </w:t>
            </w:r>
          </w:p>
        </w:tc>
        <w:tc>
          <w:tcPr>
            <w:tcW w:w="516" w:type="dxa"/>
            <w:tcBorders/>
            <w:vAlign w:val="center"/>
          </w:tcPr>
          <w:p>
            <w:pPr>
              <w:pStyle w:val="TableContents"/>
              <w:bidi w:val="0"/>
              <w:spacing w:before="0" w:after="0"/>
              <w:ind w:left="0" w:right="0" w:hanging="0"/>
              <w:jc w:val="left"/>
              <w:rPr/>
            </w:pPr>
            <w:r>
              <w:rPr/>
              <w:t> </w:t>
            </w:r>
          </w:p>
        </w:tc>
        <w:tc>
          <w:tcPr>
            <w:tcW w:w="738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Simon Brewer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Accounting and Principal Financial Officer)</w:t>
            </w:r>
          </w:p>
        </w:tc>
      </w:tr>
    </w:tbl>
    <w:p>
      <w:pPr>
        <w:pStyle w:val="TextBody"/>
        <w:bidi w:val="0"/>
        <w:spacing w:before="0" w:after="0"/>
        <w:ind w:left="0" w:right="0" w:hanging="0"/>
        <w:jc w:val="left"/>
        <w:rPr/>
      </w:pPr>
      <w:r>
        <w:rPr/>
        <w:t>  </w:t>
      </w:r>
    </w:p>
    <w:tbl>
      <w:tblPr>
        <w:tblW w:w="376" w:type="dxa"/>
        <w:jc w:val="left"/>
        <w:tblInd w:w="0" w:type="dxa"/>
        <w:tblLayout w:type="fixed"/>
        <w:tblCellMar>
          <w:top w:w="0" w:type="dxa"/>
          <w:left w:w="0" w:type="dxa"/>
          <w:bottom w:w="0" w:type="dxa"/>
          <w:right w:w="0" w:type="dxa"/>
        </w:tblCellMar>
      </w:tblPr>
      <w:tblGrid>
        <w:gridCol w:w="376"/>
      </w:tblGrid>
      <w:tr>
        <w:trPr/>
        <w:tc>
          <w:tcPr>
            <w:tcW w:w="376" w:type="dxa"/>
            <w:tcBorders/>
            <w:vAlign w:val="center"/>
          </w:tcPr>
          <w:p>
            <w:pPr>
              <w:pStyle w:val="TableContents"/>
              <w:bidi w:val="0"/>
              <w:spacing w:before="0" w:after="283"/>
              <w:jc w:val="center"/>
              <w:rPr>
                <w:sz w:val="20"/>
              </w:rPr>
            </w:pPr>
            <w:bookmarkStart w:id="500" w:name="PageBreakNo40"/>
            <w:bookmarkEnd w:id="500"/>
            <w:r>
              <w:rPr>
                <w:sz w:val="20"/>
              </w:rPr>
              <w:t>40</w:t>
            </w:r>
          </w:p>
        </w:tc>
      </w:tr>
    </w:tbl>
    <w:p>
      <w:pPr>
        <w:pStyle w:val="HorizontalLine"/>
        <w:pBdr>
          <w:bottom w:val="double" w:sz="2" w:space="0" w:color="808080"/>
        </w:pBdr>
        <w:bidi w:val="0"/>
        <w:spacing w:before="0" w:after="283"/>
        <w:jc w:val="left"/>
        <w:rPr/>
      </w:pPr>
      <w:r>
        <w:rPr/>
      </w:r>
    </w:p>
    <w:p>
      <w:pPr>
        <w:pStyle w:val="TextBody"/>
        <w:bidi w:val="0"/>
        <w:spacing w:lineRule="auto" w:line="288" w:before="0" w:after="0"/>
        <w:ind w:left="0" w:right="0" w:hanging="0"/>
        <w:jc w:val="right"/>
        <w:rPr>
          <w:rFonts w:ascii="Times New Roman" w:hAnsi="Times New Roman"/>
          <w:b/>
          <w:sz w:val="20"/>
        </w:rPr>
      </w:pPr>
      <w:bookmarkStart w:id="501" w:name="ex311_1.htm"/>
      <w:bookmarkStart w:id="502" w:name="ksex311_1"/>
      <w:bookmarkEnd w:id="501"/>
      <w:bookmarkEnd w:id="502"/>
      <w:r>
        <w:rPr>
          <w:rFonts w:ascii="Times New Roman" w:hAnsi="Times New Roman"/>
          <w:b/>
          <w:sz w:val="20"/>
        </w:rPr>
        <w:t>EXHIBIT 31.1</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Derek L. Graham, certify that:</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1.</w:t>
            </w:r>
          </w:p>
        </w:tc>
        <w:tc>
          <w:tcPr>
            <w:tcW w:w="10050"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I have reviewed this quarterly report of ClearOne, Inc. on Form 10-Q;</w:t>
            </w:r>
          </w:p>
        </w:tc>
      </w:tr>
      <w:tr>
        <w:trPr/>
        <w:tc>
          <w:tcPr>
            <w:tcW w:w="155" w:type="dxa"/>
            <w:tcBorders/>
            <w:vAlign w:val="center"/>
          </w:tcPr>
          <w:p>
            <w:pPr>
              <w:pStyle w:val="TableContents"/>
              <w:bidi w:val="0"/>
              <w:spacing w:before="0" w:after="283"/>
              <w:ind w:left="0" w:right="0" w:hanging="0"/>
              <w:jc w:val="left"/>
              <w:rPr/>
            </w:pPr>
            <w:r>
              <w:rPr/>
            </w:r>
          </w:p>
        </w:tc>
        <w:tc>
          <w:tcPr>
            <w:tcW w:w="10050" w:type="dxa"/>
            <w:tcBorders/>
            <w:vAlign w:val="center"/>
          </w:tcPr>
          <w:p>
            <w:pPr>
              <w:pStyle w:val="TableContents"/>
              <w:bidi w:val="0"/>
              <w:spacing w:before="0" w:after="283"/>
              <w:ind w:left="0" w:right="0" w:hanging="0"/>
              <w:jc w:val="left"/>
              <w:rPr/>
            </w:pPr>
            <w:r>
              <w:rPr/>
            </w:r>
          </w:p>
        </w:tc>
      </w:tr>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2.</w:t>
            </w:r>
          </w:p>
        </w:tc>
        <w:tc>
          <w:tcPr>
            <w:tcW w:w="10050"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283"/>
              <w:ind w:left="0" w:right="0" w:hanging="0"/>
              <w:jc w:val="left"/>
              <w:rPr/>
            </w:pPr>
            <w:r>
              <w:rPr/>
            </w:r>
          </w:p>
        </w:tc>
        <w:tc>
          <w:tcPr>
            <w:tcW w:w="10050" w:type="dxa"/>
            <w:tcBorders/>
            <w:vAlign w:val="center"/>
          </w:tcPr>
          <w:p>
            <w:pPr>
              <w:pStyle w:val="TableContents"/>
              <w:bidi w:val="0"/>
              <w:spacing w:before="0" w:after="283"/>
              <w:ind w:left="0" w:right="0" w:hanging="0"/>
              <w:jc w:val="left"/>
              <w:rPr/>
            </w:pPr>
            <w:r>
              <w:rPr/>
            </w:r>
          </w:p>
        </w:tc>
      </w:tr>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3.</w:t>
            </w:r>
          </w:p>
        </w:tc>
        <w:tc>
          <w:tcPr>
            <w:tcW w:w="10050" w:type="dxa"/>
            <w:tcBorders/>
            <w:vAlign w:val="center"/>
          </w:tcPr>
          <w:p>
            <w:pPr>
              <w:pStyle w:val="TableContents"/>
              <w:pBdr/>
              <w:bidi w:val="0"/>
              <w:spacing w:lineRule="auto" w:line="288"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283"/>
              <w:ind w:left="0" w:right="0" w:hanging="0"/>
              <w:jc w:val="left"/>
              <w:rPr/>
            </w:pPr>
            <w:r>
              <w:rPr/>
            </w:r>
          </w:p>
        </w:tc>
        <w:tc>
          <w:tcPr>
            <w:tcW w:w="10050" w:type="dxa"/>
            <w:tcBorders/>
            <w:vAlign w:val="center"/>
          </w:tcPr>
          <w:p>
            <w:pPr>
              <w:pStyle w:val="TableContents"/>
              <w:bidi w:val="0"/>
              <w:spacing w:before="0" w:after="283"/>
              <w:ind w:left="0" w:right="0" w:hanging="0"/>
              <w:jc w:val="left"/>
              <w:rPr/>
            </w:pPr>
            <w:r>
              <w:rPr/>
            </w:r>
          </w:p>
        </w:tc>
      </w:tr>
      <w:tr>
        <w:trPr/>
        <w:tc>
          <w:tcPr>
            <w:tcW w:w="155"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4.</w:t>
            </w:r>
          </w:p>
        </w:tc>
        <w:tc>
          <w:tcPr>
            <w:tcW w:w="10050" w:type="dxa"/>
            <w:tcBorders/>
            <w:vAlign w:val="center"/>
          </w:tcPr>
          <w:p>
            <w:pPr>
              <w:pStyle w:val="TableContents"/>
              <w:pBdr/>
              <w:bidi w:val="0"/>
              <w:spacing w:lineRule="auto" w:line="288"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4"/>
        <w:gridCol w:w="143"/>
        <w:gridCol w:w="9988"/>
      </w:tblGrid>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a)</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pPr>
            <w:r>
              <w:rPr/>
              <w:t> </w:t>
            </w:r>
          </w:p>
        </w:tc>
        <w:tc>
          <w:tcPr>
            <w:tcW w:w="9988" w:type="dxa"/>
            <w:tcBorders/>
            <w:vAlign w:val="center"/>
          </w:tcPr>
          <w:p>
            <w:pPr>
              <w:pStyle w:val="TableContents"/>
              <w:pBdr/>
              <w:bidi w:val="0"/>
              <w:spacing w:before="0" w:after="0"/>
              <w:ind w:left="0" w:right="0" w:hanging="0"/>
              <w:jc w:val="both"/>
              <w:rPr/>
            </w:pPr>
            <w:r>
              <w:rPr/>
              <w:t> </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b)</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pPr>
            <w:r>
              <w:rPr/>
              <w:t> </w:t>
            </w:r>
          </w:p>
        </w:tc>
        <w:tc>
          <w:tcPr>
            <w:tcW w:w="9988" w:type="dxa"/>
            <w:tcBorders/>
            <w:vAlign w:val="center"/>
          </w:tcPr>
          <w:p>
            <w:pPr>
              <w:pStyle w:val="TableContents"/>
              <w:pBdr/>
              <w:bidi w:val="0"/>
              <w:spacing w:before="0" w:after="0"/>
              <w:ind w:left="0" w:right="0" w:hanging="0"/>
              <w:jc w:val="both"/>
              <w:rPr/>
            </w:pPr>
            <w:r>
              <w:rPr/>
              <w:t> </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c)</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pPr>
            <w:r>
              <w:rPr/>
              <w:t> </w:t>
            </w:r>
          </w:p>
        </w:tc>
        <w:tc>
          <w:tcPr>
            <w:tcW w:w="9988" w:type="dxa"/>
            <w:tcBorders/>
            <w:vAlign w:val="center"/>
          </w:tcPr>
          <w:p>
            <w:pPr>
              <w:pStyle w:val="TableContents"/>
              <w:pBdr/>
              <w:bidi w:val="0"/>
              <w:spacing w:before="0" w:after="0"/>
              <w:ind w:left="0" w:right="0" w:hanging="0"/>
              <w:jc w:val="both"/>
              <w:rPr/>
            </w:pPr>
            <w:r>
              <w:rPr/>
              <w:t> </w:t>
            </w:r>
          </w:p>
        </w:tc>
      </w:tr>
      <w:tr>
        <w:trPr/>
        <w:tc>
          <w:tcPr>
            <w:tcW w:w="74" w:type="dxa"/>
            <w:tcBorders/>
            <w:vAlign w:val="center"/>
          </w:tcPr>
          <w:p>
            <w:pPr>
              <w:pStyle w:val="TableContents"/>
              <w:pBdr/>
              <w:bidi w:val="0"/>
              <w:spacing w:before="0" w:after="0"/>
              <w:ind w:left="0" w:right="0" w:hanging="0"/>
              <w:jc w:val="both"/>
              <w:rPr/>
            </w:pPr>
            <w:r>
              <w:rPr/>
              <w:t> </w:t>
            </w:r>
          </w:p>
        </w:tc>
        <w:tc>
          <w:tcPr>
            <w:tcW w:w="143"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w:t>
            </w:r>
          </w:p>
        </w:tc>
        <w:tc>
          <w:tcPr>
            <w:tcW w:w="9988" w:type="dxa"/>
            <w:tcBorders/>
            <w:vAlign w:val="center"/>
          </w:tcPr>
          <w:p>
            <w:pPr>
              <w:pStyle w:val="TableContents"/>
              <w:pBdr/>
              <w:bidi w:val="0"/>
              <w:spacing w:before="0" w:after="0"/>
              <w:ind w:left="0" w:right="0" w:hanging="0"/>
              <w:jc w:val="both"/>
              <w:rPr>
                <w:rFonts w:ascii="Times New Roman" w:hAnsi="Times New Roman"/>
                <w:sz w:val="20"/>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5.</w:t>
            </w:r>
          </w:p>
        </w:tc>
        <w:tc>
          <w:tcPr>
            <w:tcW w:w="1004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74"/>
        <w:gridCol w:w="151"/>
        <w:gridCol w:w="9980"/>
      </w:tblGrid>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pPr>
            <w:r>
              <w:rPr/>
              <w:t> </w:t>
            </w:r>
          </w:p>
        </w:tc>
        <w:tc>
          <w:tcPr>
            <w:tcW w:w="9980"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ind w:left="0" w:right="0" w:hanging="0"/>
        <w:jc w:val="both"/>
        <w:rPr/>
      </w:pPr>
      <w:r>
        <w:rPr/>
        <w:t> </w:t>
      </w:r>
    </w:p>
    <w:tbl>
      <w:tblPr>
        <w:tblW w:w="5000" w:type="pct"/>
        <w:jc w:val="left"/>
        <w:tblInd w:w="0" w:type="dxa"/>
        <w:tblLayout w:type="fixed"/>
        <w:tblCellMar>
          <w:top w:w="0" w:type="dxa"/>
          <w:left w:w="0" w:type="dxa"/>
          <w:bottom w:w="0" w:type="dxa"/>
          <w:right w:w="0" w:type="dxa"/>
        </w:tblCellMar>
      </w:tblPr>
      <w:tblGrid>
        <w:gridCol w:w="3451"/>
        <w:gridCol w:w="797"/>
        <w:gridCol w:w="5957"/>
      </w:tblGrid>
      <w:tr>
        <w:trPr/>
        <w:tc>
          <w:tcPr>
            <w:tcW w:w="345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5957" w:type="dxa"/>
            <w:tcBorders/>
            <w:vAlign w:val="center"/>
          </w:tcPr>
          <w:p>
            <w:pPr>
              <w:pStyle w:val="TableContents"/>
              <w:bidi w:val="0"/>
              <w:spacing w:before="0" w:after="0"/>
              <w:ind w:left="0" w:right="0" w:hanging="0"/>
              <w:jc w:val="both"/>
              <w:rPr>
                <w:rFonts w:ascii="Times New Roman" w:hAnsi="Times New Roman"/>
                <w:i/>
                <w:sz w:val="20"/>
              </w:rPr>
            </w:pPr>
            <w:r>
              <w:rPr>
                <w:rFonts w:ascii="Times New Roman" w:hAnsi="Times New Roman"/>
                <w:i/>
                <w:sz w:val="20"/>
              </w:rPr>
              <w:t>/s/ Derek L. Graham</w:t>
            </w:r>
          </w:p>
        </w:tc>
      </w:tr>
      <w:tr>
        <w:trPr/>
        <w:tc>
          <w:tcPr>
            <w:tcW w:w="345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August 14, 2026</w:t>
            </w:r>
          </w:p>
        </w:tc>
        <w:tc>
          <w:tcPr>
            <w:tcW w:w="797" w:type="dxa"/>
            <w:tcBorders/>
            <w:vAlign w:val="center"/>
          </w:tcPr>
          <w:p>
            <w:pPr>
              <w:pStyle w:val="TableContents"/>
              <w:bidi w:val="0"/>
              <w:spacing w:before="0" w:after="0"/>
              <w:ind w:left="0" w:right="0" w:hanging="0"/>
              <w:jc w:val="both"/>
              <w:rPr/>
            </w:pPr>
            <w:r>
              <w:rPr/>
              <w:t> </w:t>
            </w:r>
          </w:p>
        </w:tc>
        <w:tc>
          <w:tcPr>
            <w:tcW w:w="595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Derek L. Graham</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Executive Officer)</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right"/>
        <w:rPr>
          <w:rFonts w:ascii="Times New Roman" w:hAnsi="Times New Roman"/>
          <w:b/>
          <w:sz w:val="20"/>
        </w:rPr>
      </w:pPr>
      <w:bookmarkStart w:id="503" w:name="ex312_2.htm"/>
      <w:bookmarkStart w:id="504" w:name="ksex312_2"/>
      <w:bookmarkEnd w:id="503"/>
      <w:bookmarkEnd w:id="504"/>
      <w:r>
        <w:rPr>
          <w:rFonts w:ascii="Times New Roman" w:hAnsi="Times New Roman"/>
          <w:b/>
          <w:sz w:val="20"/>
        </w:rPr>
        <w:t>EXHIBIT 31.2</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Simon Brewer, certify that:</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1.</w:t>
            </w:r>
          </w:p>
        </w:tc>
        <w:tc>
          <w:tcPr>
            <w:tcW w:w="100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 have reviewed this quarterly report of ClearOne, Inc. on Form 10-Q;</w:t>
            </w:r>
          </w:p>
        </w:tc>
      </w:tr>
      <w:tr>
        <w:trPr/>
        <w:tc>
          <w:tcPr>
            <w:tcW w:w="155" w:type="dxa"/>
            <w:tcBorders/>
            <w:vAlign w:val="center"/>
          </w:tcPr>
          <w:p>
            <w:pPr>
              <w:pStyle w:val="TableContents"/>
              <w:bidi w:val="0"/>
              <w:spacing w:before="0" w:after="0"/>
              <w:ind w:left="0" w:right="0" w:hanging="0"/>
              <w:jc w:val="both"/>
              <w:rPr/>
            </w:pPr>
            <w:r>
              <w:rPr/>
              <w:t> </w:t>
            </w:r>
          </w:p>
        </w:tc>
        <w:tc>
          <w:tcPr>
            <w:tcW w:w="10050" w:type="dxa"/>
            <w:tcBorders/>
            <w:vAlign w:val="center"/>
          </w:tcPr>
          <w:p>
            <w:pPr>
              <w:pStyle w:val="TableContents"/>
              <w:bidi w:val="0"/>
              <w:spacing w:before="0" w:after="0"/>
              <w:ind w:left="0" w:right="0" w:hanging="0"/>
              <w:jc w:val="both"/>
              <w:rPr/>
            </w:pPr>
            <w:r>
              <w:rPr/>
              <w:t> </w:t>
            </w:r>
          </w:p>
        </w:tc>
      </w:tr>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10050"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0"/>
              <w:ind w:left="0" w:right="0" w:hanging="0"/>
              <w:jc w:val="both"/>
              <w:rPr/>
            </w:pPr>
            <w:r>
              <w:rPr/>
              <w:t> </w:t>
            </w:r>
          </w:p>
        </w:tc>
        <w:tc>
          <w:tcPr>
            <w:tcW w:w="10050" w:type="dxa"/>
            <w:tcBorders/>
            <w:vAlign w:val="center"/>
          </w:tcPr>
          <w:p>
            <w:pPr>
              <w:pStyle w:val="TableContents"/>
              <w:bidi w:val="0"/>
              <w:spacing w:before="0" w:after="0"/>
              <w:ind w:left="0" w:right="0" w:hanging="0"/>
              <w:jc w:val="both"/>
              <w:rPr/>
            </w:pPr>
            <w:r>
              <w:rPr/>
              <w:t> </w:t>
            </w:r>
          </w:p>
        </w:tc>
      </w:tr>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3.</w:t>
            </w:r>
          </w:p>
        </w:tc>
        <w:tc>
          <w:tcPr>
            <w:tcW w:w="10050"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0"/>
              <w:ind w:left="0" w:right="0" w:hanging="0"/>
              <w:jc w:val="both"/>
              <w:rPr/>
            </w:pPr>
            <w:r>
              <w:rPr/>
              <w:t> </w:t>
            </w:r>
          </w:p>
        </w:tc>
        <w:tc>
          <w:tcPr>
            <w:tcW w:w="10050" w:type="dxa"/>
            <w:tcBorders/>
            <w:vAlign w:val="center"/>
          </w:tcPr>
          <w:p>
            <w:pPr>
              <w:pStyle w:val="TableContents"/>
              <w:bidi w:val="0"/>
              <w:spacing w:before="0" w:after="0"/>
              <w:ind w:left="0" w:right="0" w:hanging="0"/>
              <w:jc w:val="both"/>
              <w:rPr/>
            </w:pPr>
            <w:r>
              <w:rPr/>
              <w:t> </w:t>
            </w:r>
          </w:p>
        </w:tc>
      </w:tr>
      <w:tr>
        <w:trPr/>
        <w:tc>
          <w:tcPr>
            <w:tcW w:w="1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4.</w:t>
            </w:r>
          </w:p>
        </w:tc>
        <w:tc>
          <w:tcPr>
            <w:tcW w:w="10050"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43"/>
        <w:gridCol w:w="9988"/>
      </w:tblGrid>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88"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pPr>
            <w:r>
              <w:rPr/>
              <w:t> </w:t>
            </w:r>
          </w:p>
        </w:tc>
        <w:tc>
          <w:tcPr>
            <w:tcW w:w="9988"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88" w:type="dxa"/>
            <w:tcBorders/>
            <w:vAlign w:val="center"/>
          </w:tcPr>
          <w:p>
            <w:pPr>
              <w:pStyle w:val="TableContents"/>
              <w:bidi w:val="0"/>
              <w:spacing w:lineRule="auto" w:line="288" w:before="0" w:after="0"/>
              <w:ind w:left="0" w:right="0" w:hanging="0"/>
              <w:jc w:val="both"/>
              <w:rPr>
                <w:rFonts w:ascii="Times New Roman" w:hAnsi="Times New Roman"/>
                <w:sz w:val="20"/>
              </w:rPr>
            </w:pPr>
            <w:r>
              <w:rPr>
                <w:rFonts w:ascii="Times New Roman" w:hAnsi="Times New Roman"/>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pPr>
            <w:r>
              <w:rPr/>
              <w:t> </w:t>
            </w:r>
          </w:p>
        </w:tc>
        <w:tc>
          <w:tcPr>
            <w:tcW w:w="9988"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w:t>
            </w:r>
          </w:p>
        </w:tc>
        <w:tc>
          <w:tcPr>
            <w:tcW w:w="998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pPr>
            <w:r>
              <w:rPr/>
              <w:t> </w:t>
            </w:r>
          </w:p>
        </w:tc>
        <w:tc>
          <w:tcPr>
            <w:tcW w:w="9988"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w:t>
            </w:r>
          </w:p>
        </w:tc>
        <w:tc>
          <w:tcPr>
            <w:tcW w:w="9988" w:type="dxa"/>
            <w:tcBorders/>
            <w:vAlign w:val="center"/>
          </w:tcPr>
          <w:p>
            <w:pPr>
              <w:pStyle w:val="TableContents"/>
              <w:bidi w:val="0"/>
              <w:spacing w:before="0" w:after="0"/>
              <w:ind w:left="0" w:right="0" w:hanging="0"/>
              <w:jc w:val="both"/>
              <w:rPr/>
            </w:pPr>
            <w:r>
              <w:rPr>
                <w:rFonts w:ascii="Times New Roman" w:hAnsi="Times New Roman"/>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w:t>
            </w:r>
            <w:r>
              <w:rPr/>
              <w:t> </w:t>
            </w:r>
            <w:r>
              <w:rPr>
                <w:rFonts w:ascii="Times New Roman" w:hAnsi="Times New Roman"/>
                <w:sz w:val="20"/>
              </w:rPr>
              <w:t>the registrant’s internal control over financial reporting.</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157"/>
        <w:gridCol w:w="10048"/>
      </w:tblGrid>
      <w:tr>
        <w:trPr/>
        <w:tc>
          <w:tcPr>
            <w:tcW w:w="157"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5.</w:t>
            </w:r>
          </w:p>
        </w:tc>
        <w:tc>
          <w:tcPr>
            <w:tcW w:w="1004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74"/>
        <w:gridCol w:w="151"/>
        <w:gridCol w:w="9980"/>
      </w:tblGrid>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pPr>
            <w:r>
              <w:rPr/>
              <w:t> </w:t>
            </w:r>
          </w:p>
        </w:tc>
        <w:tc>
          <w:tcPr>
            <w:tcW w:w="9980" w:type="dxa"/>
            <w:tcBorders/>
            <w:vAlign w:val="center"/>
          </w:tcPr>
          <w:p>
            <w:pPr>
              <w:pStyle w:val="TableContents"/>
              <w:bidi w:val="0"/>
              <w:spacing w:before="0" w:after="0"/>
              <w:ind w:left="0" w:right="0" w:hanging="0"/>
              <w:jc w:val="both"/>
              <w:rPr/>
            </w:pPr>
            <w:r>
              <w:rPr/>
              <w:t> </w:t>
            </w:r>
          </w:p>
        </w:tc>
      </w:tr>
      <w:tr>
        <w:trPr/>
        <w:tc>
          <w:tcPr>
            <w:tcW w:w="74" w:type="dxa"/>
            <w:tcBorders/>
            <w:vAlign w:val="center"/>
          </w:tcPr>
          <w:p>
            <w:pPr>
              <w:pStyle w:val="TableContents"/>
              <w:bidi w:val="0"/>
              <w:spacing w:before="0" w:after="0"/>
              <w:ind w:left="0" w:right="0" w:hanging="0"/>
              <w:jc w:val="both"/>
              <w:rPr/>
            </w:pPr>
            <w:r>
              <w:rPr/>
              <w:t> </w:t>
            </w:r>
          </w:p>
        </w:tc>
        <w:tc>
          <w:tcPr>
            <w:tcW w:w="15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98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fraud, whether or not material, that involves management or other employees who have a significant role in the registrant’s internal control over financial reporting.</w:t>
            </w:r>
          </w:p>
        </w:tc>
      </w:tr>
    </w:tbl>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248"/>
        <w:gridCol w:w="520"/>
        <w:gridCol w:w="7437"/>
      </w:tblGrid>
      <w:tr>
        <w:trPr/>
        <w:tc>
          <w:tcPr>
            <w:tcW w:w="224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437"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/s/Simon Brewer</w:t>
            </w:r>
          </w:p>
        </w:tc>
      </w:tr>
      <w:tr>
        <w:trPr/>
        <w:tc>
          <w:tcPr>
            <w:tcW w:w="224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August 14, 2026</w:t>
            </w:r>
          </w:p>
        </w:tc>
        <w:tc>
          <w:tcPr>
            <w:tcW w:w="520" w:type="dxa"/>
            <w:tcBorders/>
            <w:vAlign w:val="center"/>
          </w:tcPr>
          <w:p>
            <w:pPr>
              <w:pStyle w:val="TableContents"/>
              <w:bidi w:val="0"/>
              <w:spacing w:before="0" w:after="0"/>
              <w:ind w:left="0" w:right="0" w:hanging="0"/>
              <w:jc w:val="left"/>
              <w:rPr/>
            </w:pPr>
            <w:r>
              <w:rPr/>
              <w:t> </w:t>
            </w:r>
          </w:p>
        </w:tc>
        <w:tc>
          <w:tcPr>
            <w:tcW w:w="7437" w:type="dxa"/>
            <w:tcBorders/>
            <w:vAlign w:val="center"/>
          </w:tcPr>
          <w:p>
            <w:pPr>
              <w:pStyle w:val="TableContents"/>
              <w:bidi w:val="0"/>
              <w:spacing w:before="0" w:after="0"/>
              <w:ind w:left="0" w:right="0" w:hanging="0"/>
              <w:jc w:val="left"/>
              <w:rPr/>
            </w:pPr>
            <w:r>
              <w:rPr/>
              <w:t>Simon Brewer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Accounting and Principal Financial Officer)</w:t>
            </w:r>
          </w:p>
        </w:tc>
      </w:tr>
    </w:tbl>
    <w:p>
      <w:pPr>
        <w:pStyle w:val="TextBody"/>
        <w:bidi w:val="0"/>
        <w:spacing w:lineRule="auto" w:line="288" w:before="0" w:after="0"/>
        <w:ind w:left="0" w:right="0" w:hanging="0"/>
        <w:jc w:val="left"/>
        <w:rPr/>
      </w:pPr>
      <w:r>
        <w:rPr/>
        <w:t> </w:t>
      </w:r>
    </w:p>
    <w:p>
      <w:pPr>
        <w:pStyle w:val="TextBody"/>
        <w:bidi w:val="0"/>
        <w:spacing w:lineRule="auto" w:line="288" w:before="0" w:after="0"/>
        <w:ind w:left="0" w:right="0" w:hanging="0"/>
        <w:jc w:val="right"/>
        <w:rPr>
          <w:rFonts w:ascii="Times New Roman" w:hAnsi="Times New Roman"/>
          <w:b/>
          <w:sz w:val="20"/>
        </w:rPr>
      </w:pPr>
      <w:bookmarkStart w:id="505" w:name="ex321_3.htm"/>
      <w:bookmarkStart w:id="506" w:name="ksex321_3"/>
      <w:bookmarkEnd w:id="505"/>
      <w:bookmarkEnd w:id="506"/>
      <w:r>
        <w:rPr>
          <w:rFonts w:ascii="Times New Roman" w:hAnsi="Times New Roman"/>
          <w:b/>
          <w:sz w:val="20"/>
        </w:rPr>
        <w:t>EXHIBIT 32.1</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 OF CHIEF EXECUTIVE OFFICER</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As adopted pursuant to Section 906 of the Sarbanes-Oxley Act of 2002</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Derek L. Graham, certify, to my best knowledge and belief, pursuant to 18 U.S.C. Section 1350, as adopted pursuant to Section 906 of the Sarbanes-Oxley Act of 2002, that the Quarterly Report of ClearOne, Inc. on Form 10-Q for the quarter ended June 30, 2026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451"/>
        <w:gridCol w:w="797"/>
        <w:gridCol w:w="5957"/>
      </w:tblGrid>
      <w:tr>
        <w:trPr/>
        <w:tc>
          <w:tcPr>
            <w:tcW w:w="3451" w:type="dxa"/>
            <w:tcBorders/>
            <w:vAlign w:val="center"/>
          </w:tcPr>
          <w:p>
            <w:pPr>
              <w:pStyle w:val="TableContents"/>
              <w:bidi w:val="0"/>
              <w:spacing w:before="0" w:after="0"/>
              <w:ind w:left="0" w:right="0" w:hanging="0"/>
              <w:jc w:val="left"/>
              <w:rPr/>
            </w:pPr>
            <w:r>
              <w:rPr/>
              <w:t> </w:t>
            </w:r>
          </w:p>
        </w:tc>
        <w:tc>
          <w:tcPr>
            <w:tcW w:w="79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5957"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Derek L. Graham</w:t>
            </w:r>
          </w:p>
        </w:tc>
      </w:tr>
      <w:tr>
        <w:trPr/>
        <w:tc>
          <w:tcPr>
            <w:tcW w:w="345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August 14, 2026</w:t>
            </w:r>
          </w:p>
        </w:tc>
        <w:tc>
          <w:tcPr>
            <w:tcW w:w="797" w:type="dxa"/>
            <w:tcBorders/>
            <w:vAlign w:val="center"/>
          </w:tcPr>
          <w:p>
            <w:pPr>
              <w:pStyle w:val="TableContents"/>
              <w:bidi w:val="0"/>
              <w:spacing w:before="0" w:after="0"/>
              <w:ind w:left="0" w:right="0" w:hanging="0"/>
              <w:jc w:val="left"/>
              <w:rPr/>
            </w:pPr>
            <w:r>
              <w:rPr/>
              <w:t> </w:t>
            </w:r>
          </w:p>
        </w:tc>
        <w:tc>
          <w:tcPr>
            <w:tcW w:w="5957"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Derek L. Graham</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Executive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 w:hAnsi="times new roman;times"/>
          <w:sz w:val="20"/>
        </w:rPr>
      </w:pPr>
      <w:r>
        <w:rPr>
          <w:rFonts w:ascii="times new roman;times" w:hAnsi="times new roman;times"/>
          <w:sz w:val="20"/>
        </w:rPr>
        <w:br/>
        <w:br/>
        <w:br/>
        <w:br/>
        <w:br/>
        <w:br/>
      </w:r>
    </w:p>
    <w:p>
      <w:pPr>
        <w:pStyle w:val="TextBody"/>
        <w:bidi w:val="0"/>
        <w:spacing w:lineRule="auto" w:line="288" w:before="0" w:after="0"/>
        <w:ind w:left="0" w:right="0" w:hanging="0"/>
        <w:jc w:val="right"/>
        <w:rPr>
          <w:rFonts w:ascii="Times New Roman" w:hAnsi="Times New Roman"/>
          <w:b/>
          <w:sz w:val="20"/>
        </w:rPr>
      </w:pPr>
      <w:bookmarkStart w:id="507" w:name="ex322_4.htm"/>
      <w:bookmarkStart w:id="508" w:name="ksex322_4"/>
      <w:bookmarkEnd w:id="507"/>
      <w:bookmarkEnd w:id="508"/>
      <w:r>
        <w:rPr>
          <w:rFonts w:ascii="Times New Roman" w:hAnsi="Times New Roman"/>
          <w:b/>
          <w:sz w:val="20"/>
        </w:rPr>
        <w:t>EXHIBIT 32.2</w:t>
      </w:r>
      <w:r>
        <w:br w:type="page"/>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CERTIFICATION OF CHIEF FINANCIAL OFFICER</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Pursuant to 18 U.S.C. Section 1350,</w:t>
      </w:r>
    </w:p>
    <w:p>
      <w:pPr>
        <w:pStyle w:val="TextBody"/>
        <w:bidi w:val="0"/>
        <w:spacing w:lineRule="auto" w:line="288" w:before="0" w:after="0"/>
        <w:ind w:left="0" w:right="0" w:hanging="0"/>
        <w:jc w:val="center"/>
        <w:rPr>
          <w:rFonts w:ascii="Times New Roman" w:hAnsi="Times New Roman"/>
          <w:b/>
          <w:sz w:val="20"/>
        </w:rPr>
      </w:pPr>
      <w:r>
        <w:rPr>
          <w:rFonts w:ascii="Times New Roman" w:hAnsi="Times New Roman"/>
          <w:b/>
          <w:sz w:val="20"/>
        </w:rPr>
        <w:t>As adopted pursuant to Section 906 of the Sarbanes-Oxley Act of 2002</w:t>
      </w:r>
    </w:p>
    <w:p>
      <w:pPr>
        <w:pStyle w:val="TextBody"/>
        <w:bidi w:val="0"/>
        <w:spacing w:lineRule="auto" w:line="288" w:before="0" w:after="0"/>
        <w:ind w:left="0" w:right="0" w:hanging="0"/>
        <w:jc w:val="center"/>
        <w:rPr/>
      </w:pPr>
      <w:r>
        <w:rPr/>
        <w:t> </w:t>
      </w:r>
    </w:p>
    <w:p>
      <w:pPr>
        <w:pStyle w:val="TextBody"/>
        <w:bidi w:val="0"/>
        <w:spacing w:lineRule="auto" w:line="288" w:before="0" w:after="0"/>
        <w:ind w:left="0" w:right="0" w:hanging="0"/>
        <w:jc w:val="both"/>
        <w:rPr>
          <w:rFonts w:ascii="Times New Roman" w:hAnsi="Times New Roman"/>
          <w:sz w:val="20"/>
        </w:rPr>
      </w:pPr>
      <w:r>
        <w:rPr>
          <w:rFonts w:ascii="Times New Roman" w:hAnsi="Times New Roman"/>
          <w:sz w:val="20"/>
        </w:rPr>
        <w:t>I, Simon Brewer, certify, to my best knowledge and belief, pursuant to 18 U.S.C. Section 1350, as adopted pursuant to Section 906 of the Sarbanes-Oxley Act of 2002, that the Quarterly Report of ClearOne, Inc. on Form 10-Q for the quarter ended June 30, 2026, fully complies with the requirements of Section 13(a) or 15(d) of the Securities Exchange Act of 1934 and that information contained in such Quarterly Report on Form 10-Q fairly presents, in all material respects, the financial condition and results of operations of ClearOne, Inc.</w:t>
      </w:r>
    </w:p>
    <w:p>
      <w:pPr>
        <w:pStyle w:val="TextBody"/>
        <w:bidi w:val="0"/>
        <w:spacing w:lineRule="auto" w:line="288"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2248"/>
        <w:gridCol w:w="520"/>
        <w:gridCol w:w="7437"/>
      </w:tblGrid>
      <w:tr>
        <w:trPr/>
        <w:tc>
          <w:tcPr>
            <w:tcW w:w="2248" w:type="dxa"/>
            <w:tcBorders/>
            <w:vAlign w:val="center"/>
          </w:tcPr>
          <w:p>
            <w:pPr>
              <w:pStyle w:val="TableContents"/>
              <w:bidi w:val="0"/>
              <w:spacing w:before="0" w:after="0"/>
              <w:ind w:left="0" w:right="0" w:hanging="0"/>
              <w:jc w:val="left"/>
              <w:rPr/>
            </w:pPr>
            <w:r>
              <w:rPr/>
              <w:t> </w:t>
            </w:r>
          </w:p>
        </w:tc>
        <w:tc>
          <w:tcPr>
            <w:tcW w:w="52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7437" w:type="dxa"/>
            <w:tcBorders/>
            <w:vAlign w:val="center"/>
          </w:tcPr>
          <w:p>
            <w:pPr>
              <w:pStyle w:val="TableContents"/>
              <w:bidi w:val="0"/>
              <w:spacing w:before="0" w:after="0"/>
              <w:ind w:left="0" w:right="0" w:hanging="0"/>
              <w:jc w:val="left"/>
              <w:rPr>
                <w:rFonts w:ascii="Times New Roman" w:hAnsi="Times New Roman"/>
                <w:i/>
                <w:sz w:val="20"/>
              </w:rPr>
            </w:pPr>
            <w:r>
              <w:rPr>
                <w:rFonts w:ascii="Times New Roman" w:hAnsi="Times New Roman"/>
                <w:i/>
                <w:sz w:val="20"/>
              </w:rPr>
              <w:t>/s/ Simon Brewer</w:t>
            </w:r>
          </w:p>
        </w:tc>
      </w:tr>
      <w:tr>
        <w:trPr/>
        <w:tc>
          <w:tcPr>
            <w:tcW w:w="2248"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August 14, 2026</w:t>
            </w:r>
          </w:p>
        </w:tc>
        <w:tc>
          <w:tcPr>
            <w:tcW w:w="520" w:type="dxa"/>
            <w:tcBorders/>
            <w:vAlign w:val="center"/>
          </w:tcPr>
          <w:p>
            <w:pPr>
              <w:pStyle w:val="TableContents"/>
              <w:bidi w:val="0"/>
              <w:spacing w:before="0" w:after="0"/>
              <w:ind w:left="0" w:right="0" w:hanging="0"/>
              <w:jc w:val="left"/>
              <w:rPr/>
            </w:pPr>
            <w:r>
              <w:rPr/>
              <w:t> </w:t>
            </w:r>
          </w:p>
        </w:tc>
        <w:tc>
          <w:tcPr>
            <w:tcW w:w="7437" w:type="dxa"/>
            <w:tcBorders/>
            <w:vAlign w:val="center"/>
          </w:tcPr>
          <w:p>
            <w:pPr>
              <w:pStyle w:val="TableContents"/>
              <w:bidi w:val="0"/>
              <w:spacing w:before="0" w:after="0"/>
              <w:ind w:left="0" w:right="0" w:hanging="0"/>
              <w:jc w:val="left"/>
              <w:rPr/>
            </w:pPr>
            <w:r>
              <w:rPr/>
              <w:t>Simon Brewer</w:t>
            </w:r>
          </w:p>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p>
            <w:pPr>
              <w:pStyle w:val="TableContents"/>
              <w:bidi w:val="0"/>
              <w:spacing w:before="0" w:after="0"/>
              <w:ind w:left="0" w:right="0" w:hanging="0"/>
              <w:jc w:val="left"/>
              <w:rPr>
                <w:rFonts w:ascii="Times New Roman" w:hAnsi="Times New Roman"/>
                <w:i/>
                <w:sz w:val="20"/>
              </w:rPr>
            </w:pPr>
            <w:r>
              <w:rPr>
                <w:rFonts w:ascii="Times New Roman" w:hAnsi="Times New Roman"/>
                <w:i/>
                <w:sz w:val="20"/>
              </w:rPr>
              <w:t>(Principal Accounting and Principal Financial Officer)</w:t>
            </w:r>
          </w:p>
        </w:tc>
      </w:tr>
    </w:tbl>
    <w:p>
      <w:pPr>
        <w:pStyle w:val="TextBody"/>
        <w:bidi w:val="0"/>
        <w:spacing w:before="0" w:after="0"/>
        <w:ind w:left="0" w:right="0" w:hanging="0"/>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 w:name="MS Mincho">
    <w:charset w:val="01"/>
    <w:family w:val="auto"/>
    <w:pitch w:val="default"/>
  </w:font>
  <w:font w:name="Times New Roman">
    <w:altName w:val="serif"/>
    <w:charset w:val="01"/>
    <w:family w:val="auto"/>
    <w:pitch w:val="default"/>
  </w:font>
  <w:font w:name="times new roman">
    <w:charset w:val="01"/>
    <w:family w:val="auto"/>
    <w:pitch w:val="default"/>
  </w:font>
  <w:font w:name="arial">
    <w:altName w:val="helvetica"/>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 TargetMode="External"/><Relationship Id="rId3" Type="http://schemas.openxmlformats.org/officeDocument/2006/relationships/hyperlink" Target="#" TargetMode="External"/><Relationship Id="rId4" Type="http://schemas.openxmlformats.org/officeDocument/2006/relationships/hyperlink" Target="#" TargetMode="External"/><Relationship Id="rId5" Type="http://schemas.openxmlformats.org/officeDocument/2006/relationships/hyperlink" Target="#" TargetMode="External"/><Relationship Id="rId6" Type="http://schemas.openxmlformats.org/officeDocument/2006/relationships/hyperlink" Target="#" TargetMode="External"/><Relationship Id="rId7" Type="http://schemas.openxmlformats.org/officeDocument/2006/relationships/hyperlink" Target="#" TargetMode="External"/><Relationship Id="rId8" Type="http://schemas.openxmlformats.org/officeDocument/2006/relationships/hyperlink" Target="#" TargetMode="External"/><Relationship Id="rId9" Type="http://schemas.openxmlformats.org/officeDocument/2006/relationships/hyperlink" Target="#" TargetMode="External"/><Relationship Id="rId10" Type="http://schemas.openxmlformats.org/officeDocument/2006/relationships/hyperlink" Target="#" TargetMode="External"/><Relationship Id="rId11" Type="http://schemas.openxmlformats.org/officeDocument/2006/relationships/hyperlink" Target="#" TargetMode="External"/><Relationship Id="rId12" Type="http://schemas.openxmlformats.org/officeDocument/2006/relationships/hyperlink" Target="#" TargetMode="External"/><Relationship Id="rId13" Type="http://schemas.openxmlformats.org/officeDocument/2006/relationships/hyperlink" Target="#" TargetMode="External"/><Relationship Id="rId14" Type="http://schemas.openxmlformats.org/officeDocument/2006/relationships/hyperlink" Target="#" TargetMode="External"/><Relationship Id="rId15" Type="http://schemas.openxmlformats.org/officeDocument/2006/relationships/hyperlink" Target="#" TargetMode="External"/><Relationship Id="rId16" Type="http://schemas.openxmlformats.org/officeDocument/2006/relationships/hyperlink" Target="#" TargetMode="External"/><Relationship Id="rId17" Type="http://schemas.openxmlformats.org/officeDocument/2006/relationships/hyperlink" Target="#" TargetMode="External"/><Relationship Id="rId18" Type="http://schemas.openxmlformats.org/officeDocument/2006/relationships/hyperlink" Target="#" TargetMode="External"/><Relationship Id="rId19" Type="http://schemas.openxmlformats.org/officeDocument/2006/relationships/hyperlink" Target="#" TargetMode="External"/><Relationship Id="rId20" Type="http://schemas.openxmlformats.org/officeDocument/2006/relationships/hyperlink" Target="#" TargetMode="External"/><Relationship Id="rId21" Type="http://schemas.openxmlformats.org/officeDocument/2006/relationships/hyperlink" Target="http://www.sec.gov/Archives/edgar/data/840715/000175392626001137/ex21_1.htm" TargetMode="External"/><Relationship Id="rId22" Type="http://schemas.openxmlformats.org/officeDocument/2006/relationships/hyperlink" Target="http://www.sec.gov/Archives/edgar/data/840715/000175392626000720/ex31_1.htm" TargetMode="External"/><Relationship Id="rId23" Type="http://schemas.openxmlformats.org/officeDocument/2006/relationships/hyperlink" Target="http://www.sec.gov/Archives/edgar/data/840715/000175392626000720/ex32_2.htm" TargetMode="External"/><Relationship Id="rId24" Type="http://schemas.openxmlformats.org/officeDocument/2006/relationships/hyperlink" Target="http://www.sec.gov/Archives/edgar/data/840715/000175392626000443/ex41_1.htm" TargetMode="External"/><Relationship Id="rId25" Type="http://schemas.openxmlformats.org/officeDocument/2006/relationships/hyperlink" Target="http://www.sec.gov/Archives/edgar/data/840715/000175392626000443/ex41_1.htm" TargetMode="External"/><Relationship Id="rId26" Type="http://schemas.openxmlformats.org/officeDocument/2006/relationships/hyperlink" Target="http://www.sec.gov/Archives/edgar/data/840715/000175392626000649/ex101_1.htm" TargetMode="External"/><Relationship Id="rId27" Type="http://schemas.openxmlformats.org/officeDocument/2006/relationships/hyperlink" Target="http://www.sec.gov/Archives/edgar/data/840715/000175392626000620/ex101_1.htm" TargetMode="External"/><Relationship Id="rId28" Type="http://schemas.openxmlformats.org/officeDocument/2006/relationships/hyperlink" Target="http://www.sec.gov/Archives/edgar/data/840715/000175392626000473/ex101_1.htm" TargetMode="External"/><Relationship Id="rId29" Type="http://schemas.openxmlformats.org/officeDocument/2006/relationships/hyperlink" Target="http://www.sec.gov/Archives/edgar/data/840715/000175392626000443/ex101_2.htm" TargetMode="External"/><Relationship Id="rId30" Type="http://schemas.openxmlformats.org/officeDocument/2006/relationships/hyperlink" Target="http://www.sec.gov/Archives/edgar/data/840715/000175392626000443/ex102_3.htm" TargetMode="External"/><Relationship Id="rId31" Type="http://schemas.openxmlformats.org/officeDocument/2006/relationships/hyperlink" Target="http://www.sec.gov/Archives/edgar/data/840715/000175392626000244/ex101_1.htm" TargetMode="External"/><Relationship Id="rId32" Type="http://schemas.openxmlformats.org/officeDocument/2006/relationships/hyperlink" Target="http://www.sec.gov/Archives/edgar/data/840715/000175392625001008/ex102_4.htm" TargetMode="External"/><Relationship Id="rId33" Type="http://schemas.openxmlformats.org/officeDocument/2006/relationships/hyperlink" Target="http://www.sec.gov/Archives/edgar/data/840715/000175392625001667/ex101_1.htm" TargetMode="External"/><Relationship Id="rId34" Type="http://schemas.openxmlformats.org/officeDocument/2006/relationships/hyperlink" Target="http://www.sec.gov/Archives/edgar/data/840715/000175392626001341/ex101_1.htm" TargetMode="External"/><Relationship Id="rId35" Type="http://schemas.openxmlformats.org/officeDocument/2006/relationships/hyperlink" Target="http://www.sec.gov/Archives/edgar/data/840715/000175392626001341/ex102_2.htm" TargetMode="External"/><Relationship Id="rId36" Type="http://schemas.openxmlformats.org/officeDocument/2006/relationships/hyperlink" Target="http://www.sec.gov/Archives/edgar/data/840715/000175392626001386/ex1011_1.htm" TargetMode="External"/><Relationship Id="rId37" Type="http://schemas.openxmlformats.org/officeDocument/2006/relationships/hyperlink" Target="http://www.sec.gov/Archives/edgar/data/840715/000175392626001428/ex101_1.htm" TargetMode="External"/><Relationship Id="rId38" Type="http://schemas.openxmlformats.org/officeDocument/2006/relationships/hyperlink" Target="http://www.sec.gov/Archives/edgar/data/840715/000175392626001428/ex102_2.htm" TargetMode="External"/><Relationship Id="rId39" Type="http://schemas.openxmlformats.org/officeDocument/2006/relationships/hyperlink" Target="http://www.sec.gov/Archives/edgar/data/840715/000175392626001428/ex103_3.htm" TargetMode="External"/><Relationship Id="rId40" Type="http://schemas.openxmlformats.org/officeDocument/2006/relationships/hyperlink" Target="http://www.sec.gov/Archives/edgar/data/840715/000175392626001428/ex104_4.htm" TargetMode="External"/><Relationship Id="rId41" Type="http://schemas.openxmlformats.org/officeDocument/2006/relationships/numbering" Target="numbering.xml"/><Relationship Id="rId42" Type="http://schemas.openxmlformats.org/officeDocument/2006/relationships/fontTable" Target="fontTable.xml"/><Relationship Id="rId4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20168</Words>
  <Characters>109420</Characters>
  <CharactersWithSpaces>129721</CharactersWithSpaces>
  <Paragraphs>2935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