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510"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2024</w:t>
      </w:r>
    </w:p>
    <w:p>
      <w:pPr>
        <w:spacing w:after="0" w:line="3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transition period _______ to 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34"/>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34"/>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34"/>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30"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Larger 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30" w:right="339" w:bottom="144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May 15, 2024 was 23,969,148.</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MARCH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2024 and December 31, 2023</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months ended March 31,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8"/>
        </w:trPr>
        <w:tc>
          <w:tcPr>
            <w:tcW w:w="920" w:type="dxa"/>
            <w:vAlign w:val="bottom"/>
            <w:tcBorders>
              <w:top w:val="single" w:sz="8" w:color="CCEEFF"/>
            </w:tcBorders>
            <w:shd w:val="clear" w:color="auto" w:fill="CCEEFF"/>
          </w:tcPr>
          <w:p>
            <w:pPr>
              <w:spacing w:after="0"/>
              <w:rPr>
                <w:sz w:val="11"/>
                <w:szCs w:val="11"/>
                <w:color w:val="auto"/>
              </w:rPr>
            </w:pPr>
          </w:p>
        </w:tc>
        <w:tc>
          <w:tcPr>
            <w:tcW w:w="9060" w:type="dxa"/>
            <w:vAlign w:val="bottom"/>
            <w:tcBorders>
              <w:top w:val="single" w:sz="8" w:color="0000EE"/>
            </w:tcBorders>
            <w:gridSpan w:val="17"/>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360" w:type="dxa"/>
            <w:vAlign w:val="bottom"/>
            <w:tcBorders>
              <w:top w:val="single" w:sz="8" w:color="CCEEFF"/>
            </w:tcBorders>
            <w:vMerge w:val="restart"/>
            <w:shd w:val="clear" w:color="auto" w:fill="CCEEFF"/>
          </w:tcPr>
          <w:p>
            <w:pPr>
              <w:spacing w:after="0"/>
              <w:rPr>
                <w:sz w:val="11"/>
                <w:szCs w:val="11"/>
                <w:color w:val="auto"/>
              </w:rPr>
            </w:pPr>
          </w:p>
        </w:tc>
        <w:tc>
          <w:tcPr>
            <w:tcW w:w="90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060" w:type="dxa"/>
            <w:vAlign w:val="bottom"/>
            <w:gridSpan w:val="17"/>
            <w:vMerge w:val="continue"/>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2024 and 2023</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820" w:type="dxa"/>
            <w:vAlign w:val="bottom"/>
            <w:tcBorders>
              <w:bottom w:val="single" w:sz="8" w:color="CCEEFF"/>
            </w:tcBorders>
            <w:gridSpan w:val="1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18,544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2,809</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cross license receivable</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$326</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2,794</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11,434</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0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1,278</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4,161</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898</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14,496</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1,959</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18,214</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1,079</w:t>
            </w: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50,000,000 shares authorized, 23,969,148 shares issued and outstanding</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31,584</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46,047</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(2,974)</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28,344</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6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OPERATIONS AND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1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shd w:val="clear" w:color="auto" w:fill="CCEEFF"/>
          </w:tcPr>
          <w:p>
            <w:pPr>
              <w:spacing w:after="0"/>
              <w:rPr>
                <w:sz w:val="18"/>
                <w:szCs w:val="18"/>
                <w:color w:val="auto"/>
              </w:rPr>
            </w:pPr>
          </w:p>
        </w:tc>
      </w:tr>
      <w:tr>
        <w:trPr>
          <w:trHeight w:val="24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r>
      <w:tr>
        <w:trPr>
          <w:trHeight w:val="210"/>
        </w:trPr>
        <w:tc>
          <w:tcPr>
            <w:tcW w:w="8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w:t>
            </w:r>
          </w:p>
        </w:tc>
      </w:tr>
      <w:tr>
        <w:trPr>
          <w:trHeight w:val="229"/>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r>
      <w:tr>
        <w:trPr>
          <w:trHeight w:val="24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r>
      <w:tr>
        <w:trPr>
          <w:trHeight w:val="223"/>
        </w:trPr>
        <w:tc>
          <w:tcPr>
            <w:tcW w:w="8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(2,189)</w:t>
            </w:r>
          </w:p>
        </w:tc>
      </w:tr>
      <w:tr>
        <w:trPr>
          <w:trHeight w:val="229"/>
        </w:trPr>
        <w:tc>
          <w:tcPr>
            <w:tcW w:w="12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128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1280" w:type="dxa"/>
            <w:vAlign w:val="bottom"/>
            <w:shd w:val="clear" w:color="auto" w:fill="CCEEFF"/>
          </w:tcPr>
          <w:p>
            <w:pPr>
              <w:spacing w:after="0"/>
              <w:rPr>
                <w:sz w:val="21"/>
                <w:szCs w:val="21"/>
                <w:color w:val="auto"/>
              </w:rPr>
            </w:pPr>
          </w:p>
        </w:tc>
        <w:tc>
          <w:tcPr>
            <w:tcW w:w="7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21"/>
                <w:szCs w:val="21"/>
                <w:color w:val="auto"/>
              </w:rPr>
            </w:pPr>
          </w:p>
        </w:tc>
      </w:tr>
      <w:tr>
        <w:trPr>
          <w:trHeight w:val="197"/>
        </w:trPr>
        <w:tc>
          <w:tcPr>
            <w:tcW w:w="128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23,955,767</w:t>
            </w:r>
          </w:p>
        </w:tc>
      </w:tr>
      <w:tr>
        <w:trPr>
          <w:trHeight w:val="230"/>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23,955,767</w:t>
            </w:r>
          </w:p>
        </w:tc>
      </w:tr>
      <w:tr>
        <w:trPr>
          <w:trHeight w:val="230"/>
        </w:trPr>
        <w:tc>
          <w:tcPr>
            <w:tcW w:w="12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128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assets and sale of marketable securities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60,321</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8"/>
                <w:szCs w:val="18"/>
                <w:color w:val="auto"/>
              </w:rPr>
            </w:pPr>
          </w:p>
        </w:tc>
      </w:tr>
      <w:tr>
        <w:trPr>
          <w:trHeight w:val="210"/>
        </w:trPr>
        <w:tc>
          <w:tcPr>
            <w:tcW w:w="7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of debt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7" w:lineRule="exact"/>
        <w:rPr>
          <w:sz w:val="20"/>
          <w:szCs w:val="20"/>
          <w:color w:val="auto"/>
        </w:rPr>
      </w:pPr>
    </w:p>
    <w:p>
      <w:pPr>
        <w:ind w:right="340"/>
        <w:spacing w:after="0" w:line="323" w:lineRule="auto"/>
        <w:rPr>
          <w:sz w:val="20"/>
          <w:szCs w:val="20"/>
          <w:color w:val="auto"/>
        </w:rPr>
      </w:pPr>
      <w:r>
        <w:rPr>
          <w:rFonts w:ascii="Times New Roman" w:cs="Times New Roman" w:eastAsia="Times New Roman" w:hAnsi="Times New Roman"/>
          <w:sz w:val="18"/>
          <w:szCs w:val="18"/>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3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4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58,031</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17,835</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18,544</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-448310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-156845</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-119380</wp:posOffset>
            </wp:positionV>
            <wp:extent cx="1705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(refund)/paid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4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and investing activities: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2024 and December 31, 2023, the results of operations for the three months ended March 31, 2024 and 2023, and the cash flows for the three months ended March 31, 2024 and 2023. The results of operations for the three months ended March 31, 2024 and 2023 are not necessarily indicative of the results for a full-year period. These interim unaudited condensed consolidated financial statements should be read in conjunction with the financial statements included in our Annual Report on Form 10-K for the year ended December 31, 2023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2023. There have been no changes to these policies during the quarter ended March 31, 2024 that are of significance or potential significance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2024, our cash and cash equivalents were approximately $18,544 compared to $17,835 as of December 31, 2023. Our working capital was $21,395 as of March 31, 2024. Net cash provided by operating activities was $433 for the three months ended March 31, 2024, a decrease of $59,888 compared to $60,321 of cash was provided by operating activities for the three months ended March 31, 2023. The Company believes, although there can be no assurance, that the current cash position and effective management of working capital, will provide the liquidity needed to meet our operating needs through at least May 17, 2025.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1,523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1,571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10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3,622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3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1,094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3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36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3,622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64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0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earnings (loss) per share does not assume exercise or conversion of securities that would have an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23,969,148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23,955,767</w:t>
            </w:r>
          </w:p>
        </w:tc>
      </w:tr>
      <w:tr>
        <w:trPr>
          <w:trHeight w:val="243"/>
        </w:trPr>
        <w:tc>
          <w:tcPr>
            <w:tcW w:w="8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23,969,148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23,955,767</w:t>
            </w:r>
          </w:p>
        </w:tc>
        <w:tc>
          <w:tcPr>
            <w:tcW w:w="100" w:type="dxa"/>
            <w:vAlign w:val="bottom"/>
            <w:tcBorders>
              <w:bottom w:val="single" w:sz="8" w:color="CCEEFF"/>
            </w:tcBorders>
          </w:tcPr>
          <w:p>
            <w:pPr>
              <w:spacing w:after="0"/>
              <w:rPr>
                <w:sz w:val="21"/>
                <w:szCs w:val="21"/>
                <w:color w:val="auto"/>
              </w:rPr>
            </w:pPr>
          </w:p>
        </w:tc>
      </w:tr>
      <w:tr>
        <w:trPr>
          <w:trHeight w:val="197"/>
        </w:trPr>
        <w:tc>
          <w:tcPr>
            <w:tcW w:w="8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options, warrants and convertible portion of senior convertible notes outstanding</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6,420,553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6,368,420</w:t>
            </w: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options, warrants and convertible portion of senior convertible notes not included in the computation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6,420,553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6,368,420</w:t>
            </w:r>
          </w:p>
        </w:tc>
      </w:tr>
      <w:tr>
        <w:trPr>
          <w:trHeight w:val="441"/>
        </w:trPr>
        <w:tc>
          <w:tcPr>
            <w:tcW w:w="8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as of March 31, 2024 and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9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23"/>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4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3"/>
              </w:rPr>
              <w:t>2,801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4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32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432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380"/>
              <w:spacing w:after="0" w:line="196" w:lineRule="exact"/>
              <w:rPr>
                <w:sz w:val="20"/>
                <w:szCs w:val="20"/>
                <w:color w:val="auto"/>
              </w:rPr>
            </w:pPr>
            <w:r>
              <w:rPr>
                <w:rFonts w:ascii="Times New Roman" w:cs="Times New Roman" w:eastAsia="Times New Roman" w:hAnsi="Times New Roman"/>
                <w:sz w:val="18"/>
                <w:szCs w:val="18"/>
                <w:color w:val="auto"/>
                <w:w w:val="93"/>
              </w:rPr>
              <w:t>4,080</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4,087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32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in an unrealized loss position as of March 31, 2024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20"/>
                <w:szCs w:val="20"/>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24"/>
                <w:szCs w:val="24"/>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as of March 31, 2024 and December 31, 2023 consisted of the following:</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60" w:type="dxa"/>
            <w:vAlign w:val="bottom"/>
          </w:tcPr>
          <w:p>
            <w:pPr>
              <w:spacing w:after="0"/>
              <w:rPr>
                <w:sz w:val="24"/>
                <w:szCs w:val="24"/>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760" w:type="dxa"/>
            <w:vAlign w:val="bottom"/>
          </w:tcPr>
          <w:p>
            <w:pPr>
              <w:spacing w:after="0"/>
              <w:rPr>
                <w:sz w:val="20"/>
                <w:szCs w:val="20"/>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0"/>
        </w:trPr>
        <w:tc>
          <w:tcPr>
            <w:tcW w:w="6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(9,358)</w:t>
            </w:r>
          </w:p>
        </w:tc>
      </w:tr>
      <w:tr>
        <w:trPr>
          <w:trHeight w:val="223"/>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the three months ended March 31, 2024 and 2023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96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r>
      <w:tr>
        <w:trPr>
          <w:trHeight w:val="459"/>
        </w:trPr>
        <w:tc>
          <w:tcPr>
            <w:tcW w:w="3960" w:type="dxa"/>
            <w:vAlign w:val="bottom"/>
          </w:tcPr>
          <w:p>
            <w:pPr>
              <w:spacing w:after="0"/>
              <w:rPr>
                <w:sz w:val="24"/>
                <w:szCs w:val="24"/>
                <w:color w:val="auto"/>
              </w:rPr>
            </w:pPr>
          </w:p>
        </w:tc>
        <w:tc>
          <w:tcPr>
            <w:tcW w:w="448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3"/>
        </w:trPr>
        <w:tc>
          <w:tcPr>
            <w:tcW w:w="7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of reserves, as of March 31, 2024 and December 31, 2023 consisted of the following:</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1,765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57"/>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5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9,669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8,539</w:t>
            </w:r>
          </w:p>
        </w:tc>
        <w:tc>
          <w:tcPr>
            <w:tcW w:w="0" w:type="dxa"/>
            <w:vAlign w:val="bottom"/>
          </w:tcPr>
          <w:p>
            <w:pPr>
              <w:spacing w:after="0"/>
              <w:rPr>
                <w:sz w:val="1"/>
                <w:szCs w:val="1"/>
                <w:color w:val="auto"/>
              </w:rPr>
            </w:pPr>
          </w:p>
        </w:tc>
      </w:tr>
      <w:tr>
        <w:trPr>
          <w:trHeight w:val="263"/>
        </w:trPr>
        <w:tc>
          <w:tcPr>
            <w:tcW w:w="78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6"/>
              </w:rPr>
              <w:t>11,434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23"/>
        </w:trPr>
        <w:tc>
          <w:tcPr>
            <w:tcW w:w="78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3"/>
              </w:rPr>
              <w:t>4,161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 for three months ended March 31, 2024 and 2023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Rent expense for three months ended March 31, 2024 and 2023 was as follows: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2028. The Gainesville facility is used primarily to support the Company's research and development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9,402 square-foot facility in Salt Lake City, Utah under the terms of an operating lease expiring in February 2028. The facility supports the Company's principal administrative, sales, marketing, customer support, and research and product development activities.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6,175 square-foot facility in Chennai, India under the terms of an operating lease expiring in August 2024. This facility supports the Company's administrative, marketing, customer support, and research and product development activities. The Company is planning to renew the lease.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March 31, 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(Remainder)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73,326</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 of Common Stock and Warrants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217,810 options with contractual lives of ten years and 370,000 options with contractual lives of six years offered under the Company’s 2007 Equity Incentive Plan (the “2007 Plan”), which was restated and approved by the shareholders on December 12, 2015. As of March 31, 2024, the 2007 Plan had 857,044 authorized unissued options.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applying the Black-Scholes methodology to 160,000 options granted in June 2023, the Company used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 average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plans for the three months ended March 31,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beginning of year</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March 31, 2024</w:t>
            </w: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587,810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end of March 31, 2024</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416,898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total remaining unrecognized compensation cost related to non-vested stock options, net of forfeitures, was approximately $120, which will be recognized over a weighted average period of 2.24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has been recorded as follows:</w:t>
            </w:r>
          </w:p>
        </w:tc>
        <w:tc>
          <w:tcPr>
            <w:tcW w:w="3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tcBorders>
            <w:shd w:val="clear" w:color="auto" w:fill="CCEEFF"/>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3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three months ended March 31, 2024 mostly represents income tax expense (benefit) recorded for jurisdictions outside the United States.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approximately $968 of uncertain tax positions as of March 31, 2024. Due to the inherent uncertainty of the underlying tax positions, it is not possible to forecast the payment of this liability for any particular year, therefore, it is reflected in other long-term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are valued using observable inputs. The following table sets forth the fair value of the financial instruments re-measured by the Company as of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Declared Cash 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2024, the Company announced that the Company’s Board of Directors had declared a special one-time cash dividend of $0.50 per share of the Company’s common stock and eligible warrants to holders of record as of April 2, 2024 and paid $11,984 of cash dividends to shareholders and $2,511 to warrant holders on April 10, 2024. This dividend of 14,496 has been accrued as of March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our expectations regarding the ongoing transition of manufacturing of our products from China to Singapore by our electronics manufacturing services provider;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2023.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for the period ended March 31, 2024 and in Part I, Item 1A “Risk Factors” in our Annual Report on Form 10-K for the year ended December 31, 2023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 March 11, 2024, we announced a one-time special cash dividend of $0.50 per share of ClearOne common stock, payable on April 10, 2024 to shareholders of record on April 2,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2024 we launched the DIALOG® 20 USB wireless microphone system at Integrated Systems Europe (ISE) 2024, a major global audiovisual expo. ClearOne’s booth at ISE 2024 recorded a 319% increase in unique visitors compared to the number of unique visitors the Company’s booth recorded in 2023. The DIALOG® UVHF Wireless Microphone System also received AV Technology Magazine’s Best in Show award at ISE 2024, having previously garnered other notable industry awards in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continued our programs to cut costs and to speed up product development that we believe will enable us to get back to a growth path.</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revenue decreased by 13% in the first quarter of 2024 when compared to the first quarter of 2023, primarily due to a significant decrease in revenues from the audio conferencing category. The revenue decline was also caused by significantly reduced demand for our products in many regions including USA, Europe and China when compared to 2023-Q1 revenues. We believe this revenue decline was primarily due to the cumulative impact of past production shortages. We believe that lack of product availability has caused some of our channel partners to purchase and install competing brands. Historically, we have seen a lag of several months between the time that our professional conferencing products are specified for installation and the date when those products are installed. Since our product availability was constrained through a significant part of Q4 2023, we believe our revenue could be impacted negatively by these market dynamics through much of Q2 2024. We have also faced sales headwinds from our products’ lack of Microsoft Teams certification, despite their longtime functional compatibility with this platform. Our work through early 2024 has focused on mitigating these impacts through maintaining consistent dialogues, product demonstrations, and feedback cycles with end users and channel partners, along with improving our visibility at key industry events. We believe our revenue performance in 2024-Q1 also was to a small extent impacted negatively due to increased costs associated with electronic raw materials that have affected the global manufacturing of high tech products. We expect these increased costs in various degrees to continue through 2024 and 2025.</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gross profit margin increased to 31.8% during the first quarter of 2024 from 31.5% during the first quarter of 2023. The marginal increase in gross profit is mainly due to savings in freight cost wherein air shipments were reduced and replaced by ocean shipments wherever feasible.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loss increased from $0.8 million in the first quarter of 2023 to $1.9 million in the first quarter of 2024. The increase in net loss was mainly due to (a) a decrease in revenues partially offset by a decrease in operating expenses and (b) a recognition of $1.35 million from a one-time legal settlement of a contract dispute in first quarter of 2023.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generating operating profits through our strategic initiatives namely product innovation and cost reduction.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 gain market share and achieve certain non-financial goals. It has become increasingly important to have higher interoperability with other products in the audio visual market as well as certifications from leading video conferencing service providers like Microsoft and Zoom.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pricing pressures from new competitors attracted to the commercial market due to higher margins, and the lack of certifications from Microsoft. Notably, the Microsoft Teams device certification program is closed to new meeting room devices and solutions. Although we have requested admission into this certification program on multiple occasions ClearOne has been denied admission by Microsoft so far.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growth in the near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revenue (approximately 70% in the first three months of 2024)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decreased to $26 thousand on March 31, 2024 compared to $30 thousand on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2024</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months ended March 31, 2024 (“2024-Q1”) and 2023 ("2023-Q1"), respectively, together with the percentage of total revenue which each such item represents: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7"/>
        </w:trPr>
        <w:tc>
          <w:tcPr>
            <w:tcW w:w="6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6"/>
                <w:szCs w:val="16"/>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Favorable</w:t>
            </w: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(Adverse) in %</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decreased to $3.6 million in 2024-Q1 compared to $4.2 million in 2023-Q1 due to a 35% decline in audio conferencing and a 19% decline in video products, offset by a 31% increase in microphones. Except for BMA all other product categories suffered revenue declines year over year. Our traditional ceiling mics, personal audio conferencing products, and video cameras suffered revenue declines due to lack of demand. During the first quarter of 2024, revenues from Asia including India and the Middle East as a whole increased by 18% while all other regions suffered revenue loss. During 2024-Q1 revenues from Americas declined by 30% and from Europe and Africa declined significantly by 42%.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profit margin increased from 31.5% during 2023-Q1 to 31.8% during 2024-Q1. The marginal increase was due to saving in freight cost wherein air freight was controlled by replacing air freight with ocean freight.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$0.2 million of Converge Pro and Beamforming microphone array products, $1.0 million of cameras, and $1.6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in 2024-Q1 was $3.2 million compared to $3.5 million in 2023-Q1. The following contains a more detailed discussion of expenses related to sales and marketing, research and product development, general and administrative, and other items.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S&amp;M expenses in 2024-Q1 increased marginally to $1.3 million from $1.2 million for 2023-Q1. The increase was primarily due to increase in trade-show related expenses.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to $0.9 million in 2024-Q1 compared to $1.0 million for 2023-Q1. The decrease was primarily due to decrease in legal expenses and project related expenses.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decreased to $1.0 million in 2024-Q1 compared to $1.3 million in 2023-Q1. The reduction was primarily due to (a) a decrease in legal expenses, (b) and a decrease in insurance expenses, (c) and a reduction in employee 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to $0.0 million in 2024-Q1 compared to $0.3 million in 2023-Q1. The interest expense declined due to repayment of all the debts in full in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includes interest income, foreign currency changes and gain or loss on disposal of assets. Other income for 2024-Q1 included $0.2 million of interest income received on marketable securities. Other income in 2023-Q1 included a receipt of $1.35 million from a one-time legal settlement of a contract dispute.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2024 and 2023, we did not recognize any benefit from the losses incurred due to setting up a full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our cash and cash equivalents were approximately $18.5 million compared to $17.8 million as of December 31, 2023. Our working capital was $21.4 million and $39.1 million as of March 31, 2024 and December 31, 2023,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$0.4 million in the three months ended March 31, 2024, a decrease of net cash provided by operating activities of approximately $59.9 million from $60.3 million of net cash used by operating activities in the three months ended March 31, 2023. The decrease in cash inflow was primarily due to $56.4 million in receipts from legal settlements, the receipt of $4.5 million from the return of a bond deposited with a court, and a $1.3 million refund of income taxes with interest in the three months ended March 31, 2023. These receipts were partially offset by operating losses.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in the three months ended March 31, 2024 was $0.3 million compared to $0.1 million of net cash used in investing activities in the three months ended March 31, 2023. The increase in cash provided by investing activities was primarily due to an increase in sale of marketable securities (net of purchases) by $0.3 million and an increase in purchase of property and equipment by $0.06 million. These increases were partially offset by the elimination of capitalized legal expenses of $0.03 million.</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three months ended March 31, 2024 was $0.007 million compared to $2.2 million used in payments of principal amounts due on senior convertible debt in the three months ended March 31, 2023.</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our cash and cash equivalents were approximately $18.5 million compared to $17.8 million as of December 31, 2023. Our working capital was $21.4 million as of March 31, 2024. The Company believes, although there can be no assurance, that the current cash position and effective management of working capital, will provide the liquidity needed to meet our operating needs through at least May 17, 2025.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open purchase orders of approximately $4.5 million mostly for the purchase of inventory.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inventory totaling $15.6 million, of which non-current inventory accounted for $4.2 million. This compares to total inventories of $13.8 million, which includes non-current inventory of $3.1 million as of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March 31, 2024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6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March 31, 2024 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March 31,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March 31, 2024,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risk factor set forth below supplements and should be read in conjunction with the risk factors included in our Annual Report on Form 10-K for the fiscal year ended December 31, 2023, as previously supplemented by our Quarterly Report on Form 10-Q for the quarter ended March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(filed herewith)</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426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Certification of Chief Executive Officer (filed herewith)</w:t>
            </w:r>
          </w:p>
        </w:tc>
        <w:tc>
          <w:tcPr>
            <w:tcW w:w="49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(filed herewith)</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1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4960" w:type="dxa"/>
            <w:vAlign w:val="bottom"/>
          </w:tcPr>
          <w:p>
            <w:pPr>
              <w:spacing w:after="0"/>
              <w:rPr>
                <w:sz w:val="24"/>
                <w:szCs w:val="24"/>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ClearOne, Inc.,</w:t>
            </w:r>
          </w:p>
        </w:tc>
      </w:t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479"/>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608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45"/>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1"/>
        </w:trPr>
        <w:tc>
          <w:tcPr>
            <w:tcW w:w="60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5160" w:type="dxa"/>
            <w:vAlign w:val="bottom"/>
          </w:tcPr>
          <w:p>
            <w:pPr>
              <w:spacing w:after="0"/>
              <w:rPr>
                <w:sz w:val="24"/>
                <w:szCs w:val="24"/>
                <w:color w:val="auto"/>
              </w:rPr>
            </w:pPr>
          </w:p>
        </w:tc>
      </w:tr>
      <w:tr>
        <w:trPr>
          <w:trHeight w:val="128"/>
        </w:trPr>
        <w:tc>
          <w:tcPr>
            <w:tcW w:w="608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225" w:lineRule="exact"/>
        <w:rPr>
          <w:sz w:val="20"/>
          <w:szCs w:val="20"/>
          <w:color w:val="auto"/>
        </w:rPr>
      </w:pPr>
    </w:p>
    <w:p>
      <w:pPr>
        <w:ind w:left="340" w:hanging="331"/>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38"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Pr>
          <w:p>
            <w:pPr>
              <w:spacing w:after="0"/>
              <w:rPr>
                <w:sz w:val="21"/>
                <w:szCs w:val="21"/>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3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2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Brewer,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/s/Simon Brewer</w:t>
            </w:r>
          </w:p>
        </w:tc>
      </w:tr>
      <w:tr>
        <w:trPr>
          <w:trHeight w:val="191"/>
        </w:trPr>
        <w:tc>
          <w:tcPr>
            <w:tcW w:w="60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2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Simon Brewer, certify, to my best knowledge and belief, pursuant to 18 U.S.C. Section 1350, as adopted pursuant to Section 906 of the Sarbanes-Oxley Act of 2002, that the Quarterly Report of ClearOne, Inc. on Form 10-Q for the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2024-05-17T13:13:29Z</dcterms:created>
  <dcterms:modified xsi:type="dcterms:W3CDTF">2024-05-17T13:13:29Z</dcterms:modified>
</cp:coreProperties>
</file>