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13, 2021 (May 13,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001-33660</w:t>
            </w: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1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2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5180" w:type="dxa"/>
            <w:vAlign w:val="bottom"/>
            <w:tcBorders>
              <w:top w:val="single" w:sz="8" w:color="auto"/>
            </w:tcBorders>
          </w:tcPr>
          <w:p>
            <w:pPr>
              <w:jc w:val="center"/>
              <w:ind w:left="217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52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3"/>
        </w:trPr>
        <w:tc>
          <w:tcPr>
            <w:tcW w:w="380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1"/>
              </w:rPr>
              <w:t>Common Stock, $0.001</w:t>
            </w:r>
          </w:p>
        </w:tc>
        <w:tc>
          <w:tcPr>
            <w:tcW w:w="372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5"/>
              </w:rPr>
              <w:t>CLRO</w:t>
            </w:r>
          </w:p>
        </w:tc>
        <w:tc>
          <w:tcPr>
            <w:tcW w:w="37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4"/>
              </w:rPr>
              <w:t>The NASDAQ Capital Market</w:t>
            </w:r>
          </w:p>
        </w:tc>
      </w:tr>
    </w:tbl>
    <w:p>
      <w:pPr>
        <w:spacing w:after="0" w:line="198" w:lineRule="exact"/>
        <w:rPr>
          <w:sz w:val="24"/>
          <w:szCs w:val="24"/>
          <w:color w:val="auto"/>
        </w:rPr>
      </w:pPr>
    </w:p>
    <w:p>
      <w:pPr>
        <w:ind w:right="520"/>
        <w:spacing w:after="0" w:line="224"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May 13, 2021, ClearOne, Inc. (the “Company”) issued a press release announcing its financial results for the three months ended March 31, 2021.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56"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of ClearOne, Inc. dated May 13, 2021.</w:t>
        </w:r>
      </w:hyperlink>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rPr>
              <w:t>CLEARONE, INC.</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Date: May 13, 2021</w:t>
            </w: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ClearOne Reports First Quarter 2021 Financial Results</w:t>
      </w:r>
    </w:p>
    <w:p>
      <w:pPr>
        <w:spacing w:after="0" w:line="229" w:lineRule="exact"/>
        <w:rPr>
          <w:sz w:val="20"/>
          <w:szCs w:val="20"/>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Overall revenue grows by 23% year-over-year</w:t>
      </w:r>
    </w:p>
    <w:p>
      <w:pPr>
        <w:spacing w:after="0" w:line="144" w:lineRule="exact"/>
        <w:rPr>
          <w:rFonts w:ascii="Arial" w:cs="Arial" w:eastAsia="Arial" w:hAnsi="Arial"/>
          <w:sz w:val="18"/>
          <w:szCs w:val="18"/>
          <w:b w:val="1"/>
          <w:bCs w:val="1"/>
          <w:i w:val="1"/>
          <w:iCs w:val="1"/>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Non-GAAP Operating loss decreases 27% year-over-year</w:t>
      </w:r>
    </w:p>
    <w:p>
      <w:pPr>
        <w:spacing w:after="0" w:line="144" w:lineRule="exact"/>
        <w:rPr>
          <w:rFonts w:ascii="Arial" w:cs="Arial" w:eastAsia="Arial" w:hAnsi="Arial"/>
          <w:sz w:val="18"/>
          <w:szCs w:val="18"/>
          <w:b w:val="1"/>
          <w:bCs w:val="1"/>
          <w:i w:val="1"/>
          <w:iCs w:val="1"/>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Core video, pro audio, and Beamforming Microphone Array Ceiling Tile solutions drive strong results</w:t>
      </w:r>
    </w:p>
    <w:p>
      <w:pPr>
        <w:spacing w:after="0" w:line="2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SALT LAKE CITY, UTAH – May 13, 2021 – ClearOne (NASDAQ: CLRO), a global provider of audio and visual communication solutions, reported financial results for the three months ended March 31, 2021.</w:t>
      </w:r>
    </w:p>
    <w:p>
      <w:pPr>
        <w:spacing w:after="0" w:line="117"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"The first quarter of 2021 continued our trend of year-over-year growth and the successful execution of our strategic imperatives. Our partners continue to recognize the value of our versatile video products and ground breaking Beamforming Microphone Array based solutions as work and learn environments continue to evolve due to the transformative global impact of the pandemic. Our business continues to provide the indispensable tools for conferencing and collaboration for home, hybrid, and traditional use settings across a broad swath of organizations; education, enterprise, government and others. Whether for a student working from her PC, a work-from-home professional in a home office, or systems installed for teams across multiple facility sites, we continue to see revenue growth due to our widely appealing product portfolio including disruptive audio technologies that we believe will displace older solutions," said Zee Hakimoglu, CEO and Chair of ClearOne.</w:t>
      </w:r>
    </w:p>
    <w:p>
      <w:pPr>
        <w:spacing w:after="0" w:line="12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"Late last year, we introduced the BMA 360, our new flagship Beamforming Microphone Array in ceiling tile format. The excitement, acceptance, and adoption of this new product has exceeded our initial market expectations. Adding to its initial success, during the quarter, we announced availability of Voice Lift technology to further enhance the performance capabilities of our BMA 360. Voice Lift is a powerful feature addition that provides local amplification of a talker’s voice easily enabling local listeners at every corner of a large space to experience the same comfortable and intelligible audio level as someone sitting right next to the talker. We believe that the new BMA 360, now with Voice Lift, sets an audio performance standard that is unrivaled in the industry and far superior to any other BMA solution in the market. The BMA 360 is based on a dramatically new approach to beamforming that provides a new beam topology to easily achieve distortion-free, full 360-degree coverage of any room shape and any seating arrangement using ClearOne Audio Intelligence™. The integrated features in the BMA 360 significantly reduce system design complexity, simplify installation, consume less rack space, and lower system cost," Hakimoglu added.</w:t>
      </w:r>
    </w:p>
    <w:p>
      <w:pPr>
        <w:spacing w:after="0" w:line="128" w:lineRule="exact"/>
        <w:rPr>
          <w:sz w:val="20"/>
          <w:szCs w:val="20"/>
          <w:color w:val="auto"/>
        </w:rPr>
      </w:pPr>
    </w:p>
    <w:p>
      <w:pPr>
        <w:jc w:val="both"/>
        <w:ind w:right="140"/>
        <w:spacing w:after="0" w:line="249" w:lineRule="auto"/>
        <w:rPr>
          <w:sz w:val="20"/>
          <w:szCs w:val="20"/>
          <w:color w:val="auto"/>
        </w:rPr>
      </w:pPr>
      <w:r>
        <w:rPr>
          <w:rFonts w:ascii="Arial" w:cs="Arial" w:eastAsia="Arial" w:hAnsi="Arial"/>
          <w:sz w:val="16"/>
          <w:szCs w:val="16"/>
          <w:color w:val="auto"/>
        </w:rPr>
        <w:t>“Also, in May, we announced the availability of our new CONVERGENCE® AV Cloud software that enables powerful Management as a Service (MaaS) recurring revenue opportunities to AV practitioners. Convergence AV Cloud software is a unified AV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Hakimoglu further added.</w:t>
      </w:r>
    </w:p>
    <w:p>
      <w:pPr>
        <w:spacing w:after="0" w:line="114"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“We continue to prosecute our intellectual property claims against Shure. Though the resolution of our cases against Shure has been delayed by the COVID-19 pandemic, we are looking forward to presenting our cases to a jury in late 2021 or early 2022," concluded Hakimoglu.</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144" w:lineRule="exact"/>
        <w:rPr>
          <w:sz w:val="20"/>
          <w:szCs w:val="20"/>
          <w:color w:val="auto"/>
        </w:rPr>
      </w:pPr>
    </w:p>
    <w:p>
      <w:pPr>
        <w:ind w:left="400" w:right="40" w:hanging="388"/>
        <w:spacing w:after="0" w:line="301" w:lineRule="auto"/>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in Q1 2021 was $7.0 million, compared to $5.7 million in Q1 2020 and $8.6 million in Q4 2020. The increase in year-over-year revenue was mainly due to the increase in revenue from video products, beamforming microphone array products and professional installed audio conferencing products. The sequential decrease in revenues is due to typical seasonality in quarterly revenues. Despite this year-over-year revenue growth in Q1 2021, revenue from our audio conferencing products and microphones are far below the levels prior to infringement of our patents.</w:t>
      </w:r>
    </w:p>
    <w:p>
      <w:pPr>
        <w:spacing w:after="0" w:line="143" w:lineRule="exact"/>
        <w:rPr>
          <w:rFonts w:ascii="Arial" w:cs="Arial" w:eastAsia="Arial" w:hAnsi="Arial"/>
          <w:sz w:val="16"/>
          <w:szCs w:val="16"/>
          <w:color w:val="auto"/>
        </w:rPr>
      </w:pPr>
    </w:p>
    <w:p>
      <w:pPr>
        <w:ind w:left="420" w:right="120" w:hanging="408"/>
        <w:spacing w:after="0" w:line="25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profit in Q1 2021 was $3.0 million compared to $2.8 million in Q1 2020 and $3.6 million in Q4 2020. GAAP gross profit margin was 42.7% in Q1 2021, compared to 49.5% in Q1 2020 and 41.8% in Q4 2020. Gross profit margin in Q1 2021 declined from Q1 2020 due to increase in share of lower margin products in the revenue mix, increased freight and tariff costs and increased inventory obsolescence costs, partially offset by a decrease in overhead costs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400" w:right="200" w:hanging="388"/>
        <w:spacing w:after="0" w:line="311"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expenses in Q1 2021 were $4.53 million, compared to $4.59 million in Q1 2020 and $4.40 million in Q4 2020. Non-GAAP operating expenses in Q1 2021 were $3.99 million, compared to $4.19 million in Q1 2020 and $3.92 million in Q4 2020. The sequential increase in operating expenses is mainly due to additional audit and accounting expenses incurred in Q1 2021 which is typical for this quarter.</w:t>
      </w:r>
    </w:p>
    <w:p>
      <w:pPr>
        <w:spacing w:after="0" w:line="148" w:lineRule="exact"/>
        <w:rPr>
          <w:rFonts w:ascii="Arial" w:cs="Arial" w:eastAsia="Arial" w:hAnsi="Arial"/>
          <w:sz w:val="16"/>
          <w:szCs w:val="16"/>
          <w:color w:val="auto"/>
        </w:rPr>
      </w:pPr>
    </w:p>
    <w:p>
      <w:pPr>
        <w:ind w:left="400" w:right="20" w:hanging="388"/>
        <w:spacing w:after="0" w:line="263"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in Q1 2021 was $1.7 million, or $0.09 per share, compared to net loss of $1.8 million, or $0.11 per share, in Q1 2020 and net loss of $5.5 million, or $0.29 per share, in Q4 2020. The sequential and year-over-year decline in GAAP net loss was primarily due to increase in gross profit attributable to increase in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6"/>
                <w:szCs w:val="16"/>
                <w:b w:val="1"/>
                <w:bCs w:val="1"/>
                <w:color w:val="auto"/>
              </w:rPr>
              <w:t>($ in 000, except per share)</w:t>
            </w:r>
          </w:p>
        </w:tc>
        <w:tc>
          <w:tcPr>
            <w:tcW w:w="250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18"/>
                <w:szCs w:val="18"/>
                <w:color w:val="auto"/>
              </w:rPr>
            </w:pPr>
          </w:p>
        </w:tc>
      </w:tr>
      <w:tr>
        <w:trPr>
          <w:trHeight w:val="233"/>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20"/>
                <w:szCs w:val="20"/>
                <w:color w:val="auto"/>
              </w:rPr>
            </w:pPr>
          </w:p>
        </w:tc>
        <w:tc>
          <w:tcPr>
            <w:tcW w:w="1420" w:type="dxa"/>
            <w:vAlign w:val="bottom"/>
          </w:tcPr>
          <w:p>
            <w:pPr>
              <w:jc w:val="right"/>
              <w:ind w:right="811"/>
              <w:spacing w:after="0"/>
              <w:rPr>
                <w:sz w:val="20"/>
                <w:szCs w:val="20"/>
                <w:color w:val="auto"/>
              </w:rPr>
            </w:pPr>
            <w:r>
              <w:rPr>
                <w:rFonts w:ascii="Arial" w:cs="Arial" w:eastAsia="Arial" w:hAnsi="Arial"/>
                <w:sz w:val="16"/>
                <w:szCs w:val="16"/>
                <w:b w:val="1"/>
                <w:bCs w:val="1"/>
                <w:color w:val="auto"/>
              </w:rPr>
              <w:t>2020</w:t>
            </w: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w w:val="88"/>
              </w:rPr>
              <w:t>Change</w:t>
            </w:r>
          </w:p>
        </w:tc>
      </w:tr>
      <w:tr>
        <w:trPr>
          <w:trHeight w:val="212"/>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5"/>
              </w:rPr>
              <w:t>GAAP</w:t>
            </w:r>
          </w:p>
        </w:tc>
        <w:tc>
          <w:tcPr>
            <w:tcW w:w="4280" w:type="dxa"/>
            <w:vAlign w:val="bottom"/>
            <w:tcBorders>
              <w:bottom w:val="single" w:sz="8" w:color="CCEEFF"/>
            </w:tcBorders>
            <w:gridSpan w:val="2"/>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7,038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5,734</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3,003</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2,838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5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4,527</w:t>
            </w:r>
          </w:p>
        </w:tc>
        <w:tc>
          <w:tcPr>
            <w:tcW w:w="38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4,589</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(1,751)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380" w:type="dxa"/>
            <w:vAlign w:val="bottom"/>
          </w:tcPr>
          <w:p>
            <w:pPr>
              <w:spacing w:after="0"/>
              <w:rPr>
                <w:sz w:val="19"/>
                <w:szCs w:val="19"/>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(1,847)</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2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89"/>
        </w:trPr>
        <w:tc>
          <w:tcPr>
            <w:tcW w:w="40" w:type="dxa"/>
            <w:vAlign w:val="bottom"/>
          </w:tcPr>
          <w:p>
            <w:pPr>
              <w:spacing w:after="0"/>
              <w:rPr>
                <w:sz w:val="16"/>
                <w:szCs w:val="16"/>
                <w:color w:val="auto"/>
              </w:rPr>
            </w:pPr>
          </w:p>
        </w:tc>
        <w:tc>
          <w:tcPr>
            <w:tcW w:w="47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Non-GAAP</w:t>
            </w:r>
          </w:p>
        </w:tc>
        <w:tc>
          <w:tcPr>
            <w:tcW w:w="2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2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3,006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2,840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Non-GAAP operating expenses</w:t>
            </w:r>
          </w:p>
        </w:tc>
        <w:tc>
          <w:tcPr>
            <w:tcW w:w="25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3,988</w:t>
            </w:r>
          </w:p>
        </w:tc>
        <w:tc>
          <w:tcPr>
            <w:tcW w:w="380" w:type="dxa"/>
            <w:vAlign w:val="bottom"/>
          </w:tcPr>
          <w:p>
            <w:pPr>
              <w:spacing w:after="0"/>
              <w:rPr>
                <w:sz w:val="19"/>
                <w:szCs w:val="19"/>
                <w:color w:val="auto"/>
              </w:rPr>
            </w:pP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4,186</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2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(1,346)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2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(1,113)</w:t>
            </w:r>
          </w:p>
        </w:tc>
        <w:tc>
          <w:tcPr>
            <w:tcW w:w="380" w:type="dxa"/>
            <w:vAlign w:val="bottom"/>
          </w:tcPr>
          <w:p>
            <w:pPr>
              <w:spacing w:after="0"/>
              <w:rPr>
                <w:sz w:val="19"/>
                <w:szCs w:val="19"/>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(1,442)</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2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(1,207)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0" w:type="dxa"/>
            <w:vAlign w:val="bottom"/>
          </w:tcPr>
          <w:p>
            <w:pPr>
              <w:spacing w:after="0"/>
              <w:rPr>
                <w:sz w:val="20"/>
                <w:szCs w:val="20"/>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Non-GAAP loss per share (diluted)</w:t>
            </w:r>
          </w:p>
        </w:tc>
        <w:tc>
          <w:tcPr>
            <w:tcW w:w="2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20"/>
                <w:szCs w:val="20"/>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(0.09)</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March 31, 2021, cash, cash equivalents and investments were $4.8 million, as compared to $6.7 million at December 31, 2020. The Company carries a debt of $4.4 million on account of senior convertible notes issued in December 2020 and a Paycheck Protection Program (PPP) loan in April 2020. The Company intends to use the entire PPP loan amount for qualifying expenses and to apply for forgiveness of the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ClearOne</w:t>
      </w:r>
    </w:p>
    <w:p>
      <w:pPr>
        <w:spacing w:after="0" w:line="14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66"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2020 (the “10-K”), the footnotes thereto and the limitations set forth therein. Investors may not rely on the press release without reference to the 10-Q, the 10-K and the Public 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par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8"/>
              </w:rPr>
              <w:t>March 31, 2021</w:t>
            </w: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2020</w:t>
            </w:r>
          </w:p>
        </w:tc>
      </w:tr>
      <w:tr>
        <w:trPr>
          <w:trHeight w:val="212"/>
        </w:trPr>
        <w:tc>
          <w:tcPr>
            <w:tcW w:w="8060" w:type="dxa"/>
            <w:vAlign w:val="bottom"/>
            <w:tcBorders>
              <w:top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$506</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4,930</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9,816</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10,463</w:t>
            </w: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7,212</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7,169</w:t>
            </w: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r>
      <w:tr>
        <w:trPr>
          <w:trHeight w:val="209"/>
        </w:trPr>
        <w:tc>
          <w:tcPr>
            <w:tcW w:w="8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1,807</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4,126</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 right of use assets, net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20,486</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19,248</w:t>
            </w: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r>
      <w:tr>
        <w:trPr>
          <w:trHeight w:val="250"/>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59,848</w:t>
            </w:r>
          </w:p>
        </w:tc>
        <w:tc>
          <w:tcPr>
            <w:tcW w:w="2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tcPr>
          <w:p>
            <w:pPr>
              <w:spacing w:after="0"/>
              <w:rPr>
                <w:sz w:val="21"/>
                <w:szCs w:val="21"/>
                <w:color w:val="auto"/>
              </w:rPr>
            </w:pPr>
          </w:p>
        </w:tc>
      </w:tr>
      <w:tr>
        <w:trPr>
          <w:trHeight w:val="197"/>
        </w:trPr>
        <w:tc>
          <w:tcPr>
            <w:tcW w:w="8060" w:type="dxa"/>
            <w:vAlign w:val="bottom"/>
            <w:shd w:val="clear" w:color="auto" w:fill="CCEEFF"/>
          </w:tcPr>
          <w:p>
            <w:pPr>
              <w:ind w:left="19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2,907</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2,775</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product revenue</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10"/>
        </w:trPr>
        <w:tc>
          <w:tcPr>
            <w:tcW w:w="8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2,927</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liability, net of current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0"/>
        </w:trPr>
        <w:tc>
          <w:tcPr>
            <w:tcW w:w="8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w w:val="92"/>
              </w:rPr>
              <w:t>Common stock, par value $0.001, 50,000,000 shares authorized, 18,775,773 shares issued and outstanding</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63,394</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63,359</w:t>
            </w: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(15,033)</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r>
      <w:tr>
        <w:trPr>
          <w:trHeight w:val="210"/>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48,180</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100" w:type="dxa"/>
            <w:vAlign w:val="bottom"/>
            <w:tcBorders>
              <w:bottom w:val="single" w:sz="8" w:color="CCEEFF"/>
            </w:tcBorders>
          </w:tcPr>
          <w:p>
            <w:pPr>
              <w:spacing w:after="0"/>
              <w:rPr>
                <w:sz w:val="18"/>
                <w:szCs w:val="18"/>
                <w:color w:val="auto"/>
              </w:rPr>
            </w:pPr>
          </w:p>
        </w:tc>
      </w:tr>
      <w:tr>
        <w:trPr>
          <w:trHeight w:val="21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59,848</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8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0"/>
        </w:trPr>
        <w:tc>
          <w:tcPr>
            <w:tcW w:w="80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2"/>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00" w:type="dxa"/>
            <w:vAlign w:val="bottom"/>
            <w:shd w:val="clear" w:color="auto" w:fill="CCEEFF"/>
          </w:tcPr>
          <w:p>
            <w:pPr>
              <w:spacing w:after="0"/>
              <w:rPr>
                <w:sz w:val="18"/>
                <w:szCs w:val="18"/>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2,896</w:t>
            </w:r>
          </w:p>
        </w:tc>
      </w:tr>
      <w:tr>
        <w:trPr>
          <w:trHeight w:val="209"/>
        </w:trPr>
        <w:tc>
          <w:tcPr>
            <w:tcW w:w="8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r>
      <w:tr>
        <w:trPr>
          <w:trHeight w:val="23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r>
      <w:tr>
        <w:trPr>
          <w:trHeight w:val="210"/>
        </w:trPr>
        <w:tc>
          <w:tcPr>
            <w:tcW w:w="8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(1,751)</w:t>
            </w:r>
          </w:p>
        </w:tc>
      </w:tr>
      <w:tr>
        <w:trPr>
          <w:trHeight w:val="230"/>
        </w:trPr>
        <w:tc>
          <w:tcPr>
            <w:tcW w:w="8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0"/>
        </w:trPr>
        <w:tc>
          <w:tcPr>
            <w:tcW w:w="8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r>
      <w:tr>
        <w:trPr>
          <w:trHeight w:val="230"/>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29"/>
        </w:trPr>
        <w:tc>
          <w:tcPr>
            <w:tcW w:w="8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0"/>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21"/>
                <w:szCs w:val="21"/>
                <w:color w:val="auto"/>
              </w:rPr>
            </w:pPr>
          </w:p>
        </w:tc>
      </w:tr>
      <w:tr>
        <w:trPr>
          <w:trHeight w:val="196"/>
        </w:trPr>
        <w:tc>
          <w:tcPr>
            <w:tcW w:w="8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18,775,773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16,650,725</w:t>
            </w: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18,775,773</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16,650,725</w:t>
            </w:r>
          </w:p>
        </w:tc>
      </w:tr>
      <w:tr>
        <w:trPr>
          <w:trHeight w:val="230"/>
        </w:trPr>
        <w:tc>
          <w:tcPr>
            <w:tcW w:w="8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30"/>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w:t>
            </w:r>
          </w:p>
        </w:tc>
      </w:tr>
      <w:tr>
        <w:trPr>
          <w:trHeight w:val="270"/>
        </w:trPr>
        <w:tc>
          <w:tcPr>
            <w:tcW w:w="8020" w:type="dxa"/>
            <w:vAlign w:val="bottom"/>
          </w:tcPr>
          <w:p>
            <w:pPr>
              <w:ind w:left="220"/>
              <w:spacing w:after="0"/>
              <w:rPr>
                <w:sz w:val="20"/>
                <w:szCs w:val="20"/>
                <w:color w:val="auto"/>
              </w:rPr>
            </w:pPr>
            <w:r>
              <w:rPr>
                <w:rFonts w:ascii="Arial" w:cs="Arial" w:eastAsia="Arial" w:hAnsi="Arial"/>
                <w:sz w:val="18"/>
                <w:szCs w:val="18"/>
                <w:color w:val="auto"/>
              </w:rPr>
              <w:t>Unrealized loss on available-for-sale securities, net of tax</w:t>
            </w:r>
          </w:p>
        </w:tc>
        <w:tc>
          <w:tcPr>
            <w:tcW w:w="28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0"/>
        </w:trPr>
        <w:tc>
          <w:tcPr>
            <w:tcW w:w="8020" w:type="dxa"/>
            <w:vAlign w:val="bottom"/>
          </w:tcPr>
          <w:p>
            <w:pPr>
              <w:ind w:left="22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8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0"/>
        </w:trPr>
        <w:tc>
          <w:tcPr>
            <w:tcW w:w="8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2"/>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gross profit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2,838</w:t>
            </w:r>
          </w:p>
        </w:tc>
      </w:tr>
      <w:tr>
        <w:trPr>
          <w:trHeight w:val="206"/>
        </w:trPr>
        <w:tc>
          <w:tcPr>
            <w:tcW w:w="80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3"/>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gross profit</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operating loss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(1,524</w:t>
            </w:r>
            <w:r>
              <w:rPr>
                <w:rFonts w:ascii="Arial" w:cs="Arial" w:eastAsia="Arial" w:hAnsi="Arial"/>
                <w:sz w:val="17"/>
                <w:szCs w:val="17"/>
                <w:color w:val="auto"/>
              </w:rPr>
              <w:t>)</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(1,751)</w:t>
            </w:r>
          </w:p>
        </w:tc>
      </w:tr>
      <w:tr>
        <w:trPr>
          <w:trHeight w:val="227"/>
        </w:trPr>
        <w:tc>
          <w:tcPr>
            <w:tcW w:w="80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r>
      <w:tr>
        <w:trPr>
          <w:trHeight w:val="23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511</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368</w:t>
            </w:r>
          </w:p>
        </w:tc>
      </w:tr>
      <w:tr>
        <w:trPr>
          <w:trHeight w:val="236"/>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Non-GAAP operating loss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20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97"/>
        </w:trPr>
        <w:tc>
          <w:tcPr>
            <w:tcW w:w="8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(1,655</w:t>
            </w:r>
            <w:r>
              <w:rPr>
                <w:rFonts w:ascii="Arial" w:cs="Arial" w:eastAsia="Arial" w:hAnsi="Arial"/>
                <w:sz w:val="17"/>
                <w:szCs w:val="17"/>
                <w:color w:val="auto"/>
              </w:rPr>
              <w:t>)</w:t>
            </w: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(1,847)</w:t>
            </w:r>
          </w:p>
        </w:tc>
      </w:tr>
      <w:tr>
        <w:trPr>
          <w:trHeight w:val="229"/>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w:t>
            </w:r>
          </w:p>
        </w:tc>
      </w:tr>
      <w:tr>
        <w:trPr>
          <w:trHeight w:val="227"/>
        </w:trPr>
        <w:tc>
          <w:tcPr>
            <w:tcW w:w="8000" w:type="dxa"/>
            <w:vAlign w:val="bottom"/>
          </w:tcPr>
          <w:p>
            <w:pPr>
              <w:ind w:left="4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511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368</w:t>
            </w:r>
          </w:p>
        </w:tc>
      </w:tr>
      <w:tr>
        <w:trPr>
          <w:trHeight w:val="199"/>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net loss</w:t>
            </w: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20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net loss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(1,655</w:t>
            </w:r>
            <w:r>
              <w:rPr>
                <w:rFonts w:ascii="Arial" w:cs="Arial" w:eastAsia="Arial" w:hAnsi="Arial"/>
                <w:sz w:val="17"/>
                <w:szCs w:val="17"/>
                <w:color w:val="auto"/>
              </w:rPr>
              <w:t>)</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(1,847)</w:t>
            </w:r>
          </w:p>
        </w:tc>
      </w:tr>
      <w:tr>
        <w:trPr>
          <w:trHeight w:val="213"/>
        </w:trPr>
        <w:tc>
          <w:tcPr>
            <w:tcW w:w="8000" w:type="dxa"/>
            <w:vAlign w:val="bottom"/>
          </w:tcPr>
          <w:p>
            <w:pPr>
              <w:ind w:left="40"/>
              <w:spacing w:after="0"/>
              <w:rPr>
                <w:sz w:val="20"/>
                <w:szCs w:val="20"/>
                <w:color w:val="auto"/>
              </w:rPr>
            </w:pPr>
            <w:r>
              <w:rPr>
                <w:rFonts w:ascii="Arial" w:cs="Arial" w:eastAsia="Arial" w:hAnsi="Arial"/>
                <w:sz w:val="16"/>
                <w:szCs w:val="16"/>
                <w:color w:val="auto"/>
              </w:rPr>
              <w:t>Number of shares used in computing GAAP loss per share (diluted)</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18,775,773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16,650,725</w:t>
            </w:r>
          </w:p>
        </w:tc>
      </w:tr>
      <w:tr>
        <w:trPr>
          <w:trHeight w:val="232"/>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loss per share (diluted)</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(0.09</w:t>
            </w:r>
            <w:r>
              <w:rPr>
                <w:rFonts w:ascii="Arial" w:cs="Arial" w:eastAsia="Arial" w:hAnsi="Arial"/>
                <w:sz w:val="17"/>
                <w:szCs w:val="17"/>
                <w:color w:val="auto"/>
              </w:rPr>
              <w:t>)</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(0.11)</w:t>
            </w:r>
          </w:p>
        </w:tc>
      </w:tr>
      <w:tr>
        <w:trPr>
          <w:trHeight w:val="230"/>
        </w:trPr>
        <w:tc>
          <w:tcPr>
            <w:tcW w:w="800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(1,113</w:t>
            </w:r>
            <w:r>
              <w:rPr>
                <w:rFonts w:ascii="Arial" w:cs="Arial" w:eastAsia="Arial" w:hAnsi="Arial"/>
                <w:sz w:val="17"/>
                <w:szCs w:val="17"/>
                <w:color w:val="auto"/>
              </w:rPr>
              <w:t>)</w:t>
            </w: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(1,442)</w:t>
            </w:r>
          </w:p>
        </w:tc>
      </w:tr>
      <w:tr>
        <w:trPr>
          <w:trHeight w:val="229"/>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Number of shares used in computing Non-GAAP loss per share (diluted)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18,775,773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16,650,725</w:t>
            </w:r>
          </w:p>
        </w:tc>
      </w:tr>
      <w:tr>
        <w:trPr>
          <w:trHeight w:val="229"/>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Non-GAAP loss per share (diluted)</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(0.06</w:t>
            </w:r>
            <w:r>
              <w:rPr>
                <w:rFonts w:ascii="Arial" w:cs="Arial" w:eastAsia="Arial" w:hAnsi="Arial"/>
                <w:sz w:val="17"/>
                <w:szCs w:val="17"/>
                <w:color w:val="auto"/>
              </w:rPr>
              <w:t>)</w:t>
            </w: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(0.09)</w:t>
            </w:r>
          </w:p>
        </w:tc>
      </w:tr>
      <w:tr>
        <w:trPr>
          <w:trHeight w:val="230"/>
        </w:trPr>
        <w:tc>
          <w:tcPr>
            <w:tcW w:w="8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(1,655</w:t>
            </w:r>
            <w:r>
              <w:rPr>
                <w:rFonts w:ascii="Arial" w:cs="Arial" w:eastAsia="Arial" w:hAnsi="Arial"/>
                <w:sz w:val="17"/>
                <w:szCs w:val="17"/>
                <w:color w:val="auto"/>
              </w:rPr>
              <w:t>)</w:t>
            </w: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(1,847)</w:t>
            </w:r>
          </w:p>
        </w:tc>
      </w:tr>
      <w:tr>
        <w:trPr>
          <w:trHeight w:val="23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w:t>
            </w:r>
          </w:p>
        </w:tc>
      </w:tr>
      <w:tr>
        <w:trPr>
          <w:trHeight w:val="226"/>
        </w:trPr>
        <w:tc>
          <w:tcPr>
            <w:tcW w:w="800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104</w:t>
            </w:r>
          </w:p>
        </w:tc>
      </w:tr>
      <w:tr>
        <w:trPr>
          <w:trHeight w:val="23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511</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368</w:t>
            </w:r>
          </w:p>
        </w:tc>
      </w:tr>
      <w:tr>
        <w:trPr>
          <w:trHeight w:val="213"/>
        </w:trPr>
        <w:tc>
          <w:tcPr>
            <w:tcW w:w="80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r>
      <w:tr>
        <w:trPr>
          <w:trHeight w:val="23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196"/>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Non-GAAP Adjusted EBITDA</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2021-05-13T12:08:41Z</dcterms:created>
  <dcterms:modified xsi:type="dcterms:W3CDTF">2021-05-13T12:08:41Z</dcterms:modified>
</cp:coreProperties>
</file>