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December 29, 2009</w:t>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20" w:type="dxa"/>
            <w:vAlign w:val="bottom"/>
          </w:tcPr>
          <w:p>
            <w:pPr>
              <w:jc w:val="right"/>
              <w:ind w:right="2370"/>
              <w:spacing w:after="0"/>
              <w:rPr>
                <w:sz w:val="20"/>
                <w:szCs w:val="20"/>
                <w:color w:val="auto"/>
              </w:rPr>
            </w:pPr>
            <w:r>
              <w:rPr>
                <w:rFonts w:ascii="Arial" w:cs="Arial" w:eastAsia="Arial" w:hAnsi="Arial"/>
                <w:sz w:val="18"/>
                <w:szCs w:val="18"/>
                <w:b w:val="1"/>
                <w:bCs w:val="1"/>
                <w:color w:val="auto"/>
              </w:rPr>
              <w:t>001-33660</w:t>
            </w:r>
          </w:p>
        </w:tc>
        <w:tc>
          <w:tcPr>
            <w:tcW w:w="570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5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560" w:type="dxa"/>
            <w:vAlign w:val="bottom"/>
          </w:tcPr>
          <w:p>
            <w:pPr>
              <w:spacing w:after="0"/>
              <w:rPr>
                <w:sz w:val="17"/>
                <w:szCs w:val="17"/>
                <w:color w:val="auto"/>
              </w:rPr>
            </w:pPr>
          </w:p>
        </w:tc>
        <w:tc>
          <w:tcPr>
            <w:tcW w:w="514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5720" w:type="dxa"/>
            <w:vAlign w:val="bottom"/>
          </w:tcPr>
          <w:p>
            <w:pPr>
              <w:jc w:val="center"/>
              <w:ind w:left="2470"/>
              <w:spacing w:after="0"/>
              <w:rPr>
                <w:sz w:val="20"/>
                <w:szCs w:val="20"/>
                <w:color w:val="auto"/>
              </w:rPr>
            </w:pPr>
            <w:r>
              <w:rPr>
                <w:rFonts w:ascii="Arial" w:cs="Arial" w:eastAsia="Arial" w:hAnsi="Arial"/>
                <w:sz w:val="18"/>
                <w:szCs w:val="18"/>
                <w:b w:val="1"/>
                <w:bCs w:val="1"/>
                <w:color w:val="auto"/>
                <w:w w:val="89"/>
              </w:rPr>
              <w:t>5225 Wiley Post Way, Suite 500</w:t>
            </w: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41"/>
        </w:trPr>
        <w:tc>
          <w:tcPr>
            <w:tcW w:w="5720" w:type="dxa"/>
            <w:vAlign w:val="bottom"/>
          </w:tcPr>
          <w:p>
            <w:pPr>
              <w:jc w:val="center"/>
              <w:ind w:left="2470"/>
              <w:spacing w:after="0"/>
              <w:rPr>
                <w:sz w:val="20"/>
                <w:szCs w:val="20"/>
                <w:color w:val="auto"/>
              </w:rPr>
            </w:pPr>
            <w:r>
              <w:rPr>
                <w:rFonts w:ascii="Arial" w:cs="Arial" w:eastAsia="Arial" w:hAnsi="Arial"/>
                <w:sz w:val="18"/>
                <w:szCs w:val="18"/>
                <w:b w:val="1"/>
                <w:bCs w:val="1"/>
                <w:color w:val="auto"/>
                <w:w w:val="92"/>
              </w:rPr>
              <w:t>Salt Lake City, Utah</w:t>
            </w:r>
          </w:p>
        </w:tc>
        <w:tc>
          <w:tcPr>
            <w:tcW w:w="570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84116</w:t>
            </w:r>
          </w:p>
        </w:tc>
      </w:tr>
      <w:tr>
        <w:trPr>
          <w:trHeight w:val="230"/>
        </w:trPr>
        <w:tc>
          <w:tcPr>
            <w:tcW w:w="5720" w:type="dxa"/>
            <w:vAlign w:val="bottom"/>
            <w:tcBorders>
              <w:top w:val="single" w:sz="8" w:color="auto"/>
            </w:tcBorders>
          </w:tcPr>
          <w:p>
            <w:pPr>
              <w:jc w:val="center"/>
              <w:ind w:left="2470"/>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61"/>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996"/>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3, 2009, ClearOne Communications, Inc. (“ClearOne”) entered into and closed the Merger Agreement with Alta-Wasatch Acquisition Corporation (“Alta-Wasatch”), our wholly owned subsidiary and NetStreams, Inc (“NetStreams”). Pursuant to the Merger Agreement, Alta-Wasatch, merged into NetStreams (the “Merger”).</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closing of the Merger on November 3, 2009, we entered into the Joinder to the Loan and Security Agreement (the “Joinder”) and the Seventh Amendment to the Loan and Security Agreement (the “Seventh Amendment”).</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Joinder, we entered into the Loan and Security Agreement as a co-borrower and assumed certain obligations under the Loan and Security Agreement. We were not required to pledge additional security interests to the Bank. The existing collateral arrangement with respect to Borrowers’ assets continues to secure the obligations of the parties under the Loan and Security Agreement. In connection therewith, NetSteams entered into the Seventh Amendment which obligates us to the Loan and Security Agreement in the amount of $2,000,000 and payment of Interest (as defined in the Loan and Security Agreement) under the Formula Revolving Line (as defined in the Loan and Security Agreement) shall be due and payable on the first calendar day of each month during the term of the Loan and Security Agreement.</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22, 2009 ClearOne along with NetStreams executed the Eighth Amendment to Loan and Security Agreement (“Eighth Amendment”) with Square 1 Bank. The effect of the agreement is to extend the forbearance period from December 15, 2009 to January 15, 2010.</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descriptions of the Joinder, Seventh Amendment and Eighth Amendment are only summaries and are qualified in their entirety by reference to the full text of the Joinder, Seventh Amendment and Eighth amendment, which are attached hereto as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48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4"/>
        </w:trPr>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480" w:type="dxa"/>
            <w:vAlign w:val="bottom"/>
          </w:tcPr>
          <w:p>
            <w:pPr>
              <w:spacing w:after="0"/>
              <w:rPr>
                <w:sz w:val="24"/>
                <w:szCs w:val="24"/>
                <w:color w:val="auto"/>
              </w:rPr>
            </w:pPr>
          </w:p>
        </w:tc>
        <w:tc>
          <w:tcPr>
            <w:tcW w:w="10000" w:type="dxa"/>
            <w:vAlign w:val="bottom"/>
          </w:tcPr>
          <w:p>
            <w:pPr>
              <w:spacing w:after="0"/>
              <w:rPr>
                <w:sz w:val="24"/>
                <w:szCs w:val="24"/>
                <w:color w:val="auto"/>
              </w:rPr>
            </w:pPr>
          </w:p>
        </w:tc>
      </w:tr>
      <w:tr>
        <w:trPr>
          <w:trHeight w:val="241"/>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80" w:type="dxa"/>
            <w:vAlign w:val="bottom"/>
          </w:tcPr>
          <w:p>
            <w:pPr>
              <w:spacing w:after="0"/>
              <w:rPr>
                <w:sz w:val="20"/>
                <w:szCs w:val="20"/>
                <w:color w:val="auto"/>
              </w:rPr>
            </w:pPr>
          </w:p>
        </w:tc>
        <w:tc>
          <w:tcPr>
            <w:tcW w:w="10000" w:type="dxa"/>
            <w:vAlign w:val="bottom"/>
            <w:tcBorders>
              <w:bottom w:val="single" w:sz="8" w:color="auto"/>
            </w:tcBorders>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4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1"/>
              </w:rPr>
              <w:t>Agreement and Plan of Merger, dated as of November 3, 2009, by and among ClearOne Communications, Inc., Alta-Wasatch Acquisition</w:t>
            </w:r>
          </w:p>
        </w:tc>
      </w:tr>
      <w:tr>
        <w:trPr>
          <w:trHeight w:val="216"/>
        </w:trPr>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2"/>
              </w:rPr>
              <w:t>Corporation, NetStreams, Inc., Austin Ventures VIII, L.P., and Kevin A. Reinis. Incorporated by reference to our Form 8-K filed on Nov 9,</w:t>
            </w: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480"/>
              <w:spacing w:after="0"/>
              <w:rPr>
                <w:sz w:val="20"/>
                <w:szCs w:val="20"/>
                <w:color w:val="auto"/>
              </w:rPr>
            </w:pPr>
            <w:r>
              <w:rPr>
                <w:rFonts w:ascii="Arial" w:cs="Arial" w:eastAsia="Arial" w:hAnsi="Arial"/>
                <w:sz w:val="18"/>
                <w:szCs w:val="18"/>
                <w:color w:val="auto"/>
              </w:rPr>
              <w:t>2009</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4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2"/>
              </w:rPr>
              <w:t>Joinder to Loan and Security Agreement, dated as of November 3, 2009, by and between ClearOne Communications, Inc. and Square 1</w:t>
            </w:r>
          </w:p>
        </w:tc>
      </w:tr>
      <w:tr>
        <w:trPr>
          <w:trHeight w:val="230"/>
        </w:trPr>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Bank. Incorporated by reference to our Form 8-K filed on Nov 9, 2009</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4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6"/>
              </w:rPr>
              <w:t>Seventh Amendment to Loan and Security Agreement, dated as of November 3, 2009, by and between Square 1 Bank, ClearOne</w:t>
            </w:r>
          </w:p>
        </w:tc>
      </w:tr>
      <w:tr>
        <w:trPr>
          <w:trHeight w:val="230"/>
        </w:trPr>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8"/>
              </w:rPr>
              <w:t>Communications, Inc., NetStreams, Inc., and NetStreams, LLC. Incorporated by reference to our Form 8-K filed on Nov 9, 2009</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4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7"/>
              </w:rPr>
              <w:t>Eighth Amendment to Loan and Security Agreement, dated as of December 15, 2009, by and between Square 1 Bank, ClearOne</w:t>
            </w:r>
          </w:p>
        </w:tc>
      </w:tr>
      <w:tr>
        <w:trPr>
          <w:trHeight w:val="230"/>
        </w:trPr>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Communications, Inc., NetStreams, Inc., and NetStreams, LLC.</w:t>
            </w:r>
          </w:p>
        </w:tc>
      </w:tr>
      <w:tr>
        <w:trPr>
          <w:trHeight w:val="608"/>
        </w:trPr>
        <w:tc>
          <w:tcPr>
            <w:tcW w:w="940" w:type="dxa"/>
            <w:vAlign w:val="bottom"/>
          </w:tcPr>
          <w:p>
            <w:pPr>
              <w:spacing w:after="0"/>
              <w:rPr>
                <w:sz w:val="24"/>
                <w:szCs w:val="24"/>
                <w:color w:val="auto"/>
              </w:rPr>
            </w:pPr>
          </w:p>
        </w:tc>
        <w:tc>
          <w:tcPr>
            <w:tcW w:w="10480" w:type="dxa"/>
            <w:vAlign w:val="bottom"/>
            <w:gridSpan w:val="2"/>
          </w:tcPr>
          <w:p>
            <w:pPr>
              <w:jc w:val="right"/>
              <w:ind w:right="5570"/>
              <w:spacing w:after="0"/>
              <w:rPr>
                <w:sz w:val="20"/>
                <w:szCs w:val="20"/>
                <w:color w:val="auto"/>
              </w:rPr>
            </w:pPr>
            <w:r>
              <w:rPr>
                <w:rFonts w:ascii="Arial" w:cs="Arial" w:eastAsia="Arial" w:hAnsi="Arial"/>
                <w:sz w:val="18"/>
                <w:szCs w:val="18"/>
                <w:color w:val="auto"/>
              </w:rPr>
              <w:t>2</w:t>
            </w:r>
          </w:p>
        </w:tc>
      </w:tr>
      <w:tr>
        <w:trPr>
          <w:trHeight w:val="118"/>
        </w:trPr>
        <w:tc>
          <w:tcPr>
            <w:tcW w:w="9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December 29,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 CEO and Chairman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240" w:top="756" w:right="439" w:bottom="1440" w:gutter="0" w:footer="0" w:header="0"/>
        </w:sectPr>
      </w:pPr>
    </w:p>
    <w:bookmarkStart w:id="3" w:name="page4"/>
    <w:bookmarkEnd w:id="3"/>
    <w:p>
      <w:pPr>
        <w:ind w:left="9960"/>
        <w:spacing w:after="0"/>
        <w:rPr>
          <w:sz w:val="20"/>
          <w:szCs w:val="20"/>
          <w:color w:val="auto"/>
        </w:rPr>
      </w:pPr>
      <w:r>
        <w:rPr>
          <w:rFonts w:ascii="Arial" w:cs="Arial" w:eastAsia="Arial" w:hAnsi="Arial"/>
          <w:sz w:val="21"/>
          <w:szCs w:val="21"/>
          <w:b w:val="1"/>
          <w:bCs w:val="1"/>
          <w:color w:val="auto"/>
        </w:rPr>
        <w:t>EXHIBIT 10.25</w:t>
      </w:r>
    </w:p>
    <w:p>
      <w:pPr>
        <w:spacing w:after="0" w:line="25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SEVENTH AMENDMENT TO FORBEARANCE AGREEMENT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EIGHTH AMENDMENT TO LOAN AND SECURITY AGREEMENT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Seventh Amendment to Forbearance Agreement and Eighth Amendment to Loan and Security Agreement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entered into as of December 15, 2009, by and between SQUARE 1 BANK (the “</w:t>
      </w:r>
      <w:r>
        <w:rPr>
          <w:rFonts w:ascii="Arial" w:cs="Arial" w:eastAsia="Arial" w:hAnsi="Arial"/>
          <w:sz w:val="18"/>
          <w:szCs w:val="18"/>
          <w:b w:val="1"/>
          <w:bCs w:val="1"/>
          <w:i w:val="1"/>
          <w:iCs w:val="1"/>
          <w:color w:val="auto"/>
        </w:rPr>
        <w:t>Bank</w:t>
      </w:r>
      <w:r>
        <w:rPr>
          <w:rFonts w:ascii="Arial" w:cs="Arial" w:eastAsia="Arial" w:hAnsi="Arial"/>
          <w:sz w:val="18"/>
          <w:szCs w:val="18"/>
          <w:color w:val="auto"/>
        </w:rPr>
        <w:t>”) and CLEARONE COMMUNICATIONS, INC., NETSTREAMS, INC. and NETSTREAMS, LLC (collectively,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Borrower and Bank are parties to that certain Loan and Security Agreement dated as of November 12, 2008 (as amended from time to time, with related documents, including that certain Joinder to Loan and Security Agreement dated as of November 3, 2009, the “</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Borrower and Bank are parties to that certain Forbearance Agreement and First Amendment to Loan and Security Agreement, dated as of March 31, 2009 (as amended from time to time, the “</w:t>
      </w:r>
      <w:r>
        <w:rPr>
          <w:rFonts w:ascii="Arial" w:cs="Arial" w:eastAsia="Arial" w:hAnsi="Arial"/>
          <w:sz w:val="18"/>
          <w:szCs w:val="18"/>
          <w:b w:val="1"/>
          <w:bCs w:val="1"/>
          <w:i w:val="1"/>
          <w:iCs w:val="1"/>
          <w:color w:val="auto"/>
        </w:rPr>
        <w:t>Forbearance Agreement</w:t>
      </w:r>
      <w:r>
        <w:rPr>
          <w:rFonts w:ascii="Arial" w:cs="Arial" w:eastAsia="Arial" w:hAnsi="Arial"/>
          <w:sz w:val="18"/>
          <w:szCs w:val="18"/>
          <w:color w:val="auto"/>
        </w:rPr>
        <w:t>”). The parties desire to amend the Loan Agreement and the Forbearance Agreement in accordance with the terms of this Amendment.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252" w:lineRule="exact"/>
        <w:rPr>
          <w:sz w:val="20"/>
          <w:szCs w:val="20"/>
          <w:color w:val="auto"/>
        </w:rPr>
      </w:pPr>
    </w:p>
    <w:p>
      <w:pPr>
        <w:jc w:val="both"/>
        <w:ind w:left="340" w:hanging="248"/>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Borrower is in violation of the monthly reporting requirements, as set forth in Section 6.2(a) and Section 6.2(b) of the Loan Agreement, for the reporting period ending October 31, 2009 (“October Reporting Violation”), and has informed Bank that it anticipates also being in violation of such monthly reporting requirements for the reporting period ending November 30, 2009 (“November Anticipated Reporting Violation”). Bank hereby waives the aforementioned October Reporting Violation and November Anticipated Reporting Violation.</w:t>
      </w:r>
    </w:p>
    <w:p>
      <w:pPr>
        <w:spacing w:after="0" w:line="213" w:lineRule="exact"/>
        <w:rPr>
          <w:rFonts w:ascii="Arial" w:cs="Arial" w:eastAsia="Arial" w:hAnsi="Arial"/>
          <w:sz w:val="18"/>
          <w:szCs w:val="18"/>
          <w:color w:val="auto"/>
        </w:rPr>
      </w:pPr>
    </w:p>
    <w:p>
      <w:pPr>
        <w:ind w:left="340" w:hanging="248"/>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Section 3 of the Forbearance Agreement is hereby amended and restated, in its entirety, as follows:</w:t>
      </w:r>
    </w:p>
    <w:p>
      <w:pPr>
        <w:spacing w:after="0" w:line="252" w:lineRule="exact"/>
        <w:rPr>
          <w:rFonts w:ascii="Arial" w:cs="Arial" w:eastAsia="Arial" w:hAnsi="Arial"/>
          <w:sz w:val="18"/>
          <w:szCs w:val="18"/>
          <w:color w:val="auto"/>
        </w:rPr>
      </w:pPr>
    </w:p>
    <w:p>
      <w:pPr>
        <w:jc w:val="both"/>
        <w:ind w:left="1300" w:hanging="644"/>
        <w:spacing w:after="0" w:line="290" w:lineRule="auto"/>
        <w:tabs>
          <w:tab w:leader="none" w:pos="1300" w:val="left"/>
        </w:tabs>
        <w:numPr>
          <w:ilvl w:val="1"/>
          <w:numId w:val="1"/>
        </w:numPr>
        <w:rPr>
          <w:rFonts w:ascii="Arial" w:cs="Arial" w:eastAsia="Arial" w:hAnsi="Arial"/>
          <w:sz w:val="16"/>
          <w:szCs w:val="16"/>
          <w:color w:val="auto"/>
        </w:rPr>
      </w:pPr>
      <w:r>
        <w:rPr>
          <w:rFonts w:ascii="Arial" w:cs="Arial" w:eastAsia="Arial" w:hAnsi="Arial"/>
          <w:sz w:val="16"/>
          <w:szCs w:val="16"/>
          <w:u w:val="single" w:color="auto"/>
          <w:color w:val="auto"/>
        </w:rPr>
        <w:t>Forbearance</w:t>
      </w:r>
      <w:r>
        <w:rPr>
          <w:rFonts w:ascii="Arial" w:cs="Arial" w:eastAsia="Arial" w:hAnsi="Arial"/>
          <w:sz w:val="16"/>
          <w:szCs w:val="16"/>
          <w:color w:val="auto"/>
        </w:rPr>
        <w:t>. Borrower acknowledges the existence of the Existing Default under the Loan Agreement. Borrower further acknowledges and agrees that Bank is not in any way agreeing to waive such Existing Default as a result of this Agreement or the performance by the parties of their respective obligations hereunder or thereunder. Subject to the conditions contained herein and performance by Borrower of all of the terms of this Agreement and the Loan Agreement after the date hereof, Bank shall, until the earliest of (i) January 15, 2010, or (ii) such date that there shall occur any further Event of Default (the “</w:t>
      </w:r>
      <w:r>
        <w:rPr>
          <w:rFonts w:ascii="Arial" w:cs="Arial" w:eastAsia="Arial" w:hAnsi="Arial"/>
          <w:sz w:val="16"/>
          <w:szCs w:val="16"/>
          <w:u w:val="single" w:color="auto"/>
          <w:color w:val="auto"/>
        </w:rPr>
        <w:t>Forbearance Period</w:t>
      </w:r>
      <w:r>
        <w:rPr>
          <w:rFonts w:ascii="Arial" w:cs="Arial" w:eastAsia="Arial" w:hAnsi="Arial"/>
          <w:sz w:val="16"/>
          <w:szCs w:val="16"/>
          <w:color w:val="auto"/>
        </w:rPr>
        <w:t>”), forbear from exercising any remedies that it may have against Borrower as a result of the occurrence of the Existing Default. Such forbearance does not apply to any other Event of Default or other failure by Borrower to perform in accordance with the Loan Agreement or this Agreement. This forbearance shall not be deemed a continuing waiver or forbearance with respect to any Event of Default of a similar nature that may occur after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ind w:left="1208" w:right="2460" w:hanging="1208"/>
        <w:spacing w:after="0" w:line="532" w:lineRule="auto"/>
        <w:tabs>
          <w:tab w:leader="none" w:pos="2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definition in Exhibit A to the Loan Agreement is hereby amended and restated, in its entirety, as follows: “</w:t>
      </w:r>
      <w:r>
        <w:rPr>
          <w:rFonts w:ascii="Arial" w:cs="Arial" w:eastAsia="Arial" w:hAnsi="Arial"/>
          <w:sz w:val="18"/>
          <w:szCs w:val="18"/>
          <w:b w:val="1"/>
          <w:bCs w:val="1"/>
          <w:color w:val="auto"/>
        </w:rPr>
        <w:t>Term Loan Maturity Date</w:t>
      </w:r>
      <w:r>
        <w:rPr>
          <w:rFonts w:ascii="Arial" w:cs="Arial" w:eastAsia="Arial" w:hAnsi="Arial"/>
          <w:sz w:val="18"/>
          <w:szCs w:val="18"/>
          <w:color w:val="auto"/>
        </w:rPr>
        <w:t>” means January 15, 2010.</w:t>
      </w:r>
    </w:p>
    <w:p>
      <w:pPr>
        <w:jc w:val="both"/>
        <w:ind w:left="248" w:hanging="248"/>
        <w:spacing w:after="0" w:line="255" w:lineRule="auto"/>
        <w:tabs>
          <w:tab w:leader="none" w:pos="248"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Loan Agreement or the Forbearance Agreement. The Loan Agreement or the Forbearance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Loan Agreement or Forbearance Agreement, as in effect prior to the date hereof. Borrower ratifies and reaffirms the continuing effectiveness of all agreements entered into in connection with the Loan Agreement or Forbearance Agreement.</w:t>
      </w:r>
    </w:p>
    <w:p>
      <w:pPr>
        <w:spacing w:after="0" w:line="220" w:lineRule="exact"/>
        <w:rPr>
          <w:rFonts w:ascii="Arial" w:cs="Arial" w:eastAsia="Arial" w:hAnsi="Arial"/>
          <w:sz w:val="18"/>
          <w:szCs w:val="18"/>
          <w:color w:val="auto"/>
        </w:rPr>
      </w:pPr>
    </w:p>
    <w:p>
      <w:pPr>
        <w:ind w:left="248" w:hanging="248"/>
        <w:spacing w:after="0" w:line="277" w:lineRule="auto"/>
        <w:tabs>
          <w:tab w:leader="none" w:pos="248" w:val="left"/>
        </w:tabs>
        <w:numPr>
          <w:ilvl w:val="0"/>
          <w:numId w:val="2"/>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Loan Agreement or Forbearance Agreement are true and correct as of the date of this Amendment.</w:t>
      </w:r>
    </w:p>
    <w:p>
      <w:pPr>
        <w:spacing w:after="0" w:line="197" w:lineRule="exact"/>
        <w:rPr>
          <w:rFonts w:ascii="Arial" w:cs="Arial" w:eastAsia="Arial" w:hAnsi="Arial"/>
          <w:sz w:val="18"/>
          <w:szCs w:val="18"/>
          <w:color w:val="auto"/>
        </w:rPr>
      </w:pPr>
    </w:p>
    <w:p>
      <w:pPr>
        <w:ind w:left="248" w:hanging="248"/>
        <w:spacing w:after="0" w:line="277" w:lineRule="auto"/>
        <w:tabs>
          <w:tab w:leader="none" w:pos="24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w:t>
      </w:r>
    </w:p>
    <w:p>
      <w:pPr>
        <w:spacing w:after="0" w:line="197" w:lineRule="exact"/>
        <w:rPr>
          <w:rFonts w:ascii="Arial" w:cs="Arial" w:eastAsia="Arial" w:hAnsi="Arial"/>
          <w:sz w:val="18"/>
          <w:szCs w:val="18"/>
          <w:color w:val="auto"/>
        </w:rPr>
      </w:pPr>
    </w:p>
    <w:p>
      <w:pPr>
        <w:ind w:left="248" w:hanging="248"/>
        <w:spacing w:after="0"/>
        <w:tabs>
          <w:tab w:leader="none" w:pos="248"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a condition to the effectiveness of this Amendment, Bank shall have received, in form and substance satisfactory to Bank, the following:</w:t>
      </w:r>
    </w:p>
    <w:p>
      <w:pPr>
        <w:spacing w:after="0" w:line="252" w:lineRule="exact"/>
        <w:rPr>
          <w:rFonts w:ascii="Arial" w:cs="Arial" w:eastAsia="Arial" w:hAnsi="Arial"/>
          <w:sz w:val="18"/>
          <w:szCs w:val="18"/>
          <w:color w:val="auto"/>
        </w:rPr>
      </w:pPr>
    </w:p>
    <w:p>
      <w:pPr>
        <w:ind w:left="888" w:hanging="289"/>
        <w:spacing w:after="0"/>
        <w:tabs>
          <w:tab w:leader="none" w:pos="888" w:val="left"/>
        </w:tabs>
        <w:numPr>
          <w:ilvl w:val="1"/>
          <w:numId w:val="2"/>
        </w:numPr>
        <w:rPr>
          <w:rFonts w:ascii="Arial" w:cs="Arial" w:eastAsia="Arial" w:hAnsi="Arial"/>
          <w:sz w:val="18"/>
          <w:szCs w:val="18"/>
          <w:color w:val="auto"/>
        </w:rPr>
      </w:pPr>
      <w:r>
        <w:rPr>
          <w:rFonts w:ascii="Arial" w:cs="Arial" w:eastAsia="Arial" w:hAnsi="Arial"/>
          <w:sz w:val="18"/>
          <w:szCs w:val="18"/>
          <w:color w:val="auto"/>
        </w:rPr>
        <w:t>this Amendment, duly executed by Borrower;</w:t>
      </w:r>
    </w:p>
    <w:p>
      <w:pPr>
        <w:spacing w:after="0" w:line="252" w:lineRule="exact"/>
        <w:rPr>
          <w:rFonts w:ascii="Arial" w:cs="Arial" w:eastAsia="Arial" w:hAnsi="Arial"/>
          <w:sz w:val="18"/>
          <w:szCs w:val="18"/>
          <w:color w:val="auto"/>
        </w:rPr>
      </w:pPr>
    </w:p>
    <w:p>
      <w:pPr>
        <w:ind w:left="888" w:hanging="299"/>
        <w:spacing w:after="0" w:line="277" w:lineRule="auto"/>
        <w:tabs>
          <w:tab w:leader="none" w:pos="888"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payment of all Bank Expenses, including Bank’s expenses for the documentation of this Amendment and any related documents, which may be debited from any of Borrower's accounts; and</w:t>
      </w:r>
    </w:p>
    <w:p>
      <w:pPr>
        <w:spacing w:after="0" w:line="197" w:lineRule="exact"/>
        <w:rPr>
          <w:rFonts w:ascii="Arial" w:cs="Arial" w:eastAsia="Arial" w:hAnsi="Arial"/>
          <w:sz w:val="18"/>
          <w:szCs w:val="18"/>
          <w:color w:val="auto"/>
        </w:rPr>
      </w:pPr>
    </w:p>
    <w:p>
      <w:pPr>
        <w:ind w:left="888" w:hanging="289"/>
        <w:spacing w:after="0"/>
        <w:tabs>
          <w:tab w:leader="none" w:pos="888" w:val="left"/>
        </w:tabs>
        <w:numPr>
          <w:ilvl w:val="1"/>
          <w:numId w:val="2"/>
        </w:numPr>
        <w:rPr>
          <w:rFonts w:ascii="Arial" w:cs="Arial" w:eastAsia="Arial" w:hAnsi="Arial"/>
          <w:sz w:val="18"/>
          <w:szCs w:val="18"/>
          <w:color w:val="auto"/>
        </w:rPr>
      </w:pPr>
      <w:r>
        <w:rPr>
          <w:rFonts w:ascii="Arial" w:cs="Arial" w:eastAsia="Arial" w:hAnsi="Arial"/>
          <w:sz w:val="18"/>
          <w:szCs w:val="18"/>
          <w:color w:val="auto"/>
        </w:rPr>
        <w:t>such other documents and completion of such other matters, as Bank may reasonably deem necessary or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00" w:lineRule="exact"/>
        <w:rPr>
          <w:sz w:val="20"/>
          <w:szCs w:val="20"/>
          <w:color w:val="auto"/>
        </w:rPr>
      </w:pPr>
    </w:p>
    <w:p>
      <w:pPr>
        <w:spacing w:after="0" w:line="201"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8"/>
          </w:cols>
          <w:pgMar w:left="332" w:top="368"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IN WITNESS WHEREOF, the undersigned have executed this Amendment as of the first date above written.</w:t>
      </w:r>
    </w:p>
    <w:p>
      <w:pPr>
        <w:sectPr>
          <w:pgSz w:w="11900" w:h="16838" w:orient="portrait"/>
          <w:cols w:equalWidth="0" w:num="1">
            <w:col w:w="10219"/>
          </w:cols>
          <w:pgMar w:left="240" w:top="760"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COMMUNICATIONS,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SQUARE 1 BANK</w:t>
      </w:r>
    </w:p>
    <w:p>
      <w:pPr>
        <w:spacing w:after="0" w:line="211" w:lineRule="exact"/>
        <w:rPr>
          <w:sz w:val="20"/>
          <w:szCs w:val="20"/>
          <w:color w:val="auto"/>
        </w:rPr>
      </w:pPr>
    </w:p>
    <w:p>
      <w:pPr>
        <w:sectPr>
          <w:pgSz w:w="11900" w:h="16838" w:orient="portrait"/>
          <w:cols w:equalWidth="0" w:num="2">
            <w:col w:w="4980" w:space="720"/>
            <w:col w:w="4519"/>
          </w:cols>
          <w:pgMar w:left="240" w:top="760" w:right="1440"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ZEYNEP HAKIMOGLU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President &amp; CEO</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By: /s/ TOMMY DEAVENPORT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 SVP - Regional Manager</w:t>
      </w:r>
    </w:p>
    <w:p>
      <w:pPr>
        <w:spacing w:after="0" w:line="200" w:lineRule="exact"/>
        <w:rPr>
          <w:sz w:val="20"/>
          <w:szCs w:val="20"/>
          <w:color w:val="auto"/>
        </w:rPr>
      </w:pPr>
    </w:p>
    <w:p>
      <w:pPr>
        <w:sectPr>
          <w:pgSz w:w="11900" w:h="16838" w:orient="portrait"/>
          <w:cols w:equalWidth="0" w:num="2">
            <w:col w:w="4980" w:space="720"/>
            <w:col w:w="4519"/>
          </w:cols>
          <w:pgMar w:left="240" w:top="760" w:right="1440"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NETSTREAMS,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Director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NETSTREAMS, LLC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By: /s/ 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Member Representative</w:t>
      </w:r>
    </w:p>
    <w:p>
      <w:pPr>
        <w:sectPr>
          <w:pgSz w:w="11900" w:h="16838" w:orient="portrait"/>
          <w:cols w:equalWidth="0" w:num="1">
            <w:col w:w="10219"/>
          </w:cols>
          <w:pgMar w:left="240" w:top="7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i w:val="1"/>
          <w:iCs w:val="1"/>
          <w:color w:val="auto"/>
        </w:rPr>
        <w:t>[Signature Page to Seventh Amendment to Forbearance Agreement and</w:t>
      </w:r>
    </w:p>
    <w:p>
      <w:pPr>
        <w:spacing w:after="0" w:line="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Eighth Amendment to Loan and Security Agreement]</w:t>
      </w:r>
    </w:p>
    <w:p>
      <w:pPr>
        <w:spacing w:after="0" w:line="200" w:lineRule="exact"/>
        <w:rPr>
          <w:sz w:val="20"/>
          <w:szCs w:val="20"/>
          <w:color w:val="auto"/>
        </w:rPr>
      </w:pPr>
    </w:p>
    <w:p>
      <w:pPr>
        <w:spacing w:after="0" w:line="27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sectPr>
      <w:pgSz w:w="11900" w:h="16838" w:orient="portrait"/>
      <w:cols w:equalWidth="0" w:num="1">
        <w:col w:w="10219"/>
      </w:cols>
      <w:pgMar w:left="240" w:top="7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decimal"/>
      <w:start w:val="3"/>
    </w:lvl>
  </w:abstractNum>
  <w:abstractNum w:abstractNumId="1">
    <w:nsid w:val="66334873"/>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2019-12-10T08:18:00Z</dcterms:created>
  <dcterms:modified xsi:type="dcterms:W3CDTF">2019-12-10T08:18:00Z</dcterms:modified>
</cp:coreProperties>
</file>