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October 14, 2009</w:t>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ClearOne Communications,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2300" w:type="dxa"/>
        <w:tblCellMar>
          <w:top w:w="0" w:type="dxa"/>
          <w:left w:w="0" w:type="dxa"/>
          <w:bottom w:w="0" w:type="dxa"/>
          <w:right w:w="0" w:type="dxa"/>
        </w:tblCellMar>
      </w:tblPr>
      <w:tr>
        <w:trPr>
          <w:trHeight w:val="241"/>
        </w:trPr>
        <w:tc>
          <w:tcPr>
            <w:tcW w:w="3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001-33660</w:t>
            </w: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40" w:type="dxa"/>
            <w:vAlign w:val="bottom"/>
            <w:gridSpan w:val="3"/>
          </w:tcPr>
          <w:p>
            <w:pPr>
              <w:jc w:val="center"/>
              <w:ind w:right="3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40" w:type="dxa"/>
            <w:vAlign w:val="bottom"/>
            <w:gridSpan w:val="3"/>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5225 Wiley Post Way, Suite 500</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1"/>
        </w:trPr>
        <w:tc>
          <w:tcPr>
            <w:tcW w:w="420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3"/>
              </w:rPr>
              <w:t>Salt Lake City, Utah</w:t>
            </w:r>
          </w:p>
        </w:tc>
        <w:tc>
          <w:tcPr>
            <w:tcW w:w="2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84116</w:t>
            </w:r>
          </w:p>
        </w:tc>
      </w:tr>
      <w:tr>
        <w:trPr>
          <w:trHeight w:val="230"/>
        </w:trPr>
        <w:tc>
          <w:tcPr>
            <w:tcW w:w="4200" w:type="dxa"/>
            <w:vAlign w:val="bottom"/>
            <w:tcBorders>
              <w:top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(Address of principal executive offices)</w:t>
            </w:r>
          </w:p>
        </w:tc>
        <w:tc>
          <w:tcPr>
            <w:tcW w:w="7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1280" w:type="dxa"/>
            <w:vAlign w:val="bottom"/>
            <w:gridSpan w:val="2"/>
          </w:tcPr>
          <w:p>
            <w:pPr>
              <w:ind w:left="60"/>
              <w:spacing w:after="0"/>
              <w:rPr>
                <w:sz w:val="20"/>
                <w:szCs w:val="20"/>
                <w:color w:val="auto"/>
              </w:rPr>
            </w:pPr>
            <w:r>
              <w:rPr>
                <w:rFonts w:ascii="Arial" w:cs="Arial" w:eastAsia="Arial" w:hAnsi="Arial"/>
                <w:sz w:val="18"/>
                <w:szCs w:val="18"/>
                <w:color w:val="auto"/>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11120" w:type="dxa"/>
            <w:vAlign w:val="bottom"/>
          </w:tcPr>
          <w:p>
            <w:pPr>
              <w:ind w:left="60"/>
              <w:spacing w:after="0"/>
              <w:rPr>
                <w:sz w:val="20"/>
                <w:szCs w:val="20"/>
                <w:color w:val="auto"/>
              </w:rPr>
            </w:pPr>
            <w:r>
              <w:rPr>
                <w:rFonts w:ascii="Arial" w:cs="Arial" w:eastAsia="Arial" w:hAnsi="Arial"/>
                <w:sz w:val="18"/>
                <w:szCs w:val="18"/>
                <w:color w:val="auto"/>
              </w:rPr>
              <w:t>Pre-commencement communication pursuant to Rule 13e-4(c) under the Exchange Act (17 CFR 240.13e-4(c))</w:t>
            </w:r>
          </w:p>
        </w:tc>
      </w:tr>
      <w:tr>
        <w:trPr>
          <w:trHeight w:val="361"/>
        </w:trPr>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120" w:type="dxa"/>
            <w:vAlign w:val="bottom"/>
          </w:tcPr>
          <w:p>
            <w:pPr>
              <w:spacing w:after="0"/>
              <w:rPr>
                <w:sz w:val="24"/>
                <w:szCs w:val="24"/>
                <w:color w:val="auto"/>
              </w:rPr>
            </w:pPr>
          </w:p>
        </w:tc>
      </w:tr>
      <w:tr>
        <w:trPr>
          <w:trHeight w:val="71"/>
        </w:trPr>
        <w:tc>
          <w:tcPr>
            <w:tcW w:w="14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1120" w:type="dxa"/>
            <w:vAlign w:val="bottom"/>
            <w:shd w:val="clear" w:color="auto" w:fill="808080"/>
          </w:tcPr>
          <w:p>
            <w:pPr>
              <w:spacing w:after="0"/>
              <w:rPr>
                <w:sz w:val="6"/>
                <w:szCs w:val="6"/>
                <w:color w:val="auto"/>
              </w:rPr>
            </w:pPr>
          </w:p>
        </w:tc>
      </w:tr>
      <w:tr>
        <w:trPr>
          <w:trHeight w:val="753"/>
        </w:trPr>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1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October 14, 2009, ClearOne Communications, Inc. (the “Company”) issued a press release announcing its financial results for the quarter and full-year ended June 30, 2009. The full text of the Company’s press release is furnished herewith as Exhibit 99.1.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1580" w:type="dxa"/>
            <w:vAlign w:val="bottom"/>
          </w:tcPr>
          <w:p>
            <w:pPr>
              <w:spacing w:after="0"/>
              <w:rPr>
                <w:sz w:val="20"/>
                <w:szCs w:val="20"/>
                <w:color w:val="auto"/>
              </w:rPr>
            </w:pPr>
          </w:p>
        </w:tc>
      </w:tr>
      <w:tr>
        <w:trPr>
          <w:trHeight w:val="459"/>
        </w:trPr>
        <w:tc>
          <w:tcPr>
            <w:tcW w:w="380" w:type="dxa"/>
            <w:vAlign w:val="bottom"/>
          </w:tcPr>
          <w:p>
            <w:pPr>
              <w:spacing w:after="0"/>
              <w:rPr>
                <w:sz w:val="20"/>
                <w:szCs w:val="20"/>
                <w:color w:val="auto"/>
              </w:rPr>
            </w:pPr>
            <w:r>
              <w:rPr>
                <w:rFonts w:ascii="Arial" w:cs="Arial" w:eastAsia="Arial" w:hAnsi="Arial"/>
                <w:sz w:val="18"/>
                <w:szCs w:val="18"/>
                <w:color w:val="auto"/>
              </w:rPr>
              <w:t>(d)</w:t>
            </w:r>
          </w:p>
        </w:tc>
        <w:tc>
          <w:tcPr>
            <w:tcW w:w="1180" w:type="dxa"/>
            <w:vAlign w:val="bottom"/>
          </w:tcPr>
          <w:p>
            <w:pPr>
              <w:ind w:left="340"/>
              <w:spacing w:after="0"/>
              <w:rPr>
                <w:sz w:val="20"/>
                <w:szCs w:val="20"/>
                <w:color w:val="auto"/>
              </w:rPr>
            </w:pPr>
            <w:r>
              <w:rPr>
                <w:rFonts w:ascii="Arial" w:cs="Arial" w:eastAsia="Arial" w:hAnsi="Arial"/>
                <w:sz w:val="18"/>
                <w:szCs w:val="18"/>
                <w:color w:val="auto"/>
              </w:rPr>
              <w:t>Exhibits.</w:t>
            </w:r>
          </w:p>
        </w:tc>
        <w:tc>
          <w:tcPr>
            <w:tcW w:w="8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66"/>
        </w:trPr>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82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3"/>
              </w:rPr>
              <w:t>Title of Document</w:t>
            </w:r>
          </w:p>
        </w:tc>
        <w:tc>
          <w:tcPr>
            <w:tcW w:w="15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3"/>
              </w:rPr>
              <w:t>Location</w:t>
            </w:r>
          </w:p>
        </w:tc>
      </w:tr>
      <w:tr>
        <w:trPr>
          <w:trHeight w:val="202"/>
        </w:trPr>
        <w:tc>
          <w:tcPr>
            <w:tcW w:w="380" w:type="dxa"/>
            <w:vAlign w:val="bottom"/>
          </w:tcPr>
          <w:p>
            <w:pPr>
              <w:spacing w:after="0"/>
              <w:rPr>
                <w:sz w:val="17"/>
                <w:szCs w:val="17"/>
                <w:color w:val="auto"/>
              </w:rPr>
            </w:pPr>
          </w:p>
        </w:tc>
        <w:tc>
          <w:tcPr>
            <w:tcW w:w="1180" w:type="dxa"/>
            <w:vAlign w:val="bottom"/>
          </w:tcPr>
          <w:p>
            <w:pPr>
              <w:jc w:val="right"/>
              <w:ind w:right="330"/>
              <w:spacing w:after="0" w:line="201" w:lineRule="exact"/>
              <w:rPr>
                <w:sz w:val="20"/>
                <w:szCs w:val="20"/>
                <w:color w:val="auto"/>
              </w:rPr>
            </w:pPr>
            <w:r>
              <w:rPr>
                <w:rFonts w:ascii="Arial" w:cs="Arial" w:eastAsia="Arial" w:hAnsi="Arial"/>
                <w:sz w:val="18"/>
                <w:szCs w:val="18"/>
                <w:color w:val="auto"/>
              </w:rPr>
              <w:t>99.1</w:t>
            </w:r>
          </w:p>
        </w:tc>
        <w:tc>
          <w:tcPr>
            <w:tcW w:w="8280" w:type="dxa"/>
            <w:vAlign w:val="bottom"/>
          </w:tcPr>
          <w:p>
            <w:pPr>
              <w:jc w:val="center"/>
              <w:ind w:left="90"/>
              <w:spacing w:after="0" w:line="201" w:lineRule="exact"/>
              <w:rPr>
                <w:sz w:val="20"/>
                <w:szCs w:val="20"/>
                <w:color w:val="auto"/>
              </w:rPr>
            </w:pPr>
            <w:r>
              <w:rPr>
                <w:rFonts w:ascii="Arial" w:cs="Arial" w:eastAsia="Arial" w:hAnsi="Arial"/>
                <w:sz w:val="18"/>
                <w:szCs w:val="18"/>
                <w:color w:val="auto"/>
                <w:w w:val="89"/>
              </w:rPr>
              <w:t>Press Release dated October 14, 2009 captioned “ClearOne Reports Fiscal 2009 Fourth Quarter and Full-</w:t>
            </w:r>
          </w:p>
        </w:tc>
        <w:tc>
          <w:tcPr>
            <w:tcW w:w="1580" w:type="dxa"/>
            <w:vAlign w:val="bottom"/>
          </w:tcPr>
          <w:p>
            <w:pPr>
              <w:jc w:val="center"/>
              <w:ind w:right="130"/>
              <w:spacing w:after="0" w:line="201" w:lineRule="exact"/>
              <w:rPr>
                <w:sz w:val="20"/>
                <w:szCs w:val="20"/>
                <w:color w:val="auto"/>
              </w:rPr>
            </w:pPr>
            <w:r>
              <w:rPr>
                <w:rFonts w:ascii="Arial" w:cs="Arial" w:eastAsia="Arial" w:hAnsi="Arial"/>
                <w:sz w:val="18"/>
                <w:szCs w:val="18"/>
                <w:color w:val="auto"/>
                <w:w w:val="97"/>
              </w:rPr>
              <w:t>This Filing</w:t>
            </w:r>
          </w:p>
        </w:tc>
      </w:tr>
      <w:tr>
        <w:trPr>
          <w:trHeight w:val="230"/>
        </w:trPr>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80" w:type="dxa"/>
            <w:vAlign w:val="bottom"/>
          </w:tcPr>
          <w:p>
            <w:pPr>
              <w:jc w:val="center"/>
              <w:ind w:left="70"/>
              <w:spacing w:after="0"/>
              <w:rPr>
                <w:sz w:val="20"/>
                <w:szCs w:val="20"/>
                <w:color w:val="auto"/>
              </w:rPr>
            </w:pPr>
            <w:r>
              <w:rPr>
                <w:rFonts w:ascii="Arial" w:cs="Arial" w:eastAsia="Arial" w:hAnsi="Arial"/>
                <w:sz w:val="18"/>
                <w:szCs w:val="18"/>
                <w:color w:val="auto"/>
                <w:w w:val="92"/>
              </w:rPr>
              <w:t>Year Financial Results.”</w:t>
            </w:r>
          </w:p>
        </w:tc>
        <w:tc>
          <w:tcPr>
            <w:tcW w:w="158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300" w:val="left"/>
          <w:tab w:leader="none" w:pos="5060" w:val="left"/>
        </w:tabs>
        <w:rPr>
          <w:sz w:val="20"/>
          <w:szCs w:val="20"/>
          <w:color w:val="auto"/>
        </w:rPr>
      </w:pPr>
      <w:r>
        <w:rPr>
          <w:rFonts w:ascii="Arial" w:cs="Arial" w:eastAsia="Arial" w:hAnsi="Arial"/>
          <w:sz w:val="18"/>
          <w:szCs w:val="18"/>
          <w:color w:val="auto"/>
        </w:rPr>
        <w:t>Date: October 16,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14605</wp:posOffset>
            </wp:positionV>
            <wp:extent cx="4022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2090"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Vice President of Finance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Contact:  ClearOne Communications, Inc.</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(801) 303-3555</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REPORTS FISCAL 2009 FOURTH QUARTER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FULL-YEAR FINANCIAL RESULTS</w:t>
      </w:r>
    </w:p>
    <w:p>
      <w:pPr>
        <w:spacing w:after="0" w:line="23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 xml:space="preserve">Salt Lake City, UT – October 14, 2009 – </w:t>
      </w:r>
      <w:r>
        <w:rPr>
          <w:rFonts w:ascii="Arial" w:cs="Arial" w:eastAsia="Arial" w:hAnsi="Arial"/>
          <w:sz w:val="18"/>
          <w:szCs w:val="18"/>
          <w:color w:val="auto"/>
        </w:rPr>
        <w:t>ClearOne Communications, Inc. (NASDAQ: CLRO) today reported financial results for the fourth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ended June 30,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Results</w:t>
      </w:r>
    </w:p>
    <w:p>
      <w:pPr>
        <w:spacing w:after="0" w:line="2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Revenue for fiscal 2009 was $35.7 million compared with $38.8 million in fiscal 2008. Gross profit, which included a $2.3 million inventory write-off, was $20.4 million, or 57% of revenue, compared with gross profit for fiscal 2008, which included a $136,000 inventory write-off, of $22.6 million, or 58% of revenue. Excluding the inventory write-offs, gross profit was $22.7 million, or 64% of revenue, compared with fiscal 2008 gross profit of $22.7 million, or 59% of revenue. Operating income increased to $2.8 million from $1.1 million last year. Operating income was $2.8 million compared with $1.1 million in the same period of fiscal 2008. Net income was $2.2 million, or $0.24 per diluted share, compared with fiscal 2008 net income of $5.3 million, or $0.49 per diluted share, which included a gain on the disposal of discontinued operations, net of tax, of $16,000.</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revenue in fiscal 2009 was impacted by global economic conditions, including a worldwide decline in technology spending,” said Zee Hakimoglu, president, chief executive officer and chairman of ClearOne. “Over the course of the last year however, we made substantive improvements to manufacturing efficiencies and reduced overall expenses.</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“Looking ahead, we are seeing signs of improvement. We are planning a number of key new product launches in fiscal 2010. We believe our broad and innovative product offering complements and adds value to the conferencing experience, including existing and emerging venues such as personal and web-based and collaborative conferencing.”</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fiscal 2009 fourth quarter, the company recognized the receipt of a $1.1 million insurance settlement payment. Financial results for fiscal 2008 included the reversal of a $4.7 million valuation allowance recorded against deferred tax assets and a $3.3 million accrual for a contingent liability associated with indemnification agreements with two former officers.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Results</w:t>
      </w:r>
    </w:p>
    <w:p>
      <w:pPr>
        <w:spacing w:after="0" w:line="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 for the fiscal 2009 fourth quarter decreased to $7.1 million from $9.6 million in the same quarter of last year. Gross profit declined to $3.2 million, or 45% of revenue, from $5.5 million, or 58% of revenue, for the prior year period. Operating loss was $945,000 compared with $639,000 in the same period of fiscal 2008. Net loss was $402,000, or $0.04 per share, versus fiscal 2008 fourth quarter net income of $3.2 million, or $0.31 per diluted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At June 30, 2009, the company had cash, cash equivalents, and investments of $11.9 million and no long-term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Three Months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Ended June 30,</w:t>
            </w:r>
          </w:p>
        </w:tc>
        <w:tc>
          <w:tcPr>
            <w:tcW w:w="260" w:type="dxa"/>
            <w:vAlign w:val="bottom"/>
          </w:tcPr>
          <w:p>
            <w:pPr>
              <w:spacing w:after="0"/>
              <w:rPr>
                <w:sz w:val="20"/>
                <w:szCs w:val="20"/>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Years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35,700</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20,377</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Sales &amp; marketing</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Lumbermens Settlement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17,601</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(639)</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w w:val="92"/>
              </w:rPr>
              <w:t>Income from continuing operations before income</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taxes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3,229</w:t>
            </w:r>
          </w:p>
        </w:tc>
        <w:tc>
          <w:tcPr>
            <w:tcW w:w="1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2,227</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Diluted earnings (loss) per common share from</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Diluted earnings per common share from</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9,047,260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10,424,149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9,338,320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10,798,281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sectPr>
      <w:pgSz w:w="11900" w:h="16838" w:orient="portrait"/>
      <w:cols w:equalWidth="0" w:num="1">
        <w:col w:w="9140"/>
      </w:cols>
      <w:pgMar w:left="1380" w:top="75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2019-12-10T08:45:57Z</dcterms:created>
  <dcterms:modified xsi:type="dcterms:W3CDTF">2019-12-10T08:45:57Z</dcterms:modified>
</cp:coreProperties>
</file>